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22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00"/>
        <w:gridCol w:w="1760"/>
        <w:gridCol w:w="818"/>
        <w:gridCol w:w="166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228" w:type="dxa"/>
            <w:gridSpan w:val="6"/>
            <w:shd w:val="clear" w:color="auto" w:fill="auto"/>
            <w:noWrap/>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部门（单位）整体支出预算绩效目标申报表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228" w:type="dxa"/>
            <w:gridSpan w:val="6"/>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w:t>
            </w:r>
            <w:r>
              <w:rPr>
                <w:rFonts w:hint="eastAsia" w:ascii="宋体" w:hAnsi="宋体" w:eastAsia="宋体" w:cs="宋体"/>
                <w:b/>
                <w:bCs/>
                <w:kern w:val="0"/>
                <w:sz w:val="32"/>
                <w:szCs w:val="32"/>
                <w:u w:val="single"/>
              </w:rPr>
              <w:t>2020</w:t>
            </w:r>
            <w:r>
              <w:rPr>
                <w:rFonts w:hint="eastAsia" w:ascii="宋体" w:hAnsi="宋体" w:eastAsia="宋体" w:cs="宋体"/>
                <w:b/>
                <w:bCs/>
                <w:kern w:val="0"/>
                <w:sz w:val="32"/>
                <w:szCs w:val="3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48"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 xml:space="preserve">    填报单位（盖章）：湘阴县科学技术局</w:t>
            </w:r>
          </w:p>
        </w:tc>
        <w:tc>
          <w:tcPr>
            <w:tcW w:w="3580" w:type="dxa"/>
            <w:gridSpan w:val="2"/>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 xml:space="preserve">   单位负责人：易宇锋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restart"/>
            <w:shd w:val="clear" w:color="auto" w:fill="auto"/>
            <w:textDirection w:val="tbRlV"/>
            <w:vAlign w:val="center"/>
          </w:tcPr>
          <w:p>
            <w:pPr>
              <w:widowControl/>
              <w:jc w:val="center"/>
              <w:rPr>
                <w:rFonts w:ascii="宋体" w:hAnsi="宋体" w:eastAsia="宋体" w:cs="宋体"/>
                <w:kern w:val="0"/>
                <w:sz w:val="24"/>
              </w:rPr>
            </w:pPr>
            <w:r>
              <w:rPr>
                <w:rFonts w:hint="eastAsia" w:ascii="宋体" w:hAnsi="宋体" w:eastAsia="宋体" w:cs="宋体"/>
                <w:kern w:val="0"/>
                <w:sz w:val="24"/>
              </w:rPr>
              <w:t>部门基本信息</w:t>
            </w: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预算单位</w:t>
            </w:r>
          </w:p>
        </w:tc>
        <w:tc>
          <w:tcPr>
            <w:tcW w:w="6158" w:type="dxa"/>
            <w:gridSpan w:val="4"/>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湘阴县科学技术局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绩效管理</w:t>
            </w:r>
            <w:r>
              <w:rPr>
                <w:rFonts w:hint="eastAsia" w:ascii="宋体" w:hAnsi="宋体" w:eastAsia="宋体" w:cs="宋体"/>
                <w:kern w:val="0"/>
                <w:sz w:val="24"/>
              </w:rPr>
              <w:br w:type="textWrapping"/>
            </w:r>
            <w:r>
              <w:rPr>
                <w:rFonts w:hint="eastAsia" w:ascii="宋体" w:hAnsi="宋体" w:eastAsia="宋体" w:cs="宋体"/>
                <w:kern w:val="0"/>
                <w:sz w:val="24"/>
              </w:rPr>
              <w:t>联络员</w:t>
            </w: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郑紫慧</w:t>
            </w:r>
          </w:p>
        </w:tc>
        <w:tc>
          <w:tcPr>
            <w:tcW w:w="16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 联系电话</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13762077530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人员编制数</w:t>
            </w: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20</w:t>
            </w:r>
          </w:p>
        </w:tc>
        <w:tc>
          <w:tcPr>
            <w:tcW w:w="16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 实有人数</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部门职能</w:t>
            </w:r>
            <w:r>
              <w:rPr>
                <w:rFonts w:hint="eastAsia" w:ascii="宋体" w:hAnsi="宋体" w:eastAsia="宋体" w:cs="宋体"/>
                <w:kern w:val="0"/>
                <w:sz w:val="24"/>
              </w:rPr>
              <w:br w:type="textWrapping"/>
            </w:r>
            <w:r>
              <w:rPr>
                <w:rFonts w:hint="eastAsia" w:ascii="宋体" w:hAnsi="宋体" w:eastAsia="宋体" w:cs="宋体"/>
                <w:kern w:val="0"/>
                <w:sz w:val="24"/>
              </w:rPr>
              <w:t>职责概述</w:t>
            </w:r>
          </w:p>
        </w:tc>
        <w:tc>
          <w:tcPr>
            <w:tcW w:w="6158" w:type="dxa"/>
            <w:gridSpan w:val="4"/>
            <w:shd w:val="clear" w:color="auto" w:fill="auto"/>
            <w:vAlign w:val="center"/>
          </w:tcPr>
          <w:p>
            <w:pPr>
              <w:widowControl/>
              <w:tabs>
                <w:tab w:val="left" w:pos="7350"/>
              </w:tabs>
              <w:ind w:right="-17" w:rightChars="-8"/>
              <w:jc w:val="left"/>
              <w:rPr>
                <w:rFonts w:ascii="宋体" w:hAnsi="宋体" w:eastAsia="宋体" w:cs="宋体"/>
                <w:kern w:val="0"/>
                <w:sz w:val="24"/>
              </w:rPr>
            </w:pPr>
            <w:r>
              <w:rPr>
                <w:rFonts w:hint="eastAsia" w:ascii="宋体" w:hAnsi="宋体" w:eastAsia="宋体" w:cs="宋体"/>
                <w:kern w:val="0"/>
                <w:sz w:val="24"/>
              </w:rPr>
              <w:t>1、贯彻执行国家、省、市科技法律、法规和方针、政策，牵头拟订全县科技发展规划；起草相关政策措施并组织实施。2、统筹推进全县创新体系建设和科技体制改革，推进创新型建设。3、负责相关国家、省、市科技计划项目申报、推荐和管理。4、牵头组织全县农村和社会发展科技进步工作。5、牵头组织协调促进全县产学研结合工作；加强科技成果转化和推广，推动企业技术创新能力建设。6、负责全县高新技术的研究开发、成果转化以及产业化工作；指导并推动高新技术企业创新发展。7、会同有关部门提出全县科技体制改革的政策和措施建议，推进全县创新体系建设。8、负责本部门及归口管理的县级科技经费的预决算和经费使用的监督管理。9、负责会同有关部门拟订科技人才队伍建设规划，提出相关政策建议。10、负责全县科技奖励、科技保密、科技评估、科技统计、科技信息管理等工作。11、负责推动建立外国科学家、团队吸引集聚机制和外国专家联系服务机制，承担外国专家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7758" w:type="dxa"/>
            <w:gridSpan w:val="5"/>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单位年度收入预算（万元）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收入合计</w:t>
            </w:r>
          </w:p>
        </w:tc>
        <w:tc>
          <w:tcPr>
            <w:tcW w:w="17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公共财政拨款</w:t>
            </w:r>
          </w:p>
        </w:tc>
        <w:tc>
          <w:tcPr>
            <w:tcW w:w="818" w:type="dxa"/>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政府性基金拨款</w:t>
            </w:r>
          </w:p>
        </w:tc>
        <w:tc>
          <w:tcPr>
            <w:tcW w:w="16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非税收入拨款</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其他拨款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225.77</w:t>
            </w:r>
          </w:p>
        </w:tc>
        <w:tc>
          <w:tcPr>
            <w:tcW w:w="1760" w:type="dxa"/>
            <w:shd w:val="clear" w:color="auto" w:fill="auto"/>
            <w:noWrap/>
            <w:vAlign w:val="center"/>
          </w:tcPr>
          <w:p>
            <w:pPr>
              <w:widowControl/>
              <w:jc w:val="right"/>
              <w:rPr>
                <w:rFonts w:ascii="宋体" w:hAnsi="宋体" w:eastAsia="宋体" w:cs="宋体"/>
                <w:kern w:val="0"/>
                <w:sz w:val="24"/>
              </w:rPr>
            </w:pPr>
            <w:r>
              <w:rPr>
                <w:rFonts w:hint="eastAsia" w:ascii="宋体" w:hAnsi="宋体" w:eastAsia="宋体" w:cs="宋体"/>
                <w:kern w:val="0"/>
                <w:sz w:val="24"/>
              </w:rPr>
              <w:t>225.77</w:t>
            </w:r>
          </w:p>
        </w:tc>
        <w:tc>
          <w:tcPr>
            <w:tcW w:w="818" w:type="dxa"/>
            <w:shd w:val="clear" w:color="auto" w:fill="auto"/>
            <w:noWrap/>
            <w:vAlign w:val="center"/>
          </w:tcPr>
          <w:p>
            <w:pPr>
              <w:widowControl/>
              <w:jc w:val="right"/>
              <w:rPr>
                <w:rFonts w:ascii="宋体" w:hAnsi="宋体" w:eastAsia="宋体" w:cs="宋体"/>
                <w:kern w:val="0"/>
                <w:sz w:val="24"/>
              </w:rPr>
            </w:pPr>
            <w:r>
              <w:rPr>
                <w:rFonts w:hint="eastAsia" w:ascii="宋体" w:hAnsi="宋体" w:eastAsia="宋体" w:cs="宋体"/>
                <w:kern w:val="0"/>
                <w:sz w:val="24"/>
              </w:rPr>
              <w:t>0</w:t>
            </w:r>
          </w:p>
        </w:tc>
        <w:tc>
          <w:tcPr>
            <w:tcW w:w="16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7758" w:type="dxa"/>
            <w:gridSpan w:val="5"/>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单位年度支出预算（万元）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支出合计</w:t>
            </w: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基本支出</w:t>
            </w:r>
          </w:p>
        </w:tc>
        <w:tc>
          <w:tcPr>
            <w:tcW w:w="358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295.77</w:t>
            </w:r>
          </w:p>
        </w:tc>
        <w:tc>
          <w:tcPr>
            <w:tcW w:w="2578" w:type="dxa"/>
            <w:gridSpan w:val="2"/>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225.77</w:t>
            </w:r>
          </w:p>
        </w:tc>
        <w:tc>
          <w:tcPr>
            <w:tcW w:w="358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其中</w:t>
            </w:r>
          </w:p>
        </w:tc>
        <w:tc>
          <w:tcPr>
            <w:tcW w:w="6158" w:type="dxa"/>
            <w:gridSpan w:val="4"/>
            <w:shd w:val="clear" w:color="auto" w:fill="auto"/>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 xml:space="preserve">            三公经费预算（万元）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合计</w:t>
            </w: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公务用车运行和购置费</w:t>
            </w:r>
          </w:p>
        </w:tc>
        <w:tc>
          <w:tcPr>
            <w:tcW w:w="16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因公出国</w:t>
            </w:r>
            <w:bookmarkStart w:id="0" w:name="_GoBack"/>
            <w:bookmarkEnd w:id="0"/>
            <w:r>
              <w:rPr>
                <w:rFonts w:hint="eastAsia" w:ascii="宋体" w:hAnsi="宋体" w:eastAsia="宋体" w:cs="宋体"/>
                <w:kern w:val="0"/>
                <w:sz w:val="24"/>
              </w:rPr>
              <w:t>（境）费</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Merge w:val="continue"/>
            <w:vAlign w:val="center"/>
          </w:tcPr>
          <w:p>
            <w:pPr>
              <w:widowControl/>
              <w:jc w:val="left"/>
              <w:rPr>
                <w:rFonts w:ascii="宋体" w:hAnsi="宋体" w:eastAsia="宋体" w:cs="宋体"/>
                <w:kern w:val="0"/>
                <w:sz w:val="24"/>
              </w:rPr>
            </w:pPr>
          </w:p>
        </w:tc>
        <w:tc>
          <w:tcPr>
            <w:tcW w:w="160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6.32</w:t>
            </w: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6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470" w:type="dxa"/>
            <w:shd w:val="clear" w:color="auto" w:fill="auto"/>
            <w:textDirection w:val="tbRlV"/>
            <w:vAlign w:val="center"/>
          </w:tcPr>
          <w:p>
            <w:pPr>
              <w:widowControl/>
              <w:jc w:val="center"/>
              <w:rPr>
                <w:rFonts w:ascii="宋体" w:hAnsi="宋体" w:eastAsia="宋体" w:cs="宋体"/>
                <w:kern w:val="0"/>
                <w:sz w:val="24"/>
              </w:rPr>
            </w:pPr>
            <w:r>
              <w:rPr>
                <w:rFonts w:hint="eastAsia" w:ascii="宋体" w:hAnsi="宋体" w:eastAsia="宋体" w:cs="宋体"/>
                <w:kern w:val="0"/>
                <w:sz w:val="24"/>
              </w:rPr>
              <w:t>年度绩效目标</w:t>
            </w:r>
            <w:r>
              <w:rPr>
                <w:rFonts w:hint="eastAsia" w:ascii="宋体" w:hAnsi="宋体" w:eastAsia="宋体" w:cs="宋体"/>
                <w:kern w:val="0"/>
                <w:sz w:val="24"/>
              </w:rPr>
              <w:br w:type="textWrapping"/>
            </w:r>
            <w:r>
              <w:rPr>
                <w:rFonts w:hint="eastAsia" w:ascii="宋体" w:hAnsi="宋体" w:eastAsia="宋体" w:cs="宋体"/>
                <w:kern w:val="0"/>
                <w:sz w:val="24"/>
              </w:rPr>
              <w:t>部门整体支出</w:t>
            </w:r>
          </w:p>
        </w:tc>
        <w:tc>
          <w:tcPr>
            <w:tcW w:w="7758" w:type="dxa"/>
            <w:gridSpan w:val="5"/>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优化县域经济科技发展环境；打造浓厚科技创新氛围；增加科技成果，使技术创新总体水平提高；2、组织开展产学研合作、科技创新培训服务；3、全县技术创新能力得到提升，高新技术企业数量再创新高；4、科技项目的申报与实施取得新成果；5、科技惠民工程不折不扣得到落实；组建科技专家服务团；6、部分科技成果在工农业生产等社会领域得到较广泛的应用和推广；7、年终考评争取获得多项部门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Merge w:val="restart"/>
            <w:shd w:val="clear" w:color="auto" w:fill="auto"/>
            <w:textDirection w:val="tbRlV"/>
            <w:vAlign w:val="center"/>
          </w:tcPr>
          <w:p>
            <w:pPr>
              <w:widowControl/>
              <w:jc w:val="center"/>
              <w:rPr>
                <w:rFonts w:ascii="宋体" w:hAnsi="宋体" w:eastAsia="宋体" w:cs="宋体"/>
                <w:kern w:val="0"/>
                <w:sz w:val="24"/>
              </w:rPr>
            </w:pPr>
            <w:r>
              <w:rPr>
                <w:rFonts w:hint="eastAsia" w:ascii="宋体" w:hAnsi="宋体" w:eastAsia="宋体" w:cs="宋体"/>
                <w:kern w:val="0"/>
                <w:sz w:val="24"/>
              </w:rPr>
              <w:t>年度绩效指标</w:t>
            </w:r>
            <w:r>
              <w:rPr>
                <w:rFonts w:hint="eastAsia" w:ascii="宋体" w:hAnsi="宋体" w:eastAsia="宋体" w:cs="宋体"/>
                <w:kern w:val="0"/>
                <w:sz w:val="24"/>
              </w:rPr>
              <w:br w:type="textWrapping"/>
            </w:r>
            <w:r>
              <w:rPr>
                <w:rFonts w:hint="eastAsia" w:ascii="宋体" w:hAnsi="宋体" w:eastAsia="宋体" w:cs="宋体"/>
                <w:kern w:val="0"/>
                <w:sz w:val="24"/>
              </w:rPr>
              <w:t>部门整体支出</w:t>
            </w:r>
          </w:p>
        </w:tc>
        <w:tc>
          <w:tcPr>
            <w:tcW w:w="1600"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一级指标</w:t>
            </w:r>
          </w:p>
        </w:tc>
        <w:tc>
          <w:tcPr>
            <w:tcW w:w="1760"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二级指标</w:t>
            </w:r>
          </w:p>
        </w:tc>
        <w:tc>
          <w:tcPr>
            <w:tcW w:w="2478" w:type="dxa"/>
            <w:gridSpan w:val="2"/>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三级指标</w:t>
            </w:r>
          </w:p>
        </w:tc>
        <w:tc>
          <w:tcPr>
            <w:tcW w:w="1920"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4" w:hRule="atLeast"/>
        </w:trPr>
        <w:tc>
          <w:tcPr>
            <w:tcW w:w="1470" w:type="dxa"/>
            <w:vMerge w:val="continue"/>
            <w:vAlign w:val="center"/>
          </w:tcPr>
          <w:p>
            <w:pPr>
              <w:widowControl/>
              <w:jc w:val="left"/>
              <w:rPr>
                <w:rFonts w:ascii="宋体" w:hAnsi="宋体" w:eastAsia="宋体" w:cs="宋体"/>
                <w:kern w:val="0"/>
                <w:sz w:val="24"/>
              </w:rPr>
            </w:pPr>
          </w:p>
        </w:tc>
        <w:tc>
          <w:tcPr>
            <w:tcW w:w="1600" w:type="dxa"/>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产出指标（预期提供的公共产品或服务，包括数量、质量、时效、成本等）</w:t>
            </w:r>
          </w:p>
        </w:tc>
        <w:tc>
          <w:tcPr>
            <w:tcW w:w="17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数量指标</w:t>
            </w:r>
          </w:p>
        </w:tc>
        <w:tc>
          <w:tcPr>
            <w:tcW w:w="2478" w:type="dxa"/>
            <w:gridSpan w:val="2"/>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1、争取国家、省、市级科技项目；2、开展关键共性技术研究；3、开发新产品、新工艺；4、技术合同交易额；5、开展产学研对接、科技创新培训活动；6、申报省、市级科技创新平台；7、申报高新技术企业。</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争取项目10个，资金达600万元；2、开展关键共性技术研究达5项；3、开发新产品、新工艺5个；4、转移转化科技成果10项，技术合同交易额达到1亿元；5、开展科技服务活动10场次；6、省级或市级科技平台1家；7、全县高新技术企业总数达40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1470" w:type="dxa"/>
            <w:vMerge w:val="continue"/>
            <w:vAlign w:val="center"/>
          </w:tcPr>
          <w:p>
            <w:pPr>
              <w:widowControl/>
              <w:jc w:val="left"/>
              <w:rPr>
                <w:rFonts w:ascii="宋体" w:hAnsi="宋体" w:eastAsia="宋体" w:cs="宋体"/>
                <w:kern w:val="0"/>
                <w:sz w:val="24"/>
              </w:rPr>
            </w:pPr>
          </w:p>
        </w:tc>
        <w:tc>
          <w:tcPr>
            <w:tcW w:w="1600" w:type="dxa"/>
            <w:vMerge w:val="continue"/>
            <w:vAlign w:val="center"/>
          </w:tcPr>
          <w:p>
            <w:pPr>
              <w:widowControl/>
              <w:jc w:val="left"/>
              <w:rPr>
                <w:rFonts w:ascii="宋体" w:hAnsi="宋体" w:eastAsia="宋体" w:cs="宋体"/>
                <w:kern w:val="0"/>
                <w:sz w:val="24"/>
              </w:rPr>
            </w:pPr>
          </w:p>
        </w:tc>
        <w:tc>
          <w:tcPr>
            <w:tcW w:w="17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质量指标</w:t>
            </w:r>
          </w:p>
        </w:tc>
        <w:tc>
          <w:tcPr>
            <w:tcW w:w="2478" w:type="dxa"/>
            <w:gridSpan w:val="2"/>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优化县域经济科技发展环境；2、打造浓厚科技创新氛围；3、增加科技成果，使技术创新总体水平提高；4、科技惠民工程不折不扣得到落实；5、部分科技成果在工农业生产等社会领域得到较广泛的应用和推广。</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70" w:type="dxa"/>
            <w:vMerge w:val="continue"/>
            <w:vAlign w:val="center"/>
          </w:tcPr>
          <w:p>
            <w:pPr>
              <w:widowControl/>
              <w:jc w:val="left"/>
              <w:rPr>
                <w:rFonts w:ascii="宋体" w:hAnsi="宋体" w:eastAsia="宋体" w:cs="宋体"/>
                <w:kern w:val="0"/>
                <w:sz w:val="24"/>
              </w:rPr>
            </w:pPr>
          </w:p>
        </w:tc>
        <w:tc>
          <w:tcPr>
            <w:tcW w:w="1600" w:type="dxa"/>
            <w:vMerge w:val="continue"/>
            <w:vAlign w:val="center"/>
          </w:tcPr>
          <w:p>
            <w:pPr>
              <w:widowControl/>
              <w:jc w:val="left"/>
              <w:rPr>
                <w:rFonts w:ascii="宋体" w:hAnsi="宋体" w:eastAsia="宋体" w:cs="宋体"/>
                <w:kern w:val="0"/>
                <w:sz w:val="24"/>
              </w:rPr>
            </w:pPr>
          </w:p>
        </w:tc>
        <w:tc>
          <w:tcPr>
            <w:tcW w:w="17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时效指标</w:t>
            </w:r>
          </w:p>
        </w:tc>
        <w:tc>
          <w:tcPr>
            <w:tcW w:w="2478" w:type="dxa"/>
            <w:gridSpan w:val="2"/>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一年</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2020.01.01—2020.12.31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470" w:type="dxa"/>
            <w:vMerge w:val="continue"/>
            <w:vAlign w:val="center"/>
          </w:tcPr>
          <w:p>
            <w:pPr>
              <w:widowControl/>
              <w:jc w:val="left"/>
              <w:rPr>
                <w:rFonts w:ascii="宋体" w:hAnsi="宋体" w:eastAsia="宋体" w:cs="宋体"/>
                <w:kern w:val="0"/>
                <w:sz w:val="24"/>
              </w:rPr>
            </w:pPr>
          </w:p>
        </w:tc>
        <w:tc>
          <w:tcPr>
            <w:tcW w:w="1600" w:type="dxa"/>
            <w:vMerge w:val="continue"/>
            <w:vAlign w:val="center"/>
          </w:tcPr>
          <w:p>
            <w:pPr>
              <w:widowControl/>
              <w:jc w:val="left"/>
              <w:rPr>
                <w:rFonts w:ascii="宋体" w:hAnsi="宋体" w:eastAsia="宋体" w:cs="宋体"/>
                <w:kern w:val="0"/>
                <w:sz w:val="24"/>
              </w:rPr>
            </w:pP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成本指标</w:t>
            </w:r>
          </w:p>
        </w:tc>
        <w:tc>
          <w:tcPr>
            <w:tcW w:w="1660"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控制在预算内</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控制在预算内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0" w:type="dxa"/>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年度绩效指标</w:t>
            </w:r>
            <w:r>
              <w:rPr>
                <w:rFonts w:hint="eastAsia" w:ascii="宋体" w:hAnsi="宋体" w:eastAsia="宋体" w:cs="宋体"/>
                <w:kern w:val="0"/>
                <w:sz w:val="24"/>
              </w:rPr>
              <w:br w:type="textWrapping"/>
            </w:r>
            <w:r>
              <w:rPr>
                <w:rFonts w:hint="eastAsia" w:ascii="宋体" w:hAnsi="宋体" w:eastAsia="宋体" w:cs="宋体"/>
                <w:kern w:val="0"/>
                <w:sz w:val="24"/>
              </w:rPr>
              <w:t>部门整体支出</w:t>
            </w:r>
          </w:p>
        </w:tc>
        <w:tc>
          <w:tcPr>
            <w:tcW w:w="1600"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一级指标</w:t>
            </w:r>
          </w:p>
        </w:tc>
        <w:tc>
          <w:tcPr>
            <w:tcW w:w="2578" w:type="dxa"/>
            <w:gridSpan w:val="2"/>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二级指标</w:t>
            </w:r>
          </w:p>
        </w:tc>
        <w:tc>
          <w:tcPr>
            <w:tcW w:w="1660"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三级指标</w:t>
            </w:r>
          </w:p>
        </w:tc>
        <w:tc>
          <w:tcPr>
            <w:tcW w:w="1920"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70" w:type="dxa"/>
            <w:vMerge w:val="continue"/>
            <w:vAlign w:val="center"/>
          </w:tcPr>
          <w:p>
            <w:pPr>
              <w:widowControl/>
              <w:jc w:val="left"/>
              <w:rPr>
                <w:rFonts w:ascii="宋体" w:hAnsi="宋体" w:eastAsia="宋体" w:cs="宋体"/>
                <w:kern w:val="0"/>
                <w:sz w:val="24"/>
              </w:rPr>
            </w:pPr>
          </w:p>
        </w:tc>
        <w:tc>
          <w:tcPr>
            <w:tcW w:w="1600" w:type="dxa"/>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效益指标（预期可能实现的效益，包括经济效益、社会效益、环境效益、可持续影响以及服务对象满意度等）</w:t>
            </w: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经济效益</w:t>
            </w:r>
          </w:p>
        </w:tc>
        <w:tc>
          <w:tcPr>
            <w:tcW w:w="1660"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无直接经济效益</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470" w:type="dxa"/>
            <w:vMerge w:val="continue"/>
            <w:vAlign w:val="center"/>
          </w:tcPr>
          <w:p>
            <w:pPr>
              <w:widowControl/>
              <w:jc w:val="left"/>
              <w:rPr>
                <w:rFonts w:ascii="宋体" w:hAnsi="宋体" w:eastAsia="宋体" w:cs="宋体"/>
                <w:kern w:val="0"/>
                <w:sz w:val="24"/>
              </w:rPr>
            </w:pPr>
          </w:p>
        </w:tc>
        <w:tc>
          <w:tcPr>
            <w:tcW w:w="1600" w:type="dxa"/>
            <w:vMerge w:val="continue"/>
            <w:vAlign w:val="center"/>
          </w:tcPr>
          <w:p>
            <w:pPr>
              <w:widowControl/>
              <w:jc w:val="left"/>
              <w:rPr>
                <w:rFonts w:ascii="宋体" w:hAnsi="宋体" w:eastAsia="宋体" w:cs="宋体"/>
                <w:kern w:val="0"/>
                <w:sz w:val="24"/>
              </w:rPr>
            </w:pP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社会效益</w:t>
            </w:r>
          </w:p>
        </w:tc>
        <w:tc>
          <w:tcPr>
            <w:tcW w:w="1660"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通过科技创新培训，打造一批优秀的科技型企业（包括科技型中小企业），提升县域创新能力；2、组织科技特派员、组建科技专家服务团，主要服务农业农村，带动农业增效、农民增收；3、举办湘阴县第三届创新创业大赛，挖掘优秀科技项目，联系高校院所，促进科技成果转移转化。</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70" w:type="dxa"/>
            <w:vMerge w:val="continue"/>
            <w:vAlign w:val="center"/>
          </w:tcPr>
          <w:p>
            <w:pPr>
              <w:widowControl/>
              <w:jc w:val="left"/>
              <w:rPr>
                <w:rFonts w:ascii="宋体" w:hAnsi="宋体" w:eastAsia="宋体" w:cs="宋体"/>
                <w:kern w:val="0"/>
                <w:sz w:val="24"/>
              </w:rPr>
            </w:pPr>
          </w:p>
        </w:tc>
        <w:tc>
          <w:tcPr>
            <w:tcW w:w="1600" w:type="dxa"/>
            <w:vMerge w:val="continue"/>
            <w:vAlign w:val="center"/>
          </w:tcPr>
          <w:p>
            <w:pPr>
              <w:widowControl/>
              <w:jc w:val="left"/>
              <w:rPr>
                <w:rFonts w:ascii="宋体" w:hAnsi="宋体" w:eastAsia="宋体" w:cs="宋体"/>
                <w:kern w:val="0"/>
                <w:sz w:val="24"/>
              </w:rPr>
            </w:pP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环境效益</w:t>
            </w:r>
          </w:p>
        </w:tc>
        <w:tc>
          <w:tcPr>
            <w:tcW w:w="1660"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无环境污染</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470" w:type="dxa"/>
            <w:vMerge w:val="continue"/>
            <w:vAlign w:val="center"/>
          </w:tcPr>
          <w:p>
            <w:pPr>
              <w:widowControl/>
              <w:jc w:val="left"/>
              <w:rPr>
                <w:rFonts w:ascii="宋体" w:hAnsi="宋体" w:eastAsia="宋体" w:cs="宋体"/>
                <w:kern w:val="0"/>
                <w:sz w:val="24"/>
              </w:rPr>
            </w:pPr>
          </w:p>
        </w:tc>
        <w:tc>
          <w:tcPr>
            <w:tcW w:w="1600" w:type="dxa"/>
            <w:vMerge w:val="continue"/>
            <w:vAlign w:val="center"/>
          </w:tcPr>
          <w:p>
            <w:pPr>
              <w:widowControl/>
              <w:jc w:val="left"/>
              <w:rPr>
                <w:rFonts w:ascii="宋体" w:hAnsi="宋体" w:eastAsia="宋体" w:cs="宋体"/>
                <w:kern w:val="0"/>
                <w:sz w:val="24"/>
              </w:rPr>
            </w:pP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可持续影响</w:t>
            </w:r>
          </w:p>
        </w:tc>
        <w:tc>
          <w:tcPr>
            <w:tcW w:w="1660"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1、“万众创业、大众创新”，使县域科技创新能力得到提升；2、科技部门影响力提升；3、搭建产学研桥梁，打造服务于全县科技型企业的“智囊团”。</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70" w:type="dxa"/>
            <w:vMerge w:val="continue"/>
            <w:vAlign w:val="center"/>
          </w:tcPr>
          <w:p>
            <w:pPr>
              <w:widowControl/>
              <w:jc w:val="left"/>
              <w:rPr>
                <w:rFonts w:ascii="宋体" w:hAnsi="宋体" w:eastAsia="宋体" w:cs="宋体"/>
                <w:kern w:val="0"/>
                <w:sz w:val="24"/>
              </w:rPr>
            </w:pPr>
          </w:p>
        </w:tc>
        <w:tc>
          <w:tcPr>
            <w:tcW w:w="1600" w:type="dxa"/>
            <w:vMerge w:val="continue"/>
            <w:vAlign w:val="center"/>
          </w:tcPr>
          <w:p>
            <w:pPr>
              <w:widowControl/>
              <w:jc w:val="left"/>
              <w:rPr>
                <w:rFonts w:ascii="宋体" w:hAnsi="宋体" w:eastAsia="宋体" w:cs="宋体"/>
                <w:kern w:val="0"/>
                <w:sz w:val="24"/>
              </w:rPr>
            </w:pPr>
          </w:p>
        </w:tc>
        <w:tc>
          <w:tcPr>
            <w:tcW w:w="257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服务对象满意度</w:t>
            </w:r>
          </w:p>
        </w:tc>
        <w:tc>
          <w:tcPr>
            <w:tcW w:w="1660"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服务对象满意度</w:t>
            </w:r>
          </w:p>
        </w:tc>
        <w:tc>
          <w:tcPr>
            <w:tcW w:w="192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470" w:type="dxa"/>
            <w:shd w:val="clear" w:color="auto" w:fill="auto"/>
            <w:textDirection w:val="tbRlV"/>
            <w:vAlign w:val="center"/>
          </w:tcPr>
          <w:p>
            <w:pPr>
              <w:widowControl/>
              <w:jc w:val="center"/>
              <w:rPr>
                <w:rFonts w:ascii="宋体" w:hAnsi="宋体" w:eastAsia="宋体" w:cs="宋体"/>
                <w:kern w:val="0"/>
                <w:sz w:val="24"/>
              </w:rPr>
            </w:pPr>
            <w:r>
              <w:rPr>
                <w:rFonts w:hint="eastAsia" w:ascii="宋体" w:hAnsi="宋体" w:eastAsia="宋体" w:cs="宋体"/>
                <w:kern w:val="0"/>
                <w:sz w:val="24"/>
              </w:rPr>
              <w:t>问题</w:t>
            </w:r>
            <w:r>
              <w:rPr>
                <w:rFonts w:hint="eastAsia" w:ascii="宋体" w:hAnsi="宋体" w:eastAsia="宋体" w:cs="宋体"/>
                <w:kern w:val="0"/>
                <w:sz w:val="24"/>
              </w:rPr>
              <w:br w:type="textWrapping"/>
            </w:r>
            <w:r>
              <w:rPr>
                <w:rFonts w:hint="eastAsia" w:ascii="宋体" w:hAnsi="宋体" w:eastAsia="宋体" w:cs="宋体"/>
                <w:kern w:val="0"/>
                <w:sz w:val="24"/>
              </w:rPr>
              <w:t>其他说明的</w:t>
            </w:r>
          </w:p>
        </w:tc>
        <w:tc>
          <w:tcPr>
            <w:tcW w:w="7758" w:type="dxa"/>
            <w:gridSpan w:val="5"/>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470" w:type="dxa"/>
            <w:shd w:val="clear" w:color="auto" w:fill="auto"/>
            <w:textDirection w:val="tbRlV"/>
            <w:vAlign w:val="center"/>
          </w:tcPr>
          <w:p>
            <w:pPr>
              <w:widowControl/>
              <w:jc w:val="center"/>
              <w:rPr>
                <w:rFonts w:ascii="宋体" w:hAnsi="宋体" w:eastAsia="宋体" w:cs="宋体"/>
                <w:kern w:val="0"/>
                <w:sz w:val="24"/>
              </w:rPr>
            </w:pPr>
            <w:r>
              <w:rPr>
                <w:rFonts w:hint="eastAsia" w:ascii="宋体" w:hAnsi="宋体" w:eastAsia="宋体" w:cs="宋体"/>
                <w:kern w:val="0"/>
                <w:sz w:val="24"/>
              </w:rPr>
              <w:t>审核意见</w:t>
            </w:r>
            <w:r>
              <w:rPr>
                <w:rFonts w:hint="eastAsia" w:ascii="宋体" w:hAnsi="宋体" w:eastAsia="宋体" w:cs="宋体"/>
                <w:kern w:val="0"/>
                <w:sz w:val="24"/>
              </w:rPr>
              <w:br w:type="textWrapping"/>
            </w:r>
            <w:r>
              <w:rPr>
                <w:rFonts w:hint="eastAsia" w:ascii="宋体" w:hAnsi="宋体" w:eastAsia="宋体" w:cs="宋体"/>
                <w:kern w:val="0"/>
                <w:sz w:val="24"/>
              </w:rPr>
              <w:t>财政部门</w:t>
            </w:r>
          </w:p>
        </w:tc>
        <w:tc>
          <w:tcPr>
            <w:tcW w:w="7758" w:type="dxa"/>
            <w:gridSpan w:val="5"/>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br w:type="textWrapping"/>
            </w:r>
            <w:r>
              <w:rPr>
                <w:rFonts w:hint="eastAsia" w:ascii="宋体" w:hAnsi="宋体" w:eastAsia="宋体" w:cs="宋体"/>
                <w:kern w:val="0"/>
                <w:sz w:val="24"/>
              </w:rPr>
              <w:br w:type="textWrapping"/>
            </w:r>
            <w:r>
              <w:rPr>
                <w:rFonts w:hint="eastAsia" w:ascii="宋体" w:hAnsi="宋体" w:eastAsia="宋体" w:cs="宋体"/>
                <w:kern w:val="0"/>
                <w:sz w:val="24"/>
              </w:rPr>
              <w:br w:type="textWrapping"/>
            </w:r>
            <w:r>
              <w:rPr>
                <w:rFonts w:hint="eastAsia" w:ascii="宋体" w:hAnsi="宋体" w:eastAsia="宋体" w:cs="宋体"/>
                <w:kern w:val="0"/>
                <w:sz w:val="24"/>
              </w:rPr>
              <w:t xml:space="preserve">                                （盖章）</w:t>
            </w:r>
            <w:r>
              <w:rPr>
                <w:rFonts w:hint="eastAsia" w:ascii="宋体" w:hAnsi="宋体" w:eastAsia="宋体" w:cs="宋体"/>
                <w:kern w:val="0"/>
                <w:sz w:val="24"/>
              </w:rPr>
              <w:br w:type="textWrapping"/>
            </w:r>
            <w:r>
              <w:rPr>
                <w:rFonts w:hint="eastAsia" w:ascii="宋体" w:hAnsi="宋体" w:eastAsia="宋体" w:cs="宋体"/>
                <w:kern w:val="0"/>
                <w:sz w:val="24"/>
              </w:rPr>
              <w:br w:type="textWrapping"/>
            </w:r>
            <w:r>
              <w:rPr>
                <w:rFonts w:hint="eastAsia" w:ascii="宋体" w:hAnsi="宋体" w:eastAsia="宋体" w:cs="宋体"/>
                <w:kern w:val="0"/>
                <w:sz w:val="24"/>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FC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2021-06-04T09:55:37Z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