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36" w:tblpY="384"/>
        <w:tblOverlap w:val="never"/>
        <w:tblW w:w="148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380"/>
        <w:gridCol w:w="1485"/>
        <w:gridCol w:w="1350"/>
        <w:gridCol w:w="675"/>
        <w:gridCol w:w="1140"/>
        <w:gridCol w:w="1080"/>
        <w:gridCol w:w="1590"/>
        <w:gridCol w:w="1635"/>
        <w:gridCol w:w="1230"/>
        <w:gridCol w:w="1260"/>
        <w:gridCol w:w="13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84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7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2023年湘阴县城市发展集团有限公司招聘专业管理人员一览表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86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报考条件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薪酬待遇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  <w:p>
            <w:pPr>
              <w:keepNext w:val="0"/>
              <w:keepLines w:val="0"/>
              <w:widowControl/>
              <w:suppressLineNumbers w:val="0"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职称或职业资格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从业经验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3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57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湘阴县生命文化传播有限公司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主管（殡仪管理）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45周岁以下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大专及以上（有经验者可放宽学历要求）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现代殡葬技术与管理相关专业（有经验者可放宽专业要求）。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有相关职业资格证书优先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从事殡葬行业运营管理岗位5年以上的工作经验，熟悉殡葬行业管理。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重经验及能力和资历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9万-10万元/年+绩效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主管（陵园管理）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45周岁以下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大专及以上（有经验者可放宽学历要求）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现代殡葬技术与管理相关专业（有经验者可放宽专业要求）。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有相关职业资格证书优先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从事陵园行业运营管理岗位5年以上的工作经验，熟悉陵园行业管理及殡葬管理工作。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重经验及能力和资历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9万-10万元/年+绩效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33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7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1" w:type="dxa"/>
          <w:trHeight w:val="580" w:hRule="atLeast"/>
        </w:trPr>
        <w:tc>
          <w:tcPr>
            <w:tcW w:w="1347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57" w:lineRule="atLeas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注：45周岁以下及1978年7月13日以后出生。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NWU3OGEzOTY5Y2I5ZWQwN2UzNTE4ZmMzMTAxNjMifQ=="/>
  </w:docVars>
  <w:rsids>
    <w:rsidRoot w:val="63BA52C4"/>
    <w:rsid w:val="63BA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2023-07-13T08:22:00Z</dcterms:created>
  <dc:creator>程振宇</dc:creator>
  <cp:lastModifiedBy>程振宇</cp:lastModifiedBy>
  <dcterms:modified xsi:type="dcterms:W3CDTF">2023-07-13T08:23:05Z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2052-11.1.0.14650</vt:lpwstr>
  </property>
  <property fmtid="{D5CDD505-2E9C-101B-9397-08002B2CF9AE}" pid="3" name="ICV">
    <vt:lpwstr>AEC1C74C6FC04EE592A04A883A8D4B29_11</vt:lpwstr>
  </property>
</Properties>
</file>