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7" w:tblpY="572"/>
        <w:tblOverlap w:val="never"/>
        <w:tblW w:w="94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14"/>
        <w:gridCol w:w="750"/>
        <w:gridCol w:w="4426"/>
        <w:gridCol w:w="1019"/>
        <w:gridCol w:w="1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附件3</w:t>
            </w:r>
          </w:p>
          <w:p>
            <w:pPr>
              <w:spacing w:line="580" w:lineRule="exact"/>
              <w:ind w:firstLine="1320" w:firstLineChars="300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 w:bidi="ar"/>
              </w:rPr>
              <w:t>经历业绩量化评分表（财务专员）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考核对象：                                  总分：100分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项　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权重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备　　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知识背景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本科（在职）记5分</w:t>
            </w:r>
          </w:p>
        </w:tc>
        <w:tc>
          <w:tcPr>
            <w:tcW w:w="10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普通本科（全日制）或在职研究生记10分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有本行业相关职业资格证书的根据证书等级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（初级、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中级、高级）依次记5分、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10分、20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工作业绩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岗位经验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①在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出纳岗位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工作满5年记6分，每增加一年加2分，最高不超过10分；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②在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会计岗位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工作满5年记6分，每增加一年加2分，最高不超过10分；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任职岗位经历可累计计算，最高不超过20分。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从业经历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①本行业工作满5年记6分，每增加一年加2分，最高不超过10分；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②在本行业中任中层管理人员满2年记6分，每增加一年加2分，最高不超过10分；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③在本行业中任高级管理人员满1年记6分，每增加一年加2分，最高不超过10分。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任职岗位经历可累计计算，最高不超过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工作成果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主要看应聘者工作业绩轨迹，与工作关联度越高得分越高，且相似工作业绩中工作量越大、工作越重要、难度越高、成绩越突出、本人作用发挥越大的得分越高。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根据工作业绩材料进行评价。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公司及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县级荣誉每次加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近3年个人或个人所负责、所从事工作获得公司级以上表彰奖励的，累计加分不超过10分。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市级荣誉每次加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省级荣誉每次加6分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总　计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9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评审小组成员签名：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2F916F8D"/>
    <w:rsid w:val="2F9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spacing w:line="357" w:lineRule="atLeast"/>
      <w:jc w:val="both"/>
    </w:pPr>
    <w:rPr>
      <w:rFonts w:ascii="Cambria" w:hAnsi="Cambria" w:eastAsia="黑体" w:cs="Times New Roman"/>
      <w:color w:val="000000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2023-08-16T00:32:00Z</dcterms:created>
  <dc:creator>程振宇</dc:creator>
  <cp:lastModifiedBy>程振宇</cp:lastModifiedBy>
  <dcterms:modified xsi:type="dcterms:W3CDTF">2023-08-16T00:32:35Z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C2EF91A3F8354FFB8574A7464B12F84E_11</vt:lpwstr>
  </property>
</Properties>
</file>