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67" w:tblpY="572"/>
        <w:tblOverlap w:val="never"/>
        <w:tblW w:w="94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14"/>
        <w:gridCol w:w="750"/>
        <w:gridCol w:w="4426"/>
        <w:gridCol w:w="1019"/>
        <w:gridCol w:w="1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textAlignment w:val="center"/>
              <w:rPr>
                <w:rFonts w:hint="eastAsia" w:ascii="黑体" w:hAnsi="黑体" w:eastAsia="黑体" w:cs="方正小标宋简体"/>
                <w:sz w:val="44"/>
                <w:szCs w:val="44"/>
                <w:lang w:bidi="ar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附件3：</w:t>
            </w:r>
          </w:p>
          <w:p>
            <w:pPr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>经历业绩量化评分表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  <w:lang w:bidi="ar"/>
              </w:rPr>
              <w:t>考核对象：                                  总分：100分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项　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权重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评分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知识背景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7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本科（在职）记5分</w:t>
            </w:r>
          </w:p>
        </w:tc>
        <w:tc>
          <w:tcPr>
            <w:tcW w:w="10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普通本科（全日制）或在职研究生记10分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职业资格证书情况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职业资格证书情况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有本行业相关职业资格证书的根据证书等级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初级、中级、高级）依次记5分、10分、20分。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取最高一项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工作业绩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岗位经验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①在出纳岗位工作满5年记6分，每增加一年加2分，最高不超过10分；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②在会计岗位工作满5年记6分，每增加一年加2分，最高不超过10分；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rPr>
                <w:rFonts w:hint="eastAsia"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任职岗位经验可累计计算，最高不超过20分。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从业经历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①本行业工作满5年记6分，每增加一年加2分，最高不超过10分；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②在本行业中任中层管理人员满2年记6分，每增加一年加2分，最高不超过10分；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③在本行业中任高级管理人员满1年记6分，每增加一年加2分，最高不超过10分。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任职岗位经历可累计计算，最高不超过20分。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工作成果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主要看应聘者工作业绩轨迹，与工作关联度越高得分越高，且相似工作业绩中工作量越大、工作越重要、难度越高、成绩越突出、本人作用发挥越大的得分越高。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根据工作业绩材料进行评价。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公司及县级荣誉每次加4分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近3年个人或个人所负责、从事工作获得公司级以上表彰奖励的，累计加分不超过10分。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市级荣誉每次加5分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省级荣誉每次加6分</w:t>
            </w: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总　计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9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  <w:lang w:bidi="ar"/>
              </w:rPr>
              <w:t>评审小组成员签名：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DkxYzUxOGQ1OTBhYWNiZTA5ZmViMjgyYWRkZDYifQ=="/>
  </w:docVars>
  <w:rsids>
    <w:rsidRoot w:val="46A7067F"/>
    <w:rsid w:val="46A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spacing w:line="357" w:lineRule="atLeast"/>
      <w:ind w:firstLine="420" w:firstLineChars="20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3">
    <w:name w:val="caption"/>
    <w:next w:val="1"/>
    <w:qFormat/>
    <w:uiPriority w:val="0"/>
    <w:pPr>
      <w:spacing w:line="357" w:lineRule="atLeast"/>
      <w:jc w:val="both"/>
    </w:pPr>
    <w:rPr>
      <w:rFonts w:ascii="Cambria" w:hAnsi="Cambria" w:eastAsia="黑体" w:cs="Times New Roman"/>
      <w:color w:val="000000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2023-08-16T00:36:00Z</dcterms:created>
  <dc:creator>程振宇</dc:creator>
  <cp:lastModifiedBy>程振宇</cp:lastModifiedBy>
  <dcterms:modified xsi:type="dcterms:W3CDTF">2023-08-16T00:37:46Z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F76FA731A07C4EA0974DF559459191A8_11</vt:lpwstr>
  </property>
</Properties>
</file>