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2C" w:rsidRDefault="00F4752C" w:rsidP="00AC4687">
      <w:pPr>
        <w:ind w:firstLineChars="1400" w:firstLine="4480"/>
        <w:rPr>
          <w:rFonts w:ascii="仿宋" w:eastAsia="仿宋" w:hAnsi="仿宋"/>
          <w:sz w:val="32"/>
          <w:szCs w:val="32"/>
        </w:rPr>
      </w:pPr>
    </w:p>
    <w:p w:rsidR="00F4752C" w:rsidRDefault="00F4752C" w:rsidP="00AC4687">
      <w:pPr>
        <w:ind w:firstLineChars="1400" w:firstLine="4480"/>
        <w:rPr>
          <w:rFonts w:ascii="仿宋" w:eastAsia="仿宋" w:hAnsi="仿宋"/>
          <w:sz w:val="32"/>
          <w:szCs w:val="32"/>
        </w:rPr>
      </w:pPr>
    </w:p>
    <w:p w:rsidR="00F4752C" w:rsidRDefault="00F4752C" w:rsidP="00AC4687">
      <w:pPr>
        <w:ind w:firstLineChars="1400" w:firstLine="4480"/>
        <w:rPr>
          <w:rFonts w:ascii="仿宋" w:eastAsia="仿宋" w:hAnsi="仿宋"/>
          <w:sz w:val="32"/>
          <w:szCs w:val="32"/>
        </w:rPr>
      </w:pPr>
    </w:p>
    <w:p w:rsidR="00F4752C" w:rsidRPr="000D3D8D" w:rsidRDefault="00F4752C" w:rsidP="00AC4687">
      <w:pPr>
        <w:ind w:firstLineChars="1500" w:firstLine="4800"/>
        <w:rPr>
          <w:rFonts w:ascii="仿宋_GB2312" w:eastAsia="仿宋_GB2312" w:hAnsi="仿宋_GB2312" w:cs="仿宋_GB2312"/>
          <w:b/>
          <w:sz w:val="32"/>
          <w:szCs w:val="32"/>
        </w:rPr>
      </w:pPr>
      <w:r w:rsidRPr="000D3D8D">
        <w:rPr>
          <w:rFonts w:ascii="仿宋_GB2312" w:eastAsia="仿宋_GB2312" w:hAnsi="仿宋" w:hint="eastAsia"/>
          <w:sz w:val="32"/>
          <w:szCs w:val="32"/>
        </w:rPr>
        <w:t>湘阴环评批〔</w:t>
      </w:r>
      <w:r w:rsidRPr="000D3D8D">
        <w:rPr>
          <w:rFonts w:ascii="仿宋_GB2312" w:eastAsia="仿宋_GB2312" w:hAnsi="仿宋"/>
          <w:sz w:val="32"/>
          <w:szCs w:val="32"/>
        </w:rPr>
        <w:t>2018</w:t>
      </w:r>
      <w:r w:rsidRPr="000D3D8D">
        <w:rPr>
          <w:rFonts w:ascii="仿宋_GB2312" w:eastAsia="仿宋_GB2312" w:hAnsi="仿宋" w:hint="eastAsia"/>
          <w:sz w:val="32"/>
          <w:szCs w:val="32"/>
        </w:rPr>
        <w:t>〕</w:t>
      </w:r>
      <w:r w:rsidRPr="000D3D8D">
        <w:rPr>
          <w:rFonts w:ascii="仿宋_GB2312" w:eastAsia="仿宋_GB2312" w:hAnsi="仿宋"/>
          <w:sz w:val="32"/>
          <w:szCs w:val="32"/>
        </w:rPr>
        <w:t>10</w:t>
      </w:r>
      <w:r w:rsidRPr="000D3D8D">
        <w:rPr>
          <w:rFonts w:ascii="仿宋_GB2312" w:eastAsia="仿宋_GB2312" w:hAnsi="仿宋" w:hint="eastAsia"/>
          <w:sz w:val="32"/>
          <w:szCs w:val="32"/>
        </w:rPr>
        <w:t>号</w:t>
      </w:r>
    </w:p>
    <w:p w:rsidR="00F4752C" w:rsidRPr="00AC4687" w:rsidRDefault="00F4752C" w:rsidP="00AC4687">
      <w:pPr>
        <w:spacing w:line="600" w:lineRule="exact"/>
        <w:ind w:firstLineChars="100" w:firstLine="440"/>
        <w:jc w:val="center"/>
        <w:rPr>
          <w:rFonts w:ascii="方正小标宋简体" w:eastAsia="方正小标宋简体" w:hAnsi="宋体" w:hint="eastAsia"/>
          <w:sz w:val="44"/>
          <w:szCs w:val="44"/>
        </w:rPr>
      </w:pPr>
      <w:r w:rsidRPr="00AC4687">
        <w:rPr>
          <w:rFonts w:ascii="方正小标宋简体" w:eastAsia="方正小标宋简体" w:hAnsi="宋体" w:cs="仿宋_GB2312" w:hint="eastAsia"/>
          <w:sz w:val="44"/>
          <w:szCs w:val="44"/>
        </w:rPr>
        <w:t>关于</w:t>
      </w:r>
      <w:r w:rsidRPr="00AC4687">
        <w:rPr>
          <w:rFonts w:ascii="方正小标宋简体" w:eastAsia="方正小标宋简体" w:hAnsi="宋体" w:hint="eastAsia"/>
          <w:sz w:val="44"/>
          <w:szCs w:val="44"/>
        </w:rPr>
        <w:t>湘阴县金龙新区开发建设投资有限责任公司安康路道路工程建设项目</w:t>
      </w:r>
    </w:p>
    <w:p w:rsidR="00F4752C" w:rsidRPr="00AC4687" w:rsidRDefault="00F4752C" w:rsidP="00AC4687">
      <w:pPr>
        <w:spacing w:line="600" w:lineRule="exact"/>
        <w:ind w:firstLineChars="100" w:firstLine="440"/>
        <w:jc w:val="center"/>
        <w:rPr>
          <w:rFonts w:ascii="方正小标宋简体" w:eastAsia="方正小标宋简体" w:hAnsi="宋体" w:hint="eastAsia"/>
          <w:sz w:val="44"/>
          <w:szCs w:val="44"/>
        </w:rPr>
      </w:pPr>
      <w:r w:rsidRPr="00AC4687">
        <w:rPr>
          <w:rFonts w:ascii="方正小标宋简体" w:eastAsia="方正小标宋简体" w:hAnsi="宋体" w:hint="eastAsia"/>
          <w:sz w:val="44"/>
          <w:szCs w:val="44"/>
        </w:rPr>
        <w:t>环境影响报告表的批复</w:t>
      </w:r>
    </w:p>
    <w:p w:rsidR="00F4752C" w:rsidRDefault="00F4752C" w:rsidP="000D3D8D">
      <w:pPr>
        <w:spacing w:line="600" w:lineRule="exact"/>
        <w:jc w:val="center"/>
        <w:rPr>
          <w:rFonts w:ascii="仿宋_GB2312" w:eastAsia="仿宋_GB2312" w:hAnsi="Times New Roman"/>
          <w:sz w:val="32"/>
          <w:szCs w:val="32"/>
        </w:rPr>
      </w:pPr>
    </w:p>
    <w:p w:rsidR="00F4752C" w:rsidRDefault="00F4752C" w:rsidP="000D3D8D">
      <w:pPr>
        <w:spacing w:line="600" w:lineRule="exact"/>
        <w:rPr>
          <w:rFonts w:ascii="仿宋_GB2312" w:eastAsia="仿宋_GB2312" w:hAnsi="仿宋_GB2312" w:cs="仿宋_GB2312"/>
          <w:sz w:val="32"/>
          <w:szCs w:val="32"/>
        </w:rPr>
      </w:pPr>
      <w:r>
        <w:rPr>
          <w:rFonts w:ascii="仿宋_GB2312" w:eastAsia="仿宋_GB2312" w:hAnsi="Times New Roman" w:hint="eastAsia"/>
          <w:sz w:val="32"/>
          <w:szCs w:val="32"/>
        </w:rPr>
        <w:t>湘阴县金龙新区开发建设投资有限责任公司：</w:t>
      </w:r>
    </w:p>
    <w:p w:rsidR="00F4752C" w:rsidRDefault="00F4752C" w:rsidP="00AC4687">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你公司《关于申请“湘阴县金龙新区开发建设投资有限责任公司</w:t>
      </w:r>
      <w:r>
        <w:rPr>
          <w:rFonts w:ascii="仿宋_GB2312" w:eastAsia="仿宋_GB2312" w:hint="eastAsia"/>
          <w:sz w:val="32"/>
          <w:szCs w:val="32"/>
        </w:rPr>
        <w:t>安康路道路工程建设项目环境影响报告表</w:t>
      </w:r>
      <w:r>
        <w:rPr>
          <w:rFonts w:ascii="仿宋_GB2312" w:eastAsia="仿宋_GB2312" w:hAnsi="Times New Roman" w:hint="eastAsia"/>
          <w:sz w:val="32"/>
          <w:szCs w:val="32"/>
        </w:rPr>
        <w:t>”批复的报告》及有关附件已收悉。经研究，批复如下：</w:t>
      </w:r>
    </w:p>
    <w:p w:rsidR="00F4752C" w:rsidRDefault="00F4752C" w:rsidP="00AC4687">
      <w:pPr>
        <w:spacing w:line="600" w:lineRule="exact"/>
        <w:ind w:firstLineChars="200" w:firstLine="640"/>
        <w:rPr>
          <w:rFonts w:ascii="仿宋_GB2312" w:eastAsia="仿宋_GB2312"/>
          <w:sz w:val="32"/>
          <w:szCs w:val="32"/>
        </w:rPr>
      </w:pPr>
      <w:r>
        <w:rPr>
          <w:rFonts w:ascii="仿宋_GB2312" w:eastAsia="仿宋_GB2312" w:hAnsi="Times New Roman" w:hint="eastAsia"/>
          <w:sz w:val="32"/>
          <w:szCs w:val="32"/>
        </w:rPr>
        <w:t>一、湘阴县金龙新区开发建设投资有限责任公司拟投资</w:t>
      </w:r>
      <w:r>
        <w:rPr>
          <w:rFonts w:ascii="仿宋_GB2312" w:eastAsia="仿宋_GB2312" w:hAnsi="Times New Roman"/>
          <w:sz w:val="32"/>
          <w:szCs w:val="32"/>
        </w:rPr>
        <w:t>5546.22</w:t>
      </w:r>
      <w:r>
        <w:rPr>
          <w:rFonts w:ascii="仿宋_GB2312" w:eastAsia="仿宋_GB2312" w:hAnsi="Times New Roman" w:hint="eastAsia"/>
          <w:sz w:val="32"/>
          <w:szCs w:val="32"/>
        </w:rPr>
        <w:t>万元在湘阴县金龙新区内建设的安康路道路工程建设项目，</w:t>
      </w:r>
      <w:r>
        <w:rPr>
          <w:rFonts w:ascii="仿宋_GB2312" w:eastAsia="仿宋_GB2312" w:hint="eastAsia"/>
          <w:sz w:val="32"/>
          <w:szCs w:val="32"/>
        </w:rPr>
        <w:t>北起金龙大道，南止燎原路，全长</w:t>
      </w:r>
      <w:r>
        <w:rPr>
          <w:rFonts w:ascii="仿宋_GB2312" w:eastAsia="仿宋_GB2312"/>
          <w:sz w:val="32"/>
          <w:szCs w:val="32"/>
        </w:rPr>
        <w:t>1.215km</w:t>
      </w:r>
      <w:r>
        <w:rPr>
          <w:rFonts w:ascii="仿宋_GB2312" w:eastAsia="仿宋_GB2312" w:hint="eastAsia"/>
          <w:sz w:val="32"/>
          <w:szCs w:val="32"/>
        </w:rPr>
        <w:t>，道路用地约</w:t>
      </w:r>
      <w:r>
        <w:rPr>
          <w:rFonts w:ascii="仿宋_GB2312" w:eastAsia="仿宋_GB2312"/>
          <w:sz w:val="32"/>
          <w:szCs w:val="32"/>
        </w:rPr>
        <w:t>75.77</w:t>
      </w:r>
      <w:r>
        <w:rPr>
          <w:rFonts w:ascii="仿宋_GB2312" w:eastAsia="仿宋_GB2312" w:hint="eastAsia"/>
          <w:sz w:val="32"/>
          <w:szCs w:val="32"/>
        </w:rPr>
        <w:t>亩。该项目主要建设内容包括：土石方工程、路基工程、路面工程、雨污水工程、综合管线工程、交通工程、亮化工程等，道路为园区主干路，道路级别二级，设计宽度</w:t>
      </w:r>
      <w:r>
        <w:rPr>
          <w:rFonts w:ascii="仿宋_GB2312" w:eastAsia="仿宋_GB2312"/>
          <w:sz w:val="32"/>
          <w:szCs w:val="32"/>
        </w:rPr>
        <w:t>40m</w:t>
      </w:r>
      <w:r>
        <w:rPr>
          <w:rFonts w:ascii="仿宋_GB2312" w:eastAsia="仿宋_GB2312" w:hint="eastAsia"/>
          <w:sz w:val="32"/>
          <w:szCs w:val="32"/>
        </w:rPr>
        <w:t>，左右车道宽各</w:t>
      </w:r>
      <w:r>
        <w:rPr>
          <w:rFonts w:ascii="仿宋_GB2312" w:eastAsia="仿宋_GB2312"/>
          <w:sz w:val="32"/>
          <w:szCs w:val="32"/>
        </w:rPr>
        <w:t>8m</w:t>
      </w:r>
      <w:r>
        <w:rPr>
          <w:rFonts w:ascii="仿宋_GB2312" w:eastAsia="仿宋_GB2312" w:hint="eastAsia"/>
          <w:sz w:val="32"/>
          <w:szCs w:val="32"/>
        </w:rPr>
        <w:t>，设计速度</w:t>
      </w:r>
      <w:r>
        <w:rPr>
          <w:rFonts w:ascii="仿宋_GB2312" w:eastAsia="仿宋_GB2312"/>
          <w:sz w:val="32"/>
          <w:szCs w:val="32"/>
        </w:rPr>
        <w:t>50km/h,</w:t>
      </w:r>
      <w:bookmarkStart w:id="0" w:name="_GoBack"/>
      <w:bookmarkEnd w:id="0"/>
      <w:r>
        <w:rPr>
          <w:rFonts w:ascii="仿宋_GB2312" w:eastAsia="仿宋_GB2312" w:hint="eastAsia"/>
          <w:sz w:val="32"/>
          <w:szCs w:val="32"/>
        </w:rPr>
        <w:t>设计年限</w:t>
      </w:r>
      <w:r>
        <w:rPr>
          <w:rFonts w:ascii="仿宋_GB2312" w:eastAsia="仿宋_GB2312"/>
          <w:sz w:val="32"/>
          <w:szCs w:val="32"/>
        </w:rPr>
        <w:t>15</w:t>
      </w:r>
      <w:r>
        <w:rPr>
          <w:rFonts w:ascii="仿宋_GB2312" w:eastAsia="仿宋_GB2312" w:hint="eastAsia"/>
          <w:sz w:val="32"/>
          <w:szCs w:val="32"/>
        </w:rPr>
        <w:t>年。道路分幅情况为：</w:t>
      </w:r>
      <w:r>
        <w:rPr>
          <w:rFonts w:ascii="仿宋_GB2312" w:eastAsia="仿宋_GB2312"/>
          <w:sz w:val="32"/>
          <w:szCs w:val="32"/>
        </w:rPr>
        <w:t>3m</w:t>
      </w:r>
      <w:r>
        <w:rPr>
          <w:rFonts w:ascii="仿宋_GB2312" w:eastAsia="仿宋_GB2312" w:hint="eastAsia"/>
          <w:sz w:val="32"/>
          <w:szCs w:val="32"/>
        </w:rPr>
        <w:t>（绿化带）</w:t>
      </w:r>
      <w:r>
        <w:rPr>
          <w:rFonts w:ascii="仿宋_GB2312" w:eastAsia="仿宋_GB2312"/>
          <w:sz w:val="32"/>
          <w:szCs w:val="32"/>
        </w:rPr>
        <w:t>+5m</w:t>
      </w:r>
      <w:r>
        <w:rPr>
          <w:rFonts w:ascii="仿宋_GB2312" w:eastAsia="仿宋_GB2312" w:hint="eastAsia"/>
          <w:sz w:val="32"/>
          <w:szCs w:val="32"/>
        </w:rPr>
        <w:t>（人行道</w:t>
      </w:r>
      <w:r>
        <w:rPr>
          <w:rFonts w:ascii="仿宋_GB2312" w:eastAsia="仿宋_GB2312"/>
          <w:sz w:val="32"/>
          <w:szCs w:val="32"/>
        </w:rPr>
        <w:t>)+4m</w:t>
      </w:r>
      <w:r>
        <w:rPr>
          <w:rFonts w:ascii="仿宋_GB2312" w:eastAsia="仿宋_GB2312" w:hint="eastAsia"/>
          <w:sz w:val="32"/>
          <w:szCs w:val="32"/>
        </w:rPr>
        <w:t>（绿化带）</w:t>
      </w:r>
      <w:r>
        <w:rPr>
          <w:rFonts w:ascii="仿宋_GB2312" w:eastAsia="仿宋_GB2312"/>
          <w:sz w:val="32"/>
          <w:szCs w:val="32"/>
        </w:rPr>
        <w:t>+16m</w:t>
      </w:r>
      <w:r>
        <w:rPr>
          <w:rFonts w:ascii="仿宋_GB2312" w:eastAsia="仿宋_GB2312" w:hint="eastAsia"/>
          <w:sz w:val="32"/>
          <w:szCs w:val="32"/>
        </w:rPr>
        <w:t>（行车道）</w:t>
      </w:r>
      <w:r>
        <w:rPr>
          <w:rFonts w:ascii="仿宋_GB2312" w:eastAsia="仿宋_GB2312"/>
          <w:sz w:val="32"/>
          <w:szCs w:val="32"/>
        </w:rPr>
        <w:t>+4m</w:t>
      </w:r>
      <w:r>
        <w:rPr>
          <w:rFonts w:ascii="仿宋_GB2312" w:eastAsia="仿宋_GB2312" w:hint="eastAsia"/>
          <w:sz w:val="32"/>
          <w:szCs w:val="32"/>
        </w:rPr>
        <w:t>（绿化带）</w:t>
      </w:r>
      <w:r>
        <w:rPr>
          <w:rFonts w:ascii="仿宋_GB2312" w:eastAsia="仿宋_GB2312"/>
          <w:sz w:val="32"/>
          <w:szCs w:val="32"/>
        </w:rPr>
        <w:t>+5m</w:t>
      </w:r>
      <w:r>
        <w:rPr>
          <w:rFonts w:ascii="仿宋_GB2312" w:eastAsia="仿宋_GB2312" w:hint="eastAsia"/>
          <w:sz w:val="32"/>
          <w:szCs w:val="32"/>
        </w:rPr>
        <w:t>（人行道）</w:t>
      </w:r>
      <w:r>
        <w:rPr>
          <w:rFonts w:ascii="仿宋_GB2312" w:eastAsia="仿宋_GB2312"/>
          <w:sz w:val="32"/>
          <w:szCs w:val="32"/>
        </w:rPr>
        <w:t>+3m(</w:t>
      </w:r>
      <w:r>
        <w:rPr>
          <w:rFonts w:ascii="仿宋_GB2312" w:eastAsia="仿宋_GB2312" w:hint="eastAsia"/>
          <w:sz w:val="32"/>
          <w:szCs w:val="32"/>
        </w:rPr>
        <w:t>绿化带），行车道路面为沥青混凝土路面，人行道采用水泥砖铺。</w:t>
      </w:r>
    </w:p>
    <w:p w:rsidR="00F4752C" w:rsidRDefault="00F4752C" w:rsidP="00AC4687">
      <w:pPr>
        <w:spacing w:line="600" w:lineRule="exact"/>
        <w:ind w:firstLineChars="200" w:firstLine="640"/>
        <w:rPr>
          <w:rFonts w:ascii="仿宋_GB2312" w:eastAsia="仿宋_GB2312"/>
          <w:sz w:val="32"/>
          <w:szCs w:val="32"/>
        </w:rPr>
      </w:pPr>
      <w:r w:rsidRPr="000D3D8D">
        <w:rPr>
          <w:rFonts w:ascii="仿宋_GB2312" w:eastAsia="仿宋_GB2312" w:hAnsi="Times New Roman" w:hint="eastAsia"/>
          <w:sz w:val="32"/>
          <w:szCs w:val="32"/>
        </w:rPr>
        <w:lastRenderedPageBreak/>
        <w:t>该项目符合国家产业政策，符合金龙新区总体规划。根</w:t>
      </w:r>
      <w:r>
        <w:rPr>
          <w:rFonts w:ascii="仿宋_GB2312" w:eastAsia="仿宋_GB2312" w:hint="eastAsia"/>
          <w:sz w:val="32"/>
          <w:szCs w:val="32"/>
        </w:rPr>
        <w:t>据湖南道和环保科技有限公司</w:t>
      </w:r>
      <w:r w:rsidRPr="00D14E05">
        <w:rPr>
          <w:rFonts w:ascii="仿宋_GB2312" w:eastAsia="仿宋_GB2312" w:hint="eastAsia"/>
          <w:sz w:val="32"/>
          <w:szCs w:val="32"/>
        </w:rPr>
        <w:t>编制的该项目环境影响报告表评价结论及专家评审意见，从环境保护角度出发</w:t>
      </w:r>
      <w:r>
        <w:rPr>
          <w:rFonts w:ascii="仿宋_GB2312" w:eastAsia="仿宋_GB2312" w:hint="eastAsia"/>
          <w:sz w:val="32"/>
          <w:szCs w:val="32"/>
        </w:rPr>
        <w:t>，同意该项目按照报告表中所列的建设地点、内容、环境保护对策措施要求进行建设。</w:t>
      </w:r>
    </w:p>
    <w:p w:rsidR="00F4752C" w:rsidRDefault="00F4752C" w:rsidP="00AC4687">
      <w:pPr>
        <w:spacing w:line="600" w:lineRule="exact"/>
        <w:ind w:firstLineChars="200" w:firstLine="640"/>
        <w:rPr>
          <w:rFonts w:ascii="仿宋_GB2312" w:eastAsia="仿宋_GB2312"/>
          <w:sz w:val="32"/>
          <w:szCs w:val="32"/>
        </w:rPr>
      </w:pPr>
      <w:r>
        <w:rPr>
          <w:rFonts w:ascii="仿宋_GB2312" w:eastAsia="仿宋_GB2312" w:hint="eastAsia"/>
          <w:sz w:val="32"/>
          <w:szCs w:val="32"/>
        </w:rPr>
        <w:t>二、项目在设计、施工及营运过程中须严格执行环保</w:t>
      </w:r>
      <w:r>
        <w:rPr>
          <w:rFonts w:ascii="仿宋_GB2312" w:eastAsia="仿宋_GB2312"/>
          <w:sz w:val="32"/>
          <w:szCs w:val="32"/>
        </w:rPr>
        <w:t xml:space="preserve"> </w:t>
      </w:r>
      <w:r>
        <w:rPr>
          <w:rFonts w:ascii="仿宋_GB2312" w:eastAsia="仿宋_GB2312" w:hint="eastAsia"/>
          <w:sz w:val="32"/>
          <w:szCs w:val="32"/>
        </w:rPr>
        <w:t>“三同时”制度，认真落实环评报告表、专家意见及批复意见中提出的各项污染防治、生态</w:t>
      </w:r>
      <w:r w:rsidRPr="00B25BE9">
        <w:rPr>
          <w:rFonts w:ascii="仿宋_GB2312" w:eastAsia="仿宋_GB2312" w:hint="eastAsia"/>
          <w:sz w:val="32"/>
          <w:szCs w:val="32"/>
        </w:rPr>
        <w:t>保护</w:t>
      </w:r>
      <w:r>
        <w:rPr>
          <w:rFonts w:ascii="仿宋_GB2312" w:eastAsia="仿宋_GB2312" w:hint="eastAsia"/>
          <w:sz w:val="32"/>
          <w:szCs w:val="32"/>
        </w:rPr>
        <w:t>措施，同时建设单位应重点做好以下环境保护工作：</w:t>
      </w:r>
    </w:p>
    <w:p w:rsidR="00F4752C" w:rsidRDefault="00F4752C" w:rsidP="00AC4687">
      <w:pPr>
        <w:spacing w:line="600" w:lineRule="exact"/>
        <w:ind w:firstLineChars="250" w:firstLine="80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优化施工组织方案，合理布置施工现场，严格划定作业范围，施工场地应尽量布置在远离环境敏感点一侧，并设置挡板、围栅、护栏、指示标牌、洒水装置，确保施工场地整洁、安全。</w:t>
      </w:r>
      <w:r w:rsidRPr="00B25BE9">
        <w:rPr>
          <w:rFonts w:ascii="仿宋_GB2312" w:eastAsia="仿宋_GB2312" w:hint="eastAsia"/>
          <w:sz w:val="32"/>
          <w:szCs w:val="32"/>
        </w:rPr>
        <w:t>路面铺设须使用商品沥青混凝土，严禁工程自行烧制搅拌沥青，</w:t>
      </w:r>
      <w:r>
        <w:rPr>
          <w:rFonts w:ascii="仿宋_GB2312" w:eastAsia="仿宋_GB2312" w:hint="eastAsia"/>
          <w:sz w:val="32"/>
          <w:szCs w:val="32"/>
        </w:rPr>
        <w:t>施工结束后，及时做好现场清理和恢复工作。</w:t>
      </w:r>
    </w:p>
    <w:p w:rsidR="00F4752C" w:rsidRDefault="00F4752C" w:rsidP="00AC4687">
      <w:pPr>
        <w:spacing w:line="600" w:lineRule="exact"/>
        <w:ind w:firstLineChars="250" w:firstLine="80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完善道路两侧污水和雨水管网系统，并分别与金龙新区污水和雨水管网相衔接，实现雨污分流，路基两侧设置挡土墙、护坡、排水沟，防止水土流失。</w:t>
      </w:r>
    </w:p>
    <w:p w:rsidR="00F4752C" w:rsidRDefault="00F4752C" w:rsidP="00AC4687">
      <w:pPr>
        <w:spacing w:line="600" w:lineRule="exact"/>
        <w:ind w:firstLineChars="250" w:firstLine="80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加强施工现场环境管理，明确有关环保责任。严格遵照国家《</w:t>
      </w:r>
      <w:r w:rsidRPr="000D22A2">
        <w:rPr>
          <w:rFonts w:ascii="仿宋_GB2312" w:eastAsia="仿宋_GB2312" w:hint="eastAsia"/>
          <w:sz w:val="32"/>
          <w:szCs w:val="32"/>
        </w:rPr>
        <w:t>防治城市扬尘污染技术规范</w:t>
      </w:r>
      <w:r>
        <w:rPr>
          <w:rFonts w:ascii="仿宋_GB2312" w:eastAsia="仿宋_GB2312" w:hint="eastAsia"/>
          <w:sz w:val="32"/>
          <w:szCs w:val="32"/>
        </w:rPr>
        <w:t>》要求，制定扬尘控制方案，在进行土石方施工时，应进行洒水防尘，对出入的渣土和物料运输车辆定点清洗，运输实施蓬覆式遮盖处理，防止物料散落和扬尘产生污染。</w:t>
      </w:r>
    </w:p>
    <w:p w:rsidR="00F4752C" w:rsidRPr="00B25BE9" w:rsidRDefault="00F4752C" w:rsidP="00AC4687">
      <w:pPr>
        <w:spacing w:line="600" w:lineRule="exact"/>
        <w:ind w:firstLineChars="250" w:firstLine="800"/>
        <w:rPr>
          <w:rFonts w:ascii="仿宋_GB2312" w:eastAsia="仿宋_GB2312"/>
          <w:sz w:val="32"/>
          <w:szCs w:val="32"/>
        </w:rPr>
      </w:pPr>
      <w:r>
        <w:rPr>
          <w:rFonts w:ascii="仿宋_GB2312" w:eastAsia="仿宋_GB2312"/>
          <w:sz w:val="32"/>
          <w:szCs w:val="32"/>
        </w:rPr>
        <w:lastRenderedPageBreak/>
        <w:t>4.</w:t>
      </w:r>
      <w:r>
        <w:rPr>
          <w:rFonts w:ascii="仿宋_GB2312" w:eastAsia="仿宋_GB2312" w:hint="eastAsia"/>
          <w:sz w:val="32"/>
          <w:szCs w:val="32"/>
        </w:rPr>
        <w:t>妥善处理施工废水，废水须经临时沉淀池处理后</w:t>
      </w:r>
      <w:r w:rsidRPr="00B25BE9">
        <w:rPr>
          <w:rFonts w:ascii="仿宋_GB2312" w:eastAsia="仿宋_GB2312" w:hint="eastAsia"/>
          <w:sz w:val="32"/>
          <w:szCs w:val="32"/>
        </w:rPr>
        <w:t>回用于施工场地洒水降尘。</w:t>
      </w:r>
    </w:p>
    <w:p w:rsidR="00F4752C" w:rsidRDefault="00F4752C" w:rsidP="00AC4687">
      <w:pPr>
        <w:spacing w:line="600" w:lineRule="exact"/>
        <w:ind w:firstLineChars="250" w:firstLine="80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落实噪声污染控制措施，严禁在</w:t>
      </w:r>
      <w:r w:rsidRPr="00B25BE9">
        <w:rPr>
          <w:rFonts w:ascii="仿宋_GB2312" w:eastAsia="仿宋_GB2312"/>
          <w:sz w:val="32"/>
          <w:szCs w:val="32"/>
        </w:rPr>
        <w:t>22</w:t>
      </w:r>
      <w:r w:rsidRPr="00B25BE9">
        <w:rPr>
          <w:rFonts w:ascii="仿宋_GB2312" w:eastAsia="仿宋_GB2312" w:hint="eastAsia"/>
          <w:sz w:val="32"/>
          <w:szCs w:val="32"/>
        </w:rPr>
        <w:t>时至次日</w:t>
      </w:r>
      <w:r w:rsidRPr="00B25BE9">
        <w:rPr>
          <w:rFonts w:ascii="仿宋_GB2312" w:eastAsia="仿宋_GB2312"/>
          <w:sz w:val="32"/>
          <w:szCs w:val="32"/>
        </w:rPr>
        <w:t>6</w:t>
      </w:r>
      <w:r w:rsidRPr="00B25BE9">
        <w:rPr>
          <w:rFonts w:ascii="仿宋_GB2312" w:eastAsia="仿宋_GB2312" w:hint="eastAsia"/>
          <w:sz w:val="32"/>
          <w:szCs w:val="32"/>
        </w:rPr>
        <w:t>时</w:t>
      </w:r>
      <w:r>
        <w:rPr>
          <w:rFonts w:ascii="仿宋_GB2312" w:eastAsia="仿宋_GB2312" w:hint="eastAsia"/>
          <w:sz w:val="32"/>
          <w:szCs w:val="32"/>
        </w:rPr>
        <w:t>进行产生噪声污染的施工作业，避免工程施工期噪声影响周边环境。</w:t>
      </w:r>
    </w:p>
    <w:p w:rsidR="00F4752C" w:rsidRDefault="00F4752C" w:rsidP="00AC4687">
      <w:pPr>
        <w:spacing w:line="600" w:lineRule="exact"/>
        <w:ind w:firstLineChars="250" w:firstLine="80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对施工弃渣、生活垃圾进行分类暂存，合理处置，搞好道路两侧绿化和亮化工作，确保道路卫生、整洁、畅通。</w:t>
      </w:r>
    </w:p>
    <w:p w:rsidR="00F4752C" w:rsidRDefault="00F4752C" w:rsidP="00AC4687">
      <w:pPr>
        <w:spacing w:line="600" w:lineRule="exact"/>
        <w:ind w:firstLineChars="250" w:firstLine="800"/>
        <w:rPr>
          <w:rFonts w:ascii="仿宋_GB2312" w:eastAsia="仿宋_GB2312"/>
          <w:sz w:val="32"/>
          <w:szCs w:val="32"/>
        </w:rPr>
      </w:pPr>
      <w:r>
        <w:rPr>
          <w:rFonts w:ascii="仿宋_GB2312" w:eastAsia="仿宋_GB2312" w:hint="eastAsia"/>
          <w:sz w:val="32"/>
          <w:szCs w:val="32"/>
        </w:rPr>
        <w:t>三、你公司应收到本批复后</w:t>
      </w:r>
      <w:r>
        <w:rPr>
          <w:rFonts w:ascii="仿宋_GB2312" w:eastAsia="仿宋_GB2312"/>
          <w:sz w:val="32"/>
          <w:szCs w:val="32"/>
        </w:rPr>
        <w:t>15</w:t>
      </w:r>
      <w:r>
        <w:rPr>
          <w:rFonts w:ascii="仿宋_GB2312" w:eastAsia="仿宋_GB2312" w:hint="eastAsia"/>
          <w:sz w:val="32"/>
          <w:szCs w:val="32"/>
        </w:rPr>
        <w:t>个工作日内，将批复及批准的环评报告文本送至湘阴县金龙新区管委会、湘阴县城南环境监察中队、湖南道和环保科技有限公司。</w:t>
      </w:r>
    </w:p>
    <w:p w:rsidR="00F4752C" w:rsidRDefault="00F4752C" w:rsidP="00AC4687">
      <w:pPr>
        <w:spacing w:line="600" w:lineRule="exact"/>
        <w:ind w:firstLineChars="250" w:firstLine="800"/>
        <w:rPr>
          <w:rFonts w:ascii="仿宋_GB2312" w:eastAsia="仿宋_GB2312"/>
          <w:sz w:val="32"/>
          <w:szCs w:val="32"/>
        </w:rPr>
      </w:pPr>
      <w:r>
        <w:rPr>
          <w:rFonts w:ascii="仿宋_GB2312" w:eastAsia="仿宋_GB2312" w:hint="eastAsia"/>
          <w:sz w:val="32"/>
          <w:szCs w:val="32"/>
        </w:rPr>
        <w:t>四、由湘阴县城南环境监察中队负责该项目环境监管。</w:t>
      </w:r>
    </w:p>
    <w:p w:rsidR="00F4752C" w:rsidRDefault="00F4752C" w:rsidP="000D3D8D">
      <w:pPr>
        <w:spacing w:line="600" w:lineRule="exact"/>
        <w:rPr>
          <w:rFonts w:ascii="仿宋_GB2312" w:eastAsia="仿宋_GB2312"/>
          <w:sz w:val="32"/>
          <w:szCs w:val="32"/>
        </w:rPr>
      </w:pPr>
    </w:p>
    <w:p w:rsidR="00F4752C" w:rsidRDefault="00F4752C" w:rsidP="00AC4687">
      <w:pPr>
        <w:spacing w:line="600" w:lineRule="exact"/>
        <w:ind w:firstLineChars="1400" w:firstLine="4480"/>
        <w:jc w:val="right"/>
        <w:rPr>
          <w:rFonts w:ascii="仿宋_GB2312" w:eastAsia="仿宋_GB2312"/>
          <w:sz w:val="32"/>
          <w:szCs w:val="32"/>
        </w:rPr>
      </w:pPr>
      <w:r>
        <w:rPr>
          <w:rFonts w:ascii="仿宋_GB2312" w:eastAsia="仿宋_GB2312" w:hint="eastAsia"/>
          <w:sz w:val="32"/>
          <w:szCs w:val="32"/>
        </w:rPr>
        <w:t>湘阴县环境保护局</w:t>
      </w:r>
    </w:p>
    <w:p w:rsidR="00F4752C" w:rsidRDefault="00F4752C" w:rsidP="00AC4687">
      <w:pPr>
        <w:spacing w:line="600" w:lineRule="exact"/>
        <w:ind w:firstLineChars="850" w:firstLine="2720"/>
        <w:jc w:val="right"/>
        <w:rPr>
          <w:rFonts w:ascii="仿宋_GB2312" w:eastAsia="仿宋_GB2312"/>
          <w:sz w:val="32"/>
          <w:szCs w:val="32"/>
        </w:rPr>
      </w:pPr>
      <w:r>
        <w:rPr>
          <w:rFonts w:ascii="仿宋_GB2312" w:eastAsia="仿宋_GB2312"/>
          <w:sz w:val="32"/>
          <w:szCs w:val="32"/>
        </w:rPr>
        <w:t xml:space="preserve">            </w:t>
      </w:r>
      <w:smartTag w:uri="urn:schemas-microsoft-com:office:smarttags" w:element="chsdate">
        <w:smartTagPr>
          <w:attr w:name="Year" w:val="2018"/>
          <w:attr w:name="Month" w:val="3"/>
          <w:attr w:name="Day" w:val="15"/>
          <w:attr w:name="IsLunarDate" w:val="False"/>
          <w:attr w:name="IsROCDate" w:val="False"/>
        </w:smartTagPr>
        <w:r>
          <w:rPr>
            <w:rFonts w:ascii="仿宋_GB2312" w:eastAsia="仿宋_GB2312"/>
            <w:sz w:val="32"/>
            <w:szCs w:val="32"/>
          </w:rPr>
          <w:t>2018</w:t>
        </w:r>
        <w:r>
          <w:rPr>
            <w:rFonts w:ascii="仿宋_GB2312" w:eastAsia="仿宋_GB2312" w:hint="eastAsia"/>
            <w:sz w:val="32"/>
            <w:szCs w:val="32"/>
          </w:rPr>
          <w:t>年</w:t>
        </w:r>
        <w:r>
          <w:rPr>
            <w:rFonts w:ascii="仿宋_GB2312" w:eastAsia="仿宋_GB2312"/>
            <w:sz w:val="32"/>
            <w:szCs w:val="32"/>
          </w:rPr>
          <w:t>3</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w:t>
        </w:r>
      </w:smartTag>
    </w:p>
    <w:p w:rsidR="00F4752C" w:rsidRDefault="00F4752C" w:rsidP="00AC4687">
      <w:pPr>
        <w:spacing w:line="600" w:lineRule="exact"/>
        <w:ind w:firstLineChars="200" w:firstLine="640"/>
        <w:rPr>
          <w:rFonts w:ascii="仿宋_GB2312" w:eastAsia="仿宋_GB2312"/>
          <w:sz w:val="32"/>
          <w:szCs w:val="32"/>
        </w:rPr>
      </w:pPr>
    </w:p>
    <w:p w:rsidR="00F4752C" w:rsidRDefault="00F4752C" w:rsidP="00FC17A9">
      <w:pPr>
        <w:ind w:firstLineChars="200" w:firstLine="640"/>
        <w:rPr>
          <w:rFonts w:ascii="仿宋_GB2312" w:eastAsia="仿宋_GB2312"/>
          <w:sz w:val="32"/>
          <w:szCs w:val="32"/>
        </w:rPr>
      </w:pPr>
    </w:p>
    <w:sectPr w:rsidR="00F4752C" w:rsidSect="008835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036" w:rsidRDefault="007D1036" w:rsidP="000D22A2">
      <w:r>
        <w:separator/>
      </w:r>
    </w:p>
  </w:endnote>
  <w:endnote w:type="continuationSeparator" w:id="0">
    <w:p w:rsidR="007D1036" w:rsidRDefault="007D1036" w:rsidP="000D22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036" w:rsidRDefault="007D1036" w:rsidP="000D22A2">
      <w:r>
        <w:separator/>
      </w:r>
    </w:p>
  </w:footnote>
  <w:footnote w:type="continuationSeparator" w:id="0">
    <w:p w:rsidR="007D1036" w:rsidRDefault="007D1036" w:rsidP="000D2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C31"/>
    <w:rsid w:val="00054888"/>
    <w:rsid w:val="00073209"/>
    <w:rsid w:val="000D22A2"/>
    <w:rsid w:val="000D3D8D"/>
    <w:rsid w:val="000D41F2"/>
    <w:rsid w:val="00102207"/>
    <w:rsid w:val="001845A6"/>
    <w:rsid w:val="001A47A2"/>
    <w:rsid w:val="001C09D1"/>
    <w:rsid w:val="00201CC4"/>
    <w:rsid w:val="002131B6"/>
    <w:rsid w:val="002B76C1"/>
    <w:rsid w:val="002E617D"/>
    <w:rsid w:val="003228E4"/>
    <w:rsid w:val="003D4774"/>
    <w:rsid w:val="00463C31"/>
    <w:rsid w:val="004663ED"/>
    <w:rsid w:val="00532C48"/>
    <w:rsid w:val="00533943"/>
    <w:rsid w:val="005B693F"/>
    <w:rsid w:val="00633A5A"/>
    <w:rsid w:val="00716616"/>
    <w:rsid w:val="007475A0"/>
    <w:rsid w:val="007D0966"/>
    <w:rsid w:val="007D1036"/>
    <w:rsid w:val="007F10F0"/>
    <w:rsid w:val="00870096"/>
    <w:rsid w:val="0088359D"/>
    <w:rsid w:val="008D0AFF"/>
    <w:rsid w:val="009D03A4"/>
    <w:rsid w:val="009D5CF9"/>
    <w:rsid w:val="009D7603"/>
    <w:rsid w:val="009F0739"/>
    <w:rsid w:val="009F252D"/>
    <w:rsid w:val="00A35996"/>
    <w:rsid w:val="00A94EC4"/>
    <w:rsid w:val="00AB773B"/>
    <w:rsid w:val="00AC4687"/>
    <w:rsid w:val="00B25BE9"/>
    <w:rsid w:val="00B4333A"/>
    <w:rsid w:val="00BB5B39"/>
    <w:rsid w:val="00BD56A8"/>
    <w:rsid w:val="00C52361"/>
    <w:rsid w:val="00C863AB"/>
    <w:rsid w:val="00CE411D"/>
    <w:rsid w:val="00D14E05"/>
    <w:rsid w:val="00D171FE"/>
    <w:rsid w:val="00D2481C"/>
    <w:rsid w:val="00D52A39"/>
    <w:rsid w:val="00EB446F"/>
    <w:rsid w:val="00F4752C"/>
    <w:rsid w:val="00F86B07"/>
    <w:rsid w:val="00F91099"/>
    <w:rsid w:val="00FC17A9"/>
    <w:rsid w:val="5F796E2E"/>
    <w:rsid w:val="77C733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8359D"/>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88359D"/>
    <w:rPr>
      <w:rFonts w:cs="Times New Roman"/>
      <w:sz w:val="18"/>
      <w:szCs w:val="18"/>
    </w:rPr>
  </w:style>
  <w:style w:type="paragraph" w:styleId="a4">
    <w:name w:val="header"/>
    <w:basedOn w:val="a"/>
    <w:link w:val="Char0"/>
    <w:uiPriority w:val="99"/>
    <w:rsid w:val="008835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88359D"/>
    <w:rPr>
      <w:rFonts w:cs="Times New Roman"/>
      <w:sz w:val="18"/>
      <w:szCs w:val="18"/>
    </w:rPr>
  </w:style>
  <w:style w:type="paragraph" w:customStyle="1" w:styleId="1">
    <w:name w:val="列出段落1"/>
    <w:basedOn w:val="a"/>
    <w:uiPriority w:val="99"/>
    <w:rsid w:val="0088359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湘阴环评批〔2018〕10号</dc:title>
  <dc:subject/>
  <dc:creator>Administrator</dc:creator>
  <cp:keywords/>
  <dc:description/>
  <cp:lastModifiedBy>Administrator</cp:lastModifiedBy>
  <cp:revision>4</cp:revision>
  <cp:lastPrinted>2018-03-15T02:27:00Z</cp:lastPrinted>
  <dcterms:created xsi:type="dcterms:W3CDTF">2018-03-15T02:27:00Z</dcterms:created>
  <dcterms:modified xsi:type="dcterms:W3CDTF">2018-03-15T03:23:00Z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2052-10.1.0.5604</vt:lpwstr>
  </property>
</Properties>
</file>