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334" w:rightChars="-159" w:firstLine="4976" w:firstLineChars="1555"/>
        <w:rPr>
          <w:rFonts w:hint="eastAsia" w:ascii="仿宋" w:hAnsi="仿宋" w:eastAsia="仿宋" w:cs="仿宋"/>
          <w:bCs/>
          <w:sz w:val="32"/>
          <w:szCs w:val="32"/>
          <w:lang w:eastAsia="zh-CN"/>
        </w:rPr>
      </w:pPr>
    </w:p>
    <w:p>
      <w:pPr>
        <w:pStyle w:val="4"/>
        <w:ind w:right="-334" w:rightChars="-159" w:firstLine="5440" w:firstLineChars="1700"/>
        <w:rPr>
          <w:rFonts w:ascii="仿宋" w:hAnsi="仿宋" w:eastAsia="仿宋" w:cs="仿宋"/>
          <w:bCs/>
          <w:sz w:val="32"/>
          <w:szCs w:val="32"/>
        </w:rPr>
      </w:pP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关于湖南中承材料有限责任公司</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年产</w:t>
      </w:r>
      <w:r>
        <w:rPr>
          <w:rFonts w:hint="eastAsia" w:eastAsia="方正小标宋简体"/>
          <w:bCs/>
          <w:sz w:val="44"/>
          <w:szCs w:val="44"/>
          <w:lang w:val="en-US" w:eastAsia="zh-CN"/>
        </w:rPr>
        <w:t>1</w:t>
      </w:r>
      <w:r>
        <w:rPr>
          <w:rFonts w:hint="eastAsia" w:eastAsia="方正小标宋简体"/>
          <w:bCs/>
          <w:sz w:val="44"/>
          <w:szCs w:val="44"/>
        </w:rPr>
        <w:t>亿块页岩标砖建设项目</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湖南中承材料有限责任公司：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你公司《关于申请对“湖南中承材料有限责任公司年生产</w:t>
      </w:r>
      <w:r>
        <w:rPr>
          <w:rFonts w:hint="eastAsia" w:ascii="仿宋_GB2312" w:hAnsi="新宋体" w:eastAsia="仿宋_GB2312"/>
          <w:bCs/>
          <w:sz w:val="32"/>
          <w:szCs w:val="32"/>
          <w:lang w:val="en-US" w:eastAsia="zh-CN"/>
        </w:rPr>
        <w:t>1</w:t>
      </w:r>
      <w:r>
        <w:rPr>
          <w:rFonts w:hint="eastAsia" w:ascii="仿宋_GB2312" w:hAnsi="新宋体" w:eastAsia="仿宋_GB2312"/>
          <w:bCs/>
          <w:sz w:val="32"/>
          <w:szCs w:val="32"/>
        </w:rPr>
        <w:t>亿块页岩标砖建设项目环境影响报告表”批复的报告》及有关附件已收悉。根据国家环境保护有关法律、法规、政策和项目所在地环境功能区划的要求，经研究，现批复如下：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一、湖南中承材料有限责任公司年生产</w:t>
      </w:r>
      <w:r>
        <w:rPr>
          <w:rFonts w:hint="eastAsia" w:ascii="仿宋_GB2312" w:hAnsi="新宋体" w:eastAsia="仿宋_GB2312"/>
          <w:bCs/>
          <w:sz w:val="32"/>
          <w:szCs w:val="32"/>
          <w:lang w:val="en-US" w:eastAsia="zh-CN"/>
        </w:rPr>
        <w:t>1</w:t>
      </w:r>
      <w:r>
        <w:rPr>
          <w:rFonts w:hint="eastAsia" w:ascii="仿宋_GB2312" w:hAnsi="新宋体" w:eastAsia="仿宋_GB2312"/>
          <w:bCs/>
          <w:sz w:val="32"/>
          <w:szCs w:val="32"/>
        </w:rPr>
        <w:t>亿块页岩标砖建设项目拟建于湘阴县石塘乡九洲村，总占地面积</w:t>
      </w:r>
      <w:r>
        <w:rPr>
          <w:rFonts w:ascii="仿宋_GB2312" w:hAnsi="新宋体" w:eastAsia="仿宋_GB2312"/>
          <w:bCs/>
          <w:sz w:val="32"/>
          <w:szCs w:val="32"/>
        </w:rPr>
        <w:t>42000m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，总建筑面积</w:t>
      </w:r>
      <w:r>
        <w:rPr>
          <w:rFonts w:ascii="仿宋_GB2312" w:hAnsi="新宋体" w:eastAsia="仿宋_GB2312"/>
          <w:bCs/>
          <w:sz w:val="32"/>
          <w:szCs w:val="32"/>
        </w:rPr>
        <w:t>34580m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3000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102</w:t>
      </w:r>
      <w:r>
        <w:rPr>
          <w:rFonts w:hint="eastAsia" w:ascii="仿宋_GB2312" w:hAnsi="新宋体" w:eastAsia="仿宋_GB2312"/>
          <w:bCs/>
          <w:sz w:val="32"/>
          <w:szCs w:val="32"/>
        </w:rPr>
        <w:t>万元。该项目主要建设内容包括：建设</w:t>
      </w:r>
      <w:r>
        <w:rPr>
          <w:rFonts w:hint="eastAsia" w:ascii="仿宋_GB2312" w:hAnsi="新宋体" w:eastAsia="仿宋_GB2312"/>
          <w:bCs/>
          <w:sz w:val="32"/>
          <w:szCs w:val="32"/>
          <w:lang w:val="en-US" w:eastAsia="zh-CN"/>
        </w:rPr>
        <w:t>2</w:t>
      </w:r>
      <w:r>
        <w:rPr>
          <w:rFonts w:hint="eastAsia" w:ascii="仿宋_GB2312" w:hAnsi="新宋体" w:eastAsia="仿宋_GB2312"/>
          <w:bCs/>
          <w:sz w:val="32"/>
          <w:szCs w:val="32"/>
        </w:rPr>
        <w:t>条隧道窑占地面积</w:t>
      </w:r>
      <w:r>
        <w:rPr>
          <w:rFonts w:ascii="仿宋_GB2312" w:hAnsi="新宋体" w:eastAsia="仿宋_GB2312"/>
          <w:bCs/>
          <w:sz w:val="32"/>
          <w:szCs w:val="32"/>
        </w:rPr>
        <w:t>23000m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，破碎车间占地面积</w:t>
      </w:r>
      <w:r>
        <w:rPr>
          <w:rFonts w:ascii="仿宋_GB2312" w:hAnsi="新宋体" w:eastAsia="仿宋_GB2312"/>
          <w:bCs/>
          <w:sz w:val="32"/>
          <w:szCs w:val="32"/>
        </w:rPr>
        <w:t>1400 m</w:t>
      </w:r>
      <w:r>
        <w:rPr>
          <w:rFonts w:ascii="仿宋_GB2312" w:hAnsi="新宋体" w:eastAsia="仿宋_GB2312"/>
          <w:bCs/>
          <w:sz w:val="32"/>
          <w:szCs w:val="32"/>
          <w:vertAlign w:val="superscript"/>
        </w:rPr>
        <w:t>2</w:t>
      </w:r>
      <w:r>
        <w:rPr>
          <w:rFonts w:hint="eastAsia" w:ascii="仿宋_GB2312" w:hAnsi="新宋体" w:eastAsia="仿宋_GB2312"/>
          <w:bCs/>
          <w:sz w:val="32"/>
          <w:szCs w:val="32"/>
        </w:rPr>
        <w:t>，成型码坯车间占地面积</w:t>
      </w:r>
      <w:r>
        <w:rPr>
          <w:rFonts w:ascii="仿宋_GB2312" w:hAnsi="新宋体" w:eastAsia="仿宋_GB2312"/>
          <w:bCs/>
          <w:sz w:val="32"/>
          <w:szCs w:val="32"/>
        </w:rPr>
        <w:t>2500m</w:t>
      </w:r>
      <w:r>
        <w:rPr>
          <w:rFonts w:ascii="仿宋_GB2312" w:hAnsi="新宋体" w:eastAsia="仿宋_GB2312"/>
          <w:bCs/>
          <w:sz w:val="32"/>
          <w:szCs w:val="32"/>
          <w:vertAlign w:val="superscript"/>
        </w:rPr>
        <w:t>2</w:t>
      </w:r>
      <w:r>
        <w:rPr>
          <w:rFonts w:hint="eastAsia" w:ascii="仿宋_GB2312" w:hAnsi="新宋体" w:eastAsia="仿宋_GB2312"/>
          <w:bCs/>
          <w:sz w:val="32"/>
          <w:szCs w:val="32"/>
        </w:rPr>
        <w:t>；原料堆场</w:t>
      </w:r>
      <w:r>
        <w:rPr>
          <w:rFonts w:ascii="仿宋_GB2312" w:hAnsi="新宋体" w:eastAsia="仿宋_GB2312"/>
          <w:bCs/>
          <w:sz w:val="32"/>
          <w:szCs w:val="32"/>
        </w:rPr>
        <w:t>4000m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；陈化车间</w:t>
      </w:r>
      <w:r>
        <w:rPr>
          <w:rFonts w:ascii="仿宋_GB2312" w:hAnsi="新宋体" w:eastAsia="仿宋_GB2312"/>
          <w:bCs/>
          <w:sz w:val="32"/>
          <w:szCs w:val="32"/>
        </w:rPr>
        <w:t>2000m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；生活区（包括员工住宿以及办公室）</w:t>
      </w:r>
      <w:r>
        <w:rPr>
          <w:rFonts w:ascii="仿宋_GB2312" w:hAnsi="新宋体" w:eastAsia="仿宋_GB2312"/>
          <w:bCs/>
          <w:sz w:val="32"/>
          <w:szCs w:val="32"/>
        </w:rPr>
        <w:t>1600m</w:t>
      </w:r>
      <w:r>
        <w:rPr>
          <w:rFonts w:ascii="仿宋_GB2312" w:hAnsi="新宋体" w:eastAsia="仿宋_GB2312"/>
          <w:bCs/>
          <w:sz w:val="32"/>
          <w:szCs w:val="32"/>
          <w:vertAlign w:val="superscript"/>
        </w:rPr>
        <w:t>2</w:t>
      </w:r>
      <w:r>
        <w:rPr>
          <w:rFonts w:hint="eastAsia" w:ascii="仿宋_GB2312" w:hAnsi="新宋体" w:eastAsia="仿宋_GB2312"/>
          <w:bCs/>
          <w:sz w:val="32"/>
          <w:szCs w:val="32"/>
        </w:rPr>
        <w:t>；并配套了给排水、供配电、绿化、道路等基础设施。项目以页岩、煤渣、</w:t>
      </w:r>
      <w:r>
        <w:rPr>
          <w:rFonts w:hint="eastAsia" w:ascii="仿宋_GB2312" w:hAnsi="新宋体" w:eastAsia="仿宋_GB2312"/>
          <w:bCs/>
          <w:sz w:val="32"/>
          <w:szCs w:val="32"/>
          <w:lang w:eastAsia="zh-CN"/>
        </w:rPr>
        <w:t>煤矸石、</w:t>
      </w:r>
      <w:r>
        <w:rPr>
          <w:rFonts w:hint="eastAsia" w:ascii="仿宋_GB2312" w:hAnsi="新宋体" w:eastAsia="仿宋_GB2312"/>
          <w:bCs/>
          <w:sz w:val="32"/>
          <w:szCs w:val="32"/>
        </w:rPr>
        <w:t>粘土等为主要原材料生产页岩砖，生产规模年生产</w:t>
      </w:r>
      <w:r>
        <w:rPr>
          <w:rFonts w:hint="eastAsia" w:ascii="仿宋_GB2312" w:hAnsi="新宋体" w:eastAsia="仿宋_GB2312"/>
          <w:bCs/>
          <w:sz w:val="32"/>
          <w:szCs w:val="32"/>
          <w:lang w:val="en-US" w:eastAsia="zh-CN"/>
        </w:rPr>
        <w:t>1</w:t>
      </w:r>
      <w:r>
        <w:rPr>
          <w:rFonts w:hint="eastAsia" w:ascii="仿宋_GB2312" w:hAnsi="新宋体" w:eastAsia="仿宋_GB2312"/>
          <w:bCs/>
          <w:sz w:val="32"/>
          <w:szCs w:val="32"/>
        </w:rPr>
        <w:t>亿块页岩标砖。主要生产工艺：原料破碎筛分、搅拌陈化、真空挤出、切条切坯、码坯干燥、焙烧、检验、入库待售。</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w:t>
      </w:r>
      <w:r>
        <w:rPr>
          <w:rFonts w:ascii="仿宋_GB2312" w:hAnsi="新宋体" w:eastAsia="仿宋_GB2312"/>
          <w:bCs/>
          <w:sz w:val="32"/>
          <w:szCs w:val="32"/>
        </w:rPr>
        <w:t>2018</w:t>
      </w:r>
      <w:r>
        <w:rPr>
          <w:rFonts w:hint="eastAsia" w:ascii="仿宋_GB2312" w:hAnsi="新宋体" w:eastAsia="仿宋_GB2312"/>
          <w:bCs/>
          <w:sz w:val="32"/>
          <w:szCs w:val="32"/>
        </w:rPr>
        <w:t>年</w:t>
      </w:r>
      <w:r>
        <w:rPr>
          <w:rFonts w:ascii="仿宋_GB2312" w:hAnsi="新宋体" w:eastAsia="仿宋_GB2312"/>
          <w:bCs/>
          <w:sz w:val="32"/>
          <w:szCs w:val="32"/>
        </w:rPr>
        <w:t>10</w:t>
      </w:r>
      <w:r>
        <w:rPr>
          <w:rFonts w:hint="eastAsia" w:ascii="仿宋_GB2312" w:hAnsi="新宋体" w:eastAsia="仿宋_GB2312"/>
          <w:bCs/>
          <w:sz w:val="32"/>
          <w:szCs w:val="32"/>
        </w:rPr>
        <w:t>月</w:t>
      </w:r>
      <w:r>
        <w:rPr>
          <w:rFonts w:ascii="仿宋_GB2312" w:hAnsi="新宋体" w:eastAsia="仿宋_GB2312"/>
          <w:bCs/>
          <w:sz w:val="32"/>
          <w:szCs w:val="32"/>
        </w:rPr>
        <w:t>28</w:t>
      </w:r>
      <w:r>
        <w:rPr>
          <w:rFonts w:hint="eastAsia" w:ascii="仿宋_GB2312" w:hAnsi="新宋体" w:eastAsia="仿宋_GB2312"/>
          <w:bCs/>
          <w:sz w:val="32"/>
          <w:szCs w:val="32"/>
        </w:rPr>
        <w:t>日湘阴县人民政府《关于加快办理新型墙体材料建设相关手续等有关问题的会议纪要》（湘阴府阅【</w:t>
      </w:r>
      <w:r>
        <w:rPr>
          <w:rFonts w:ascii="仿宋_GB2312" w:hAnsi="新宋体" w:eastAsia="仿宋_GB2312"/>
          <w:bCs/>
          <w:sz w:val="32"/>
          <w:szCs w:val="32"/>
        </w:rPr>
        <w:t>2018</w:t>
      </w:r>
      <w:r>
        <w:rPr>
          <w:rFonts w:hint="eastAsia" w:ascii="仿宋_GB2312" w:hAnsi="新宋体" w:eastAsia="仿宋_GB2312"/>
          <w:bCs/>
          <w:sz w:val="32"/>
          <w:szCs w:val="32"/>
        </w:rPr>
        <w:t>】</w:t>
      </w:r>
      <w:r>
        <w:rPr>
          <w:rFonts w:ascii="仿宋_GB2312" w:hAnsi="新宋体" w:eastAsia="仿宋_GB2312"/>
          <w:bCs/>
          <w:sz w:val="32"/>
          <w:szCs w:val="32"/>
        </w:rPr>
        <w:t>59</w:t>
      </w:r>
      <w:r>
        <w:rPr>
          <w:rFonts w:hint="eastAsia" w:ascii="仿宋_GB2312" w:hAnsi="新宋体" w:eastAsia="仿宋_GB2312"/>
          <w:bCs/>
          <w:sz w:val="32"/>
          <w:szCs w:val="32"/>
        </w:rPr>
        <w:t>号）、湖南中承材料有限责任公司《新型墙材企业申报表》各成员单位的审核意见，该企业属我县城市规划区</w:t>
      </w:r>
      <w:r>
        <w:rPr>
          <w:rFonts w:hint="eastAsia" w:ascii="仿宋_GB2312" w:hAnsi="新宋体" w:eastAsia="仿宋_GB2312"/>
          <w:bCs/>
          <w:sz w:val="32"/>
          <w:szCs w:val="32"/>
          <w:lang w:eastAsia="zh-CN"/>
        </w:rPr>
        <w:t>内</w:t>
      </w:r>
      <w:r>
        <w:rPr>
          <w:rFonts w:hint="eastAsia" w:ascii="仿宋_GB2312" w:hAnsi="新宋体" w:eastAsia="仿宋_GB2312"/>
          <w:bCs/>
          <w:sz w:val="32"/>
          <w:szCs w:val="32"/>
        </w:rPr>
        <w:t>的新型墙体材料企业，</w:t>
      </w:r>
      <w:r>
        <w:rPr>
          <w:rFonts w:hint="eastAsia" w:ascii="仿宋_GB2312" w:hAnsi="新宋体" w:eastAsia="仿宋_GB2312"/>
          <w:bCs/>
          <w:sz w:val="32"/>
          <w:szCs w:val="32"/>
          <w:lang w:eastAsia="zh-CN"/>
        </w:rPr>
        <w:t>属未批先建项目，湘阴县环境保护局于</w:t>
      </w:r>
      <w:r>
        <w:rPr>
          <w:rFonts w:hint="eastAsia" w:ascii="仿宋_GB2312" w:hAnsi="新宋体" w:eastAsia="仿宋_GB2312"/>
          <w:bCs/>
          <w:sz w:val="32"/>
          <w:szCs w:val="32"/>
          <w:lang w:val="en-US" w:eastAsia="zh-CN"/>
        </w:rPr>
        <w:t>2018</w:t>
      </w:r>
      <w:r>
        <w:rPr>
          <w:rFonts w:hint="eastAsia" w:ascii="仿宋_GB2312" w:hAnsi="新宋体" w:eastAsia="仿宋_GB2312"/>
          <w:bCs/>
          <w:sz w:val="32"/>
          <w:szCs w:val="32"/>
          <w:lang w:eastAsia="zh-CN"/>
        </w:rPr>
        <w:t>年</w:t>
      </w:r>
      <w:r>
        <w:rPr>
          <w:rFonts w:hint="eastAsia" w:ascii="仿宋_GB2312" w:hAnsi="新宋体" w:eastAsia="仿宋_GB2312"/>
          <w:bCs/>
          <w:sz w:val="32"/>
          <w:szCs w:val="32"/>
          <w:lang w:val="en-US" w:eastAsia="zh-CN"/>
        </w:rPr>
        <w:t>11</w:t>
      </w:r>
      <w:r>
        <w:rPr>
          <w:rFonts w:hint="eastAsia" w:ascii="仿宋_GB2312" w:hAnsi="新宋体" w:eastAsia="仿宋_GB2312"/>
          <w:bCs/>
          <w:sz w:val="32"/>
          <w:szCs w:val="32"/>
          <w:lang w:eastAsia="zh-CN"/>
        </w:rPr>
        <w:t>月</w:t>
      </w:r>
      <w:r>
        <w:rPr>
          <w:rFonts w:hint="eastAsia" w:ascii="仿宋_GB2312" w:hAnsi="新宋体" w:eastAsia="仿宋_GB2312"/>
          <w:bCs/>
          <w:sz w:val="32"/>
          <w:szCs w:val="32"/>
          <w:lang w:val="en-US" w:eastAsia="zh-CN"/>
        </w:rPr>
        <w:t>5</w:t>
      </w:r>
      <w:r>
        <w:rPr>
          <w:rFonts w:hint="eastAsia" w:ascii="仿宋_GB2312" w:hAnsi="新宋体" w:eastAsia="仿宋_GB2312"/>
          <w:bCs/>
          <w:sz w:val="32"/>
          <w:szCs w:val="32"/>
          <w:lang w:eastAsia="zh-CN"/>
        </w:rPr>
        <w:t>日进行了行政处罚（湘阴环罚告字</w:t>
      </w:r>
      <w:r>
        <w:rPr>
          <w:rFonts w:hint="eastAsia" w:ascii="仿宋_GB2312" w:hAnsi="新宋体" w:eastAsia="仿宋_GB2312"/>
          <w:bCs/>
          <w:sz w:val="32"/>
          <w:szCs w:val="32"/>
          <w:lang w:val="en-US" w:eastAsia="zh-CN"/>
        </w:rPr>
        <w:t>[2018]180号</w:t>
      </w:r>
      <w:r>
        <w:rPr>
          <w:rFonts w:hint="eastAsia" w:ascii="仿宋_GB2312" w:hAnsi="新宋体" w:eastAsia="仿宋_GB2312"/>
          <w:bCs/>
          <w:sz w:val="32"/>
          <w:szCs w:val="32"/>
          <w:lang w:eastAsia="zh-CN"/>
        </w:rPr>
        <w:t>），根据湖南省经济和信息化委员会等</w:t>
      </w:r>
      <w:r>
        <w:rPr>
          <w:rFonts w:hint="eastAsia" w:ascii="仿宋_GB2312" w:hAnsi="新宋体" w:eastAsia="仿宋_GB2312"/>
          <w:bCs/>
          <w:sz w:val="32"/>
          <w:szCs w:val="32"/>
          <w:lang w:val="en-US" w:eastAsia="zh-CN"/>
        </w:rPr>
        <w:t>7单位联合下文《关于烧结砖瓦行业有关问题指导意见的函》（湘经信原材料函[2018]344号），该企业属于2022年6月1日前分时限关停对象，如省、市、县在此时间期限内出台新的政策，企业须无条件执行。</w:t>
      </w:r>
      <w:r>
        <w:rPr>
          <w:rFonts w:hint="eastAsia" w:ascii="仿宋_GB2312" w:hAnsi="新宋体" w:eastAsia="仿宋_GB2312"/>
          <w:bCs/>
          <w:sz w:val="32"/>
          <w:szCs w:val="32"/>
        </w:rPr>
        <w:t>根据临沧尚德环境技术有限公司编制的该项目环境影响报告表基本内容、评价结论及专家评审意见，从环保角度考虑，我局原则同意环境影响报告表所列的建设项目地点、性质、规模、工艺和环境保护对策。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二、项目建设和营运过程中须全面落实环境影响报告表提出的各项保护措施，并着重做好以下环保工作：</w:t>
      </w:r>
    </w:p>
    <w:p>
      <w:pPr>
        <w:spacing w:line="600" w:lineRule="exact"/>
        <w:ind w:left="-357" w:leftChars="-170" w:right="-334" w:rightChars="-159" w:firstLine="640" w:firstLineChars="200"/>
        <w:rPr>
          <w:rFonts w:ascii="仿宋_GB2312" w:hAnsi="新宋体" w:eastAsia="仿宋_GB2312"/>
          <w:bCs/>
          <w:sz w:val="32"/>
          <w:szCs w:val="32"/>
        </w:rPr>
      </w:pPr>
      <w:bookmarkStart w:id="0" w:name="_GoBack"/>
      <w:r>
        <w:rPr>
          <w:rFonts w:ascii="仿宋_GB2312" w:hAnsi="新宋体" w:eastAsia="仿宋_GB2312"/>
          <w:bCs/>
          <w:sz w:val="32"/>
          <w:szCs w:val="32"/>
        </w:rPr>
        <w:t>(</w:t>
      </w:r>
      <w:r>
        <w:rPr>
          <w:rFonts w:hint="eastAsia" w:ascii="仿宋_GB2312" w:hAnsi="新宋体" w:eastAsia="仿宋_GB2312"/>
          <w:bCs/>
          <w:sz w:val="32"/>
          <w:szCs w:val="32"/>
        </w:rPr>
        <w:t>一</w:t>
      </w:r>
      <w:r>
        <w:rPr>
          <w:rFonts w:ascii="仿宋_GB2312" w:hAnsi="新宋体" w:eastAsia="仿宋_GB2312"/>
          <w:bCs/>
          <w:sz w:val="32"/>
          <w:szCs w:val="32"/>
        </w:rPr>
        <w:t>)</w:t>
      </w:r>
      <w:r>
        <w:rPr>
          <w:rFonts w:hint="eastAsia" w:ascii="仿宋_GB2312" w:hAnsi="新宋体" w:eastAsia="仿宋_GB2312"/>
          <w:bCs/>
          <w:sz w:val="32"/>
          <w:szCs w:val="32"/>
        </w:rPr>
        <w:t>做好施工期环境保护工作</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加强施工期环境管理，明确有关环保责任。制定好扬尘控制方案，限定施工场、物料场所，在进行施工时，应进行洒水防尘，对出入的渣土运输车辆实施蓬覆式遮盖处理，防止物料散落、扬尘污染；施工废水回用于洒水降尘，不外排；尽量缩短施工期，作业须严格遵照《中华人民共和国水土保持法》的有关规定实施，并制定水土保持方案；施工机械选用低噪声设备，合理安排高噪声设备的作业时间，降低噪声污染；区域内布设好挡土坝、排水沟、雨水收集池等水土保持措施；裸露土壤应尽快进行防尘网覆盖和植被恢复；严禁建筑垃圾乱堆乱倒，做到日产日清，及时转运；施工结束后应同步做好垃圾清理、路面硬化及周边绿化工作。</w:t>
      </w:r>
    </w:p>
    <w:p>
      <w:pPr>
        <w:numPr>
          <w:ilvl w:val="0"/>
          <w:numId w:val="1"/>
        </w:num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做好营运期环境保护工作</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1.</w:t>
      </w:r>
      <w:r>
        <w:rPr>
          <w:rFonts w:hint="eastAsia" w:ascii="仿宋_GB2312" w:hAnsi="新宋体" w:eastAsia="仿宋_GB2312"/>
          <w:bCs/>
          <w:sz w:val="32"/>
          <w:szCs w:val="32"/>
        </w:rPr>
        <w:t>废水污染防治工作。建好雨污分流系统；雨水经雨水收集池收集后作为生产用水；碱液喷淋废水经</w:t>
      </w:r>
      <w:r>
        <w:rPr>
          <w:rFonts w:hint="eastAsia" w:ascii="仿宋_GB2312" w:hAnsi="新宋体" w:eastAsia="仿宋_GB2312"/>
          <w:bCs/>
          <w:sz w:val="32"/>
          <w:szCs w:val="32"/>
          <w:lang w:eastAsia="zh-CN"/>
        </w:rPr>
        <w:t>沉淀池</w:t>
      </w:r>
      <w:r>
        <w:rPr>
          <w:rFonts w:hint="eastAsia" w:ascii="仿宋_GB2312" w:hAnsi="新宋体" w:eastAsia="仿宋_GB2312"/>
          <w:bCs/>
          <w:sz w:val="32"/>
          <w:szCs w:val="32"/>
        </w:rPr>
        <w:t>沉淀后循环使用；生活污水经隔油池、化粪池处理后用作周边菜地林地</w:t>
      </w:r>
      <w:r>
        <w:rPr>
          <w:rFonts w:hint="eastAsia" w:ascii="仿宋_GB2312" w:hAnsi="新宋体" w:eastAsia="仿宋_GB2312"/>
          <w:bCs/>
          <w:sz w:val="32"/>
          <w:szCs w:val="32"/>
          <w:lang w:eastAsia="zh-CN"/>
        </w:rPr>
        <w:t>灌溉</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2.</w:t>
      </w:r>
      <w:r>
        <w:rPr>
          <w:rFonts w:hint="eastAsia" w:ascii="仿宋_GB2312" w:hAnsi="新宋体" w:eastAsia="仿宋_GB2312"/>
          <w:bCs/>
          <w:sz w:val="32"/>
          <w:szCs w:val="32"/>
        </w:rPr>
        <w:t>废气污染防治工作。配套建好隧道窑废气双碱法碱液喷淋塔处理系统。烧制烟气通过隧道窑废气处理系统处理后经</w:t>
      </w:r>
      <w:r>
        <w:rPr>
          <w:rFonts w:ascii="仿宋_GB2312" w:hAnsi="新宋体" w:eastAsia="仿宋_GB2312"/>
          <w:bCs/>
          <w:sz w:val="32"/>
          <w:szCs w:val="32"/>
        </w:rPr>
        <w:t>18</w:t>
      </w:r>
      <w:r>
        <w:rPr>
          <w:rFonts w:hint="eastAsia" w:ascii="仿宋_GB2312" w:hAnsi="新宋体" w:eastAsia="仿宋_GB2312"/>
          <w:bCs/>
          <w:sz w:val="32"/>
          <w:szCs w:val="32"/>
        </w:rPr>
        <w:t>米高烟囱排放；破碎、筛分等工序产生的粉尘经集气罩</w:t>
      </w:r>
      <w:r>
        <w:rPr>
          <w:rFonts w:ascii="仿宋_GB2312" w:hAnsi="新宋体" w:eastAsia="仿宋_GB2312"/>
          <w:bCs/>
          <w:sz w:val="32"/>
          <w:szCs w:val="32"/>
        </w:rPr>
        <w:t>+</w:t>
      </w:r>
      <w:r>
        <w:rPr>
          <w:rFonts w:hint="eastAsia" w:ascii="仿宋_GB2312" w:hAnsi="新宋体" w:eastAsia="仿宋_GB2312"/>
          <w:bCs/>
          <w:sz w:val="32"/>
          <w:szCs w:val="32"/>
        </w:rPr>
        <w:t>布袋除尘</w:t>
      </w:r>
      <w:r>
        <w:rPr>
          <w:rFonts w:ascii="仿宋_GB2312" w:hAnsi="新宋体" w:eastAsia="仿宋_GB2312"/>
          <w:bCs/>
          <w:sz w:val="32"/>
          <w:szCs w:val="32"/>
        </w:rPr>
        <w:t>+15m</w:t>
      </w:r>
      <w:r>
        <w:rPr>
          <w:rFonts w:hint="eastAsia" w:ascii="仿宋_GB2312" w:hAnsi="新宋体" w:eastAsia="仿宋_GB2312"/>
          <w:bCs/>
          <w:sz w:val="32"/>
          <w:szCs w:val="32"/>
        </w:rPr>
        <w:t>排气筒排放；外排废气</w:t>
      </w:r>
      <w:r>
        <w:rPr>
          <w:rFonts w:hint="eastAsia" w:ascii="仿宋_GB2312" w:hAnsi="新宋体" w:eastAsia="仿宋_GB2312"/>
          <w:bCs/>
          <w:sz w:val="32"/>
          <w:szCs w:val="32"/>
          <w:lang w:eastAsia="zh-CN"/>
        </w:rPr>
        <w:t>须</w:t>
      </w:r>
      <w:r>
        <w:rPr>
          <w:rFonts w:hint="eastAsia" w:ascii="仿宋_GB2312" w:hAnsi="新宋体" w:eastAsia="仿宋_GB2312"/>
          <w:bCs/>
          <w:sz w:val="32"/>
          <w:szCs w:val="32"/>
        </w:rPr>
        <w:t>满足《砖瓦工业大气污染物排放标准》</w:t>
      </w:r>
      <w:r>
        <w:rPr>
          <w:rFonts w:ascii="仿宋_GB2312" w:hAnsi="新宋体" w:eastAsia="仿宋_GB2312"/>
          <w:bCs/>
          <w:sz w:val="32"/>
          <w:szCs w:val="32"/>
        </w:rPr>
        <w:t>(GB29620-2013)</w:t>
      </w:r>
      <w:r>
        <w:rPr>
          <w:rFonts w:hint="eastAsia" w:ascii="仿宋_GB2312" w:hAnsi="新宋体" w:eastAsia="仿宋_GB2312"/>
          <w:bCs/>
          <w:sz w:val="32"/>
          <w:szCs w:val="32"/>
        </w:rPr>
        <w:t>中表</w:t>
      </w:r>
      <w:r>
        <w:rPr>
          <w:rFonts w:ascii="仿宋_GB2312" w:hAnsi="新宋体" w:eastAsia="仿宋_GB2312"/>
          <w:bCs/>
          <w:sz w:val="32"/>
          <w:szCs w:val="32"/>
        </w:rPr>
        <w:t>2</w:t>
      </w:r>
      <w:r>
        <w:rPr>
          <w:rFonts w:hint="eastAsia" w:ascii="仿宋_GB2312" w:hAnsi="新宋体" w:eastAsia="仿宋_GB2312"/>
          <w:bCs/>
          <w:sz w:val="32"/>
          <w:szCs w:val="32"/>
        </w:rPr>
        <w:t>要求。出入的运输车辆须定点洒水降尘，易飞扬原辅料须采用密封运输车或车辆加篷布覆盖运输；厂界的无组织排放粉尘须满足《砖瓦工业大气污染物排放标准》</w:t>
      </w:r>
      <w:r>
        <w:rPr>
          <w:rFonts w:ascii="仿宋_GB2312" w:hAnsi="新宋体" w:eastAsia="仿宋_GB2312"/>
          <w:bCs/>
          <w:sz w:val="32"/>
          <w:szCs w:val="32"/>
        </w:rPr>
        <w:t>(GB29620-2013)</w:t>
      </w:r>
      <w:r>
        <w:rPr>
          <w:rFonts w:hint="eastAsia" w:ascii="仿宋_GB2312" w:hAnsi="新宋体" w:eastAsia="仿宋_GB2312"/>
          <w:bCs/>
          <w:sz w:val="32"/>
          <w:szCs w:val="32"/>
        </w:rPr>
        <w:t>中无组织排放限值要求。</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3.</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2</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4.</w:t>
      </w:r>
      <w:r>
        <w:rPr>
          <w:rFonts w:hint="eastAsia" w:ascii="仿宋_GB2312" w:hAnsi="新宋体" w:eastAsia="仿宋_GB2312"/>
          <w:bCs/>
          <w:sz w:val="32"/>
          <w:szCs w:val="32"/>
        </w:rPr>
        <w:t>固体废物污染防治工作。强化日常环境管理，按“减量化、资源化、无害化”原则，做好固废的分类收集和综合利用。规范建设好物料堆场及固体废物临时贮存场所，并落实好防雨、防尘、围挡等环保措施。除尘灰渣、废砖坯等返回生产线重新利用；不合格产品、喷淋废水池沉淀物妥善处置；生活垃圾交由当地环卫部门处置。</w:t>
      </w:r>
    </w:p>
    <w:bookmarkEnd w:id="0"/>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5.</w:t>
      </w:r>
      <w:r>
        <w:rPr>
          <w:rFonts w:hint="eastAsia" w:ascii="仿宋_GB2312" w:hAnsi="新宋体" w:eastAsia="仿宋_GB2312"/>
          <w:bCs/>
          <w:sz w:val="32"/>
          <w:szCs w:val="32"/>
        </w:rPr>
        <w:t>该项目</w:t>
      </w:r>
      <w:r>
        <w:rPr>
          <w:rFonts w:hint="eastAsia" w:ascii="仿宋_GB2312" w:hAnsi="新宋体" w:eastAsia="仿宋_GB2312"/>
          <w:bCs/>
          <w:sz w:val="32"/>
          <w:szCs w:val="32"/>
          <w:lang w:eastAsia="zh-CN"/>
        </w:rPr>
        <w:t>主要</w:t>
      </w:r>
      <w:r>
        <w:rPr>
          <w:rFonts w:hint="eastAsia" w:ascii="仿宋_GB2312" w:hAnsi="新宋体" w:eastAsia="仿宋_GB2312"/>
          <w:bCs/>
          <w:sz w:val="32"/>
          <w:szCs w:val="32"/>
        </w:rPr>
        <w:t>污染物排放总量控制指标为：</w:t>
      </w:r>
      <w:r>
        <w:rPr>
          <w:rFonts w:ascii="仿宋_GB2312" w:hAnsi="新宋体" w:eastAsia="仿宋_GB2312"/>
          <w:bCs/>
          <w:sz w:val="32"/>
          <w:szCs w:val="32"/>
        </w:rPr>
        <w:t>SO</w:t>
      </w:r>
      <w:r>
        <w:rPr>
          <w:rFonts w:ascii="仿宋_GB2312" w:hAnsi="新宋体" w:eastAsia="仿宋_GB2312"/>
          <w:bCs/>
          <w:sz w:val="32"/>
          <w:szCs w:val="32"/>
          <w:vertAlign w:val="subscript"/>
        </w:rPr>
        <w:t>2</w:t>
      </w:r>
      <w:r>
        <w:rPr>
          <w:rFonts w:hint="eastAsia" w:ascii="仿宋_GB2312" w:hAnsi="新宋体" w:eastAsia="仿宋_GB2312"/>
          <w:bCs/>
          <w:sz w:val="32"/>
          <w:szCs w:val="32"/>
        </w:rPr>
        <w:t>≤</w:t>
      </w:r>
      <w:r>
        <w:rPr>
          <w:rFonts w:ascii="仿宋_GB2312" w:hAnsi="新宋体" w:eastAsia="仿宋_GB2312"/>
          <w:bCs/>
          <w:sz w:val="32"/>
          <w:szCs w:val="32"/>
        </w:rPr>
        <w:t>44.6t/a</w:t>
      </w:r>
      <w:r>
        <w:rPr>
          <w:rFonts w:hint="eastAsia" w:ascii="仿宋_GB2312" w:hAnsi="新宋体" w:eastAsia="仿宋_GB2312"/>
          <w:bCs/>
          <w:sz w:val="32"/>
          <w:szCs w:val="32"/>
        </w:rPr>
        <w:t>，</w:t>
      </w:r>
      <w:r>
        <w:rPr>
          <w:rFonts w:ascii="仿宋_GB2312" w:hAnsi="新宋体" w:eastAsia="仿宋_GB2312"/>
          <w:bCs/>
          <w:sz w:val="32"/>
          <w:szCs w:val="32"/>
        </w:rPr>
        <w:t>NOx</w:t>
      </w:r>
      <w:r>
        <w:rPr>
          <w:rFonts w:hint="eastAsia" w:ascii="仿宋_GB2312" w:hAnsi="新宋体" w:eastAsia="仿宋_GB2312"/>
          <w:bCs/>
          <w:sz w:val="32"/>
          <w:szCs w:val="32"/>
        </w:rPr>
        <w:t>≤</w:t>
      </w:r>
      <w:r>
        <w:rPr>
          <w:rFonts w:ascii="仿宋_GB2312" w:hAnsi="新宋体" w:eastAsia="仿宋_GB2312"/>
          <w:bCs/>
          <w:sz w:val="32"/>
          <w:szCs w:val="32"/>
        </w:rPr>
        <w:t>16.6t/a</w:t>
      </w:r>
      <w:r>
        <w:rPr>
          <w:rFonts w:hint="eastAsia" w:ascii="仿宋_GB2312" w:hAnsi="新宋体" w:eastAsia="仿宋_GB2312"/>
          <w:bCs/>
          <w:sz w:val="32"/>
          <w:szCs w:val="32"/>
        </w:rPr>
        <w:t>，主要污染物</w:t>
      </w:r>
      <w:r>
        <w:rPr>
          <w:rFonts w:hint="eastAsia" w:ascii="仿宋_GB2312" w:hAnsi="新宋体" w:eastAsia="仿宋_GB2312"/>
          <w:bCs/>
          <w:sz w:val="32"/>
          <w:szCs w:val="32"/>
          <w:lang w:eastAsia="zh-CN"/>
        </w:rPr>
        <w:t>总量控制</w:t>
      </w:r>
      <w:r>
        <w:rPr>
          <w:rFonts w:hint="eastAsia" w:ascii="仿宋_GB2312" w:hAnsi="新宋体" w:eastAsia="仿宋_GB2312"/>
          <w:bCs/>
          <w:sz w:val="32"/>
          <w:szCs w:val="32"/>
        </w:rPr>
        <w:t>指标通过排污权交易方式获得。</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eastAsia="zh-CN"/>
        </w:rPr>
        <w:t>公司</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个工作日内，将批复及批准的环评报告文本送至湘阴县石塘乡人们政府、湘阴县环境监察大队、临沧尚德环境技术有限公司。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4480" w:firstLineChars="14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2018</w:t>
      </w:r>
      <w:r>
        <w:rPr>
          <w:rFonts w:hint="eastAsia" w:ascii="仿宋_GB2312" w:hAnsi="新宋体" w:eastAsia="仿宋_GB2312"/>
          <w:bCs/>
          <w:sz w:val="32"/>
          <w:szCs w:val="32"/>
        </w:rPr>
        <w:t>年</w:t>
      </w:r>
      <w:r>
        <w:rPr>
          <w:rFonts w:ascii="仿宋_GB2312" w:hAnsi="新宋体" w:eastAsia="仿宋_GB2312"/>
          <w:bCs/>
          <w:sz w:val="32"/>
          <w:szCs w:val="32"/>
        </w:rPr>
        <w:t>12</w:t>
      </w:r>
      <w:r>
        <w:rPr>
          <w:rFonts w:hint="eastAsia" w:ascii="仿宋_GB2312" w:hAnsi="新宋体" w:eastAsia="仿宋_GB2312"/>
          <w:bCs/>
          <w:sz w:val="32"/>
          <w:szCs w:val="32"/>
        </w:rPr>
        <w:t>月</w:t>
      </w:r>
      <w:r>
        <w:rPr>
          <w:rFonts w:ascii="仿宋_GB2312" w:hAnsi="新宋体" w:eastAsia="仿宋_GB2312"/>
          <w:bCs/>
          <w:sz w:val="32"/>
          <w:szCs w:val="32"/>
        </w:rPr>
        <w:t>27</w:t>
      </w:r>
      <w:r>
        <w:rPr>
          <w:rFonts w:hint="eastAsia" w:ascii="仿宋_GB2312" w:hAnsi="新宋体" w:eastAsia="仿宋_GB2312"/>
          <w:bCs/>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9B481"/>
    <w:multiLevelType w:val="singleLevel"/>
    <w:tmpl w:val="94E9B481"/>
    <w:lvl w:ilvl="0" w:tentative="0">
      <w:start w:val="2"/>
      <w:numFmt w:val="chineseCounting"/>
      <w:lvlText w:val="(%1)"/>
      <w:lvlJc w:val="left"/>
      <w:pPr>
        <w:tabs>
          <w:tab w:val="left" w:pos="312"/>
        </w:tabs>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712F97"/>
    <w:rsid w:val="00846405"/>
    <w:rsid w:val="00A47EE4"/>
    <w:rsid w:val="00D75D62"/>
    <w:rsid w:val="00EB6686"/>
    <w:rsid w:val="00ED450C"/>
    <w:rsid w:val="05845312"/>
    <w:rsid w:val="18136C2F"/>
    <w:rsid w:val="28E2699E"/>
    <w:rsid w:val="29B364C5"/>
    <w:rsid w:val="486138CB"/>
    <w:rsid w:val="6D535020"/>
    <w:rsid w:val="6DE074F3"/>
    <w:rsid w:val="6E9152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First Indent"/>
    <w:basedOn w:val="1"/>
    <w:link w:val="10"/>
    <w:qFormat/>
    <w:uiPriority w:val="99"/>
    <w:pPr>
      <w:overflowPunct w:val="0"/>
      <w:autoSpaceDE w:val="0"/>
      <w:autoSpaceDN w:val="0"/>
      <w:spacing w:line="360" w:lineRule="auto"/>
      <w:ind w:firstLine="539"/>
      <w:textAlignment w:val="baseline"/>
    </w:pPr>
    <w:rPr>
      <w:sz w:val="2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 Char"/>
    <w:basedOn w:val="7"/>
    <w:link w:val="2"/>
    <w:semiHidden/>
    <w:qFormat/>
    <w:uiPriority w:val="99"/>
    <w:rPr>
      <w:szCs w:val="24"/>
    </w:rPr>
  </w:style>
  <w:style w:type="character" w:customStyle="1" w:styleId="10">
    <w:name w:val="Body Text First Indent Char"/>
    <w:basedOn w:val="9"/>
    <w:link w:val="4"/>
    <w:semiHidden/>
    <w:qFormat/>
    <w:uiPriority w:val="99"/>
  </w:style>
  <w:style w:type="character" w:customStyle="1" w:styleId="11">
    <w:name w:val="Footer Char"/>
    <w:basedOn w:val="7"/>
    <w:link w:val="5"/>
    <w:semiHidden/>
    <w:qFormat/>
    <w:uiPriority w:val="99"/>
    <w:rPr>
      <w:sz w:val="18"/>
      <w:szCs w:val="18"/>
    </w:rPr>
  </w:style>
  <w:style w:type="character" w:customStyle="1" w:styleId="12">
    <w:name w:val="Header Char"/>
    <w:basedOn w:val="7"/>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272</Words>
  <Characters>1554</Characters>
  <Lines>0</Lines>
  <Paragraphs>0</Paragraphs>
  <TotalTime>42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2019-01-16T02:40:00Z</cp:lastPrinted>
  <dcterms:modified xsi:type="dcterms:W3CDTF">2019-02-21T08:51:43Z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