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r>
        <w:rPr>
          <w:rFonts w:hint="eastAsia" w:ascii="仿宋" w:hAnsi="仿宋" w:eastAsia="仿宋" w:cs="仿宋"/>
          <w:bCs/>
          <w:sz w:val="32"/>
          <w:szCs w:val="32"/>
        </w:rPr>
        <w:t>湘阴环评批〔</w:t>
      </w:r>
      <w:r>
        <w:rPr>
          <w:rFonts w:ascii="仿宋" w:hAnsi="仿宋" w:eastAsia="仿宋" w:cs="仿宋"/>
          <w:bCs/>
          <w:sz w:val="32"/>
          <w:szCs w:val="32"/>
        </w:rPr>
        <w:t>201</w:t>
      </w:r>
      <w:r>
        <w:rPr>
          <w:rFonts w:hint="eastAsia" w:ascii="仿宋" w:hAnsi="仿宋" w:eastAsia="仿宋" w:cs="仿宋"/>
          <w:bCs/>
          <w:sz w:val="32"/>
          <w:szCs w:val="32"/>
          <w:lang w:val="en-US" w:eastAsia="zh-CN"/>
        </w:rPr>
        <w:t>9</w:t>
      </w:r>
      <w:r>
        <w:rPr>
          <w:rFonts w:hint="eastAsia" w:ascii="仿宋" w:hAnsi="仿宋" w:eastAsia="仿宋" w:cs="仿宋"/>
          <w:bCs/>
          <w:sz w:val="32"/>
          <w:szCs w:val="32"/>
        </w:rPr>
        <w:t>〕</w:t>
      </w:r>
      <w:r>
        <w:rPr>
          <w:rFonts w:hint="eastAsia" w:ascii="仿宋" w:hAnsi="仿宋" w:eastAsia="仿宋" w:cs="仿宋"/>
          <w:bCs/>
          <w:sz w:val="32"/>
          <w:szCs w:val="32"/>
          <w:lang w:val="en-US" w:eastAsia="zh-CN"/>
        </w:rPr>
        <w:t>2</w:t>
      </w:r>
      <w:r>
        <w:rPr>
          <w:rFonts w:hint="eastAsia" w:ascii="仿宋" w:hAnsi="仿宋" w:eastAsia="仿宋" w:cs="仿宋"/>
          <w:bCs/>
          <w:sz w:val="32"/>
          <w:szCs w:val="32"/>
        </w:rPr>
        <w:t>号</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关于湘阴县茂远钢构维修部</w:t>
      </w:r>
    </w:p>
    <w:p>
      <w:pPr>
        <w:spacing w:line="600" w:lineRule="exact"/>
        <w:ind w:left="-357" w:leftChars="-170" w:right="-334" w:rightChars="-159"/>
        <w:jc w:val="center"/>
        <w:rPr>
          <w:rFonts w:hint="eastAsia" w:eastAsia="方正小标宋简体"/>
          <w:bCs/>
          <w:sz w:val="44"/>
          <w:szCs w:val="44"/>
        </w:rPr>
      </w:pPr>
      <w:r>
        <w:rPr>
          <w:rFonts w:hint="eastAsia" w:eastAsia="方正小标宋简体"/>
          <w:bCs/>
          <w:sz w:val="44"/>
          <w:szCs w:val="44"/>
        </w:rPr>
        <w:t>年维修</w:t>
      </w:r>
      <w:r>
        <w:rPr>
          <w:rFonts w:eastAsia="方正小标宋简体"/>
          <w:bCs/>
          <w:sz w:val="44"/>
          <w:szCs w:val="44"/>
        </w:rPr>
        <w:t>3000</w:t>
      </w:r>
      <w:r>
        <w:rPr>
          <w:rFonts w:hint="eastAsia" w:eastAsia="方正小标宋简体"/>
          <w:bCs/>
          <w:sz w:val="44"/>
          <w:szCs w:val="44"/>
        </w:rPr>
        <w:t>吨脚手架及配件项目</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湘阴县茂远钢构维修部：</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你公司《关于申请对“湘阴县茂远钢构维修部年维修</w:t>
      </w:r>
      <w:r>
        <w:rPr>
          <w:rFonts w:ascii="仿宋_GB2312" w:hAnsi="新宋体" w:eastAsia="仿宋_GB2312"/>
          <w:bCs/>
          <w:sz w:val="32"/>
          <w:szCs w:val="32"/>
        </w:rPr>
        <w:t>3000</w:t>
      </w:r>
      <w:r>
        <w:rPr>
          <w:rFonts w:hint="eastAsia" w:ascii="仿宋_GB2312" w:hAnsi="新宋体" w:eastAsia="仿宋_GB2312"/>
          <w:bCs/>
          <w:sz w:val="32"/>
          <w:szCs w:val="32"/>
        </w:rPr>
        <w:t>吨脚手架及配件项目环境影响报告表”批复的报告》及有关附件已收悉。根据国家环境保护有关法律、法规、政策和项目所在地环境功能区划的要求，经研究，现批复如下：</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湘阴县茂远钢构维修部年维修</w:t>
      </w:r>
      <w:r>
        <w:rPr>
          <w:rFonts w:ascii="仿宋_GB2312" w:hAnsi="新宋体" w:eastAsia="仿宋_GB2312"/>
          <w:bCs/>
          <w:sz w:val="32"/>
          <w:szCs w:val="32"/>
        </w:rPr>
        <w:t>3000</w:t>
      </w:r>
      <w:r>
        <w:rPr>
          <w:rFonts w:hint="eastAsia" w:ascii="仿宋_GB2312" w:hAnsi="新宋体" w:eastAsia="仿宋_GB2312"/>
          <w:bCs/>
          <w:sz w:val="32"/>
          <w:szCs w:val="32"/>
        </w:rPr>
        <w:t>吨脚手架及配件项目拟建于湘阴县袁家铺镇中锻村原城南汽车配件厂，总占地面积</w:t>
      </w:r>
      <w:r>
        <w:rPr>
          <w:rFonts w:ascii="仿宋_GB2312" w:hAnsi="新宋体" w:eastAsia="仿宋_GB2312"/>
          <w:bCs/>
          <w:sz w:val="32"/>
          <w:szCs w:val="32"/>
        </w:rPr>
        <w:t>6000m</w:t>
      </w:r>
      <w:r>
        <w:rPr>
          <w:rFonts w:ascii="仿宋_GB2312" w:hAnsi="新宋体" w:eastAsia="仿宋_GB2312"/>
          <w:bCs/>
          <w:sz w:val="32"/>
          <w:szCs w:val="32"/>
          <w:vertAlign w:val="superscript"/>
        </w:rPr>
        <w:t>2</w:t>
      </w:r>
      <w:r>
        <w:rPr>
          <w:rFonts w:hint="eastAsia" w:ascii="仿宋_GB2312" w:hAnsi="新宋体" w:eastAsia="仿宋_GB2312"/>
          <w:bCs/>
          <w:sz w:val="32"/>
          <w:szCs w:val="32"/>
        </w:rPr>
        <w:t>，其中生产车间</w:t>
      </w:r>
      <w:r>
        <w:rPr>
          <w:rFonts w:ascii="仿宋_GB2312" w:hAnsi="新宋体" w:eastAsia="仿宋_GB2312"/>
          <w:bCs/>
          <w:sz w:val="32"/>
          <w:szCs w:val="32"/>
        </w:rPr>
        <w:t>1200m</w:t>
      </w:r>
      <w:r>
        <w:rPr>
          <w:rFonts w:ascii="仿宋_GB2312" w:hAnsi="新宋体" w:eastAsia="仿宋_GB2312"/>
          <w:bCs/>
          <w:sz w:val="32"/>
          <w:szCs w:val="32"/>
          <w:vertAlign w:val="superscript"/>
        </w:rPr>
        <w:t>2</w:t>
      </w:r>
      <w:r>
        <w:rPr>
          <w:rFonts w:hint="eastAsia" w:ascii="仿宋_GB2312" w:hAnsi="新宋体" w:eastAsia="仿宋_GB2312"/>
          <w:bCs/>
          <w:sz w:val="32"/>
          <w:szCs w:val="32"/>
        </w:rPr>
        <w:t>，原料堆存区</w:t>
      </w:r>
      <w:r>
        <w:rPr>
          <w:rFonts w:ascii="仿宋_GB2312" w:hAnsi="新宋体" w:eastAsia="仿宋_GB2312"/>
          <w:bCs/>
          <w:sz w:val="32"/>
          <w:szCs w:val="32"/>
        </w:rPr>
        <w:t>2100m</w:t>
      </w:r>
      <w:r>
        <w:rPr>
          <w:rFonts w:ascii="仿宋_GB2312" w:hAnsi="新宋体" w:eastAsia="仿宋_GB2312"/>
          <w:bCs/>
          <w:sz w:val="32"/>
          <w:szCs w:val="32"/>
          <w:vertAlign w:val="superscript"/>
        </w:rPr>
        <w:t>2</w:t>
      </w:r>
      <w:r>
        <w:rPr>
          <w:rFonts w:hint="eastAsia" w:ascii="仿宋_GB2312" w:hAnsi="新宋体" w:eastAsia="仿宋_GB2312"/>
          <w:bCs/>
          <w:sz w:val="32"/>
          <w:szCs w:val="32"/>
        </w:rPr>
        <w:t>，配件修复及辅料堆放车间</w:t>
      </w:r>
      <w:r>
        <w:rPr>
          <w:rFonts w:ascii="仿宋_GB2312" w:hAnsi="新宋体" w:eastAsia="仿宋_GB2312"/>
          <w:bCs/>
          <w:sz w:val="32"/>
          <w:szCs w:val="32"/>
        </w:rPr>
        <w:t>400m</w:t>
      </w:r>
      <w:r>
        <w:rPr>
          <w:rFonts w:ascii="仿宋_GB2312" w:hAnsi="新宋体" w:eastAsia="仿宋_GB2312"/>
          <w:bCs/>
          <w:sz w:val="32"/>
          <w:szCs w:val="32"/>
          <w:vertAlign w:val="superscript"/>
        </w:rPr>
        <w:t>2</w:t>
      </w:r>
      <w:r>
        <w:rPr>
          <w:rFonts w:hint="eastAsia" w:ascii="仿宋_GB2312" w:hAnsi="新宋体" w:eastAsia="仿宋_GB2312"/>
          <w:bCs/>
          <w:sz w:val="32"/>
          <w:szCs w:val="32"/>
        </w:rPr>
        <w:t>，切割打磨车间</w:t>
      </w:r>
      <w:r>
        <w:rPr>
          <w:rFonts w:ascii="仿宋_GB2312" w:hAnsi="新宋体" w:eastAsia="仿宋_GB2312"/>
          <w:bCs/>
          <w:sz w:val="32"/>
          <w:szCs w:val="32"/>
        </w:rPr>
        <w:t>450m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80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4.1</w:t>
      </w:r>
      <w:r>
        <w:rPr>
          <w:rFonts w:hint="eastAsia" w:ascii="仿宋_GB2312" w:hAnsi="新宋体" w:eastAsia="仿宋_GB2312"/>
          <w:bCs/>
          <w:sz w:val="32"/>
          <w:szCs w:val="32"/>
        </w:rPr>
        <w:t>万元。年维修脚手架及配件的量约</w:t>
      </w:r>
      <w:r>
        <w:rPr>
          <w:rFonts w:ascii="仿宋_GB2312" w:hAnsi="新宋体" w:eastAsia="仿宋_GB2312"/>
          <w:bCs/>
          <w:sz w:val="32"/>
          <w:szCs w:val="32"/>
        </w:rPr>
        <w:t>3000</w:t>
      </w:r>
      <w:r>
        <w:rPr>
          <w:rFonts w:hint="eastAsia" w:ascii="仿宋_GB2312" w:hAnsi="新宋体" w:eastAsia="仿宋_GB2312"/>
          <w:bCs/>
          <w:sz w:val="32"/>
          <w:szCs w:val="32"/>
        </w:rPr>
        <w:t>吨。主要生产工艺：原料、分类对置、清理、切割、焊接、浸漆、晾干、检验、出仓。</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val="en-US" w:eastAsia="zh-CN"/>
        </w:rPr>
        <w:t>该</w:t>
      </w:r>
      <w:r>
        <w:rPr>
          <w:rFonts w:hint="eastAsia" w:ascii="仿宋_GB2312" w:hAnsi="新宋体" w:eastAsia="仿宋_GB2312"/>
          <w:bCs/>
          <w:sz w:val="32"/>
          <w:szCs w:val="32"/>
        </w:rPr>
        <w:t>项目内容符合国家产业政策，项目属“未批先建”项目，我局已对该项目进行了处罚（湘阴环罚字[2018]1</w:t>
      </w:r>
      <w:r>
        <w:rPr>
          <w:rFonts w:hint="eastAsia" w:ascii="仿宋_GB2312" w:hAnsi="新宋体" w:eastAsia="仿宋_GB2312"/>
          <w:bCs/>
          <w:sz w:val="32"/>
          <w:szCs w:val="32"/>
          <w:lang w:val="en-US" w:eastAsia="zh-CN"/>
        </w:rPr>
        <w:t>32</w:t>
      </w:r>
      <w:r>
        <w:rPr>
          <w:rFonts w:hint="eastAsia" w:ascii="仿宋_GB2312" w:hAnsi="新宋体" w:eastAsia="仿宋_GB2312"/>
          <w:bCs/>
          <w:sz w:val="32"/>
          <w:szCs w:val="32"/>
        </w:rPr>
        <w:t>号）。根据中机国际工程设计研究院有限责任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二、项目建设和营运过程中须全面落实环境影响报告表提出的各项保护措施，并着重做好以下环保工作：</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加强水污染防治。按照“雨污分流、清污分流”原则设计。项目无生产废水产生，生活污水依托湖南兴农机械有限公司城南分公司已建隔油池、化粪池处理后用作</w:t>
      </w:r>
      <w:r>
        <w:rPr>
          <w:rFonts w:hint="eastAsia" w:ascii="仿宋_GB2312" w:hAnsi="新宋体" w:eastAsia="仿宋_GB2312"/>
          <w:bCs/>
          <w:sz w:val="32"/>
          <w:szCs w:val="32"/>
          <w:lang w:val="en-US" w:eastAsia="zh-CN"/>
        </w:rPr>
        <w:t>周边农地、林地灌溉。</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加强大气污染防治。合理布局生产区间，做好车间强制通风和作业人员的劳保措施，强化作业人员、设备的规范操作和管理，最大限度降低生产过程中的无组织排放废气。脚手架浸漆</w:t>
      </w:r>
      <w:r>
        <w:rPr>
          <w:rFonts w:hint="eastAsia" w:ascii="仿宋_GB2312" w:hAnsi="新宋体" w:eastAsia="仿宋_GB2312"/>
          <w:bCs/>
          <w:sz w:val="32"/>
          <w:szCs w:val="32"/>
          <w:lang w:val="en-US" w:eastAsia="zh-CN"/>
        </w:rPr>
        <w:t>使用水性漆，其工艺过程中产生的</w:t>
      </w:r>
      <w:r>
        <w:rPr>
          <w:rFonts w:hint="eastAsia" w:ascii="仿宋_GB2312" w:hAnsi="新宋体" w:eastAsia="仿宋_GB2312"/>
          <w:bCs/>
          <w:sz w:val="32"/>
          <w:szCs w:val="32"/>
        </w:rPr>
        <w:t>有机废气经集气罩</w:t>
      </w:r>
      <w:r>
        <w:rPr>
          <w:rFonts w:ascii="仿宋_GB2312" w:hAnsi="新宋体" w:eastAsia="仿宋_GB2312"/>
          <w:bCs/>
          <w:sz w:val="32"/>
          <w:szCs w:val="32"/>
        </w:rPr>
        <w:t>+</w:t>
      </w:r>
      <w:r>
        <w:rPr>
          <w:rFonts w:hint="eastAsia" w:ascii="仿宋_GB2312" w:hAnsi="新宋体" w:eastAsia="仿宋_GB2312"/>
          <w:bCs/>
          <w:sz w:val="32"/>
          <w:szCs w:val="32"/>
        </w:rPr>
        <w:t>活性炭吸附处置后达到《天津市工业企业挥发性有机物排放控制标准》（</w:t>
      </w:r>
      <w:r>
        <w:rPr>
          <w:rFonts w:ascii="仿宋_GB2312" w:hAnsi="新宋体" w:eastAsia="仿宋_GB2312"/>
          <w:bCs/>
          <w:sz w:val="32"/>
          <w:szCs w:val="32"/>
        </w:rPr>
        <w:t>DB12/524-2014</w:t>
      </w:r>
      <w:r>
        <w:rPr>
          <w:rFonts w:hint="eastAsia" w:ascii="仿宋_GB2312" w:hAnsi="新宋体" w:eastAsia="仿宋_GB2312"/>
          <w:bCs/>
          <w:sz w:val="32"/>
          <w:szCs w:val="32"/>
        </w:rPr>
        <w:t>）表</w:t>
      </w:r>
      <w:r>
        <w:rPr>
          <w:rFonts w:ascii="仿宋_GB2312" w:hAnsi="新宋体" w:eastAsia="仿宋_GB2312"/>
          <w:bCs/>
          <w:sz w:val="32"/>
          <w:szCs w:val="32"/>
        </w:rPr>
        <w:t>2</w:t>
      </w:r>
      <w:r>
        <w:rPr>
          <w:rFonts w:hint="eastAsia" w:ascii="仿宋_GB2312" w:hAnsi="新宋体" w:eastAsia="仿宋_GB2312"/>
          <w:bCs/>
          <w:sz w:val="32"/>
          <w:szCs w:val="32"/>
        </w:rPr>
        <w:t>中表面涂装调漆、喷漆工艺标准后引至屋顶（</w:t>
      </w:r>
      <w:r>
        <w:rPr>
          <w:rFonts w:ascii="仿宋_GB2312" w:hAnsi="新宋体" w:eastAsia="仿宋_GB2312"/>
          <w:bCs/>
          <w:sz w:val="32"/>
          <w:szCs w:val="32"/>
        </w:rPr>
        <w:t>15m</w:t>
      </w:r>
      <w:r>
        <w:rPr>
          <w:rFonts w:hint="eastAsia" w:ascii="仿宋_GB2312" w:hAnsi="新宋体" w:eastAsia="仿宋_GB2312"/>
          <w:bCs/>
          <w:sz w:val="32"/>
          <w:szCs w:val="32"/>
        </w:rPr>
        <w:t>）排放；焊接烟尘采用移动式焊接烟尘净化器处理达到《车间空气中电焊烟尘卫生标准》（</w:t>
      </w:r>
      <w:r>
        <w:rPr>
          <w:rFonts w:ascii="仿宋_GB2312" w:hAnsi="新宋体" w:eastAsia="仿宋_GB2312"/>
          <w:bCs/>
          <w:sz w:val="32"/>
          <w:szCs w:val="32"/>
        </w:rPr>
        <w:t>GB16194-1996</w:t>
      </w:r>
      <w:r>
        <w:rPr>
          <w:rFonts w:hint="eastAsia" w:ascii="仿宋_GB2312" w:hAnsi="新宋体" w:eastAsia="仿宋_GB2312"/>
          <w:bCs/>
          <w:sz w:val="32"/>
          <w:szCs w:val="32"/>
        </w:rPr>
        <w:t>）标准限制要求；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加强噪声污染防治。合理布局、选用低噪声设备；对高噪声设备采取消声、减振、密封等措施；加强对设备的维护和保养；确保项目场界噪声达</w:t>
      </w:r>
      <w:r>
        <w:rPr>
          <w:rFonts w:hint="eastAsia" w:ascii="仿宋_GB2312" w:hAnsi="新宋体" w:eastAsia="仿宋_GB2312"/>
          <w:bCs/>
          <w:sz w:val="32"/>
          <w:szCs w:val="32"/>
          <w:lang w:val="en-US" w:eastAsia="zh-CN"/>
        </w:rPr>
        <w:t>到</w:t>
      </w:r>
      <w:r>
        <w:rPr>
          <w:rFonts w:hint="eastAsia" w:ascii="仿宋_GB2312" w:hAnsi="新宋体" w:eastAsia="仿宋_GB2312"/>
          <w:bCs/>
          <w:sz w:val="32"/>
          <w:szCs w:val="32"/>
        </w:rPr>
        <w:t>《工业企业厂界环境噪声排放标准（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2</w:t>
      </w:r>
      <w:r>
        <w:rPr>
          <w:rFonts w:hint="eastAsia" w:ascii="仿宋_GB2312" w:hAnsi="新宋体" w:eastAsia="仿宋_GB2312"/>
          <w:bCs/>
          <w:sz w:val="32"/>
          <w:szCs w:val="32"/>
        </w:rPr>
        <w:t>类标准要求。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强化固废处置措施。按要求设置规范的</w:t>
      </w:r>
      <w:r>
        <w:rPr>
          <w:rFonts w:hint="eastAsia" w:ascii="仿宋_GB2312" w:hAnsi="新宋体" w:eastAsia="仿宋_GB2312"/>
          <w:bCs/>
          <w:sz w:val="32"/>
          <w:szCs w:val="32"/>
          <w:lang w:val="en-US" w:eastAsia="zh-CN"/>
        </w:rPr>
        <w:t>固废</w:t>
      </w:r>
      <w:r>
        <w:rPr>
          <w:rFonts w:hint="eastAsia" w:ascii="仿宋_GB2312" w:hAnsi="新宋体" w:eastAsia="仿宋_GB2312"/>
          <w:bCs/>
          <w:sz w:val="32"/>
          <w:szCs w:val="32"/>
        </w:rPr>
        <w:t>临时贮存场所，对废弃物进行分类暂存，并全部进行综合利用或妥善处置。项目产生的废漆桶、脚手架清理废物、焊渣属于一般工业固废，废漆桶定期</w:t>
      </w:r>
      <w:r>
        <w:rPr>
          <w:rFonts w:hint="eastAsia" w:ascii="仿宋_GB2312" w:hAnsi="新宋体" w:eastAsia="仿宋_GB2312"/>
          <w:bCs/>
          <w:sz w:val="32"/>
          <w:szCs w:val="32"/>
          <w:lang w:val="en-US" w:eastAsia="zh-CN"/>
        </w:rPr>
        <w:t>由</w:t>
      </w:r>
      <w:r>
        <w:rPr>
          <w:rFonts w:hint="eastAsia" w:ascii="仿宋_GB2312" w:hAnsi="新宋体" w:eastAsia="仿宋_GB2312"/>
          <w:bCs/>
          <w:sz w:val="32"/>
          <w:szCs w:val="32"/>
        </w:rPr>
        <w:t>供应商回收，脚手架清理废物、焊渣</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生活垃圾收集后交由环卫部门统一处置。</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该项目污染物排放总量控制指标为：</w:t>
      </w:r>
      <w:r>
        <w:rPr>
          <w:rFonts w:ascii="仿宋_GB2312" w:hAnsi="新宋体" w:eastAsia="仿宋_GB2312"/>
          <w:bCs/>
          <w:sz w:val="32"/>
          <w:szCs w:val="32"/>
        </w:rPr>
        <w:t>VOCs</w:t>
      </w:r>
      <w:r>
        <w:rPr>
          <w:rFonts w:hint="eastAsia" w:ascii="仿宋_GB2312" w:hAnsi="新宋体" w:eastAsia="仿宋_GB2312"/>
          <w:bCs/>
          <w:sz w:val="32"/>
          <w:szCs w:val="32"/>
        </w:rPr>
        <w:t>≤</w:t>
      </w:r>
      <w:r>
        <w:rPr>
          <w:rFonts w:ascii="仿宋_GB2312" w:hAnsi="新宋体" w:eastAsia="仿宋_GB2312"/>
          <w:bCs/>
          <w:sz w:val="32"/>
          <w:szCs w:val="32"/>
        </w:rPr>
        <w:t>0.1t/a</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三、你厂应在收到本批复后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w:t>
      </w:r>
      <w:r>
        <w:rPr>
          <w:rFonts w:hint="eastAsia" w:ascii="仿宋_GB2312" w:hAnsi="新宋体" w:eastAsia="仿宋_GB2312"/>
          <w:bCs/>
          <w:sz w:val="32"/>
          <w:szCs w:val="32"/>
          <w:lang w:val="en-US" w:eastAsia="zh-CN"/>
        </w:rPr>
        <w:t>洋沙湖</w:t>
      </w:r>
      <w:r>
        <w:rPr>
          <w:rFonts w:hint="eastAsia" w:ascii="仿宋_GB2312" w:hAnsi="新宋体" w:eastAsia="仿宋_GB2312"/>
          <w:bCs/>
          <w:sz w:val="32"/>
          <w:szCs w:val="32"/>
        </w:rPr>
        <w:t>镇人民政府、湘阴县环境监察大队、中机国际工程设计研究院有限责任公司。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w:t>
      </w:r>
      <w:bookmarkStart w:id="0" w:name="_GoBack"/>
      <w:bookmarkEnd w:id="0"/>
      <w:r>
        <w:rPr>
          <w:rFonts w:hint="eastAsia" w:ascii="仿宋_GB2312" w:hAnsi="新宋体" w:eastAsia="仿宋_GB2312"/>
          <w:bCs/>
          <w:sz w:val="32"/>
          <w:szCs w:val="32"/>
        </w:rPr>
        <w:t>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hint="eastAsia" w:ascii="仿宋_GB2312" w:hAnsi="新宋体" w:eastAsia="仿宋_GB2312"/>
          <w:bCs/>
          <w:sz w:val="32"/>
          <w:szCs w:val="32"/>
        </w:rPr>
      </w:pPr>
    </w:p>
    <w:p>
      <w:pPr>
        <w:spacing w:line="600" w:lineRule="exact"/>
        <w:ind w:left="-357" w:leftChars="-170" w:right="-334" w:rightChars="-159" w:firstLine="4480" w:firstLineChars="14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201</w:t>
      </w:r>
      <w:r>
        <w:rPr>
          <w:rFonts w:hint="eastAsia" w:ascii="仿宋_GB2312" w:hAnsi="新宋体" w:eastAsia="仿宋_GB2312"/>
          <w:bCs/>
          <w:sz w:val="32"/>
          <w:szCs w:val="32"/>
          <w:lang w:val="en-US" w:eastAsia="zh-CN"/>
        </w:rPr>
        <w:t>9</w:t>
      </w:r>
      <w:r>
        <w:rPr>
          <w:rFonts w:hint="eastAsia" w:ascii="仿宋_GB2312" w:hAnsi="新宋体" w:eastAsia="仿宋_GB2312"/>
          <w:bCs/>
          <w:sz w:val="32"/>
          <w:szCs w:val="32"/>
        </w:rPr>
        <w:t>年</w:t>
      </w:r>
      <w:r>
        <w:rPr>
          <w:rFonts w:ascii="仿宋_GB2312" w:hAnsi="新宋体" w:eastAsia="仿宋_GB2312"/>
          <w:bCs/>
          <w:sz w:val="32"/>
          <w:szCs w:val="32"/>
        </w:rPr>
        <w:t>1</w:t>
      </w:r>
      <w:r>
        <w:rPr>
          <w:rFonts w:hint="eastAsia" w:ascii="仿宋_GB2312" w:hAnsi="新宋体" w:eastAsia="仿宋_GB2312"/>
          <w:bCs/>
          <w:sz w:val="32"/>
          <w:szCs w:val="32"/>
        </w:rPr>
        <w:t>月</w:t>
      </w:r>
      <w:r>
        <w:rPr>
          <w:rFonts w:ascii="仿宋_GB2312" w:hAnsi="新宋体" w:eastAsia="仿宋_GB2312"/>
          <w:bCs/>
          <w:sz w:val="32"/>
          <w:szCs w:val="32"/>
        </w:rPr>
        <w:t>2</w:t>
      </w:r>
      <w:r>
        <w:rPr>
          <w:rFonts w:hint="eastAsia" w:ascii="仿宋_GB2312" w:hAnsi="新宋体" w:eastAsia="仿宋_GB2312"/>
          <w:bCs/>
          <w:sz w:val="32"/>
          <w:szCs w:val="32"/>
          <w:lang w:val="en-US" w:eastAsia="zh-CN"/>
        </w:rPr>
        <w:t>8</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1E6FA"/>
    <w:multiLevelType w:val="singleLevel"/>
    <w:tmpl w:val="9F61E6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74E2"/>
    <w:rsid w:val="00116D1C"/>
    <w:rsid w:val="001C2F93"/>
    <w:rsid w:val="001D46EB"/>
    <w:rsid w:val="001E0E4D"/>
    <w:rsid w:val="00254FC7"/>
    <w:rsid w:val="00327863"/>
    <w:rsid w:val="00341182"/>
    <w:rsid w:val="00344F6F"/>
    <w:rsid w:val="003C6687"/>
    <w:rsid w:val="00402CEF"/>
    <w:rsid w:val="00421D78"/>
    <w:rsid w:val="00482A1B"/>
    <w:rsid w:val="005012C5"/>
    <w:rsid w:val="00594337"/>
    <w:rsid w:val="005A2719"/>
    <w:rsid w:val="005D5D50"/>
    <w:rsid w:val="00644293"/>
    <w:rsid w:val="0069097C"/>
    <w:rsid w:val="006F33F0"/>
    <w:rsid w:val="00712F97"/>
    <w:rsid w:val="00846405"/>
    <w:rsid w:val="00883105"/>
    <w:rsid w:val="00885BF0"/>
    <w:rsid w:val="0093725B"/>
    <w:rsid w:val="00A06B8F"/>
    <w:rsid w:val="00A34468"/>
    <w:rsid w:val="00A47EE4"/>
    <w:rsid w:val="00AA2D18"/>
    <w:rsid w:val="00BB32D7"/>
    <w:rsid w:val="00BD473A"/>
    <w:rsid w:val="00BE5324"/>
    <w:rsid w:val="00C91F88"/>
    <w:rsid w:val="00D0791C"/>
    <w:rsid w:val="00D716C1"/>
    <w:rsid w:val="00D75D62"/>
    <w:rsid w:val="00E74589"/>
    <w:rsid w:val="00EB6686"/>
    <w:rsid w:val="00ED450C"/>
    <w:rsid w:val="00F052FA"/>
    <w:rsid w:val="00F32059"/>
    <w:rsid w:val="00FB294F"/>
    <w:rsid w:val="00FE734D"/>
    <w:rsid w:val="031C1A38"/>
    <w:rsid w:val="18136C2F"/>
    <w:rsid w:val="6D535020"/>
    <w:rsid w:val="6E9152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99"/>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4"/>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annotation subject"/>
    <w:basedOn w:val="5"/>
    <w:next w:val="5"/>
    <w:link w:val="19"/>
    <w:semiHidden/>
    <w:locked/>
    <w:uiPriority w:val="99"/>
    <w:rPr>
      <w:b/>
      <w:bCs/>
    </w:rPr>
  </w:style>
  <w:style w:type="paragraph" w:styleId="5">
    <w:name w:val="annotation text"/>
    <w:basedOn w:val="1"/>
    <w:link w:val="18"/>
    <w:semiHidden/>
    <w:locked/>
    <w:uiPriority w:val="99"/>
    <w:pPr>
      <w:jc w:val="left"/>
    </w:pPr>
  </w:style>
  <w:style w:type="paragraph" w:styleId="6">
    <w:name w:val="Body Text First Indent"/>
    <w:basedOn w:val="1"/>
    <w:link w:val="15"/>
    <w:uiPriority w:val="99"/>
    <w:pPr>
      <w:overflowPunct w:val="0"/>
      <w:autoSpaceDE w:val="0"/>
      <w:autoSpaceDN w:val="0"/>
      <w:spacing w:line="360" w:lineRule="auto"/>
      <w:ind w:firstLine="539"/>
      <w:textAlignment w:val="baseline"/>
    </w:pPr>
    <w:rPr>
      <w:sz w:val="28"/>
    </w:rPr>
  </w:style>
  <w:style w:type="paragraph" w:styleId="7">
    <w:name w:val="Balloon Text"/>
    <w:basedOn w:val="1"/>
    <w:link w:val="20"/>
    <w:semiHidden/>
    <w:locked/>
    <w:uiPriority w:val="99"/>
    <w:rPr>
      <w:sz w:val="18"/>
      <w:szCs w:val="18"/>
    </w:rPr>
  </w:style>
  <w:style w:type="paragraph" w:styleId="8">
    <w:name w:val="footer"/>
    <w:basedOn w:val="1"/>
    <w:link w:val="16"/>
    <w:uiPriority w:val="99"/>
    <w:pPr>
      <w:tabs>
        <w:tab w:val="center" w:pos="4153"/>
        <w:tab w:val="right" w:pos="8306"/>
      </w:tabs>
      <w:snapToGrid w:val="0"/>
      <w:jc w:val="left"/>
    </w:pPr>
    <w:rPr>
      <w:sz w:val="18"/>
      <w:szCs w:val="18"/>
    </w:rPr>
  </w:style>
  <w:style w:type="paragraph" w:styleId="9">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99"/>
    <w:pPr>
      <w:widowControl/>
      <w:spacing w:before="100" w:beforeAutospacing="1" w:after="100" w:afterAutospacing="1"/>
      <w:jc w:val="left"/>
    </w:pPr>
    <w:rPr>
      <w:rFonts w:ascii="宋体" w:hAnsi="宋体" w:cs="宋体"/>
      <w:kern w:val="0"/>
      <w:sz w:val="24"/>
    </w:rPr>
  </w:style>
  <w:style w:type="character" w:styleId="12">
    <w:name w:val="annotation reference"/>
    <w:basedOn w:val="11"/>
    <w:semiHidden/>
    <w:locked/>
    <w:uiPriority w:val="99"/>
    <w:rPr>
      <w:rFonts w:cs="Times New Roman"/>
      <w:sz w:val="21"/>
      <w:szCs w:val="21"/>
    </w:rPr>
  </w:style>
  <w:style w:type="character" w:customStyle="1" w:styleId="14">
    <w:name w:val="Body Text Char"/>
    <w:basedOn w:val="11"/>
    <w:link w:val="2"/>
    <w:semiHidden/>
    <w:locked/>
    <w:uiPriority w:val="99"/>
    <w:rPr>
      <w:rFonts w:cs="Times New Roman"/>
      <w:sz w:val="24"/>
      <w:szCs w:val="24"/>
    </w:rPr>
  </w:style>
  <w:style w:type="character" w:customStyle="1" w:styleId="15">
    <w:name w:val="Body Text First Indent Char"/>
    <w:basedOn w:val="14"/>
    <w:link w:val="6"/>
    <w:semiHidden/>
    <w:locked/>
    <w:uiPriority w:val="99"/>
  </w:style>
  <w:style w:type="character" w:customStyle="1" w:styleId="16">
    <w:name w:val="Footer Char"/>
    <w:basedOn w:val="11"/>
    <w:link w:val="8"/>
    <w:semiHidden/>
    <w:locked/>
    <w:uiPriority w:val="99"/>
    <w:rPr>
      <w:rFonts w:cs="Times New Roman"/>
      <w:sz w:val="18"/>
      <w:szCs w:val="18"/>
    </w:rPr>
  </w:style>
  <w:style w:type="character" w:customStyle="1" w:styleId="17">
    <w:name w:val="Header Char"/>
    <w:basedOn w:val="11"/>
    <w:link w:val="9"/>
    <w:semiHidden/>
    <w:locked/>
    <w:uiPriority w:val="99"/>
    <w:rPr>
      <w:rFonts w:cs="Times New Roman"/>
      <w:sz w:val="18"/>
      <w:szCs w:val="18"/>
    </w:rPr>
  </w:style>
  <w:style w:type="character" w:customStyle="1" w:styleId="18">
    <w:name w:val="Comment Text Char"/>
    <w:basedOn w:val="11"/>
    <w:link w:val="5"/>
    <w:semiHidden/>
    <w:locked/>
    <w:uiPriority w:val="99"/>
    <w:rPr>
      <w:rFonts w:cs="Times New Roman"/>
      <w:sz w:val="24"/>
      <w:szCs w:val="24"/>
    </w:rPr>
  </w:style>
  <w:style w:type="character" w:customStyle="1" w:styleId="19">
    <w:name w:val="Comment Subject Char"/>
    <w:basedOn w:val="18"/>
    <w:link w:val="4"/>
    <w:semiHidden/>
    <w:locked/>
    <w:uiPriority w:val="99"/>
    <w:rPr>
      <w:b/>
      <w:bCs/>
    </w:rPr>
  </w:style>
  <w:style w:type="character" w:customStyle="1" w:styleId="20">
    <w:name w:val="Balloon Text Char"/>
    <w:basedOn w:val="11"/>
    <w:link w:val="7"/>
    <w:semiHidden/>
    <w:locked/>
    <w:uiPriority w:val="99"/>
    <w:rPr>
      <w:rFonts w:cs="Times New Roman"/>
      <w:sz w:val="2"/>
    </w:rPr>
  </w:style>
  <w:style w:type="paragraph" w:customStyle="1" w:styleId="21">
    <w:name w:val="Char Char30"/>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210</Words>
  <Characters>1202</Characters>
  <Lines>0</Lines>
  <Paragraphs>0</Paragraphs>
  <TotalTime>65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2019-01-22T09:14:00Z</dcterms:created>
  <dc:creator>Administrator</dc:creator>
  <cp:lastModifiedBy>Administrator</cp:lastModifiedBy>
  <cp:lastPrinted>2019-01-31T08:04:48Z</cp:lastPrinted>
  <dcterms:modified xsi:type="dcterms:W3CDTF">2019-01-31T08:55:17Z</dcterms:modified>
  <dc:title>湘阴环评批〔2018〕69号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