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jc w:val="center"/>
        <w:rPr>
          <w:b/>
          <w:bCs/>
          <w:color w:val="0000FF"/>
          <w:sz w:val="72"/>
          <w:szCs w:val="72"/>
        </w:rPr>
      </w:pPr>
      <w:r>
        <w:rPr>
          <w:sz w:val="72"/>
        </w:rPr>
        <mc:AlternateContent>
          <mc:Choice Requires="wps">
            <w:drawing>
              <wp:anchor distT="0" distB="0" distL="114300" distR="114300" simplePos="0" relativeHeight="251657216" behindDoc="0" locked="0" layoutInCell="1" allowOverlap="1">
                <wp:simplePos x="0" y="0"/>
                <wp:positionH relativeFrom="column">
                  <wp:posOffset>3152140</wp:posOffset>
                </wp:positionH>
                <wp:positionV relativeFrom="paragraph">
                  <wp:posOffset>220345</wp:posOffset>
                </wp:positionV>
                <wp:extent cx="2219325" cy="419100"/>
                <wp:effectExtent l="19050" t="19050" r="47625" b="381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19325" cy="419100"/>
                        </a:xfrm>
                        <a:prstGeom prst="rect">
                          <a:avLst/>
                        </a:prstGeom>
                        <a:noFill/>
                        <a:ln w="57150" cmpd="dbl">
                          <a:solidFill>
                            <a:schemeClr val="tx1"/>
                          </a:solidFill>
                          <a:miter lim="800000"/>
                          <a:tailEnd type="arrow" w="med" len="med"/>
                        </a:ln>
                      </wps:spPr>
                      <wps:txbx>
                        <w:txbxContent>
                          <w:p>
                            <w:pPr>
                              <w:jc w:val="center"/>
                              <w:rPr>
                                <w:b/>
                                <w:bCs/>
                              </w:rPr>
                            </w:pPr>
                            <w:r>
                              <w:rPr>
                                <w:rFonts w:hint="eastAsia"/>
                                <w:b/>
                                <w:bCs/>
                              </w:rPr>
                              <w:t>国环评乙字第2709号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8.2pt;margin-top:17.35pt;height:33pt;width:174.75pt;z-index:251657216;mso-width-relative:page;mso-height-relative:page;" filled="f" stroked="t" coordsize="21600,21600" o:gfxdata="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1zI1y2QAAAAoBAAAPAAAAAAAAAAEAIAAAACIA&#10;AABkcnMvZG93bnJldi54bWxQSwECFAAUAAAACACHTuJAMIws2kECAABHBAAADgAAAAAAAAABACAA&#10;AAAoAQAAZHJzL2Uyb0RvYy54bWxQSwUGAAAAAAYABgBZAQAA2wUAAAAA&#10;">
                <v:fill on="f" focussize="0,0"/>
                <v:stroke weight="4.5pt" color="#000000 [3213]" linestyle="thinThin" miterlimit="8" joinstyle="miter" endarrow="open"/>
                <v:imagedata o:title=""/>
                <o:lock v:ext="edit" aspectratio="f"/>
                <v:textbox>
                  <w:txbxContent>
                    <w:p>
                      <w:pPr>
                        <w:jc w:val="center"/>
                        <w:rPr>
                          <w:b/>
                          <w:bCs/>
                        </w:rPr>
                      </w:pPr>
                      <w:r>
                        <w:rPr>
                          <w:rFonts w:hint="eastAsia"/>
                          <w:b/>
                          <w:bCs/>
                        </w:rPr>
                        <w:t>国环评乙字第2709号</w:t>
                      </w:r>
                    </w:p>
                  </w:txbxContent>
                </v:textbox>
              </v:shape>
            </w:pict>
          </mc:Fallback>
        </mc:AlternateContent>
      </w:r>
      <w:r>
        <w:rPr>
          <w:b/>
          <w:bCs/>
          <w:color w:val="0000FF"/>
          <w:sz w:val="72"/>
          <w:szCs w:val="72"/>
        </w:rPr>
        <w:tab/>
      </w:r>
    </w:p>
    <w:p>
      <w:pPr>
        <w:tabs>
          <w:tab w:val="left" w:pos="6660"/>
        </w:tabs>
        <w:jc w:val="center"/>
        <w:rPr>
          <w:b/>
          <w:bCs/>
          <w:sz w:val="72"/>
          <w:szCs w:val="72"/>
        </w:rPr>
      </w:pPr>
    </w:p>
    <w:p>
      <w:pPr>
        <w:tabs>
          <w:tab w:val="left" w:pos="6660"/>
        </w:tabs>
        <w:jc w:val="center"/>
        <w:rPr>
          <w:b/>
          <w:bCs/>
          <w:sz w:val="72"/>
          <w:szCs w:val="72"/>
        </w:rPr>
      </w:pPr>
    </w:p>
    <w:p>
      <w:pPr>
        <w:tabs>
          <w:tab w:val="left" w:pos="6660"/>
        </w:tabs>
        <w:jc w:val="center"/>
        <w:rPr>
          <w:b/>
          <w:bCs/>
          <w:sz w:val="72"/>
          <w:szCs w:val="72"/>
        </w:rPr>
      </w:pPr>
      <w:r>
        <w:rPr>
          <w:b/>
          <w:bCs/>
          <w:sz w:val="72"/>
          <w:szCs w:val="72"/>
        </w:rPr>
        <w:t>环境影响报告表</w:t>
      </w:r>
    </w:p>
    <w:p>
      <w:pPr>
        <w:jc w:val="center"/>
        <w:rPr>
          <w:b/>
          <w:bCs/>
          <w:sz w:val="36"/>
        </w:rPr>
      </w:pPr>
    </w:p>
    <w:p>
      <w:pPr>
        <w:jc w:val="center"/>
        <w:rPr>
          <w:b/>
          <w:bCs/>
          <w:sz w:val="28"/>
        </w:rPr>
      </w:pPr>
    </w:p>
    <w:p>
      <w:pPr>
        <w:jc w:val="center"/>
      </w:pPr>
    </w:p>
    <w:p>
      <w:pPr>
        <w:jc w:val="center"/>
      </w:pPr>
    </w:p>
    <w:p>
      <w:pPr>
        <w:jc w:val="center"/>
      </w:pPr>
    </w:p>
    <w:p>
      <w:pPr>
        <w:jc w:val="center"/>
      </w:pPr>
    </w:p>
    <w:p>
      <w:pPr>
        <w:jc w:val="center"/>
      </w:pPr>
    </w:p>
    <w:p>
      <w:pPr>
        <w:jc w:val="center"/>
      </w:pPr>
    </w:p>
    <w:p>
      <w:pPr>
        <w:wordWrap w:val="0"/>
        <w:spacing w:line="360" w:lineRule="auto"/>
        <w:ind w:left="2889" w:leftChars="200" w:hanging="2249" w:hangingChars="700"/>
        <w:rPr>
          <w:b/>
          <w:bCs/>
          <w:szCs w:val="32"/>
          <w:u w:val="single"/>
        </w:rPr>
      </w:pPr>
      <w:r>
        <w:rPr>
          <w:b/>
          <w:bCs/>
          <w:szCs w:val="32"/>
          <w:u w:val="single"/>
        </w:rPr>
        <w:t xml:space="preserve">项目名称：   </w:t>
      </w:r>
      <w:r>
        <w:rPr>
          <w:rFonts w:hint="eastAsia"/>
          <w:b/>
          <w:bCs/>
          <w:szCs w:val="32"/>
          <w:u w:val="single"/>
        </w:rPr>
        <w:t xml:space="preserve">利用建筑垃圾等废弃资源年产30万吨预拌砂浆项目        </w:t>
      </w:r>
      <w:r>
        <w:rPr>
          <w:b/>
          <w:bCs/>
          <w:szCs w:val="32"/>
          <w:u w:val="single"/>
        </w:rPr>
        <w:t xml:space="preserve">            </w:t>
      </w:r>
      <w:r>
        <w:rPr>
          <w:rFonts w:hint="eastAsia"/>
          <w:b/>
          <w:bCs/>
          <w:szCs w:val="32"/>
          <w:u w:val="single"/>
        </w:rPr>
        <w:t xml:space="preserve">   </w:t>
      </w:r>
    </w:p>
    <w:p>
      <w:pPr>
        <w:wordWrap w:val="0"/>
        <w:spacing w:line="360" w:lineRule="auto"/>
        <w:ind w:firstLine="643" w:firstLineChars="200"/>
        <w:rPr>
          <w:b/>
          <w:bCs/>
          <w:szCs w:val="32"/>
          <w:u w:val="single"/>
        </w:rPr>
      </w:pPr>
      <w:r>
        <w:rPr>
          <w:b/>
          <w:bCs/>
          <w:szCs w:val="32"/>
          <w:u w:val="single"/>
        </w:rPr>
        <w:t xml:space="preserve">建设单位：   </w:t>
      </w:r>
      <w:r>
        <w:rPr>
          <w:rFonts w:hint="eastAsia"/>
          <w:b/>
          <w:bCs/>
          <w:szCs w:val="32"/>
          <w:u w:val="single"/>
        </w:rPr>
        <w:t xml:space="preserve">湘阴县顽石再生科技有限公司  </w:t>
      </w:r>
      <w:r>
        <w:rPr>
          <w:b/>
          <w:bCs/>
          <w:szCs w:val="32"/>
          <w:u w:val="single"/>
        </w:rPr>
        <w:t xml:space="preserve">    </w:t>
      </w:r>
      <w:r>
        <w:rPr>
          <w:rFonts w:hint="eastAsia"/>
          <w:b/>
          <w:bCs/>
          <w:szCs w:val="32"/>
          <w:u w:val="single"/>
        </w:rPr>
        <w:t xml:space="preserve">  </w:t>
      </w:r>
    </w:p>
    <w:p>
      <w:pPr>
        <w:wordWrap w:val="0"/>
        <w:spacing w:line="360" w:lineRule="auto"/>
        <w:rPr>
          <w:b/>
          <w:bCs/>
          <w:sz w:val="30"/>
          <w:szCs w:val="30"/>
        </w:rPr>
      </w:pPr>
    </w:p>
    <w:p>
      <w:pPr>
        <w:wordWrap w:val="0"/>
        <w:spacing w:line="360" w:lineRule="auto"/>
        <w:ind w:firstLine="2108" w:firstLineChars="700"/>
        <w:rPr>
          <w:b/>
          <w:bCs/>
          <w:color w:val="0000FF"/>
          <w:sz w:val="30"/>
          <w:szCs w:val="30"/>
        </w:rPr>
      </w:pPr>
    </w:p>
    <w:p>
      <w:pPr>
        <w:rPr>
          <w:color w:val="0000FF"/>
          <w:sz w:val="30"/>
          <w:szCs w:val="30"/>
        </w:rPr>
      </w:pPr>
    </w:p>
    <w:p>
      <w:pPr>
        <w:jc w:val="center"/>
        <w:rPr>
          <w:color w:val="0000FF"/>
          <w:sz w:val="30"/>
          <w:szCs w:val="30"/>
        </w:rPr>
      </w:pPr>
    </w:p>
    <w:p>
      <w:pPr>
        <w:rPr>
          <w:b/>
          <w:bCs/>
          <w:color w:val="0000FF"/>
          <w:sz w:val="30"/>
          <w:szCs w:val="30"/>
        </w:rPr>
      </w:pPr>
    </w:p>
    <w:p>
      <w:pPr>
        <w:rPr>
          <w:b/>
          <w:bCs/>
          <w:color w:val="0000FF"/>
          <w:sz w:val="30"/>
          <w:szCs w:val="30"/>
        </w:rPr>
      </w:pPr>
    </w:p>
    <w:p>
      <w:pPr>
        <w:spacing w:before="120" w:after="120" w:line="760" w:lineRule="exact"/>
        <w:jc w:val="center"/>
        <w:rPr>
          <w:b/>
          <w:bCs/>
          <w:color w:val="0000FF"/>
          <w:sz w:val="30"/>
          <w:szCs w:val="30"/>
        </w:rPr>
      </w:pPr>
      <w:r>
        <w:rPr>
          <w:b/>
          <w:szCs w:val="32"/>
        </w:rPr>
        <w:t>湖南志远环境咨询服务有限公司</w:t>
      </w:r>
    </w:p>
    <w:p>
      <w:pPr>
        <w:jc w:val="center"/>
        <w:rPr>
          <w:b/>
          <w:bCs/>
          <w:sz w:val="30"/>
          <w:szCs w:val="30"/>
        </w:rPr>
      </w:pPr>
      <w:r>
        <w:rPr>
          <w:b/>
          <w:bCs/>
          <w:sz w:val="30"/>
          <w:szCs w:val="30"/>
        </w:rPr>
        <w:t>编制日期：2019年3月</w:t>
      </w:r>
    </w:p>
    <w:p>
      <w:pPr>
        <w:pStyle w:val="28"/>
        <w:rPr>
          <w:rFonts w:hAnsi="Times New Roman" w:eastAsia="宋体"/>
          <w:color w:val="0000FF"/>
          <w:sz w:val="28"/>
          <w:szCs w:val="28"/>
        </w:rPr>
        <w:sectPr>
          <w:headerReference r:id="rId3" w:type="default"/>
          <w:footerReference r:id="rId4" w:type="default"/>
          <w:footerReference r:id="rId5" w:type="even"/>
          <w:pgSz w:w="11907" w:h="16840"/>
          <w:pgMar w:top="1440" w:right="1800" w:bottom="1440" w:left="1800" w:header="1418" w:footer="964" w:gutter="0"/>
          <w:cols w:space="720" w:num="1"/>
          <w:docGrid w:type="lines" w:linePitch="435" w:charSpace="0"/>
        </w:sectPr>
      </w:pPr>
    </w:p>
    <w:p>
      <w:pPr>
        <w:pStyle w:val="28"/>
        <w:rPr>
          <w:rFonts w:hAnsi="Times New Roman" w:eastAsia="宋体"/>
          <w:sz w:val="28"/>
          <w:szCs w:val="28"/>
        </w:rPr>
      </w:pPr>
    </w:p>
    <w:p>
      <w:pPr>
        <w:pStyle w:val="28"/>
        <w:rPr>
          <w:rFonts w:hAnsi="Times New Roman" w:eastAsia="宋体"/>
          <w:sz w:val="28"/>
          <w:szCs w:val="28"/>
        </w:rPr>
      </w:pPr>
      <w:r>
        <w:rPr>
          <w:rFonts w:hAnsi="Times New Roman" w:eastAsia="宋体"/>
          <w:sz w:val="28"/>
          <w:szCs w:val="28"/>
        </w:rPr>
        <w:t>《建设项目环境影响报告表》编制说明</w:t>
      </w:r>
    </w:p>
    <w:p>
      <w:pPr>
        <w:pStyle w:val="27"/>
        <w:ind w:firstLine="560"/>
        <w:rPr>
          <w:sz w:val="28"/>
          <w:szCs w:val="28"/>
        </w:rPr>
      </w:pPr>
    </w:p>
    <w:p>
      <w:pPr>
        <w:pStyle w:val="29"/>
        <w:ind w:firstLine="560"/>
        <w:rPr>
          <w:rFonts w:eastAsia="宋体"/>
          <w:szCs w:val="28"/>
        </w:rPr>
      </w:pPr>
      <w:r>
        <w:rPr>
          <w:rFonts w:eastAsia="宋体"/>
          <w:szCs w:val="28"/>
        </w:rPr>
        <w:t>《建设项目环境影响报告表》由具有从事环境影响评价工作资质的单位编制。</w:t>
      </w:r>
    </w:p>
    <w:p>
      <w:pPr>
        <w:pStyle w:val="29"/>
        <w:ind w:firstLine="560"/>
        <w:rPr>
          <w:rFonts w:eastAsia="宋体"/>
          <w:szCs w:val="28"/>
        </w:rPr>
      </w:pPr>
      <w:r>
        <w:rPr>
          <w:rFonts w:eastAsia="宋体"/>
          <w:szCs w:val="28"/>
        </w:rPr>
        <w:t>1、项目名称——指项目立项批复时的名称，应不超过30个字（两个英文字段作一个汉字）。</w:t>
      </w:r>
    </w:p>
    <w:p>
      <w:pPr>
        <w:pStyle w:val="29"/>
        <w:ind w:firstLine="560"/>
        <w:rPr>
          <w:rFonts w:eastAsia="宋体"/>
          <w:szCs w:val="28"/>
        </w:rPr>
      </w:pPr>
      <w:r>
        <w:rPr>
          <w:rFonts w:eastAsia="宋体"/>
          <w:szCs w:val="28"/>
        </w:rPr>
        <w:t>2、建设地点——指项目所在地详细地址，公路、铁路应填写起止地点。</w:t>
      </w:r>
    </w:p>
    <w:p>
      <w:pPr>
        <w:pStyle w:val="29"/>
        <w:ind w:firstLine="560"/>
        <w:rPr>
          <w:rFonts w:eastAsia="宋体"/>
          <w:szCs w:val="28"/>
        </w:rPr>
      </w:pPr>
      <w:r>
        <w:rPr>
          <w:rFonts w:eastAsia="宋体"/>
          <w:szCs w:val="28"/>
        </w:rPr>
        <w:t>3、行业类别——按国标填写。</w:t>
      </w:r>
    </w:p>
    <w:p>
      <w:pPr>
        <w:pStyle w:val="29"/>
        <w:ind w:firstLine="560"/>
        <w:rPr>
          <w:rFonts w:eastAsia="宋体"/>
          <w:szCs w:val="28"/>
        </w:rPr>
      </w:pPr>
      <w:r>
        <w:rPr>
          <w:rFonts w:eastAsia="宋体"/>
          <w:szCs w:val="28"/>
        </w:rPr>
        <w:t>4、总投资——指项目投资总额。</w:t>
      </w:r>
    </w:p>
    <w:p>
      <w:pPr>
        <w:pStyle w:val="29"/>
        <w:ind w:firstLine="560"/>
        <w:rPr>
          <w:rFonts w:eastAsia="宋体"/>
          <w:szCs w:val="28"/>
        </w:rPr>
      </w:pPr>
      <w:r>
        <w:rPr>
          <w:rFonts w:eastAsia="宋体"/>
          <w:szCs w:val="28"/>
        </w:rPr>
        <w:t>5、主要环境保护目标——指项目区周围一定范围内集中居民住宅区、学校、医院、保护文物、风景名胜区、水源地和生态敏感点等，应尽可能给出保护目标、性质、规模和距厂界距离等。</w:t>
      </w:r>
    </w:p>
    <w:p>
      <w:pPr>
        <w:pStyle w:val="29"/>
        <w:ind w:firstLine="560"/>
        <w:rPr>
          <w:rFonts w:eastAsia="宋体"/>
          <w:szCs w:val="28"/>
        </w:rPr>
      </w:pPr>
      <w:r>
        <w:rPr>
          <w:rFonts w:eastAsia="宋体"/>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29"/>
        <w:ind w:firstLine="560"/>
        <w:rPr>
          <w:rFonts w:eastAsia="宋体"/>
          <w:szCs w:val="28"/>
        </w:rPr>
      </w:pPr>
      <w:r>
        <w:rPr>
          <w:rFonts w:eastAsia="宋体"/>
          <w:szCs w:val="28"/>
        </w:rPr>
        <w:t>7、预审意见——由行业主管部门填写答复意见，无主管部门项目，可不填。</w:t>
      </w:r>
    </w:p>
    <w:p>
      <w:pPr>
        <w:spacing w:line="600" w:lineRule="exact"/>
        <w:ind w:firstLine="560" w:firstLineChars="200"/>
        <w:rPr>
          <w:b/>
          <w:sz w:val="48"/>
          <w:szCs w:val="48"/>
        </w:rPr>
      </w:pPr>
      <w:r>
        <w:rPr>
          <w:kern w:val="0"/>
          <w:sz w:val="28"/>
          <w:szCs w:val="28"/>
        </w:rPr>
        <w:t>8、审批意见——由负责审批该项目的环境保护行政主管部门批复。</w:t>
      </w:r>
    </w:p>
    <w:p/>
    <w:p>
      <w:pPr>
        <w:jc w:val="center"/>
      </w:pPr>
      <w:r>
        <w:rPr>
          <w:rFonts w:hint="eastAsia"/>
        </w:rPr>
        <w:t xml:space="preserve">目 </w:t>
      </w:r>
      <w:r>
        <w:t xml:space="preserve"> </w:t>
      </w:r>
      <w:r>
        <w:rPr>
          <w:rFonts w:hint="eastAsia"/>
        </w:rPr>
        <w:t xml:space="preserve">录 </w:t>
      </w:r>
    </w:p>
    <w:sdt>
      <w:sdtPr>
        <w:rPr>
          <w:rFonts w:ascii="Times New Roman" w:hAnsi="Times New Roman" w:eastAsia="宋体" w:cs="Times New Roman"/>
          <w:color w:val="auto"/>
          <w:kern w:val="2"/>
          <w:szCs w:val="24"/>
          <w:lang w:val="zh-CN"/>
        </w:rPr>
        <w:id w:val="1693724300"/>
        <w:docPartObj>
          <w:docPartGallery w:val="Table of Contents"/>
          <w:docPartUnique/>
        </w:docPartObj>
      </w:sdtPr>
      <w:sdtEndPr>
        <w:rPr>
          <w:rFonts w:ascii="Times New Roman" w:hAnsi="Times New Roman" w:eastAsia="宋体" w:cs="Times New Roman"/>
          <w:b/>
          <w:bCs/>
          <w:color w:val="auto"/>
          <w:kern w:val="2"/>
          <w:szCs w:val="24"/>
          <w:lang w:val="zh-CN"/>
        </w:rPr>
      </w:sdtEndPr>
      <w:sdtContent>
        <w:p>
          <w:pPr>
            <w:pStyle w:val="70"/>
          </w:pPr>
        </w:p>
        <w:p>
          <w:pPr>
            <w:pStyle w:val="12"/>
            <w:tabs>
              <w:tab w:val="right" w:leader="dot" w:pos="8296"/>
            </w:tabs>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"_Toc3906319" </w:instrText>
          </w:r>
          <w:r>
            <w:fldChar w:fldCharType="separate"/>
          </w:r>
          <w:r>
            <w:rPr>
              <w:rStyle w:val="23"/>
              <w:b/>
            </w:rPr>
            <w:t>建设项目基本情况</w:t>
          </w:r>
          <w:r>
            <w:tab/>
          </w:r>
          <w:r>
            <w:fldChar w:fldCharType="begin"/>
          </w:r>
          <w:r>
            <w:instrText xml:space="preserve"> PAGEREF _Toc3906319 \h </w:instrText>
          </w:r>
          <w:r>
            <w:fldChar w:fldCharType="separate"/>
          </w:r>
          <w:r>
            <w:t>1</w:t>
          </w:r>
          <w:r>
            <w:fldChar w:fldCharType="end"/>
          </w:r>
          <w:r>
            <w:fldChar w:fldCharType="end"/>
          </w:r>
        </w:p>
        <w:p>
          <w:pPr>
            <w:pStyle w:val="12"/>
            <w:tabs>
              <w:tab w:val="right" w:leader="dot" w:pos="8296"/>
            </w:tabs>
            <w:rPr>
              <w:rFonts w:asciiTheme="minorHAnsi" w:hAnsiTheme="minorHAnsi" w:eastAsiaTheme="minorEastAsia" w:cstheme="minorBidi"/>
              <w:sz w:val="21"/>
              <w:szCs w:val="22"/>
            </w:rPr>
          </w:pPr>
          <w:r>
            <w:fldChar w:fldCharType="begin"/>
          </w:r>
          <w:r>
            <w:instrText xml:space="preserve"> HYPERLINK \l "_Toc3906327" </w:instrText>
          </w:r>
          <w:r>
            <w:fldChar w:fldCharType="separate"/>
          </w:r>
          <w:r>
            <w:rPr>
              <w:rStyle w:val="23"/>
              <w:b/>
            </w:rPr>
            <w:t>建设项目所在地自然环境简况</w:t>
          </w:r>
          <w:r>
            <w:tab/>
          </w:r>
          <w:r>
            <w:fldChar w:fldCharType="begin"/>
          </w:r>
          <w:r>
            <w:instrText xml:space="preserve"> PAGEREF _Toc3906327 \h </w:instrText>
          </w:r>
          <w:r>
            <w:fldChar w:fldCharType="separate"/>
          </w:r>
          <w:r>
            <w:t>8</w:t>
          </w:r>
          <w:r>
            <w:fldChar w:fldCharType="end"/>
          </w:r>
          <w:r>
            <w:fldChar w:fldCharType="end"/>
          </w:r>
        </w:p>
        <w:p>
          <w:pPr>
            <w:pStyle w:val="12"/>
            <w:tabs>
              <w:tab w:val="right" w:leader="dot" w:pos="8296"/>
            </w:tabs>
            <w:rPr>
              <w:rFonts w:asciiTheme="minorHAnsi" w:hAnsiTheme="minorHAnsi" w:eastAsiaTheme="minorEastAsia" w:cstheme="minorBidi"/>
              <w:sz w:val="21"/>
              <w:szCs w:val="22"/>
            </w:rPr>
          </w:pPr>
          <w:r>
            <w:fldChar w:fldCharType="begin"/>
          </w:r>
          <w:r>
            <w:instrText xml:space="preserve"> HYPERLINK \l "_Toc3906328" </w:instrText>
          </w:r>
          <w:r>
            <w:fldChar w:fldCharType="separate"/>
          </w:r>
          <w:r>
            <w:rPr>
              <w:rStyle w:val="23"/>
              <w:b/>
            </w:rPr>
            <w:t>环境质量状况</w:t>
          </w:r>
          <w:r>
            <w:tab/>
          </w:r>
          <w:r>
            <w:fldChar w:fldCharType="begin"/>
          </w:r>
          <w:r>
            <w:instrText xml:space="preserve"> PAGEREF _Toc3906328 \h </w:instrText>
          </w:r>
          <w:r>
            <w:fldChar w:fldCharType="separate"/>
          </w:r>
          <w:r>
            <w:t>13</w:t>
          </w:r>
          <w:r>
            <w:fldChar w:fldCharType="end"/>
          </w:r>
          <w:r>
            <w:fldChar w:fldCharType="end"/>
          </w:r>
        </w:p>
        <w:p>
          <w:pPr>
            <w:pStyle w:val="12"/>
            <w:tabs>
              <w:tab w:val="right" w:leader="dot" w:pos="8296"/>
            </w:tabs>
            <w:rPr>
              <w:rFonts w:asciiTheme="minorHAnsi" w:hAnsiTheme="minorHAnsi" w:eastAsiaTheme="minorEastAsia" w:cstheme="minorBidi"/>
              <w:sz w:val="21"/>
              <w:szCs w:val="22"/>
            </w:rPr>
          </w:pPr>
          <w:r>
            <w:fldChar w:fldCharType="begin"/>
          </w:r>
          <w:r>
            <w:instrText xml:space="preserve"> HYPERLINK \l "_Toc3906329" </w:instrText>
          </w:r>
          <w:r>
            <w:fldChar w:fldCharType="separate"/>
          </w:r>
          <w:r>
            <w:rPr>
              <w:rStyle w:val="23"/>
              <w:b/>
            </w:rPr>
            <w:t>评价适用标准</w:t>
          </w:r>
          <w:r>
            <w:tab/>
          </w:r>
          <w:r>
            <w:fldChar w:fldCharType="begin"/>
          </w:r>
          <w:r>
            <w:instrText xml:space="preserve"> PAGEREF _Toc3906329 \h </w:instrText>
          </w:r>
          <w:r>
            <w:fldChar w:fldCharType="separate"/>
          </w:r>
          <w:r>
            <w:t>17</w:t>
          </w:r>
          <w:r>
            <w:fldChar w:fldCharType="end"/>
          </w:r>
          <w:r>
            <w:fldChar w:fldCharType="end"/>
          </w:r>
        </w:p>
        <w:p>
          <w:pPr>
            <w:pStyle w:val="12"/>
            <w:tabs>
              <w:tab w:val="right" w:leader="dot" w:pos="8296"/>
            </w:tabs>
            <w:rPr>
              <w:rFonts w:asciiTheme="minorHAnsi" w:hAnsiTheme="minorHAnsi" w:eastAsiaTheme="minorEastAsia" w:cstheme="minorBidi"/>
              <w:sz w:val="21"/>
              <w:szCs w:val="22"/>
            </w:rPr>
          </w:pPr>
          <w:r>
            <w:fldChar w:fldCharType="begin"/>
          </w:r>
          <w:r>
            <w:instrText xml:space="preserve"> HYPERLINK \l "_Toc3906330" </w:instrText>
          </w:r>
          <w:r>
            <w:fldChar w:fldCharType="separate"/>
          </w:r>
          <w:r>
            <w:rPr>
              <w:rStyle w:val="23"/>
              <w:b/>
            </w:rPr>
            <w:t>建设项目工程分析</w:t>
          </w:r>
          <w:r>
            <w:tab/>
          </w:r>
          <w:r>
            <w:fldChar w:fldCharType="begin"/>
          </w:r>
          <w:r>
            <w:instrText xml:space="preserve"> PAGEREF _Toc3906330 \h </w:instrText>
          </w:r>
          <w:r>
            <w:fldChar w:fldCharType="separate"/>
          </w:r>
          <w:r>
            <w:t>20</w:t>
          </w:r>
          <w:r>
            <w:fldChar w:fldCharType="end"/>
          </w:r>
          <w:r>
            <w:fldChar w:fldCharType="end"/>
          </w:r>
        </w:p>
        <w:p>
          <w:pPr>
            <w:pStyle w:val="12"/>
            <w:tabs>
              <w:tab w:val="right" w:leader="dot" w:pos="8296"/>
            </w:tabs>
            <w:rPr>
              <w:rFonts w:asciiTheme="minorHAnsi" w:hAnsiTheme="minorHAnsi" w:eastAsiaTheme="minorEastAsia" w:cstheme="minorBidi"/>
              <w:sz w:val="21"/>
              <w:szCs w:val="22"/>
            </w:rPr>
          </w:pPr>
          <w:r>
            <w:fldChar w:fldCharType="begin"/>
          </w:r>
          <w:r>
            <w:instrText xml:space="preserve"> HYPERLINK \l "_Toc3906331" </w:instrText>
          </w:r>
          <w:r>
            <w:fldChar w:fldCharType="separate"/>
          </w:r>
          <w:r>
            <w:rPr>
              <w:rStyle w:val="23"/>
              <w:b/>
            </w:rPr>
            <w:t>项目主要污染物产生及预计排放情况</w:t>
          </w:r>
          <w:r>
            <w:tab/>
          </w:r>
          <w:r>
            <w:fldChar w:fldCharType="begin"/>
          </w:r>
          <w:r>
            <w:instrText xml:space="preserve"> PAGEREF _Toc3906331 \h </w:instrText>
          </w:r>
          <w:r>
            <w:fldChar w:fldCharType="separate"/>
          </w:r>
          <w:r>
            <w:t>33</w:t>
          </w:r>
          <w:r>
            <w:fldChar w:fldCharType="end"/>
          </w:r>
          <w:r>
            <w:fldChar w:fldCharType="end"/>
          </w:r>
        </w:p>
        <w:p>
          <w:pPr>
            <w:pStyle w:val="12"/>
            <w:tabs>
              <w:tab w:val="right" w:leader="dot" w:pos="8296"/>
            </w:tabs>
            <w:rPr>
              <w:rFonts w:asciiTheme="minorHAnsi" w:hAnsiTheme="minorHAnsi" w:eastAsiaTheme="minorEastAsia" w:cstheme="minorBidi"/>
              <w:sz w:val="21"/>
              <w:szCs w:val="22"/>
            </w:rPr>
          </w:pPr>
          <w:r>
            <w:fldChar w:fldCharType="begin"/>
          </w:r>
          <w:r>
            <w:instrText xml:space="preserve"> HYPERLINK \l "_Toc3906332" </w:instrText>
          </w:r>
          <w:r>
            <w:fldChar w:fldCharType="separate"/>
          </w:r>
          <w:r>
            <w:rPr>
              <w:rStyle w:val="23"/>
              <w:b/>
            </w:rPr>
            <w:t>环境影响分析</w:t>
          </w:r>
          <w:r>
            <w:tab/>
          </w:r>
          <w:r>
            <w:fldChar w:fldCharType="begin"/>
          </w:r>
          <w:r>
            <w:instrText xml:space="preserve"> PAGEREF _Toc3906332 \h </w:instrText>
          </w:r>
          <w:r>
            <w:fldChar w:fldCharType="separate"/>
          </w:r>
          <w:r>
            <w:t>34</w:t>
          </w:r>
          <w:r>
            <w:fldChar w:fldCharType="end"/>
          </w:r>
          <w:r>
            <w:fldChar w:fldCharType="end"/>
          </w:r>
        </w:p>
        <w:p>
          <w:pPr>
            <w:pStyle w:val="12"/>
            <w:tabs>
              <w:tab w:val="right" w:leader="dot" w:pos="8296"/>
            </w:tabs>
            <w:rPr>
              <w:rFonts w:asciiTheme="minorHAnsi" w:hAnsiTheme="minorHAnsi" w:eastAsiaTheme="minorEastAsia" w:cstheme="minorBidi"/>
              <w:sz w:val="21"/>
              <w:szCs w:val="22"/>
            </w:rPr>
          </w:pPr>
          <w:r>
            <w:fldChar w:fldCharType="begin"/>
          </w:r>
          <w:r>
            <w:instrText xml:space="preserve"> HYPERLINK \l "_Toc3906333" </w:instrText>
          </w:r>
          <w:r>
            <w:fldChar w:fldCharType="separate"/>
          </w:r>
          <w:r>
            <w:rPr>
              <w:rStyle w:val="23"/>
              <w:b/>
            </w:rPr>
            <w:t>建设项目拟采取的防治措施及预期治理效果</w:t>
          </w:r>
          <w:r>
            <w:tab/>
          </w:r>
          <w:r>
            <w:fldChar w:fldCharType="begin"/>
          </w:r>
          <w:r>
            <w:instrText xml:space="preserve"> PAGEREF _Toc3906333 \h </w:instrText>
          </w:r>
          <w:r>
            <w:fldChar w:fldCharType="separate"/>
          </w:r>
          <w:r>
            <w:t>52</w:t>
          </w:r>
          <w:r>
            <w:fldChar w:fldCharType="end"/>
          </w:r>
          <w:r>
            <w:fldChar w:fldCharType="end"/>
          </w:r>
        </w:p>
        <w:p>
          <w:pPr>
            <w:pStyle w:val="12"/>
            <w:tabs>
              <w:tab w:val="right" w:leader="dot" w:pos="8296"/>
            </w:tabs>
            <w:rPr>
              <w:rFonts w:asciiTheme="minorHAnsi" w:hAnsiTheme="minorHAnsi" w:eastAsiaTheme="minorEastAsia" w:cstheme="minorBidi"/>
              <w:sz w:val="21"/>
              <w:szCs w:val="22"/>
            </w:rPr>
          </w:pPr>
          <w:r>
            <w:fldChar w:fldCharType="begin"/>
          </w:r>
          <w:r>
            <w:instrText xml:space="preserve"> HYPERLINK \l "_Toc3906334" </w:instrText>
          </w:r>
          <w:r>
            <w:fldChar w:fldCharType="separate"/>
          </w:r>
          <w:r>
            <w:rPr>
              <w:rStyle w:val="23"/>
              <w:b/>
              <w:spacing w:val="6"/>
            </w:rPr>
            <w:t>结论与建议</w:t>
          </w:r>
          <w:r>
            <w:tab/>
          </w:r>
          <w:r>
            <w:fldChar w:fldCharType="begin"/>
          </w:r>
          <w:r>
            <w:instrText xml:space="preserve"> PAGEREF _Toc3906334 \h </w:instrText>
          </w:r>
          <w:r>
            <w:fldChar w:fldCharType="separate"/>
          </w:r>
          <w:r>
            <w:t>53</w:t>
          </w:r>
          <w:r>
            <w:fldChar w:fldCharType="end"/>
          </w:r>
          <w:r>
            <w:fldChar w:fldCharType="end"/>
          </w:r>
        </w:p>
        <w:p>
          <w:r>
            <w:rPr>
              <w:b/>
              <w:bCs/>
              <w:lang w:val="zh-CN"/>
            </w:rPr>
            <w:fldChar w:fldCharType="end"/>
          </w:r>
        </w:p>
      </w:sdtContent>
    </w:sdt>
    <w:p/>
    <w:p/>
    <w:p/>
    <w:p/>
    <w:p/>
    <w:p/>
    <w:p/>
    <w:p/>
    <w:p>
      <w:pPr>
        <w:sectPr>
          <w:pgSz w:w="11906" w:h="16838"/>
          <w:pgMar w:top="1440" w:right="1800" w:bottom="1440" w:left="1800" w:header="851" w:footer="992" w:gutter="0"/>
          <w:cols w:space="425" w:num="1"/>
          <w:docGrid w:type="lines" w:linePitch="312" w:charSpace="0"/>
        </w:sectPr>
      </w:pPr>
      <w:r>
        <w:rPr>
          <w:rFonts w:hint="eastAsia"/>
        </w:rPr>
        <w:t xml:space="preserve"> </w:t>
      </w:r>
      <w:r>
        <w:t xml:space="preserve">     </w:t>
      </w:r>
    </w:p>
    <w:p>
      <w:pPr>
        <w:snapToGrid w:val="0"/>
        <w:spacing w:line="440" w:lineRule="exact"/>
        <w:outlineLvl w:val="0"/>
        <w:rPr>
          <w:b/>
          <w:szCs w:val="32"/>
        </w:rPr>
      </w:pPr>
      <w:bookmarkStart w:id="0" w:name="_Toc3906319"/>
      <w:r>
        <w:rPr>
          <w:b/>
          <w:szCs w:val="32"/>
        </w:rPr>
        <w:t>建设项目基本情况</w:t>
      </w:r>
      <w:bookmarkEnd w:id="0"/>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1718"/>
        <w:gridCol w:w="250"/>
        <w:gridCol w:w="869"/>
        <w:gridCol w:w="357"/>
        <w:gridCol w:w="693"/>
        <w:gridCol w:w="139"/>
        <w:gridCol w:w="1054"/>
        <w:gridCol w:w="454"/>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69" w:type="dxa"/>
            <w:vAlign w:val="center"/>
          </w:tcPr>
          <w:p>
            <w:pPr>
              <w:spacing w:line="440" w:lineRule="exact"/>
              <w:jc w:val="center"/>
              <w:rPr>
                <w:b/>
                <w:bCs/>
                <w:sz w:val="24"/>
              </w:rPr>
            </w:pPr>
            <w:r>
              <w:rPr>
                <w:b/>
                <w:bCs/>
                <w:sz w:val="24"/>
              </w:rPr>
              <w:t>项目名称</w:t>
            </w:r>
          </w:p>
        </w:tc>
        <w:tc>
          <w:tcPr>
            <w:tcW w:w="6353" w:type="dxa"/>
            <w:gridSpan w:val="9"/>
            <w:vAlign w:val="center"/>
          </w:tcPr>
          <w:p>
            <w:pPr>
              <w:spacing w:line="440" w:lineRule="exact"/>
              <w:jc w:val="center"/>
              <w:rPr>
                <w:sz w:val="24"/>
              </w:rPr>
            </w:pPr>
            <w:r>
              <w:rPr>
                <w:rFonts w:hint="eastAsia"/>
                <w:bCs/>
                <w:sz w:val="24"/>
              </w:rPr>
              <w:t>利用建筑垃圾等废弃资源年产30万吨预拌砂浆项目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69" w:type="dxa"/>
            <w:vAlign w:val="center"/>
          </w:tcPr>
          <w:p>
            <w:pPr>
              <w:spacing w:line="440" w:lineRule="exact"/>
              <w:jc w:val="center"/>
              <w:rPr>
                <w:b/>
                <w:bCs/>
                <w:sz w:val="24"/>
              </w:rPr>
            </w:pPr>
            <w:r>
              <w:rPr>
                <w:b/>
                <w:bCs/>
                <w:sz w:val="24"/>
              </w:rPr>
              <w:t>建设单位</w:t>
            </w:r>
          </w:p>
        </w:tc>
        <w:tc>
          <w:tcPr>
            <w:tcW w:w="6353" w:type="dxa"/>
            <w:gridSpan w:val="9"/>
            <w:vAlign w:val="center"/>
          </w:tcPr>
          <w:p>
            <w:pPr>
              <w:spacing w:line="440" w:lineRule="exact"/>
              <w:jc w:val="center"/>
              <w:rPr>
                <w:sz w:val="24"/>
              </w:rPr>
            </w:pPr>
            <w:r>
              <w:rPr>
                <w:rFonts w:hint="eastAsia"/>
                <w:bCs/>
                <w:sz w:val="24"/>
              </w:rPr>
              <w:t>湘阴县顽石再生科技有限公司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69" w:type="dxa"/>
            <w:vAlign w:val="center"/>
          </w:tcPr>
          <w:p>
            <w:pPr>
              <w:spacing w:line="440" w:lineRule="exact"/>
              <w:jc w:val="center"/>
              <w:rPr>
                <w:b/>
                <w:bCs/>
                <w:sz w:val="24"/>
              </w:rPr>
            </w:pPr>
            <w:r>
              <w:rPr>
                <w:b/>
                <w:bCs/>
                <w:sz w:val="24"/>
              </w:rPr>
              <w:t>法人代表</w:t>
            </w:r>
          </w:p>
        </w:tc>
        <w:tc>
          <w:tcPr>
            <w:tcW w:w="1968" w:type="dxa"/>
            <w:gridSpan w:val="2"/>
            <w:vAlign w:val="center"/>
          </w:tcPr>
          <w:p>
            <w:pPr>
              <w:spacing w:line="440" w:lineRule="exact"/>
              <w:jc w:val="center"/>
              <w:rPr>
                <w:bCs/>
                <w:sz w:val="24"/>
              </w:rPr>
            </w:pPr>
            <w:r>
              <w:rPr>
                <w:rFonts w:hint="eastAsia"/>
                <w:bCs/>
                <w:sz w:val="24"/>
              </w:rPr>
              <w:t>甘新伟</w:t>
            </w:r>
          </w:p>
        </w:tc>
        <w:tc>
          <w:tcPr>
            <w:tcW w:w="1919" w:type="dxa"/>
            <w:gridSpan w:val="3"/>
            <w:vAlign w:val="center"/>
          </w:tcPr>
          <w:p>
            <w:pPr>
              <w:spacing w:line="440" w:lineRule="exact"/>
              <w:jc w:val="center"/>
              <w:rPr>
                <w:bCs/>
                <w:sz w:val="24"/>
              </w:rPr>
            </w:pPr>
            <w:r>
              <w:rPr>
                <w:b/>
                <w:sz w:val="24"/>
              </w:rPr>
              <w:t>联 系 人</w:t>
            </w:r>
          </w:p>
        </w:tc>
        <w:tc>
          <w:tcPr>
            <w:tcW w:w="2466" w:type="dxa"/>
            <w:gridSpan w:val="4"/>
            <w:vAlign w:val="center"/>
          </w:tcPr>
          <w:p>
            <w:pPr>
              <w:spacing w:line="440" w:lineRule="exact"/>
              <w:jc w:val="center"/>
              <w:rPr>
                <w:bCs/>
                <w:sz w:val="24"/>
              </w:rPr>
            </w:pPr>
            <w:r>
              <w:rPr>
                <w:rFonts w:hint="eastAsia"/>
                <w:bCs/>
                <w:sz w:val="24"/>
              </w:rPr>
              <w:t>甘新伟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69" w:type="dxa"/>
            <w:vAlign w:val="center"/>
          </w:tcPr>
          <w:p>
            <w:pPr>
              <w:spacing w:line="440" w:lineRule="exact"/>
              <w:jc w:val="center"/>
              <w:rPr>
                <w:b/>
                <w:bCs/>
                <w:sz w:val="24"/>
              </w:rPr>
            </w:pPr>
            <w:r>
              <w:rPr>
                <w:b/>
                <w:bCs/>
                <w:sz w:val="24"/>
              </w:rPr>
              <w:t>通讯地址</w:t>
            </w:r>
          </w:p>
        </w:tc>
        <w:tc>
          <w:tcPr>
            <w:tcW w:w="6353" w:type="dxa"/>
            <w:gridSpan w:val="9"/>
            <w:vAlign w:val="center"/>
          </w:tcPr>
          <w:p>
            <w:pPr>
              <w:spacing w:line="440" w:lineRule="exact"/>
              <w:jc w:val="center"/>
              <w:rPr>
                <w:sz w:val="24"/>
              </w:rPr>
            </w:pPr>
            <w:r>
              <w:rPr>
                <w:rFonts w:hint="eastAsia"/>
                <w:bCs/>
                <w:sz w:val="24"/>
              </w:rPr>
              <w:t>岳阳市湘阴县文星镇漕溪港街道原板桥砖厂处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69" w:type="dxa"/>
            <w:vAlign w:val="center"/>
          </w:tcPr>
          <w:p>
            <w:pPr>
              <w:spacing w:line="440" w:lineRule="exact"/>
              <w:jc w:val="center"/>
              <w:rPr>
                <w:b/>
                <w:bCs/>
                <w:sz w:val="24"/>
              </w:rPr>
            </w:pPr>
            <w:r>
              <w:rPr>
                <w:b/>
                <w:bCs/>
                <w:sz w:val="24"/>
              </w:rPr>
              <w:t>联系电话</w:t>
            </w:r>
          </w:p>
        </w:tc>
        <w:tc>
          <w:tcPr>
            <w:tcW w:w="1968" w:type="dxa"/>
            <w:gridSpan w:val="2"/>
            <w:vAlign w:val="center"/>
          </w:tcPr>
          <w:p>
            <w:pPr>
              <w:spacing w:line="440" w:lineRule="exact"/>
              <w:jc w:val="center"/>
              <w:rPr>
                <w:sz w:val="24"/>
              </w:rPr>
            </w:pPr>
            <w:r>
              <w:rPr>
                <w:sz w:val="24"/>
              </w:rPr>
              <w:t>13974027577</w:t>
            </w:r>
          </w:p>
        </w:tc>
        <w:tc>
          <w:tcPr>
            <w:tcW w:w="869" w:type="dxa"/>
            <w:vAlign w:val="center"/>
          </w:tcPr>
          <w:p>
            <w:pPr>
              <w:spacing w:line="440" w:lineRule="exact"/>
              <w:jc w:val="center"/>
              <w:rPr>
                <w:sz w:val="24"/>
              </w:rPr>
            </w:pPr>
            <w:r>
              <w:rPr>
                <w:b/>
                <w:bCs/>
                <w:sz w:val="24"/>
              </w:rPr>
              <w:t>传真</w:t>
            </w:r>
          </w:p>
        </w:tc>
        <w:tc>
          <w:tcPr>
            <w:tcW w:w="1050" w:type="dxa"/>
            <w:gridSpan w:val="2"/>
            <w:vAlign w:val="center"/>
          </w:tcPr>
          <w:p>
            <w:pPr>
              <w:spacing w:line="440" w:lineRule="exact"/>
              <w:jc w:val="center"/>
              <w:rPr>
                <w:sz w:val="24"/>
              </w:rPr>
            </w:pPr>
            <w:r>
              <w:rPr>
                <w:sz w:val="24"/>
              </w:rPr>
              <w:t>/</w:t>
            </w:r>
          </w:p>
        </w:tc>
        <w:tc>
          <w:tcPr>
            <w:tcW w:w="1193" w:type="dxa"/>
            <w:gridSpan w:val="2"/>
            <w:vAlign w:val="center"/>
          </w:tcPr>
          <w:p>
            <w:pPr>
              <w:spacing w:line="440" w:lineRule="exact"/>
              <w:jc w:val="center"/>
              <w:rPr>
                <w:sz w:val="24"/>
              </w:rPr>
            </w:pPr>
            <w:r>
              <w:rPr>
                <w:b/>
                <w:bCs/>
                <w:sz w:val="24"/>
              </w:rPr>
              <w:t>邮政编码</w:t>
            </w:r>
          </w:p>
        </w:tc>
        <w:tc>
          <w:tcPr>
            <w:tcW w:w="1273" w:type="dxa"/>
            <w:gridSpan w:val="2"/>
            <w:vAlign w:val="center"/>
          </w:tcPr>
          <w:p>
            <w:pPr>
              <w:spacing w:line="440" w:lineRule="exact"/>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69" w:type="dxa"/>
            <w:vAlign w:val="center"/>
          </w:tcPr>
          <w:p>
            <w:pPr>
              <w:spacing w:line="440" w:lineRule="exact"/>
              <w:jc w:val="center"/>
              <w:rPr>
                <w:b/>
                <w:bCs/>
                <w:sz w:val="24"/>
              </w:rPr>
            </w:pPr>
            <w:r>
              <w:rPr>
                <w:b/>
                <w:bCs/>
                <w:sz w:val="24"/>
              </w:rPr>
              <w:t>建设地点</w:t>
            </w:r>
          </w:p>
        </w:tc>
        <w:tc>
          <w:tcPr>
            <w:tcW w:w="6353" w:type="dxa"/>
            <w:gridSpan w:val="9"/>
            <w:vAlign w:val="center"/>
          </w:tcPr>
          <w:p>
            <w:pPr>
              <w:spacing w:line="440" w:lineRule="exact"/>
              <w:jc w:val="center"/>
              <w:rPr>
                <w:sz w:val="24"/>
              </w:rPr>
            </w:pPr>
            <w:r>
              <w:rPr>
                <w:rFonts w:hint="eastAsia"/>
                <w:bCs/>
                <w:sz w:val="24"/>
              </w:rPr>
              <w:t>岳阳市湘阴县文星镇漕溪港街道原板桥砖厂处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69" w:type="dxa"/>
            <w:vAlign w:val="center"/>
          </w:tcPr>
          <w:p>
            <w:pPr>
              <w:spacing w:line="440" w:lineRule="exact"/>
              <w:jc w:val="center"/>
              <w:rPr>
                <w:b/>
                <w:bCs/>
                <w:sz w:val="24"/>
              </w:rPr>
            </w:pPr>
            <w:r>
              <w:rPr>
                <w:b/>
                <w:bCs/>
                <w:sz w:val="24"/>
              </w:rPr>
              <w:t>立项审批部门</w:t>
            </w:r>
          </w:p>
        </w:tc>
        <w:tc>
          <w:tcPr>
            <w:tcW w:w="1718" w:type="dxa"/>
            <w:vAlign w:val="center"/>
          </w:tcPr>
          <w:p>
            <w:pPr>
              <w:spacing w:line="440" w:lineRule="exact"/>
              <w:jc w:val="center"/>
              <w:rPr>
                <w:sz w:val="24"/>
              </w:rPr>
            </w:pPr>
          </w:p>
        </w:tc>
        <w:tc>
          <w:tcPr>
            <w:tcW w:w="2308" w:type="dxa"/>
            <w:gridSpan w:val="5"/>
            <w:vAlign w:val="center"/>
          </w:tcPr>
          <w:p>
            <w:pPr>
              <w:spacing w:line="440" w:lineRule="exact"/>
              <w:jc w:val="center"/>
              <w:rPr>
                <w:sz w:val="24"/>
              </w:rPr>
            </w:pPr>
            <w:r>
              <w:rPr>
                <w:b/>
                <w:bCs/>
                <w:sz w:val="24"/>
              </w:rPr>
              <w:t>批准文号</w:t>
            </w:r>
          </w:p>
        </w:tc>
        <w:tc>
          <w:tcPr>
            <w:tcW w:w="2327" w:type="dxa"/>
            <w:gridSpan w:val="3"/>
            <w:vAlign w:val="center"/>
          </w:tcPr>
          <w:p>
            <w:pPr>
              <w:spacing w:line="440" w:lineRule="exact"/>
              <w:jc w:val="center"/>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69" w:type="dxa"/>
            <w:vAlign w:val="center"/>
          </w:tcPr>
          <w:p>
            <w:pPr>
              <w:spacing w:line="440" w:lineRule="exact"/>
              <w:jc w:val="center"/>
              <w:rPr>
                <w:b/>
                <w:bCs/>
                <w:sz w:val="24"/>
              </w:rPr>
            </w:pPr>
            <w:r>
              <w:rPr>
                <w:b/>
                <w:bCs/>
                <w:sz w:val="24"/>
              </w:rPr>
              <w:t>建设性质</w:t>
            </w:r>
          </w:p>
        </w:tc>
        <w:tc>
          <w:tcPr>
            <w:tcW w:w="1718" w:type="dxa"/>
            <w:vAlign w:val="center"/>
          </w:tcPr>
          <w:p>
            <w:pPr>
              <w:spacing w:line="440" w:lineRule="exact"/>
              <w:jc w:val="center"/>
              <w:rPr>
                <w:sz w:val="24"/>
              </w:rPr>
            </w:pPr>
            <w:r>
              <w:rPr>
                <w:rFonts w:hint="eastAsia"/>
                <w:sz w:val="24"/>
              </w:rPr>
              <w:t>新建</w:t>
            </w:r>
          </w:p>
        </w:tc>
        <w:tc>
          <w:tcPr>
            <w:tcW w:w="2308" w:type="dxa"/>
            <w:gridSpan w:val="5"/>
            <w:vAlign w:val="center"/>
          </w:tcPr>
          <w:p>
            <w:pPr>
              <w:spacing w:line="440" w:lineRule="exact"/>
              <w:jc w:val="center"/>
              <w:rPr>
                <w:b/>
                <w:bCs/>
                <w:sz w:val="24"/>
              </w:rPr>
            </w:pPr>
            <w:r>
              <w:rPr>
                <w:b/>
                <w:bCs/>
                <w:sz w:val="24"/>
              </w:rPr>
              <w:t>行业类别及代码</w:t>
            </w:r>
          </w:p>
        </w:tc>
        <w:tc>
          <w:tcPr>
            <w:tcW w:w="2327" w:type="dxa"/>
            <w:gridSpan w:val="3"/>
            <w:vAlign w:val="center"/>
          </w:tcPr>
          <w:p>
            <w:pPr>
              <w:spacing w:line="440" w:lineRule="exact"/>
              <w:jc w:val="center"/>
              <w:rPr>
                <w:sz w:val="24"/>
              </w:rPr>
            </w:pPr>
            <w:r>
              <w:rPr>
                <w:sz w:val="24"/>
              </w:rPr>
              <w:t>C3039 其他建筑</w:t>
            </w:r>
          </w:p>
          <w:p>
            <w:pPr>
              <w:spacing w:line="440" w:lineRule="exact"/>
              <w:jc w:val="center"/>
              <w:rPr>
                <w:sz w:val="24"/>
                <w:u w:val="single"/>
              </w:rPr>
            </w:pPr>
            <w:r>
              <w:rPr>
                <w:sz w:val="24"/>
              </w:rPr>
              <w:t>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69" w:type="dxa"/>
            <w:vAlign w:val="center"/>
          </w:tcPr>
          <w:p>
            <w:pPr>
              <w:spacing w:line="440" w:lineRule="exact"/>
              <w:jc w:val="center"/>
              <w:rPr>
                <w:b/>
                <w:bCs/>
                <w:spacing w:val="-6"/>
                <w:sz w:val="24"/>
              </w:rPr>
            </w:pPr>
            <w:r>
              <w:rPr>
                <w:rFonts w:hint="eastAsia"/>
                <w:b/>
                <w:bCs/>
                <w:spacing w:val="-6"/>
                <w:sz w:val="24"/>
              </w:rPr>
              <w:t>租赁</w:t>
            </w:r>
            <w:r>
              <w:rPr>
                <w:b/>
                <w:bCs/>
                <w:spacing w:val="-6"/>
                <w:sz w:val="24"/>
              </w:rPr>
              <w:t>面积</w:t>
            </w:r>
          </w:p>
          <w:p>
            <w:pPr>
              <w:spacing w:line="440" w:lineRule="exact"/>
              <w:jc w:val="center"/>
              <w:rPr>
                <w:b/>
                <w:bCs/>
                <w:spacing w:val="-6"/>
                <w:sz w:val="24"/>
              </w:rPr>
            </w:pPr>
            <w:r>
              <w:rPr>
                <w:b/>
                <w:bCs/>
                <w:spacing w:val="-6"/>
                <w:sz w:val="24"/>
              </w:rPr>
              <w:t>(平方米)</w:t>
            </w:r>
          </w:p>
        </w:tc>
        <w:tc>
          <w:tcPr>
            <w:tcW w:w="1718" w:type="dxa"/>
            <w:vAlign w:val="center"/>
          </w:tcPr>
          <w:p>
            <w:pPr>
              <w:spacing w:line="440" w:lineRule="exact"/>
              <w:jc w:val="center"/>
              <w:rPr>
                <w:sz w:val="24"/>
              </w:rPr>
            </w:pPr>
            <w:r>
              <w:rPr>
                <w:sz w:val="24"/>
              </w:rPr>
              <w:t>33350</w:t>
            </w:r>
          </w:p>
        </w:tc>
        <w:tc>
          <w:tcPr>
            <w:tcW w:w="2308" w:type="dxa"/>
            <w:gridSpan w:val="5"/>
            <w:vAlign w:val="center"/>
          </w:tcPr>
          <w:p>
            <w:pPr>
              <w:spacing w:line="440" w:lineRule="exact"/>
              <w:jc w:val="center"/>
              <w:rPr>
                <w:b/>
                <w:bCs/>
                <w:sz w:val="24"/>
              </w:rPr>
            </w:pPr>
            <w:r>
              <w:rPr>
                <w:b/>
                <w:bCs/>
                <w:sz w:val="24"/>
              </w:rPr>
              <w:t>绿化面积 (平方米)</w:t>
            </w:r>
          </w:p>
        </w:tc>
        <w:tc>
          <w:tcPr>
            <w:tcW w:w="2327" w:type="dxa"/>
            <w:gridSpan w:val="3"/>
            <w:vAlign w:val="center"/>
          </w:tcPr>
          <w:p>
            <w:pPr>
              <w:spacing w:line="440" w:lineRule="exact"/>
              <w:jc w:val="center"/>
              <w:rPr>
                <w:sz w:val="24"/>
              </w:rPr>
            </w:pPr>
            <w:r>
              <w:rPr>
                <w:rFonts w:hint="eastAsia"/>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2169" w:type="dxa"/>
            <w:vAlign w:val="center"/>
          </w:tcPr>
          <w:p>
            <w:pPr>
              <w:spacing w:line="440" w:lineRule="exact"/>
              <w:jc w:val="center"/>
              <w:rPr>
                <w:b/>
                <w:bCs/>
                <w:sz w:val="24"/>
              </w:rPr>
            </w:pPr>
            <w:r>
              <w:rPr>
                <w:b/>
                <w:bCs/>
                <w:sz w:val="24"/>
              </w:rPr>
              <w:t>总投资(万元)</w:t>
            </w:r>
          </w:p>
        </w:tc>
        <w:tc>
          <w:tcPr>
            <w:tcW w:w="1718" w:type="dxa"/>
            <w:vAlign w:val="center"/>
          </w:tcPr>
          <w:p>
            <w:pPr>
              <w:spacing w:line="440" w:lineRule="exact"/>
              <w:jc w:val="center"/>
              <w:rPr>
                <w:sz w:val="24"/>
              </w:rPr>
            </w:pPr>
            <w:r>
              <w:rPr>
                <w:sz w:val="24"/>
              </w:rPr>
              <w:t>2600</w:t>
            </w:r>
          </w:p>
        </w:tc>
        <w:tc>
          <w:tcPr>
            <w:tcW w:w="1476" w:type="dxa"/>
            <w:gridSpan w:val="3"/>
            <w:vAlign w:val="center"/>
          </w:tcPr>
          <w:p>
            <w:pPr>
              <w:spacing w:line="440" w:lineRule="exact"/>
              <w:jc w:val="center"/>
              <w:rPr>
                <w:sz w:val="24"/>
              </w:rPr>
            </w:pPr>
            <w:r>
              <w:rPr>
                <w:b/>
                <w:bCs/>
                <w:sz w:val="24"/>
              </w:rPr>
              <w:t>其中：环保投资(万元)</w:t>
            </w:r>
          </w:p>
        </w:tc>
        <w:tc>
          <w:tcPr>
            <w:tcW w:w="832" w:type="dxa"/>
            <w:gridSpan w:val="2"/>
            <w:vAlign w:val="center"/>
          </w:tcPr>
          <w:p>
            <w:pPr>
              <w:spacing w:line="440" w:lineRule="exact"/>
              <w:jc w:val="center"/>
              <w:rPr>
                <w:sz w:val="24"/>
              </w:rPr>
            </w:pPr>
            <w:r>
              <w:rPr>
                <w:sz w:val="24"/>
              </w:rPr>
              <w:t>65</w:t>
            </w:r>
          </w:p>
        </w:tc>
        <w:tc>
          <w:tcPr>
            <w:tcW w:w="1508" w:type="dxa"/>
            <w:gridSpan w:val="2"/>
            <w:vAlign w:val="center"/>
          </w:tcPr>
          <w:p>
            <w:pPr>
              <w:spacing w:line="440" w:lineRule="exact"/>
              <w:jc w:val="center"/>
              <w:rPr>
                <w:sz w:val="24"/>
              </w:rPr>
            </w:pPr>
            <w:r>
              <w:rPr>
                <w:b/>
                <w:bCs/>
                <w:sz w:val="24"/>
              </w:rPr>
              <w:t>环保投资占总投资比例</w:t>
            </w:r>
          </w:p>
        </w:tc>
        <w:tc>
          <w:tcPr>
            <w:tcW w:w="819" w:type="dxa"/>
            <w:vAlign w:val="center"/>
          </w:tcPr>
          <w:p>
            <w:pPr>
              <w:spacing w:line="440" w:lineRule="exact"/>
              <w:rPr>
                <w:sz w:val="24"/>
              </w:rPr>
            </w:pPr>
            <w:r>
              <w:rPr>
                <w:sz w:val="24"/>
              </w:rPr>
              <w:t>2.5</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2169" w:type="dxa"/>
            <w:vAlign w:val="center"/>
          </w:tcPr>
          <w:p>
            <w:pPr>
              <w:spacing w:line="440" w:lineRule="exact"/>
              <w:jc w:val="center"/>
              <w:rPr>
                <w:b/>
                <w:bCs/>
                <w:sz w:val="24"/>
              </w:rPr>
            </w:pPr>
            <w:r>
              <w:rPr>
                <w:b/>
                <w:bCs/>
                <w:sz w:val="24"/>
              </w:rPr>
              <w:t>评价经费</w:t>
            </w:r>
          </w:p>
          <w:p>
            <w:pPr>
              <w:spacing w:line="440" w:lineRule="exact"/>
              <w:jc w:val="center"/>
              <w:rPr>
                <w:b/>
                <w:bCs/>
                <w:sz w:val="24"/>
              </w:rPr>
            </w:pPr>
            <w:r>
              <w:rPr>
                <w:b/>
                <w:bCs/>
                <w:sz w:val="24"/>
              </w:rPr>
              <w:t>(万元)</w:t>
            </w:r>
          </w:p>
        </w:tc>
        <w:tc>
          <w:tcPr>
            <w:tcW w:w="1718" w:type="dxa"/>
            <w:vAlign w:val="center"/>
          </w:tcPr>
          <w:p>
            <w:pPr>
              <w:spacing w:line="440" w:lineRule="exact"/>
              <w:jc w:val="center"/>
              <w:rPr>
                <w:sz w:val="24"/>
              </w:rPr>
            </w:pPr>
            <w:r>
              <w:rPr>
                <w:sz w:val="24"/>
              </w:rPr>
              <w:t>/</w:t>
            </w:r>
          </w:p>
        </w:tc>
        <w:tc>
          <w:tcPr>
            <w:tcW w:w="1476" w:type="dxa"/>
            <w:gridSpan w:val="3"/>
            <w:vAlign w:val="center"/>
          </w:tcPr>
          <w:p>
            <w:pPr>
              <w:spacing w:line="440" w:lineRule="exact"/>
              <w:jc w:val="center"/>
              <w:rPr>
                <w:b/>
                <w:bCs/>
                <w:sz w:val="24"/>
              </w:rPr>
            </w:pPr>
            <w:r>
              <w:rPr>
                <w:b/>
                <w:bCs/>
                <w:sz w:val="24"/>
              </w:rPr>
              <w:t>预计投产</w:t>
            </w:r>
          </w:p>
          <w:p>
            <w:pPr>
              <w:spacing w:line="440" w:lineRule="exact"/>
              <w:jc w:val="center"/>
              <w:rPr>
                <w:sz w:val="24"/>
              </w:rPr>
            </w:pPr>
            <w:r>
              <w:rPr>
                <w:b/>
                <w:bCs/>
                <w:sz w:val="24"/>
              </w:rPr>
              <w:t>日期</w:t>
            </w:r>
          </w:p>
        </w:tc>
        <w:tc>
          <w:tcPr>
            <w:tcW w:w="3159" w:type="dxa"/>
            <w:gridSpan w:val="5"/>
            <w:vAlign w:val="center"/>
          </w:tcPr>
          <w:p>
            <w:pPr>
              <w:spacing w:line="440" w:lineRule="exact"/>
              <w:jc w:val="center"/>
              <w:rPr>
                <w:color w:val="0000FF"/>
                <w:sz w:val="24"/>
              </w:rPr>
            </w:pPr>
            <w:r>
              <w:rPr>
                <w:sz w:val="24"/>
              </w:rPr>
              <w:t>2019.8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8522" w:type="dxa"/>
            <w:gridSpan w:val="10"/>
          </w:tcPr>
          <w:p>
            <w:pPr>
              <w:spacing w:line="360" w:lineRule="auto"/>
              <w:rPr>
                <w:sz w:val="24"/>
              </w:rPr>
            </w:pPr>
            <w:r>
              <w:rPr>
                <w:b/>
                <w:sz w:val="24"/>
              </w:rPr>
              <w:t>工程内容及规模</w:t>
            </w:r>
            <w:r>
              <w:rPr>
                <w:sz w:val="24"/>
              </w:rPr>
              <w:t>：</w:t>
            </w:r>
          </w:p>
          <w:p>
            <w:pPr>
              <w:snapToGrid w:val="0"/>
              <w:spacing w:line="360" w:lineRule="auto"/>
              <w:ind w:firstLine="482" w:firstLineChars="200"/>
              <w:rPr>
                <w:b/>
                <w:bCs/>
                <w:sz w:val="24"/>
              </w:rPr>
            </w:pPr>
            <w:r>
              <w:rPr>
                <w:b/>
                <w:bCs/>
                <w:sz w:val="24"/>
              </w:rPr>
              <w:t>1、项目由来</w:t>
            </w:r>
          </w:p>
          <w:p>
            <w:pPr>
              <w:widowControl/>
              <w:adjustRightInd w:val="0"/>
              <w:snapToGrid w:val="0"/>
              <w:spacing w:line="360" w:lineRule="auto"/>
              <w:ind w:firstLine="480" w:firstLineChars="200"/>
              <w:rPr>
                <w:kern w:val="0"/>
                <w:sz w:val="24"/>
                <w:szCs w:val="20"/>
              </w:rPr>
            </w:pPr>
            <w:r>
              <w:rPr>
                <w:kern w:val="0"/>
                <w:sz w:val="24"/>
                <w:szCs w:val="20"/>
                <w:u w:val="single"/>
              </w:rPr>
              <w:t>近年来，</w:t>
            </w:r>
            <w:r>
              <w:rPr>
                <w:rFonts w:hint="eastAsia"/>
                <w:kern w:val="0"/>
                <w:sz w:val="24"/>
                <w:szCs w:val="20"/>
                <w:u w:val="single"/>
              </w:rPr>
              <w:t>再生</w:t>
            </w:r>
            <w:r>
              <w:rPr>
                <w:kern w:val="0"/>
                <w:sz w:val="24"/>
                <w:szCs w:val="20"/>
                <w:u w:val="single"/>
              </w:rPr>
              <w:t>砂浆作为继预拌混凝土之后的又一新型绿色建筑材料，由于其具有节约资源、保护环境、确保建筑工程质量、实现资源再利用等方面的优良性能， 已逐步被人们所认知和重视。</w:t>
            </w:r>
            <w:r>
              <w:rPr>
                <w:rFonts w:hint="eastAsia"/>
                <w:kern w:val="0"/>
                <w:sz w:val="24"/>
                <w:szCs w:val="20"/>
                <w:u w:val="single"/>
              </w:rPr>
              <w:t>再生</w:t>
            </w:r>
            <w:r>
              <w:rPr>
                <w:kern w:val="0"/>
                <w:sz w:val="24"/>
                <w:szCs w:val="20"/>
                <w:u w:val="single"/>
              </w:rPr>
              <w:t>砂浆适应了现代建筑业发展的需要，是一种具有优良特性的新型建筑砂浆，市场潜力巨大，效益非常可观</w:t>
            </w:r>
            <w:r>
              <w:rPr>
                <w:kern w:val="0"/>
                <w:sz w:val="24"/>
                <w:szCs w:val="20"/>
              </w:rPr>
              <w:t>。在此背景下，根据市场发展需求，</w:t>
            </w:r>
            <w:r>
              <w:rPr>
                <w:rFonts w:hint="eastAsia"/>
                <w:bCs/>
                <w:sz w:val="24"/>
              </w:rPr>
              <w:t>湘阴县顽石再生科技有限公司</w:t>
            </w:r>
            <w:r>
              <w:rPr>
                <w:kern w:val="0"/>
                <w:sz w:val="24"/>
                <w:szCs w:val="20"/>
              </w:rPr>
              <w:t>拟投资2600万元，在</w:t>
            </w:r>
            <w:r>
              <w:rPr>
                <w:rFonts w:hint="eastAsia"/>
                <w:bCs/>
                <w:kern w:val="0"/>
                <w:sz w:val="24"/>
                <w:szCs w:val="20"/>
              </w:rPr>
              <w:t>岳阳市湘阴县文星镇漕溪港街道原板桥砖厂处</w:t>
            </w:r>
            <w:r>
              <w:rPr>
                <w:kern w:val="0"/>
                <w:sz w:val="24"/>
                <w:szCs w:val="20"/>
              </w:rPr>
              <w:t>建设</w:t>
            </w:r>
            <w:r>
              <w:rPr>
                <w:rFonts w:hint="eastAsia"/>
                <w:kern w:val="0"/>
                <w:sz w:val="24"/>
                <w:szCs w:val="20"/>
                <w:u w:val="single"/>
              </w:rPr>
              <w:t>利用建筑垃圾等废弃资源年产30万吨预拌砂浆项目</w:t>
            </w:r>
            <w:r>
              <w:rPr>
                <w:kern w:val="0"/>
                <w:sz w:val="24"/>
                <w:szCs w:val="20"/>
              </w:rPr>
              <w:t>，以满足当前行业快速发展和企业自身发展的需求</w:t>
            </w:r>
            <w:r>
              <w:rPr>
                <w:rFonts w:hint="eastAsia"/>
                <w:kern w:val="0"/>
                <w:sz w:val="24"/>
                <w:szCs w:val="20"/>
              </w:rPr>
              <w:t>（</w:t>
            </w:r>
            <w:r>
              <w:rPr>
                <w:rFonts w:hint="eastAsia"/>
                <w:kern w:val="0"/>
                <w:sz w:val="24"/>
                <w:szCs w:val="20"/>
                <w:u w:val="single"/>
              </w:rPr>
              <w:t>本项目不直接进行山砂、河沙的清洗</w:t>
            </w:r>
            <w:r>
              <w:rPr>
                <w:rFonts w:hint="eastAsia"/>
                <w:kern w:val="0"/>
                <w:sz w:val="24"/>
                <w:szCs w:val="20"/>
              </w:rPr>
              <w:t>）。</w:t>
            </w:r>
          </w:p>
          <w:p>
            <w:pPr>
              <w:widowControl/>
              <w:adjustRightInd w:val="0"/>
              <w:snapToGrid w:val="0"/>
              <w:spacing w:line="360" w:lineRule="auto"/>
              <w:ind w:firstLine="480" w:firstLineChars="200"/>
              <w:rPr>
                <w:kern w:val="0"/>
                <w:sz w:val="24"/>
                <w:szCs w:val="20"/>
              </w:rPr>
            </w:pPr>
            <w:r>
              <w:rPr>
                <w:rFonts w:hint="eastAsia"/>
                <w:kern w:val="0"/>
                <w:sz w:val="24"/>
                <w:szCs w:val="20"/>
              </w:rPr>
              <w:t>依据国务院253号《建设项目环境保护管理条例》、《中华人民共和国环境影响评价法》及其它法律法规的要求，项目需进行环境影响评价。《建设项目环境影响评价分类管理名录》（中华人民共和国环境保护部第33号令，2018年4月修订）相关规定：本项目属“十九、非金属矿物制品业—5</w:t>
            </w:r>
            <w:r>
              <w:rPr>
                <w:kern w:val="0"/>
                <w:sz w:val="24"/>
                <w:szCs w:val="20"/>
              </w:rPr>
              <w:t>7防水建筑材料制造、沥青搅拌站</w:t>
            </w:r>
            <w:r>
              <w:rPr>
                <w:rFonts w:hint="eastAsia"/>
                <w:kern w:val="0"/>
                <w:sz w:val="24"/>
                <w:szCs w:val="20"/>
              </w:rPr>
              <w:t>、干粉砂浆搅拌站”，应编制报告表。因此，本项目需要编制“环境影响报告表”。</w:t>
            </w:r>
          </w:p>
          <w:p>
            <w:pPr>
              <w:snapToGrid w:val="0"/>
              <w:spacing w:line="360" w:lineRule="auto"/>
              <w:ind w:firstLine="480" w:firstLineChars="200"/>
              <w:rPr>
                <w:kern w:val="0"/>
                <w:sz w:val="24"/>
                <w:szCs w:val="20"/>
                <w:u w:val="single"/>
              </w:rPr>
            </w:pPr>
            <w:r>
              <w:rPr>
                <w:rFonts w:hint="eastAsia"/>
                <w:kern w:val="0"/>
                <w:sz w:val="24"/>
                <w:szCs w:val="20"/>
              </w:rPr>
              <w:t>建设单位特委托湖南志远环境咨询服务有限公司就该项目进行环境影响评价工作。现根据国家相关文件和业主提供的相关资料，我公司技术人员经过现场实地踏勘，依据相关环评技术规范，编制完成本项目环评报告表。</w:t>
            </w:r>
          </w:p>
          <w:p>
            <w:pPr>
              <w:snapToGrid w:val="0"/>
              <w:spacing w:line="360" w:lineRule="auto"/>
              <w:ind w:firstLine="482" w:firstLineChars="200"/>
              <w:rPr>
                <w:b/>
                <w:bCs/>
                <w:sz w:val="24"/>
              </w:rPr>
            </w:pPr>
            <w:r>
              <w:rPr>
                <w:b/>
                <w:bCs/>
                <w:sz w:val="24"/>
              </w:rPr>
              <w:t>2、项目建设地点</w:t>
            </w:r>
          </w:p>
          <w:p>
            <w:pPr>
              <w:widowControl/>
              <w:adjustRightInd w:val="0"/>
              <w:snapToGrid w:val="0"/>
              <w:spacing w:line="360" w:lineRule="auto"/>
              <w:ind w:firstLine="480" w:firstLineChars="200"/>
              <w:rPr>
                <w:sz w:val="24"/>
              </w:rPr>
            </w:pPr>
            <w:r>
              <w:rPr>
                <w:sz w:val="24"/>
              </w:rPr>
              <w:t>本项目位于</w:t>
            </w:r>
            <w:r>
              <w:rPr>
                <w:rFonts w:hint="eastAsia"/>
                <w:bCs/>
                <w:sz w:val="24"/>
              </w:rPr>
              <w:t>岳阳市湘阴县文星镇漕溪港街道原板桥砖厂处</w:t>
            </w:r>
            <w:r>
              <w:rPr>
                <w:sz w:val="24"/>
              </w:rPr>
              <w:t>。周围地理位置优越，交通便利。详细地理位置见附图。</w:t>
            </w:r>
          </w:p>
          <w:p>
            <w:pPr>
              <w:snapToGrid w:val="0"/>
              <w:spacing w:line="360" w:lineRule="auto"/>
              <w:ind w:firstLine="482" w:firstLineChars="200"/>
              <w:outlineLvl w:val="1"/>
              <w:rPr>
                <w:bCs/>
                <w:sz w:val="24"/>
              </w:rPr>
            </w:pPr>
            <w:bookmarkStart w:id="1" w:name="_Toc3906320"/>
            <w:r>
              <w:rPr>
                <w:b/>
                <w:bCs/>
                <w:sz w:val="24"/>
              </w:rPr>
              <w:t>3、项目投资及环保投资</w:t>
            </w:r>
            <w:bookmarkEnd w:id="1"/>
          </w:p>
          <w:p>
            <w:pPr>
              <w:snapToGrid w:val="0"/>
              <w:spacing w:line="360" w:lineRule="auto"/>
              <w:ind w:firstLine="480" w:firstLineChars="200"/>
              <w:rPr>
                <w:sz w:val="24"/>
              </w:rPr>
            </w:pPr>
            <w:r>
              <w:rPr>
                <w:sz w:val="24"/>
              </w:rPr>
              <w:t>项目总投资2600万元，其中环保投资65万元，占总投资2.5%。</w:t>
            </w:r>
          </w:p>
          <w:p>
            <w:pPr>
              <w:snapToGrid w:val="0"/>
              <w:spacing w:line="360" w:lineRule="auto"/>
              <w:ind w:firstLine="482" w:firstLineChars="200"/>
              <w:rPr>
                <w:b/>
                <w:bCs/>
                <w:sz w:val="24"/>
              </w:rPr>
            </w:pPr>
            <w:r>
              <w:rPr>
                <w:b/>
                <w:bCs/>
                <w:sz w:val="24"/>
              </w:rPr>
              <w:t>4、建设内容及规模</w:t>
            </w:r>
          </w:p>
          <w:p>
            <w:pPr>
              <w:widowControl/>
              <w:adjustRightInd w:val="0"/>
              <w:snapToGrid w:val="0"/>
              <w:spacing w:line="360" w:lineRule="auto"/>
              <w:ind w:firstLine="480" w:firstLineChars="200"/>
              <w:rPr>
                <w:bCs/>
                <w:sz w:val="24"/>
              </w:rPr>
            </w:pPr>
            <w:r>
              <w:rPr>
                <w:bCs/>
                <w:sz w:val="24"/>
              </w:rPr>
              <w:t>本项目位于</w:t>
            </w:r>
            <w:r>
              <w:rPr>
                <w:rFonts w:hint="eastAsia"/>
                <w:bCs/>
                <w:sz w:val="24"/>
              </w:rPr>
              <w:t>岳阳市湘阴县文星镇漕溪港街道原板桥砖厂处，规划总用地面积2</w:t>
            </w:r>
            <w:r>
              <w:rPr>
                <w:bCs/>
                <w:sz w:val="24"/>
              </w:rPr>
              <w:t>8953.93</w:t>
            </w:r>
            <w:r>
              <w:rPr>
                <w:rFonts w:hint="eastAsia"/>
                <w:bCs/>
                <w:sz w:val="24"/>
              </w:rPr>
              <w:t>平方米，总建筑面积2</w:t>
            </w:r>
            <w:r>
              <w:rPr>
                <w:bCs/>
                <w:sz w:val="24"/>
              </w:rPr>
              <w:t>3238.00</w:t>
            </w:r>
            <w:r>
              <w:rPr>
                <w:rFonts w:hint="eastAsia"/>
                <w:bCs/>
                <w:sz w:val="24"/>
              </w:rPr>
              <w:t>平方木，</w:t>
            </w:r>
            <w:r>
              <w:rPr>
                <w:bCs/>
                <w:sz w:val="24"/>
              </w:rPr>
              <w:t>另有</w:t>
            </w:r>
            <w:r>
              <w:rPr>
                <w:rFonts w:hint="eastAsia"/>
                <w:bCs/>
                <w:sz w:val="24"/>
              </w:rPr>
              <w:t>厨房、宿舍</w:t>
            </w:r>
            <w:r>
              <w:rPr>
                <w:bCs/>
                <w:sz w:val="24"/>
              </w:rPr>
              <w:t>等配套工程。</w:t>
            </w:r>
          </w:p>
          <w:p>
            <w:pPr>
              <w:widowControl/>
              <w:adjustRightInd w:val="0"/>
              <w:snapToGrid w:val="0"/>
              <w:spacing w:line="360" w:lineRule="auto"/>
              <w:ind w:firstLine="480" w:firstLineChars="200"/>
              <w:rPr>
                <w:kern w:val="0"/>
                <w:sz w:val="24"/>
              </w:rPr>
            </w:pPr>
            <w:r>
              <w:rPr>
                <w:sz w:val="24"/>
              </w:rPr>
              <w:t>项目建设具体内容及规模见表1，</w:t>
            </w:r>
            <w:r>
              <w:rPr>
                <w:rFonts w:hint="eastAsia"/>
                <w:sz w:val="24"/>
              </w:rPr>
              <w:t>产品方案</w:t>
            </w:r>
            <w:r>
              <w:rPr>
                <w:sz w:val="24"/>
              </w:rPr>
              <w:t>见表2</w:t>
            </w:r>
            <w:r>
              <w:rPr>
                <w:kern w:val="0"/>
                <w:sz w:val="24"/>
              </w:rPr>
              <w:t>。</w:t>
            </w:r>
          </w:p>
          <w:p>
            <w:pPr>
              <w:jc w:val="center"/>
              <w:rPr>
                <w:b/>
                <w:color w:val="000000"/>
                <w:sz w:val="21"/>
                <w:szCs w:val="20"/>
              </w:rPr>
            </w:pPr>
            <w:r>
              <w:rPr>
                <w:b/>
                <w:color w:val="000000"/>
                <w:sz w:val="21"/>
                <w:szCs w:val="20"/>
              </w:rPr>
              <w:t>表1   项目主要建构筑物一览表</w:t>
            </w:r>
          </w:p>
          <w:tbl>
            <w:tblPr>
              <w:tblStyle w:val="18"/>
              <w:tblW w:w="8276" w:type="dxa"/>
              <w:jc w:val="center"/>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
            <w:tblGrid>
              <w:gridCol w:w="888"/>
              <w:gridCol w:w="643"/>
              <w:gridCol w:w="1039"/>
              <w:gridCol w:w="692"/>
              <w:gridCol w:w="2431"/>
              <w:gridCol w:w="137"/>
              <w:gridCol w:w="1223"/>
              <w:gridCol w:w="1223"/>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397" w:hRule="atLeast"/>
                <w:jc w:val="center"/>
              </w:trPr>
              <w:tc>
                <w:tcPr>
                  <w:tcW w:w="888" w:type="dxa"/>
                  <w:tcBorders>
                    <w:top w:val="single" w:color="auto" w:sz="12" w:space="0"/>
                  </w:tcBorders>
                  <w:vAlign w:val="center"/>
                </w:tcPr>
                <w:p>
                  <w:pPr>
                    <w:widowControl/>
                    <w:spacing w:line="360" w:lineRule="exact"/>
                    <w:jc w:val="center"/>
                    <w:rPr>
                      <w:kern w:val="0"/>
                      <w:sz w:val="21"/>
                      <w:szCs w:val="21"/>
                    </w:rPr>
                  </w:pPr>
                  <w:r>
                    <w:rPr>
                      <w:kern w:val="0"/>
                      <w:sz w:val="21"/>
                      <w:szCs w:val="21"/>
                    </w:rPr>
                    <w:t>工程类别</w:t>
                  </w:r>
                </w:p>
              </w:tc>
              <w:tc>
                <w:tcPr>
                  <w:tcW w:w="1682" w:type="dxa"/>
                  <w:gridSpan w:val="2"/>
                  <w:tcBorders>
                    <w:top w:val="single" w:color="auto" w:sz="12" w:space="0"/>
                  </w:tcBorders>
                  <w:vAlign w:val="center"/>
                </w:tcPr>
                <w:p>
                  <w:pPr>
                    <w:widowControl/>
                    <w:spacing w:line="360" w:lineRule="exact"/>
                    <w:jc w:val="center"/>
                    <w:rPr>
                      <w:kern w:val="0"/>
                      <w:sz w:val="21"/>
                      <w:szCs w:val="21"/>
                    </w:rPr>
                  </w:pPr>
                  <w:r>
                    <w:rPr>
                      <w:kern w:val="0"/>
                      <w:sz w:val="21"/>
                      <w:szCs w:val="21"/>
                    </w:rPr>
                    <w:t>项目名称</w:t>
                  </w:r>
                </w:p>
              </w:tc>
              <w:tc>
                <w:tcPr>
                  <w:tcW w:w="3260" w:type="dxa"/>
                  <w:gridSpan w:val="3"/>
                  <w:tcBorders>
                    <w:top w:val="single" w:color="auto" w:sz="12" w:space="0"/>
                  </w:tcBorders>
                  <w:vAlign w:val="center"/>
                </w:tcPr>
                <w:p>
                  <w:pPr>
                    <w:widowControl/>
                    <w:spacing w:line="360" w:lineRule="exact"/>
                    <w:jc w:val="center"/>
                    <w:rPr>
                      <w:kern w:val="0"/>
                      <w:sz w:val="21"/>
                      <w:szCs w:val="21"/>
                    </w:rPr>
                  </w:pPr>
                  <w:r>
                    <w:rPr>
                      <w:kern w:val="0"/>
                      <w:sz w:val="21"/>
                      <w:szCs w:val="21"/>
                    </w:rPr>
                    <w:t>建设内容</w:t>
                  </w:r>
                </w:p>
              </w:tc>
              <w:tc>
                <w:tcPr>
                  <w:tcW w:w="1223" w:type="dxa"/>
                  <w:tcBorders>
                    <w:top w:val="single" w:color="auto" w:sz="12" w:space="0"/>
                  </w:tcBorders>
                  <w:vAlign w:val="center"/>
                </w:tcPr>
                <w:p>
                  <w:pPr>
                    <w:widowControl/>
                    <w:spacing w:line="360" w:lineRule="exact"/>
                    <w:jc w:val="center"/>
                    <w:rPr>
                      <w:kern w:val="0"/>
                      <w:sz w:val="21"/>
                      <w:szCs w:val="21"/>
                    </w:rPr>
                  </w:pPr>
                  <w:r>
                    <w:rPr>
                      <w:kern w:val="0"/>
                      <w:sz w:val="21"/>
                      <w:szCs w:val="21"/>
                    </w:rPr>
                    <w:t>工程规模/设计能力</w:t>
                  </w:r>
                </w:p>
              </w:tc>
              <w:tc>
                <w:tcPr>
                  <w:tcW w:w="1223" w:type="dxa"/>
                  <w:tcBorders>
                    <w:top w:val="single" w:color="auto" w:sz="12" w:space="0"/>
                  </w:tcBorders>
                  <w:vAlign w:val="center"/>
                </w:tcPr>
                <w:p>
                  <w:pPr>
                    <w:widowControl/>
                    <w:spacing w:line="360" w:lineRule="exact"/>
                    <w:jc w:val="center"/>
                    <w:rPr>
                      <w:kern w:val="0"/>
                      <w:sz w:val="21"/>
                      <w:szCs w:val="21"/>
                    </w:rPr>
                  </w:pPr>
                  <w:r>
                    <w:rPr>
                      <w:rFonts w:hint="eastAsia"/>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762" w:hRule="atLeast"/>
                <w:jc w:val="center"/>
              </w:trPr>
              <w:tc>
                <w:tcPr>
                  <w:tcW w:w="888" w:type="dxa"/>
                  <w:vMerge w:val="restart"/>
                  <w:vAlign w:val="center"/>
                </w:tcPr>
                <w:p>
                  <w:pPr>
                    <w:widowControl/>
                    <w:spacing w:line="360" w:lineRule="exact"/>
                    <w:jc w:val="center"/>
                    <w:rPr>
                      <w:kern w:val="0"/>
                      <w:sz w:val="21"/>
                      <w:szCs w:val="21"/>
                    </w:rPr>
                  </w:pPr>
                  <w:r>
                    <w:rPr>
                      <w:kern w:val="0"/>
                      <w:sz w:val="21"/>
                      <w:szCs w:val="21"/>
                    </w:rPr>
                    <w:t>主体工程</w:t>
                  </w:r>
                </w:p>
              </w:tc>
              <w:tc>
                <w:tcPr>
                  <w:tcW w:w="1682" w:type="dxa"/>
                  <w:gridSpan w:val="2"/>
                  <w:vAlign w:val="center"/>
                </w:tcPr>
                <w:p>
                  <w:pPr>
                    <w:jc w:val="center"/>
                    <w:rPr>
                      <w:color w:val="000000"/>
                      <w:kern w:val="0"/>
                      <w:sz w:val="21"/>
                      <w:szCs w:val="21"/>
                    </w:rPr>
                  </w:pPr>
                  <w:r>
                    <w:rPr>
                      <w:rFonts w:hint="eastAsia"/>
                      <w:sz w:val="21"/>
                      <w:szCs w:val="21"/>
                    </w:rPr>
                    <w:t>预拌砂浆厂房</w:t>
                  </w:r>
                </w:p>
              </w:tc>
              <w:tc>
                <w:tcPr>
                  <w:tcW w:w="3260" w:type="dxa"/>
                  <w:gridSpan w:val="3"/>
                  <w:vAlign w:val="center"/>
                </w:tcPr>
                <w:p>
                  <w:pPr>
                    <w:jc w:val="center"/>
                    <w:rPr>
                      <w:color w:val="000000"/>
                      <w:kern w:val="0"/>
                      <w:sz w:val="21"/>
                      <w:szCs w:val="21"/>
                    </w:rPr>
                  </w:pPr>
                  <w:r>
                    <w:rPr>
                      <w:sz w:val="21"/>
                      <w:szCs w:val="21"/>
                    </w:rPr>
                    <w:t>1</w:t>
                  </w:r>
                  <w:r>
                    <w:rPr>
                      <w:rFonts w:hint="eastAsia"/>
                      <w:sz w:val="21"/>
                      <w:szCs w:val="21"/>
                    </w:rPr>
                    <w:t>层厂房</w:t>
                  </w:r>
                </w:p>
              </w:tc>
              <w:tc>
                <w:tcPr>
                  <w:tcW w:w="1223" w:type="dxa"/>
                  <w:vAlign w:val="center"/>
                </w:tcPr>
                <w:p>
                  <w:pPr>
                    <w:jc w:val="center"/>
                    <w:rPr>
                      <w:color w:val="000000"/>
                      <w:kern w:val="0"/>
                      <w:sz w:val="21"/>
                      <w:szCs w:val="21"/>
                    </w:rPr>
                  </w:pPr>
                  <w:r>
                    <w:rPr>
                      <w:color w:val="000000"/>
                      <w:kern w:val="0"/>
                      <w:sz w:val="21"/>
                      <w:szCs w:val="21"/>
                    </w:rPr>
                    <w:t>5600</w:t>
                  </w:r>
                  <w:r>
                    <w:rPr>
                      <w:rFonts w:hint="eastAsia"/>
                      <w:color w:val="000000"/>
                      <w:kern w:val="0"/>
                      <w:sz w:val="21"/>
                      <w:szCs w:val="21"/>
                    </w:rPr>
                    <w:t>m</w:t>
                  </w:r>
                  <w:r>
                    <w:rPr>
                      <w:color w:val="000000"/>
                      <w:kern w:val="0"/>
                      <w:sz w:val="21"/>
                      <w:szCs w:val="21"/>
                      <w:vertAlign w:val="superscript"/>
                    </w:rPr>
                    <w:t>2</w:t>
                  </w:r>
                </w:p>
              </w:tc>
              <w:tc>
                <w:tcPr>
                  <w:tcW w:w="1223" w:type="dxa"/>
                  <w:vAlign w:val="center"/>
                </w:tcPr>
                <w:p>
                  <w:pPr>
                    <w:jc w:val="center"/>
                    <w:rPr>
                      <w:color w:val="000000"/>
                      <w:kern w:val="0"/>
                      <w:sz w:val="21"/>
                      <w:szCs w:val="21"/>
                    </w:rPr>
                  </w:pPr>
                  <w:r>
                    <w:rPr>
                      <w:rFonts w:hint="eastAsia"/>
                      <w:color w:val="000000"/>
                      <w:kern w:val="0"/>
                      <w:sz w:val="21"/>
                      <w:szCs w:val="21"/>
                    </w:rPr>
                    <w:t>依托原有砖厂厂房</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547"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Align w:val="center"/>
                </w:tcPr>
                <w:p>
                  <w:pPr>
                    <w:jc w:val="center"/>
                    <w:rPr>
                      <w:sz w:val="21"/>
                      <w:szCs w:val="21"/>
                    </w:rPr>
                  </w:pPr>
                  <w:r>
                    <w:rPr>
                      <w:rFonts w:hint="eastAsia"/>
                      <w:sz w:val="21"/>
                      <w:szCs w:val="21"/>
                    </w:rPr>
                    <w:t>建筑垃圾破碎清洗生产厂房</w:t>
                  </w:r>
                </w:p>
              </w:tc>
              <w:tc>
                <w:tcPr>
                  <w:tcW w:w="3260" w:type="dxa"/>
                  <w:gridSpan w:val="3"/>
                  <w:vAlign w:val="center"/>
                </w:tcPr>
                <w:p>
                  <w:pPr>
                    <w:jc w:val="center"/>
                    <w:rPr>
                      <w:sz w:val="21"/>
                      <w:szCs w:val="21"/>
                    </w:rPr>
                  </w:pPr>
                </w:p>
              </w:tc>
              <w:tc>
                <w:tcPr>
                  <w:tcW w:w="1223" w:type="dxa"/>
                  <w:vAlign w:val="center"/>
                </w:tcPr>
                <w:p>
                  <w:pPr>
                    <w:jc w:val="center"/>
                    <w:rPr>
                      <w:color w:val="000000"/>
                      <w:kern w:val="0"/>
                      <w:sz w:val="21"/>
                      <w:szCs w:val="21"/>
                    </w:rPr>
                  </w:pPr>
                  <w:r>
                    <w:rPr>
                      <w:color w:val="000000"/>
                      <w:kern w:val="0"/>
                      <w:sz w:val="21"/>
                      <w:szCs w:val="21"/>
                    </w:rPr>
                    <w:t>5600</w:t>
                  </w:r>
                  <w:r>
                    <w:rPr>
                      <w:rFonts w:hint="eastAsia"/>
                      <w:color w:val="000000"/>
                      <w:kern w:val="0"/>
                      <w:sz w:val="21"/>
                      <w:szCs w:val="21"/>
                    </w:rPr>
                    <w:t xml:space="preserve"> m</w:t>
                  </w:r>
                  <w:r>
                    <w:rPr>
                      <w:color w:val="000000"/>
                      <w:kern w:val="0"/>
                      <w:sz w:val="21"/>
                      <w:szCs w:val="21"/>
                      <w:vertAlign w:val="superscript"/>
                    </w:rPr>
                    <w:t>2</w:t>
                  </w:r>
                </w:p>
              </w:tc>
              <w:tc>
                <w:tcPr>
                  <w:tcW w:w="1223" w:type="dxa"/>
                  <w:vAlign w:val="center"/>
                </w:tcPr>
                <w:p>
                  <w:pPr>
                    <w:jc w:val="center"/>
                    <w:rPr>
                      <w:color w:val="000000"/>
                      <w:kern w:val="0"/>
                      <w:sz w:val="21"/>
                      <w:szCs w:val="21"/>
                    </w:rPr>
                  </w:pPr>
                  <w:r>
                    <w:rPr>
                      <w:rFonts w:hint="eastAsia"/>
                      <w:color w:val="000000"/>
                      <w:kern w:val="0"/>
                      <w:sz w:val="21"/>
                      <w:szCs w:val="21"/>
                    </w:rPr>
                    <w:t>新建</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547"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Align w:val="center"/>
                </w:tcPr>
                <w:p>
                  <w:pPr>
                    <w:jc w:val="center"/>
                    <w:rPr>
                      <w:sz w:val="21"/>
                      <w:szCs w:val="21"/>
                    </w:rPr>
                  </w:pPr>
                  <w:r>
                    <w:rPr>
                      <w:rFonts w:hint="eastAsia"/>
                      <w:sz w:val="21"/>
                      <w:szCs w:val="21"/>
                    </w:rPr>
                    <w:t>物料厂房</w:t>
                  </w:r>
                </w:p>
              </w:tc>
              <w:tc>
                <w:tcPr>
                  <w:tcW w:w="3260" w:type="dxa"/>
                  <w:gridSpan w:val="3"/>
                  <w:vAlign w:val="center"/>
                </w:tcPr>
                <w:p>
                  <w:pPr>
                    <w:jc w:val="center"/>
                    <w:rPr>
                      <w:sz w:val="21"/>
                      <w:szCs w:val="21"/>
                    </w:rPr>
                  </w:pPr>
                  <w:r>
                    <w:rPr>
                      <w:rFonts w:hint="eastAsia"/>
                      <w:sz w:val="21"/>
                      <w:szCs w:val="21"/>
                    </w:rPr>
                    <w:t>堆场</w:t>
                  </w:r>
                </w:p>
              </w:tc>
              <w:tc>
                <w:tcPr>
                  <w:tcW w:w="1223" w:type="dxa"/>
                  <w:vAlign w:val="center"/>
                </w:tcPr>
                <w:p>
                  <w:pPr>
                    <w:jc w:val="center"/>
                    <w:rPr>
                      <w:color w:val="000000"/>
                      <w:kern w:val="0"/>
                      <w:sz w:val="21"/>
                      <w:szCs w:val="21"/>
                    </w:rPr>
                  </w:pPr>
                  <w:r>
                    <w:rPr>
                      <w:color w:val="000000"/>
                      <w:kern w:val="0"/>
                      <w:sz w:val="21"/>
                      <w:szCs w:val="21"/>
                    </w:rPr>
                    <w:t>5600</w:t>
                  </w:r>
                  <w:r>
                    <w:rPr>
                      <w:rFonts w:hint="eastAsia"/>
                      <w:color w:val="000000"/>
                      <w:kern w:val="0"/>
                      <w:sz w:val="21"/>
                      <w:szCs w:val="21"/>
                    </w:rPr>
                    <w:t xml:space="preserve"> m</w:t>
                  </w:r>
                  <w:r>
                    <w:rPr>
                      <w:color w:val="000000"/>
                      <w:kern w:val="0"/>
                      <w:sz w:val="21"/>
                      <w:szCs w:val="21"/>
                      <w:vertAlign w:val="superscript"/>
                    </w:rPr>
                    <w:t>2</w:t>
                  </w:r>
                </w:p>
              </w:tc>
              <w:tc>
                <w:tcPr>
                  <w:tcW w:w="1223" w:type="dxa"/>
                  <w:vAlign w:val="center"/>
                </w:tcPr>
                <w:p>
                  <w:pPr>
                    <w:jc w:val="center"/>
                    <w:rPr>
                      <w:color w:val="000000"/>
                      <w:kern w:val="0"/>
                      <w:sz w:val="21"/>
                      <w:szCs w:val="21"/>
                    </w:rPr>
                  </w:pPr>
                  <w:r>
                    <w:rPr>
                      <w:rFonts w:hint="eastAsia"/>
                      <w:color w:val="000000"/>
                      <w:kern w:val="0"/>
                      <w:sz w:val="21"/>
                      <w:szCs w:val="21"/>
                    </w:rPr>
                    <w:t>新建</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547"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Align w:val="center"/>
                </w:tcPr>
                <w:p>
                  <w:pPr>
                    <w:jc w:val="center"/>
                    <w:rPr>
                      <w:sz w:val="21"/>
                      <w:szCs w:val="21"/>
                    </w:rPr>
                  </w:pPr>
                  <w:r>
                    <w:rPr>
                      <w:rFonts w:hint="eastAsia"/>
                      <w:sz w:val="21"/>
                      <w:szCs w:val="21"/>
                    </w:rPr>
                    <w:t>生产厂房</w:t>
                  </w:r>
                  <w:r>
                    <w:rPr>
                      <w:sz w:val="21"/>
                      <w:szCs w:val="21"/>
                    </w:rPr>
                    <w:t>4</w:t>
                  </w:r>
                  <w:r>
                    <w:rPr>
                      <w:rFonts w:hint="eastAsia"/>
                      <w:sz w:val="21"/>
                      <w:szCs w:val="21"/>
                    </w:rPr>
                    <w:t>#</w:t>
                  </w:r>
                </w:p>
              </w:tc>
              <w:tc>
                <w:tcPr>
                  <w:tcW w:w="3260" w:type="dxa"/>
                  <w:gridSpan w:val="3"/>
                  <w:vAlign w:val="center"/>
                </w:tcPr>
                <w:p>
                  <w:pPr>
                    <w:jc w:val="center"/>
                    <w:rPr>
                      <w:sz w:val="21"/>
                      <w:szCs w:val="21"/>
                    </w:rPr>
                  </w:pPr>
                  <w:r>
                    <w:rPr>
                      <w:rFonts w:hint="eastAsia"/>
                      <w:sz w:val="21"/>
                      <w:szCs w:val="21"/>
                    </w:rPr>
                    <w:t>粗、细骨料堆场，清洗原材料生产线</w:t>
                  </w:r>
                </w:p>
              </w:tc>
              <w:tc>
                <w:tcPr>
                  <w:tcW w:w="1223" w:type="dxa"/>
                  <w:vAlign w:val="center"/>
                </w:tcPr>
                <w:p>
                  <w:pPr>
                    <w:jc w:val="center"/>
                    <w:rPr>
                      <w:color w:val="000000"/>
                      <w:kern w:val="0"/>
                      <w:sz w:val="21"/>
                      <w:szCs w:val="21"/>
                    </w:rPr>
                  </w:pPr>
                  <w:r>
                    <w:rPr>
                      <w:color w:val="000000"/>
                      <w:kern w:val="0"/>
                      <w:sz w:val="21"/>
                      <w:szCs w:val="21"/>
                    </w:rPr>
                    <w:t>1013</w:t>
                  </w:r>
                  <w:r>
                    <w:rPr>
                      <w:rFonts w:hint="eastAsia"/>
                      <w:color w:val="000000"/>
                      <w:kern w:val="0"/>
                      <w:sz w:val="21"/>
                      <w:szCs w:val="21"/>
                    </w:rPr>
                    <w:t xml:space="preserve"> m</w:t>
                  </w:r>
                  <w:r>
                    <w:rPr>
                      <w:color w:val="000000"/>
                      <w:kern w:val="0"/>
                      <w:sz w:val="21"/>
                      <w:szCs w:val="21"/>
                      <w:vertAlign w:val="superscript"/>
                    </w:rPr>
                    <w:t>2</w:t>
                  </w:r>
                </w:p>
              </w:tc>
              <w:tc>
                <w:tcPr>
                  <w:tcW w:w="1223" w:type="dxa"/>
                  <w:vAlign w:val="center"/>
                </w:tcPr>
                <w:p>
                  <w:pPr>
                    <w:jc w:val="center"/>
                    <w:rPr>
                      <w:color w:val="000000"/>
                      <w:kern w:val="0"/>
                      <w:sz w:val="21"/>
                      <w:szCs w:val="21"/>
                    </w:rPr>
                  </w:pPr>
                  <w:r>
                    <w:rPr>
                      <w:rFonts w:hint="eastAsia"/>
                      <w:color w:val="000000"/>
                      <w:kern w:val="0"/>
                      <w:sz w:val="21"/>
                      <w:szCs w:val="21"/>
                    </w:rPr>
                    <w:t>新建</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547"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Align w:val="center"/>
                </w:tcPr>
                <w:p>
                  <w:pPr>
                    <w:jc w:val="center"/>
                    <w:rPr>
                      <w:sz w:val="21"/>
                      <w:szCs w:val="21"/>
                    </w:rPr>
                  </w:pPr>
                  <w:r>
                    <w:rPr>
                      <w:rFonts w:hint="eastAsia"/>
                      <w:sz w:val="21"/>
                      <w:szCs w:val="21"/>
                    </w:rPr>
                    <w:t>清洗前堆场</w:t>
                  </w:r>
                </w:p>
              </w:tc>
              <w:tc>
                <w:tcPr>
                  <w:tcW w:w="3260" w:type="dxa"/>
                  <w:gridSpan w:val="3"/>
                  <w:vAlign w:val="center"/>
                </w:tcPr>
                <w:p>
                  <w:pPr>
                    <w:jc w:val="center"/>
                    <w:rPr>
                      <w:sz w:val="21"/>
                      <w:szCs w:val="21"/>
                    </w:rPr>
                  </w:pPr>
                  <w:r>
                    <w:rPr>
                      <w:rFonts w:hint="eastAsia"/>
                      <w:sz w:val="21"/>
                      <w:szCs w:val="21"/>
                    </w:rPr>
                    <w:t>清洗前堆场</w:t>
                  </w:r>
                </w:p>
              </w:tc>
              <w:tc>
                <w:tcPr>
                  <w:tcW w:w="1223" w:type="dxa"/>
                  <w:vAlign w:val="center"/>
                </w:tcPr>
                <w:p>
                  <w:pPr>
                    <w:jc w:val="center"/>
                    <w:rPr>
                      <w:color w:val="000000"/>
                      <w:kern w:val="0"/>
                      <w:sz w:val="21"/>
                      <w:szCs w:val="21"/>
                    </w:rPr>
                  </w:pPr>
                  <w:r>
                    <w:rPr>
                      <w:color w:val="000000"/>
                      <w:kern w:val="0"/>
                      <w:sz w:val="21"/>
                      <w:szCs w:val="21"/>
                    </w:rPr>
                    <w:t>700</w:t>
                  </w:r>
                  <w:r>
                    <w:rPr>
                      <w:rFonts w:hint="eastAsia"/>
                      <w:color w:val="000000"/>
                      <w:kern w:val="0"/>
                      <w:sz w:val="21"/>
                      <w:szCs w:val="21"/>
                    </w:rPr>
                    <w:t xml:space="preserve"> m</w:t>
                  </w:r>
                  <w:r>
                    <w:rPr>
                      <w:color w:val="000000"/>
                      <w:kern w:val="0"/>
                      <w:sz w:val="21"/>
                      <w:szCs w:val="21"/>
                      <w:vertAlign w:val="superscript"/>
                    </w:rPr>
                    <w:t>2</w:t>
                  </w:r>
                </w:p>
              </w:tc>
              <w:tc>
                <w:tcPr>
                  <w:tcW w:w="1223" w:type="dxa"/>
                  <w:vAlign w:val="center"/>
                </w:tcPr>
                <w:p>
                  <w:pPr>
                    <w:jc w:val="center"/>
                    <w:rPr>
                      <w:color w:val="000000"/>
                      <w:kern w:val="0"/>
                      <w:sz w:val="21"/>
                      <w:szCs w:val="21"/>
                    </w:rPr>
                  </w:pPr>
                  <w:r>
                    <w:rPr>
                      <w:rFonts w:hint="eastAsia"/>
                      <w:color w:val="000000"/>
                      <w:kern w:val="0"/>
                      <w:sz w:val="21"/>
                      <w:szCs w:val="21"/>
                    </w:rPr>
                    <w:t>新建</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547"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Align w:val="center"/>
                </w:tcPr>
                <w:p>
                  <w:pPr>
                    <w:jc w:val="center"/>
                    <w:rPr>
                      <w:sz w:val="21"/>
                      <w:szCs w:val="21"/>
                    </w:rPr>
                  </w:pPr>
                  <w:r>
                    <w:rPr>
                      <w:rFonts w:hint="eastAsia"/>
                      <w:sz w:val="21"/>
                      <w:szCs w:val="21"/>
                    </w:rPr>
                    <w:t>废料加工后堆场</w:t>
                  </w:r>
                </w:p>
              </w:tc>
              <w:tc>
                <w:tcPr>
                  <w:tcW w:w="3260" w:type="dxa"/>
                  <w:gridSpan w:val="3"/>
                  <w:vAlign w:val="center"/>
                </w:tcPr>
                <w:p>
                  <w:pPr>
                    <w:jc w:val="center"/>
                    <w:rPr>
                      <w:sz w:val="21"/>
                      <w:szCs w:val="21"/>
                    </w:rPr>
                  </w:pPr>
                  <w:r>
                    <w:rPr>
                      <w:rFonts w:hint="eastAsia"/>
                      <w:sz w:val="21"/>
                      <w:szCs w:val="21"/>
                    </w:rPr>
                    <w:t>废料加工后堆场</w:t>
                  </w:r>
                </w:p>
              </w:tc>
              <w:tc>
                <w:tcPr>
                  <w:tcW w:w="1223" w:type="dxa"/>
                  <w:vAlign w:val="center"/>
                </w:tcPr>
                <w:p>
                  <w:pPr>
                    <w:jc w:val="center"/>
                    <w:rPr>
                      <w:color w:val="000000"/>
                      <w:kern w:val="0"/>
                      <w:sz w:val="21"/>
                      <w:szCs w:val="21"/>
                    </w:rPr>
                  </w:pPr>
                  <w:r>
                    <w:rPr>
                      <w:rFonts w:hint="eastAsia"/>
                      <w:color w:val="000000"/>
                      <w:kern w:val="0"/>
                      <w:sz w:val="21"/>
                      <w:szCs w:val="21"/>
                    </w:rPr>
                    <w:t>9</w:t>
                  </w:r>
                  <w:r>
                    <w:rPr>
                      <w:color w:val="000000"/>
                      <w:kern w:val="0"/>
                      <w:sz w:val="21"/>
                      <w:szCs w:val="21"/>
                    </w:rPr>
                    <w:t>00</w:t>
                  </w:r>
                  <w:r>
                    <w:rPr>
                      <w:rFonts w:hint="eastAsia"/>
                      <w:color w:val="000000"/>
                      <w:kern w:val="0"/>
                      <w:sz w:val="21"/>
                      <w:szCs w:val="21"/>
                    </w:rPr>
                    <w:t xml:space="preserve"> m</w:t>
                  </w:r>
                  <w:r>
                    <w:rPr>
                      <w:color w:val="000000"/>
                      <w:kern w:val="0"/>
                      <w:sz w:val="21"/>
                      <w:szCs w:val="21"/>
                      <w:vertAlign w:val="superscript"/>
                    </w:rPr>
                    <w:t>2</w:t>
                  </w:r>
                </w:p>
              </w:tc>
              <w:tc>
                <w:tcPr>
                  <w:tcW w:w="1223" w:type="dxa"/>
                  <w:vAlign w:val="center"/>
                </w:tcPr>
                <w:p>
                  <w:pPr>
                    <w:jc w:val="center"/>
                    <w:rPr>
                      <w:color w:val="000000"/>
                      <w:kern w:val="0"/>
                      <w:sz w:val="21"/>
                      <w:szCs w:val="21"/>
                    </w:rPr>
                  </w:pPr>
                  <w:r>
                    <w:rPr>
                      <w:rFonts w:hint="eastAsia"/>
                      <w:color w:val="000000"/>
                      <w:kern w:val="0"/>
                      <w:sz w:val="21"/>
                      <w:szCs w:val="21"/>
                    </w:rPr>
                    <w:t>新建</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824" w:hRule="atLeast"/>
                <w:jc w:val="center"/>
              </w:trPr>
              <w:tc>
                <w:tcPr>
                  <w:tcW w:w="888" w:type="dxa"/>
                  <w:vMerge w:val="restart"/>
                  <w:vAlign w:val="center"/>
                </w:tcPr>
                <w:p>
                  <w:pPr>
                    <w:widowControl/>
                    <w:spacing w:line="360" w:lineRule="exact"/>
                    <w:jc w:val="center"/>
                    <w:rPr>
                      <w:kern w:val="0"/>
                      <w:sz w:val="21"/>
                      <w:szCs w:val="21"/>
                    </w:rPr>
                  </w:pPr>
                  <w:r>
                    <w:rPr>
                      <w:kern w:val="0"/>
                      <w:sz w:val="21"/>
                      <w:szCs w:val="21"/>
                    </w:rPr>
                    <w:t>辅助工程</w:t>
                  </w:r>
                </w:p>
              </w:tc>
              <w:tc>
                <w:tcPr>
                  <w:tcW w:w="1682" w:type="dxa"/>
                  <w:gridSpan w:val="2"/>
                  <w:vAlign w:val="center"/>
                </w:tcPr>
                <w:p>
                  <w:pPr>
                    <w:jc w:val="center"/>
                    <w:rPr>
                      <w:color w:val="000000"/>
                      <w:kern w:val="0"/>
                      <w:sz w:val="21"/>
                      <w:szCs w:val="21"/>
                    </w:rPr>
                  </w:pPr>
                  <w:r>
                    <w:rPr>
                      <w:rFonts w:hint="eastAsia"/>
                      <w:sz w:val="21"/>
                      <w:szCs w:val="21"/>
                    </w:rPr>
                    <w:t>宿舍、厨房</w:t>
                  </w:r>
                </w:p>
              </w:tc>
              <w:tc>
                <w:tcPr>
                  <w:tcW w:w="3260" w:type="dxa"/>
                  <w:gridSpan w:val="3"/>
                  <w:vAlign w:val="center"/>
                </w:tcPr>
                <w:p>
                  <w:pPr>
                    <w:jc w:val="center"/>
                    <w:rPr>
                      <w:color w:val="000000"/>
                      <w:kern w:val="0"/>
                      <w:sz w:val="21"/>
                      <w:szCs w:val="21"/>
                    </w:rPr>
                  </w:pPr>
                  <w:r>
                    <w:rPr>
                      <w:rFonts w:hint="eastAsia"/>
                      <w:bCs/>
                      <w:kern w:val="0"/>
                      <w:sz w:val="21"/>
                      <w:szCs w:val="21"/>
                    </w:rPr>
                    <w:t>1层宿舍+厨房</w:t>
                  </w:r>
                </w:p>
              </w:tc>
              <w:tc>
                <w:tcPr>
                  <w:tcW w:w="1223" w:type="dxa"/>
                  <w:vAlign w:val="center"/>
                </w:tcPr>
                <w:p>
                  <w:pPr>
                    <w:jc w:val="center"/>
                    <w:rPr>
                      <w:color w:val="000000"/>
                      <w:kern w:val="0"/>
                      <w:sz w:val="21"/>
                      <w:szCs w:val="21"/>
                    </w:rPr>
                  </w:pPr>
                  <w:r>
                    <w:rPr>
                      <w:color w:val="000000"/>
                      <w:kern w:val="0"/>
                      <w:sz w:val="21"/>
                      <w:szCs w:val="21"/>
                    </w:rPr>
                    <w:t>40</w:t>
                  </w:r>
                  <w:r>
                    <w:rPr>
                      <w:rFonts w:hint="eastAsia"/>
                      <w:color w:val="000000"/>
                      <w:kern w:val="0"/>
                      <w:sz w:val="21"/>
                      <w:szCs w:val="21"/>
                    </w:rPr>
                    <w:t>人,</w:t>
                  </w:r>
                  <w:r>
                    <w:rPr>
                      <w:color w:val="000000"/>
                      <w:kern w:val="0"/>
                      <w:sz w:val="21"/>
                      <w:szCs w:val="21"/>
                    </w:rPr>
                    <w:t>585</w:t>
                  </w:r>
                  <w:r>
                    <w:rPr>
                      <w:rFonts w:hint="eastAsia"/>
                      <w:color w:val="000000"/>
                      <w:kern w:val="0"/>
                      <w:sz w:val="21"/>
                      <w:szCs w:val="21"/>
                    </w:rPr>
                    <w:t xml:space="preserve"> m</w:t>
                  </w:r>
                  <w:r>
                    <w:rPr>
                      <w:color w:val="000000"/>
                      <w:kern w:val="0"/>
                      <w:sz w:val="21"/>
                      <w:szCs w:val="21"/>
                      <w:vertAlign w:val="superscript"/>
                    </w:rPr>
                    <w:t>2</w:t>
                  </w:r>
                </w:p>
              </w:tc>
              <w:tc>
                <w:tcPr>
                  <w:tcW w:w="1223" w:type="dxa"/>
                  <w:vAlign w:val="center"/>
                </w:tcPr>
                <w:p>
                  <w:pPr>
                    <w:jc w:val="center"/>
                    <w:rPr>
                      <w:color w:val="000000"/>
                      <w:kern w:val="0"/>
                      <w:sz w:val="21"/>
                      <w:szCs w:val="21"/>
                    </w:rPr>
                  </w:pPr>
                  <w:r>
                    <w:rPr>
                      <w:rFonts w:hint="eastAsia"/>
                      <w:color w:val="000000"/>
                      <w:kern w:val="0"/>
                      <w:sz w:val="21"/>
                      <w:szCs w:val="21"/>
                    </w:rPr>
                    <w:t>依托原有砖厂厂房</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824"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Align w:val="center"/>
                </w:tcPr>
                <w:p>
                  <w:pPr>
                    <w:jc w:val="center"/>
                    <w:rPr>
                      <w:rFonts w:hint="eastAsia"/>
                      <w:sz w:val="21"/>
                      <w:szCs w:val="21"/>
                    </w:rPr>
                  </w:pPr>
                  <w:r>
                    <w:rPr>
                      <w:rFonts w:hint="eastAsia"/>
                      <w:sz w:val="21"/>
                      <w:szCs w:val="21"/>
                    </w:rPr>
                    <w:t>办公用房</w:t>
                  </w:r>
                </w:p>
              </w:tc>
              <w:tc>
                <w:tcPr>
                  <w:tcW w:w="3260" w:type="dxa"/>
                  <w:gridSpan w:val="3"/>
                  <w:vAlign w:val="center"/>
                </w:tcPr>
                <w:p>
                  <w:pPr>
                    <w:jc w:val="center"/>
                    <w:rPr>
                      <w:rFonts w:hint="eastAsia"/>
                      <w:bCs/>
                      <w:kern w:val="0"/>
                      <w:sz w:val="21"/>
                      <w:szCs w:val="21"/>
                    </w:rPr>
                  </w:pPr>
                </w:p>
              </w:tc>
              <w:tc>
                <w:tcPr>
                  <w:tcW w:w="1223" w:type="dxa"/>
                  <w:vAlign w:val="center"/>
                </w:tcPr>
                <w:p>
                  <w:pPr>
                    <w:jc w:val="center"/>
                    <w:rPr>
                      <w:color w:val="000000"/>
                      <w:kern w:val="0"/>
                      <w:sz w:val="21"/>
                      <w:szCs w:val="21"/>
                    </w:rPr>
                  </w:pPr>
                  <w:r>
                    <w:rPr>
                      <w:rFonts w:hint="eastAsia"/>
                      <w:color w:val="000000"/>
                      <w:kern w:val="0"/>
                      <w:sz w:val="21"/>
                      <w:szCs w:val="21"/>
                    </w:rPr>
                    <w:t>3</w:t>
                  </w:r>
                  <w:r>
                    <w:rPr>
                      <w:color w:val="000000"/>
                      <w:kern w:val="0"/>
                      <w:sz w:val="21"/>
                      <w:szCs w:val="21"/>
                    </w:rPr>
                    <w:t>240</w:t>
                  </w:r>
                </w:p>
              </w:tc>
              <w:tc>
                <w:tcPr>
                  <w:tcW w:w="1223" w:type="dxa"/>
                  <w:vAlign w:val="center"/>
                </w:tcPr>
                <w:p>
                  <w:pPr>
                    <w:jc w:val="center"/>
                    <w:rPr>
                      <w:rFonts w:hint="eastAsia"/>
                      <w:color w:val="000000"/>
                      <w:kern w:val="0"/>
                      <w:sz w:val="21"/>
                      <w:szCs w:val="21"/>
                    </w:rPr>
                  </w:pPr>
                  <w:r>
                    <w:rPr>
                      <w:rFonts w:hint="eastAsia"/>
                      <w:color w:val="000000"/>
                      <w:kern w:val="0"/>
                      <w:sz w:val="21"/>
                      <w:szCs w:val="21"/>
                    </w:rPr>
                    <w:t>新建</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824"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Align w:val="center"/>
                </w:tcPr>
                <w:p>
                  <w:pPr>
                    <w:jc w:val="center"/>
                    <w:rPr>
                      <w:sz w:val="21"/>
                      <w:szCs w:val="21"/>
                    </w:rPr>
                  </w:pPr>
                  <w:r>
                    <w:rPr>
                      <w:rFonts w:hint="eastAsia"/>
                      <w:sz w:val="21"/>
                      <w:szCs w:val="21"/>
                    </w:rPr>
                    <w:t>沉淀池</w:t>
                  </w:r>
                </w:p>
              </w:tc>
              <w:tc>
                <w:tcPr>
                  <w:tcW w:w="3260" w:type="dxa"/>
                  <w:gridSpan w:val="3"/>
                  <w:vAlign w:val="center"/>
                </w:tcPr>
                <w:p>
                  <w:pPr>
                    <w:jc w:val="center"/>
                    <w:rPr>
                      <w:bCs/>
                      <w:kern w:val="0"/>
                      <w:sz w:val="21"/>
                      <w:szCs w:val="21"/>
                    </w:rPr>
                  </w:pPr>
                  <w:r>
                    <w:rPr>
                      <w:rFonts w:hint="eastAsia"/>
                      <w:bCs/>
                      <w:kern w:val="0"/>
                      <w:sz w:val="21"/>
                      <w:szCs w:val="21"/>
                    </w:rPr>
                    <w:t>/</w:t>
                  </w:r>
                </w:p>
              </w:tc>
              <w:tc>
                <w:tcPr>
                  <w:tcW w:w="1223" w:type="dxa"/>
                  <w:vAlign w:val="center"/>
                </w:tcPr>
                <w:p>
                  <w:pPr>
                    <w:jc w:val="center"/>
                    <w:rPr>
                      <w:color w:val="000000"/>
                      <w:kern w:val="0"/>
                      <w:sz w:val="21"/>
                      <w:szCs w:val="21"/>
                    </w:rPr>
                  </w:pPr>
                  <w:r>
                    <w:rPr>
                      <w:rFonts w:hint="eastAsia"/>
                      <w:color w:val="000000"/>
                      <w:kern w:val="0"/>
                      <w:sz w:val="21"/>
                      <w:szCs w:val="21"/>
                    </w:rPr>
                    <w:t>1</w:t>
                  </w:r>
                  <w:r>
                    <w:rPr>
                      <w:color w:val="000000"/>
                      <w:kern w:val="0"/>
                      <w:sz w:val="21"/>
                      <w:szCs w:val="21"/>
                    </w:rPr>
                    <w:t>800</w:t>
                  </w:r>
                  <w:r>
                    <w:rPr>
                      <w:rFonts w:hint="eastAsia"/>
                      <w:color w:val="000000"/>
                      <w:kern w:val="0"/>
                      <w:sz w:val="21"/>
                      <w:szCs w:val="21"/>
                    </w:rPr>
                    <w:t>m</w:t>
                  </w:r>
                  <w:r>
                    <w:rPr>
                      <w:color w:val="000000"/>
                      <w:kern w:val="0"/>
                      <w:sz w:val="21"/>
                      <w:szCs w:val="21"/>
                      <w:vertAlign w:val="superscript"/>
                    </w:rPr>
                    <w:t>3</w:t>
                  </w:r>
                </w:p>
              </w:tc>
              <w:tc>
                <w:tcPr>
                  <w:tcW w:w="1223" w:type="dxa"/>
                  <w:vAlign w:val="center"/>
                </w:tcPr>
                <w:p>
                  <w:pPr>
                    <w:jc w:val="center"/>
                    <w:rPr>
                      <w:color w:val="000000"/>
                      <w:kern w:val="0"/>
                      <w:sz w:val="21"/>
                      <w:szCs w:val="21"/>
                    </w:rPr>
                  </w:pPr>
                  <w:r>
                    <w:rPr>
                      <w:rFonts w:hint="eastAsia"/>
                      <w:color w:val="000000"/>
                      <w:kern w:val="0"/>
                      <w:sz w:val="21"/>
                      <w:szCs w:val="21"/>
                    </w:rPr>
                    <w:t>新建</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427" w:hRule="atLeast"/>
                <w:jc w:val="center"/>
              </w:trPr>
              <w:tc>
                <w:tcPr>
                  <w:tcW w:w="888" w:type="dxa"/>
                  <w:vMerge w:val="restart"/>
                  <w:vAlign w:val="center"/>
                </w:tcPr>
                <w:p>
                  <w:pPr>
                    <w:widowControl/>
                    <w:spacing w:line="360" w:lineRule="exact"/>
                    <w:jc w:val="center"/>
                    <w:rPr>
                      <w:kern w:val="0"/>
                      <w:sz w:val="21"/>
                      <w:szCs w:val="21"/>
                    </w:rPr>
                  </w:pPr>
                  <w:r>
                    <w:rPr>
                      <w:kern w:val="0"/>
                      <w:sz w:val="21"/>
                      <w:szCs w:val="21"/>
                    </w:rPr>
                    <w:t>公用工程</w:t>
                  </w:r>
                </w:p>
              </w:tc>
              <w:tc>
                <w:tcPr>
                  <w:tcW w:w="1682" w:type="dxa"/>
                  <w:gridSpan w:val="2"/>
                  <w:vAlign w:val="center"/>
                </w:tcPr>
                <w:p>
                  <w:pPr>
                    <w:jc w:val="center"/>
                    <w:rPr>
                      <w:color w:val="000000"/>
                      <w:kern w:val="0"/>
                      <w:sz w:val="21"/>
                      <w:szCs w:val="21"/>
                    </w:rPr>
                  </w:pPr>
                  <w:r>
                    <w:rPr>
                      <w:color w:val="000000"/>
                      <w:kern w:val="0"/>
                      <w:sz w:val="21"/>
                      <w:szCs w:val="21"/>
                    </w:rPr>
                    <w:t>供电</w:t>
                  </w:r>
                </w:p>
              </w:tc>
              <w:tc>
                <w:tcPr>
                  <w:tcW w:w="3260" w:type="dxa"/>
                  <w:gridSpan w:val="3"/>
                  <w:vAlign w:val="center"/>
                </w:tcPr>
                <w:p>
                  <w:pPr>
                    <w:jc w:val="center"/>
                    <w:rPr>
                      <w:kern w:val="0"/>
                      <w:sz w:val="21"/>
                      <w:szCs w:val="21"/>
                    </w:rPr>
                  </w:pPr>
                  <w:r>
                    <w:rPr>
                      <w:bCs/>
                      <w:color w:val="000000"/>
                      <w:kern w:val="0"/>
                      <w:sz w:val="21"/>
                      <w:szCs w:val="21"/>
                    </w:rPr>
                    <w:t>市政供电网供给</w:t>
                  </w:r>
                </w:p>
              </w:tc>
              <w:tc>
                <w:tcPr>
                  <w:tcW w:w="1223" w:type="dxa"/>
                  <w:tcBorders>
                    <w:left w:val="single" w:color="auto" w:sz="4" w:space="0"/>
                  </w:tcBorders>
                  <w:vAlign w:val="center"/>
                </w:tcPr>
                <w:p>
                  <w:pPr>
                    <w:widowControl/>
                    <w:spacing w:line="360" w:lineRule="exact"/>
                    <w:jc w:val="center"/>
                    <w:rPr>
                      <w:kern w:val="0"/>
                      <w:sz w:val="21"/>
                      <w:szCs w:val="21"/>
                    </w:rPr>
                  </w:pPr>
                  <w:r>
                    <w:rPr>
                      <w:kern w:val="0"/>
                      <w:sz w:val="21"/>
                      <w:szCs w:val="21"/>
                    </w:rPr>
                    <w:t>/</w:t>
                  </w:r>
                </w:p>
              </w:tc>
              <w:tc>
                <w:tcPr>
                  <w:tcW w:w="1223" w:type="dxa"/>
                  <w:tcBorders>
                    <w:left w:val="single" w:color="auto" w:sz="4" w:space="0"/>
                  </w:tcBorders>
                </w:tcPr>
                <w:p>
                  <w:pPr>
                    <w:widowControl/>
                    <w:spacing w:line="360" w:lineRule="exact"/>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397"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Align w:val="center"/>
                </w:tcPr>
                <w:p>
                  <w:pPr>
                    <w:jc w:val="center"/>
                    <w:rPr>
                      <w:color w:val="000000"/>
                      <w:kern w:val="0"/>
                      <w:sz w:val="21"/>
                      <w:szCs w:val="21"/>
                    </w:rPr>
                  </w:pPr>
                  <w:r>
                    <w:rPr>
                      <w:color w:val="000000"/>
                      <w:kern w:val="0"/>
                      <w:sz w:val="21"/>
                      <w:szCs w:val="21"/>
                    </w:rPr>
                    <w:t>给水</w:t>
                  </w:r>
                </w:p>
              </w:tc>
              <w:tc>
                <w:tcPr>
                  <w:tcW w:w="3260" w:type="dxa"/>
                  <w:gridSpan w:val="3"/>
                  <w:vAlign w:val="center"/>
                </w:tcPr>
                <w:p>
                  <w:pPr>
                    <w:jc w:val="center"/>
                    <w:rPr>
                      <w:color w:val="000000"/>
                      <w:kern w:val="0"/>
                      <w:sz w:val="21"/>
                      <w:szCs w:val="21"/>
                    </w:rPr>
                  </w:pPr>
                  <w:r>
                    <w:rPr>
                      <w:rFonts w:hint="eastAsia"/>
                      <w:color w:val="000000"/>
                      <w:kern w:val="0"/>
                      <w:sz w:val="21"/>
                      <w:szCs w:val="21"/>
                    </w:rPr>
                    <w:t>雨水（不够时调取附近水库用水）</w:t>
                  </w:r>
                </w:p>
              </w:tc>
              <w:tc>
                <w:tcPr>
                  <w:tcW w:w="1223" w:type="dxa"/>
                  <w:tcBorders>
                    <w:left w:val="single" w:color="auto" w:sz="4" w:space="0"/>
                  </w:tcBorders>
                  <w:vAlign w:val="center"/>
                </w:tcPr>
                <w:p>
                  <w:pPr>
                    <w:widowControl/>
                    <w:spacing w:line="360" w:lineRule="exact"/>
                    <w:jc w:val="center"/>
                    <w:rPr>
                      <w:kern w:val="0"/>
                      <w:sz w:val="21"/>
                      <w:szCs w:val="21"/>
                    </w:rPr>
                  </w:pPr>
                  <w:r>
                    <w:rPr>
                      <w:sz w:val="21"/>
                      <w:szCs w:val="21"/>
                    </w:rPr>
                    <w:t>/</w:t>
                  </w:r>
                </w:p>
              </w:tc>
              <w:tc>
                <w:tcPr>
                  <w:tcW w:w="1223" w:type="dxa"/>
                  <w:tcBorders>
                    <w:left w:val="single" w:color="auto" w:sz="4" w:space="0"/>
                  </w:tcBorders>
                </w:tcPr>
                <w:p>
                  <w:pPr>
                    <w:widowControl/>
                    <w:spacing w:line="360" w:lineRule="exact"/>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397" w:hRule="atLeast"/>
                <w:jc w:val="center"/>
              </w:trPr>
              <w:tc>
                <w:tcPr>
                  <w:tcW w:w="888" w:type="dxa"/>
                  <w:vMerge w:val="continue"/>
                  <w:tcBorders>
                    <w:bottom w:val="single" w:color="auto" w:sz="4" w:space="0"/>
                  </w:tcBorders>
                  <w:vAlign w:val="center"/>
                </w:tcPr>
                <w:p>
                  <w:pPr>
                    <w:widowControl/>
                    <w:spacing w:line="360" w:lineRule="exact"/>
                    <w:jc w:val="center"/>
                    <w:rPr>
                      <w:kern w:val="0"/>
                      <w:sz w:val="21"/>
                      <w:szCs w:val="21"/>
                    </w:rPr>
                  </w:pPr>
                </w:p>
              </w:tc>
              <w:tc>
                <w:tcPr>
                  <w:tcW w:w="643" w:type="dxa"/>
                  <w:tcBorders>
                    <w:bottom w:val="single" w:color="auto" w:sz="4" w:space="0"/>
                  </w:tcBorders>
                  <w:vAlign w:val="center"/>
                </w:tcPr>
                <w:p>
                  <w:pPr>
                    <w:widowControl/>
                    <w:spacing w:line="360" w:lineRule="exact"/>
                    <w:jc w:val="center"/>
                    <w:rPr>
                      <w:kern w:val="0"/>
                      <w:sz w:val="21"/>
                      <w:szCs w:val="21"/>
                    </w:rPr>
                  </w:pPr>
                  <w:r>
                    <w:rPr>
                      <w:kern w:val="0"/>
                      <w:sz w:val="21"/>
                      <w:szCs w:val="21"/>
                    </w:rPr>
                    <w:t>排水</w:t>
                  </w:r>
                </w:p>
              </w:tc>
              <w:tc>
                <w:tcPr>
                  <w:tcW w:w="1039" w:type="dxa"/>
                  <w:tcBorders>
                    <w:bottom w:val="single" w:color="auto" w:sz="4" w:space="0"/>
                  </w:tcBorders>
                  <w:vAlign w:val="center"/>
                </w:tcPr>
                <w:p>
                  <w:pPr>
                    <w:widowControl/>
                    <w:spacing w:line="360" w:lineRule="exact"/>
                    <w:jc w:val="center"/>
                    <w:rPr>
                      <w:kern w:val="0"/>
                      <w:sz w:val="21"/>
                      <w:szCs w:val="21"/>
                    </w:rPr>
                  </w:pPr>
                  <w:r>
                    <w:rPr>
                      <w:kern w:val="0"/>
                      <w:sz w:val="21"/>
                      <w:szCs w:val="21"/>
                    </w:rPr>
                    <w:t>雨水</w:t>
                  </w:r>
                </w:p>
              </w:tc>
              <w:tc>
                <w:tcPr>
                  <w:tcW w:w="4483" w:type="dxa"/>
                  <w:gridSpan w:val="4"/>
                  <w:tcBorders>
                    <w:bottom w:val="single" w:color="auto" w:sz="4" w:space="0"/>
                    <w:right w:val="single" w:color="auto" w:sz="12" w:space="0"/>
                  </w:tcBorders>
                  <w:vAlign w:val="center"/>
                </w:tcPr>
                <w:p>
                  <w:pPr>
                    <w:widowControl/>
                    <w:spacing w:line="360" w:lineRule="exact"/>
                    <w:jc w:val="center"/>
                    <w:rPr>
                      <w:kern w:val="0"/>
                      <w:sz w:val="21"/>
                      <w:szCs w:val="21"/>
                    </w:rPr>
                  </w:pPr>
                  <w:r>
                    <w:rPr>
                      <w:kern w:val="0"/>
                      <w:sz w:val="21"/>
                      <w:szCs w:val="21"/>
                    </w:rPr>
                    <w:t>由屋面雨水斗收集，经雨水管排至</w:t>
                  </w:r>
                  <w:r>
                    <w:rPr>
                      <w:rFonts w:hint="eastAsia"/>
                      <w:kern w:val="0"/>
                      <w:sz w:val="21"/>
                      <w:szCs w:val="21"/>
                    </w:rPr>
                    <w:t>沉淀池</w:t>
                  </w:r>
                  <w:r>
                    <w:rPr>
                      <w:kern w:val="0"/>
                      <w:sz w:val="21"/>
                      <w:szCs w:val="21"/>
                    </w:rPr>
                    <w:t>，</w:t>
                  </w:r>
                </w:p>
              </w:tc>
              <w:tc>
                <w:tcPr>
                  <w:tcW w:w="1223" w:type="dxa"/>
                  <w:tcBorders>
                    <w:bottom w:val="single" w:color="auto" w:sz="4" w:space="0"/>
                    <w:right w:val="single" w:color="auto" w:sz="12" w:space="0"/>
                  </w:tcBorders>
                </w:tcPr>
                <w:p>
                  <w:pPr>
                    <w:widowControl/>
                    <w:spacing w:line="360" w:lineRule="exact"/>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699" w:hRule="atLeast"/>
                <w:jc w:val="center"/>
              </w:trPr>
              <w:tc>
                <w:tcPr>
                  <w:tcW w:w="888" w:type="dxa"/>
                  <w:vMerge w:val="restart"/>
                  <w:tcBorders>
                    <w:top w:val="nil"/>
                  </w:tcBorders>
                  <w:vAlign w:val="center"/>
                </w:tcPr>
                <w:p>
                  <w:pPr>
                    <w:spacing w:line="360" w:lineRule="exact"/>
                    <w:jc w:val="center"/>
                    <w:rPr>
                      <w:kern w:val="0"/>
                      <w:sz w:val="21"/>
                      <w:szCs w:val="21"/>
                    </w:rPr>
                  </w:pPr>
                  <w:r>
                    <w:rPr>
                      <w:kern w:val="0"/>
                      <w:sz w:val="21"/>
                      <w:szCs w:val="21"/>
                    </w:rPr>
                    <w:t>公用工程</w:t>
                  </w:r>
                </w:p>
              </w:tc>
              <w:tc>
                <w:tcPr>
                  <w:tcW w:w="643" w:type="dxa"/>
                  <w:vMerge w:val="restart"/>
                  <w:tcBorders>
                    <w:top w:val="nil"/>
                  </w:tcBorders>
                  <w:vAlign w:val="center"/>
                </w:tcPr>
                <w:p>
                  <w:pPr>
                    <w:spacing w:line="360" w:lineRule="exact"/>
                    <w:jc w:val="center"/>
                    <w:rPr>
                      <w:kern w:val="0"/>
                      <w:sz w:val="21"/>
                      <w:szCs w:val="21"/>
                    </w:rPr>
                  </w:pPr>
                  <w:r>
                    <w:rPr>
                      <w:kern w:val="0"/>
                      <w:sz w:val="21"/>
                      <w:szCs w:val="21"/>
                    </w:rPr>
                    <w:t>排水</w:t>
                  </w:r>
                </w:p>
              </w:tc>
              <w:tc>
                <w:tcPr>
                  <w:tcW w:w="1039" w:type="dxa"/>
                  <w:vMerge w:val="restart"/>
                  <w:tcBorders>
                    <w:top w:val="nil"/>
                  </w:tcBorders>
                  <w:vAlign w:val="center"/>
                </w:tcPr>
                <w:p>
                  <w:pPr>
                    <w:widowControl/>
                    <w:spacing w:line="360" w:lineRule="exact"/>
                    <w:jc w:val="center"/>
                    <w:rPr>
                      <w:kern w:val="0"/>
                      <w:sz w:val="21"/>
                      <w:szCs w:val="21"/>
                    </w:rPr>
                  </w:pPr>
                  <w:r>
                    <w:rPr>
                      <w:kern w:val="0"/>
                      <w:sz w:val="21"/>
                      <w:szCs w:val="21"/>
                    </w:rPr>
                    <w:t>废水</w:t>
                  </w:r>
                </w:p>
              </w:tc>
              <w:tc>
                <w:tcPr>
                  <w:tcW w:w="692" w:type="dxa"/>
                  <w:vMerge w:val="restart"/>
                  <w:tcBorders>
                    <w:top w:val="single" w:color="auto" w:sz="4" w:space="0"/>
                  </w:tcBorders>
                  <w:vAlign w:val="center"/>
                </w:tcPr>
                <w:p>
                  <w:pPr>
                    <w:widowControl/>
                    <w:spacing w:line="360" w:lineRule="exact"/>
                    <w:jc w:val="center"/>
                    <w:rPr>
                      <w:kern w:val="0"/>
                      <w:sz w:val="21"/>
                      <w:szCs w:val="21"/>
                    </w:rPr>
                  </w:pPr>
                  <w:r>
                    <w:rPr>
                      <w:kern w:val="0"/>
                      <w:sz w:val="21"/>
                      <w:szCs w:val="21"/>
                    </w:rPr>
                    <w:t>生活</w:t>
                  </w:r>
                </w:p>
                <w:p>
                  <w:pPr>
                    <w:widowControl/>
                    <w:spacing w:line="360" w:lineRule="exact"/>
                    <w:jc w:val="center"/>
                    <w:rPr>
                      <w:kern w:val="0"/>
                      <w:sz w:val="21"/>
                      <w:szCs w:val="21"/>
                    </w:rPr>
                  </w:pPr>
                  <w:r>
                    <w:rPr>
                      <w:kern w:val="0"/>
                      <w:sz w:val="21"/>
                      <w:szCs w:val="21"/>
                    </w:rPr>
                    <w:t>废水</w:t>
                  </w:r>
                </w:p>
              </w:tc>
              <w:tc>
                <w:tcPr>
                  <w:tcW w:w="2431" w:type="dxa"/>
                  <w:tcBorders>
                    <w:top w:val="single" w:color="auto" w:sz="4" w:space="0"/>
                    <w:bottom w:val="single" w:color="auto" w:sz="4" w:space="0"/>
                    <w:right w:val="single" w:color="auto" w:sz="4" w:space="0"/>
                  </w:tcBorders>
                  <w:vAlign w:val="center"/>
                </w:tcPr>
                <w:p>
                  <w:pPr>
                    <w:spacing w:line="360" w:lineRule="exact"/>
                    <w:jc w:val="center"/>
                    <w:rPr>
                      <w:kern w:val="0"/>
                      <w:sz w:val="21"/>
                      <w:szCs w:val="21"/>
                    </w:rPr>
                  </w:pPr>
                  <w:r>
                    <w:rPr>
                      <w:kern w:val="0"/>
                      <w:sz w:val="21"/>
                      <w:szCs w:val="21"/>
                    </w:rPr>
                    <w:t>员工生活废水进入化粪池</w:t>
                  </w:r>
                </w:p>
              </w:tc>
              <w:tc>
                <w:tcPr>
                  <w:tcW w:w="1360" w:type="dxa"/>
                  <w:gridSpan w:val="2"/>
                  <w:tcBorders>
                    <w:top w:val="single" w:color="auto" w:sz="4" w:space="0"/>
                    <w:left w:val="single" w:color="auto" w:sz="4" w:space="0"/>
                    <w:bottom w:val="single" w:color="auto" w:sz="4" w:space="0"/>
                  </w:tcBorders>
                  <w:vAlign w:val="center"/>
                </w:tcPr>
                <w:p>
                  <w:pPr>
                    <w:spacing w:line="360" w:lineRule="exact"/>
                    <w:jc w:val="center"/>
                    <w:rPr>
                      <w:kern w:val="0"/>
                      <w:sz w:val="21"/>
                      <w:szCs w:val="21"/>
                    </w:rPr>
                  </w:pPr>
                  <w:r>
                    <w:rPr>
                      <w:rFonts w:hint="eastAsia"/>
                      <w:kern w:val="0"/>
                      <w:sz w:val="21"/>
                      <w:szCs w:val="21"/>
                    </w:rPr>
                    <w:t>用于周围农田施肥</w:t>
                  </w:r>
                </w:p>
              </w:tc>
              <w:tc>
                <w:tcPr>
                  <w:tcW w:w="1223" w:type="dxa"/>
                  <w:tcBorders>
                    <w:top w:val="single" w:color="auto" w:sz="4" w:space="0"/>
                    <w:left w:val="single" w:color="auto" w:sz="4" w:space="0"/>
                    <w:bottom w:val="single" w:color="auto" w:sz="4" w:space="0"/>
                  </w:tcBorders>
                </w:tcPr>
                <w:p>
                  <w:pPr>
                    <w:spacing w:line="360" w:lineRule="exact"/>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397" w:hRule="atLeast"/>
                <w:jc w:val="center"/>
              </w:trPr>
              <w:tc>
                <w:tcPr>
                  <w:tcW w:w="888" w:type="dxa"/>
                  <w:vMerge w:val="continue"/>
                  <w:tcBorders>
                    <w:top w:val="nil"/>
                  </w:tcBorders>
                  <w:vAlign w:val="center"/>
                </w:tcPr>
                <w:p>
                  <w:pPr>
                    <w:spacing w:line="360" w:lineRule="exact"/>
                    <w:jc w:val="center"/>
                    <w:rPr>
                      <w:kern w:val="0"/>
                      <w:sz w:val="21"/>
                      <w:szCs w:val="21"/>
                    </w:rPr>
                  </w:pPr>
                </w:p>
              </w:tc>
              <w:tc>
                <w:tcPr>
                  <w:tcW w:w="643" w:type="dxa"/>
                  <w:vMerge w:val="continue"/>
                  <w:tcBorders>
                    <w:top w:val="nil"/>
                  </w:tcBorders>
                  <w:vAlign w:val="center"/>
                </w:tcPr>
                <w:p>
                  <w:pPr>
                    <w:spacing w:line="360" w:lineRule="exact"/>
                    <w:jc w:val="center"/>
                    <w:rPr>
                      <w:kern w:val="0"/>
                      <w:sz w:val="21"/>
                      <w:szCs w:val="21"/>
                    </w:rPr>
                  </w:pPr>
                </w:p>
              </w:tc>
              <w:tc>
                <w:tcPr>
                  <w:tcW w:w="1039" w:type="dxa"/>
                  <w:vMerge w:val="continue"/>
                  <w:tcBorders>
                    <w:top w:val="nil"/>
                  </w:tcBorders>
                  <w:vAlign w:val="center"/>
                </w:tcPr>
                <w:p>
                  <w:pPr>
                    <w:widowControl/>
                    <w:spacing w:line="360" w:lineRule="exact"/>
                    <w:jc w:val="center"/>
                    <w:rPr>
                      <w:kern w:val="0"/>
                      <w:sz w:val="21"/>
                      <w:szCs w:val="21"/>
                    </w:rPr>
                  </w:pPr>
                </w:p>
              </w:tc>
              <w:tc>
                <w:tcPr>
                  <w:tcW w:w="692" w:type="dxa"/>
                  <w:vMerge w:val="continue"/>
                  <w:vAlign w:val="center"/>
                </w:tcPr>
                <w:p>
                  <w:pPr>
                    <w:widowControl/>
                    <w:spacing w:line="360" w:lineRule="exact"/>
                    <w:jc w:val="center"/>
                    <w:rPr>
                      <w:kern w:val="0"/>
                      <w:sz w:val="21"/>
                      <w:szCs w:val="21"/>
                    </w:rPr>
                  </w:pPr>
                </w:p>
              </w:tc>
              <w:tc>
                <w:tcPr>
                  <w:tcW w:w="2431" w:type="dxa"/>
                  <w:tcBorders>
                    <w:top w:val="single" w:color="auto" w:sz="4" w:space="0"/>
                    <w:bottom w:val="single" w:color="auto" w:sz="4" w:space="0"/>
                    <w:right w:val="single" w:color="auto" w:sz="4" w:space="0"/>
                  </w:tcBorders>
                  <w:vAlign w:val="center"/>
                </w:tcPr>
                <w:p>
                  <w:pPr>
                    <w:spacing w:line="360" w:lineRule="exact"/>
                    <w:jc w:val="center"/>
                    <w:rPr>
                      <w:kern w:val="0"/>
                      <w:sz w:val="21"/>
                      <w:szCs w:val="21"/>
                    </w:rPr>
                  </w:pPr>
                  <w:r>
                    <w:rPr>
                      <w:rFonts w:hint="eastAsia"/>
                      <w:sz w:val="21"/>
                      <w:szCs w:val="21"/>
                    </w:rPr>
                    <w:t>厨房</w:t>
                  </w:r>
                  <w:r>
                    <w:rPr>
                      <w:sz w:val="21"/>
                      <w:szCs w:val="21"/>
                    </w:rPr>
                    <w:t>废水</w:t>
                  </w:r>
                  <w:r>
                    <w:rPr>
                      <w:rFonts w:hint="eastAsia"/>
                      <w:sz w:val="21"/>
                      <w:szCs w:val="21"/>
                    </w:rPr>
                    <w:t>进入进入隔油池</w:t>
                  </w:r>
                </w:p>
              </w:tc>
              <w:tc>
                <w:tcPr>
                  <w:tcW w:w="1360" w:type="dxa"/>
                  <w:gridSpan w:val="2"/>
                  <w:tcBorders>
                    <w:top w:val="single" w:color="auto" w:sz="4" w:space="0"/>
                    <w:left w:val="single" w:color="auto" w:sz="4" w:space="0"/>
                    <w:bottom w:val="single" w:color="auto" w:sz="4" w:space="0"/>
                  </w:tcBorders>
                  <w:vAlign w:val="center"/>
                </w:tcPr>
                <w:p>
                  <w:pPr>
                    <w:spacing w:line="360" w:lineRule="exact"/>
                    <w:jc w:val="center"/>
                    <w:rPr>
                      <w:kern w:val="0"/>
                      <w:sz w:val="21"/>
                      <w:szCs w:val="21"/>
                    </w:rPr>
                  </w:pPr>
                  <w:r>
                    <w:rPr>
                      <w:rFonts w:hint="eastAsia"/>
                      <w:kern w:val="0"/>
                      <w:sz w:val="21"/>
                      <w:szCs w:val="21"/>
                    </w:rPr>
                    <w:t>最终用于厂区洒水抑尘</w:t>
                  </w:r>
                </w:p>
              </w:tc>
              <w:tc>
                <w:tcPr>
                  <w:tcW w:w="1223" w:type="dxa"/>
                  <w:tcBorders>
                    <w:top w:val="single" w:color="auto" w:sz="4" w:space="0"/>
                    <w:left w:val="single" w:color="auto" w:sz="4" w:space="0"/>
                    <w:bottom w:val="single" w:color="auto" w:sz="4" w:space="0"/>
                  </w:tcBorders>
                </w:tcPr>
                <w:p>
                  <w:pPr>
                    <w:spacing w:line="360" w:lineRule="exact"/>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397" w:hRule="atLeast"/>
                <w:jc w:val="center"/>
              </w:trPr>
              <w:tc>
                <w:tcPr>
                  <w:tcW w:w="888" w:type="dxa"/>
                  <w:vMerge w:val="continue"/>
                  <w:tcBorders>
                    <w:top w:val="nil"/>
                  </w:tcBorders>
                  <w:vAlign w:val="center"/>
                </w:tcPr>
                <w:p>
                  <w:pPr>
                    <w:widowControl/>
                    <w:spacing w:line="360" w:lineRule="exact"/>
                    <w:jc w:val="center"/>
                    <w:rPr>
                      <w:kern w:val="0"/>
                      <w:sz w:val="21"/>
                      <w:szCs w:val="21"/>
                    </w:rPr>
                  </w:pPr>
                </w:p>
              </w:tc>
              <w:tc>
                <w:tcPr>
                  <w:tcW w:w="643" w:type="dxa"/>
                  <w:vMerge w:val="continue"/>
                  <w:tcBorders>
                    <w:top w:val="nil"/>
                  </w:tcBorders>
                  <w:vAlign w:val="center"/>
                </w:tcPr>
                <w:p>
                  <w:pPr>
                    <w:widowControl/>
                    <w:spacing w:line="360" w:lineRule="exact"/>
                    <w:jc w:val="center"/>
                    <w:rPr>
                      <w:kern w:val="0"/>
                      <w:sz w:val="21"/>
                      <w:szCs w:val="21"/>
                    </w:rPr>
                  </w:pPr>
                </w:p>
              </w:tc>
              <w:tc>
                <w:tcPr>
                  <w:tcW w:w="1039" w:type="dxa"/>
                  <w:vMerge w:val="continue"/>
                  <w:tcBorders>
                    <w:top w:val="nil"/>
                  </w:tcBorders>
                  <w:vAlign w:val="center"/>
                </w:tcPr>
                <w:p>
                  <w:pPr>
                    <w:widowControl/>
                    <w:spacing w:line="360" w:lineRule="exact"/>
                    <w:jc w:val="center"/>
                    <w:rPr>
                      <w:kern w:val="0"/>
                      <w:sz w:val="21"/>
                      <w:szCs w:val="21"/>
                    </w:rPr>
                  </w:pPr>
                </w:p>
              </w:tc>
              <w:tc>
                <w:tcPr>
                  <w:tcW w:w="692" w:type="dxa"/>
                  <w:vAlign w:val="center"/>
                </w:tcPr>
                <w:p>
                  <w:pPr>
                    <w:widowControl/>
                    <w:spacing w:line="360" w:lineRule="exact"/>
                    <w:jc w:val="center"/>
                    <w:rPr>
                      <w:kern w:val="0"/>
                      <w:sz w:val="21"/>
                      <w:szCs w:val="21"/>
                    </w:rPr>
                  </w:pPr>
                  <w:r>
                    <w:rPr>
                      <w:rFonts w:hint="eastAsia"/>
                      <w:kern w:val="0"/>
                      <w:sz w:val="21"/>
                      <w:szCs w:val="21"/>
                    </w:rPr>
                    <w:t>生产</w:t>
                  </w:r>
                </w:p>
                <w:p>
                  <w:pPr>
                    <w:widowControl/>
                    <w:spacing w:line="360" w:lineRule="exact"/>
                    <w:jc w:val="center"/>
                    <w:rPr>
                      <w:kern w:val="0"/>
                      <w:sz w:val="21"/>
                      <w:szCs w:val="21"/>
                    </w:rPr>
                  </w:pPr>
                  <w:r>
                    <w:rPr>
                      <w:kern w:val="0"/>
                      <w:sz w:val="21"/>
                      <w:szCs w:val="21"/>
                    </w:rPr>
                    <w:t>废水</w:t>
                  </w:r>
                </w:p>
              </w:tc>
              <w:tc>
                <w:tcPr>
                  <w:tcW w:w="3791" w:type="dxa"/>
                  <w:gridSpan w:val="3"/>
                  <w:tcBorders>
                    <w:top w:val="single" w:color="auto" w:sz="4" w:space="0"/>
                  </w:tcBorders>
                  <w:vAlign w:val="center"/>
                </w:tcPr>
                <w:p>
                  <w:pPr>
                    <w:spacing w:line="360" w:lineRule="exact"/>
                    <w:jc w:val="center"/>
                    <w:rPr>
                      <w:kern w:val="0"/>
                      <w:sz w:val="21"/>
                      <w:szCs w:val="21"/>
                    </w:rPr>
                  </w:pPr>
                  <w:r>
                    <w:rPr>
                      <w:rFonts w:hint="eastAsia"/>
                      <w:kern w:val="0"/>
                      <w:sz w:val="21"/>
                      <w:szCs w:val="21"/>
                    </w:rPr>
                    <w:t>生产废水排入沉淀池沉淀后回用</w:t>
                  </w:r>
                </w:p>
              </w:tc>
              <w:tc>
                <w:tcPr>
                  <w:tcW w:w="1223" w:type="dxa"/>
                  <w:tcBorders>
                    <w:top w:val="single" w:color="auto" w:sz="4" w:space="0"/>
                  </w:tcBorders>
                </w:tcPr>
                <w:p>
                  <w:pPr>
                    <w:spacing w:line="360" w:lineRule="exact"/>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461" w:hRule="atLeast"/>
                <w:jc w:val="center"/>
              </w:trPr>
              <w:tc>
                <w:tcPr>
                  <w:tcW w:w="888" w:type="dxa"/>
                  <w:vMerge w:val="restart"/>
                  <w:vAlign w:val="center"/>
                </w:tcPr>
                <w:p>
                  <w:pPr>
                    <w:widowControl/>
                    <w:spacing w:line="360" w:lineRule="exact"/>
                    <w:jc w:val="center"/>
                    <w:rPr>
                      <w:kern w:val="0"/>
                      <w:sz w:val="21"/>
                      <w:szCs w:val="21"/>
                    </w:rPr>
                  </w:pPr>
                  <w:r>
                    <w:rPr>
                      <w:kern w:val="0"/>
                      <w:sz w:val="21"/>
                      <w:szCs w:val="21"/>
                    </w:rPr>
                    <w:t>环保工程</w:t>
                  </w:r>
                </w:p>
              </w:tc>
              <w:tc>
                <w:tcPr>
                  <w:tcW w:w="1682" w:type="dxa"/>
                  <w:gridSpan w:val="2"/>
                  <w:vAlign w:val="center"/>
                </w:tcPr>
                <w:p>
                  <w:pPr>
                    <w:spacing w:line="360" w:lineRule="exact"/>
                    <w:jc w:val="center"/>
                    <w:rPr>
                      <w:kern w:val="0"/>
                      <w:sz w:val="21"/>
                      <w:szCs w:val="21"/>
                    </w:rPr>
                  </w:pPr>
                  <w:r>
                    <w:rPr>
                      <w:kern w:val="0"/>
                      <w:sz w:val="21"/>
                      <w:szCs w:val="21"/>
                    </w:rPr>
                    <w:t>废水</w:t>
                  </w:r>
                </w:p>
              </w:tc>
              <w:tc>
                <w:tcPr>
                  <w:tcW w:w="3260" w:type="dxa"/>
                  <w:gridSpan w:val="3"/>
                  <w:vAlign w:val="center"/>
                </w:tcPr>
                <w:p>
                  <w:pPr>
                    <w:jc w:val="center"/>
                    <w:rPr>
                      <w:color w:val="000000"/>
                      <w:kern w:val="0"/>
                      <w:sz w:val="21"/>
                      <w:szCs w:val="21"/>
                    </w:rPr>
                  </w:pPr>
                  <w:r>
                    <w:rPr>
                      <w:rFonts w:hint="eastAsia"/>
                      <w:color w:val="000000"/>
                      <w:kern w:val="0"/>
                      <w:sz w:val="21"/>
                      <w:szCs w:val="21"/>
                    </w:rPr>
                    <w:t>化粪池、隔油池、沉淀池</w:t>
                  </w:r>
                </w:p>
              </w:tc>
              <w:tc>
                <w:tcPr>
                  <w:tcW w:w="1223" w:type="dxa"/>
                  <w:vAlign w:val="center"/>
                </w:tcPr>
                <w:p>
                  <w:pPr>
                    <w:jc w:val="center"/>
                    <w:rPr>
                      <w:color w:val="000000"/>
                      <w:kern w:val="0"/>
                      <w:sz w:val="21"/>
                      <w:szCs w:val="21"/>
                    </w:rPr>
                  </w:pPr>
                </w:p>
              </w:tc>
              <w:tc>
                <w:tcPr>
                  <w:tcW w:w="1223" w:type="dxa"/>
                </w:tcPr>
                <w:p>
                  <w:pPr>
                    <w:jc w:val="center"/>
                    <w:rPr>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1147"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Align w:val="center"/>
                </w:tcPr>
                <w:p>
                  <w:pPr>
                    <w:spacing w:line="360" w:lineRule="exact"/>
                    <w:jc w:val="center"/>
                    <w:rPr>
                      <w:kern w:val="0"/>
                      <w:sz w:val="21"/>
                      <w:szCs w:val="21"/>
                    </w:rPr>
                  </w:pPr>
                  <w:r>
                    <w:rPr>
                      <w:kern w:val="0"/>
                      <w:sz w:val="21"/>
                      <w:szCs w:val="21"/>
                    </w:rPr>
                    <w:t>废气</w:t>
                  </w:r>
                </w:p>
              </w:tc>
              <w:tc>
                <w:tcPr>
                  <w:tcW w:w="4483" w:type="dxa"/>
                  <w:gridSpan w:val="4"/>
                  <w:vAlign w:val="center"/>
                </w:tcPr>
                <w:p>
                  <w:pPr>
                    <w:spacing w:line="360" w:lineRule="exact"/>
                    <w:jc w:val="center"/>
                    <w:rPr>
                      <w:kern w:val="0"/>
                      <w:sz w:val="21"/>
                      <w:szCs w:val="21"/>
                    </w:rPr>
                  </w:pPr>
                  <w:r>
                    <w:rPr>
                      <w:rFonts w:hint="eastAsia"/>
                      <w:kern w:val="0"/>
                      <w:sz w:val="21"/>
                      <w:szCs w:val="21"/>
                    </w:rPr>
                    <w:t>设备自带</w:t>
                  </w:r>
                  <w:r>
                    <w:rPr>
                      <w:kern w:val="0"/>
                      <w:sz w:val="21"/>
                      <w:szCs w:val="21"/>
                    </w:rPr>
                    <w:t>脉冲式布袋除尘器+封闭车间+15m高排气筒</w:t>
                  </w:r>
                </w:p>
              </w:tc>
              <w:tc>
                <w:tcPr>
                  <w:tcW w:w="1223" w:type="dxa"/>
                </w:tcPr>
                <w:p>
                  <w:pPr>
                    <w:spacing w:line="360" w:lineRule="exact"/>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397"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Align w:val="center"/>
                </w:tcPr>
                <w:p>
                  <w:pPr>
                    <w:spacing w:line="360" w:lineRule="exact"/>
                    <w:jc w:val="center"/>
                    <w:rPr>
                      <w:kern w:val="0"/>
                      <w:sz w:val="21"/>
                      <w:szCs w:val="21"/>
                    </w:rPr>
                  </w:pPr>
                  <w:r>
                    <w:rPr>
                      <w:kern w:val="0"/>
                      <w:sz w:val="21"/>
                      <w:szCs w:val="21"/>
                    </w:rPr>
                    <w:t>噪声</w:t>
                  </w:r>
                </w:p>
              </w:tc>
              <w:tc>
                <w:tcPr>
                  <w:tcW w:w="4483" w:type="dxa"/>
                  <w:gridSpan w:val="4"/>
                  <w:vAlign w:val="center"/>
                </w:tcPr>
                <w:p>
                  <w:pPr>
                    <w:spacing w:line="360" w:lineRule="exact"/>
                    <w:jc w:val="center"/>
                    <w:rPr>
                      <w:kern w:val="0"/>
                      <w:sz w:val="21"/>
                      <w:szCs w:val="21"/>
                    </w:rPr>
                  </w:pPr>
                  <w:r>
                    <w:rPr>
                      <w:kern w:val="0"/>
                      <w:sz w:val="21"/>
                      <w:szCs w:val="21"/>
                    </w:rPr>
                    <w:t>设备采取隔声、减振措施</w:t>
                  </w:r>
                </w:p>
              </w:tc>
              <w:tc>
                <w:tcPr>
                  <w:tcW w:w="1223" w:type="dxa"/>
                </w:tcPr>
                <w:p>
                  <w:pPr>
                    <w:spacing w:line="360" w:lineRule="exact"/>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888" w:type="dxa"/>
                  <w:vMerge w:val="continue"/>
                  <w:vAlign w:val="center"/>
                </w:tcPr>
                <w:p>
                  <w:pPr>
                    <w:widowControl/>
                    <w:spacing w:line="360" w:lineRule="exact"/>
                    <w:jc w:val="center"/>
                    <w:rPr>
                      <w:kern w:val="0"/>
                      <w:sz w:val="21"/>
                      <w:szCs w:val="21"/>
                    </w:rPr>
                  </w:pPr>
                </w:p>
              </w:tc>
              <w:tc>
                <w:tcPr>
                  <w:tcW w:w="1682" w:type="dxa"/>
                  <w:gridSpan w:val="2"/>
                  <w:vMerge w:val="restart"/>
                  <w:vAlign w:val="center"/>
                </w:tcPr>
                <w:p>
                  <w:pPr>
                    <w:spacing w:line="360" w:lineRule="exact"/>
                    <w:jc w:val="center"/>
                    <w:rPr>
                      <w:kern w:val="0"/>
                      <w:sz w:val="21"/>
                      <w:szCs w:val="21"/>
                    </w:rPr>
                  </w:pPr>
                  <w:r>
                    <w:rPr>
                      <w:kern w:val="0"/>
                      <w:sz w:val="21"/>
                      <w:szCs w:val="21"/>
                    </w:rPr>
                    <w:t>固废</w:t>
                  </w:r>
                </w:p>
              </w:tc>
              <w:tc>
                <w:tcPr>
                  <w:tcW w:w="3260" w:type="dxa"/>
                  <w:gridSpan w:val="3"/>
                  <w:tcBorders>
                    <w:bottom w:val="single" w:color="auto" w:sz="4" w:space="0"/>
                    <w:right w:val="single" w:color="auto" w:sz="4" w:space="0"/>
                  </w:tcBorders>
                  <w:vAlign w:val="center"/>
                </w:tcPr>
                <w:p>
                  <w:pPr>
                    <w:spacing w:line="360" w:lineRule="exact"/>
                    <w:jc w:val="center"/>
                    <w:rPr>
                      <w:kern w:val="0"/>
                      <w:sz w:val="21"/>
                      <w:szCs w:val="21"/>
                    </w:rPr>
                  </w:pPr>
                  <w:r>
                    <w:rPr>
                      <w:kern w:val="0"/>
                      <w:sz w:val="21"/>
                      <w:szCs w:val="21"/>
                    </w:rPr>
                    <w:t>生活垃圾收集汇集后交环卫部门统一处理；设置一般固废临时堆场</w:t>
                  </w:r>
                </w:p>
              </w:tc>
              <w:tc>
                <w:tcPr>
                  <w:tcW w:w="1223" w:type="dxa"/>
                  <w:vAlign w:val="center"/>
                </w:tcPr>
                <w:p>
                  <w:pPr>
                    <w:jc w:val="center"/>
                    <w:rPr>
                      <w:color w:val="000000"/>
                      <w:kern w:val="0"/>
                      <w:sz w:val="21"/>
                      <w:szCs w:val="21"/>
                    </w:rPr>
                  </w:pPr>
                </w:p>
              </w:tc>
              <w:tc>
                <w:tcPr>
                  <w:tcW w:w="1223" w:type="dxa"/>
                </w:tcPr>
                <w:p>
                  <w:pPr>
                    <w:jc w:val="center"/>
                    <w:rPr>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108" w:type="dxa"/>
                  <w:bottom w:w="0" w:type="dxa"/>
                  <w:right w:w="108" w:type="dxa"/>
                </w:tblCellMar>
              </w:tblPrEx>
              <w:trPr>
                <w:trHeight w:val="705" w:hRule="atLeast"/>
                <w:jc w:val="center"/>
              </w:trPr>
              <w:tc>
                <w:tcPr>
                  <w:tcW w:w="888" w:type="dxa"/>
                  <w:vMerge w:val="continue"/>
                  <w:tcBorders>
                    <w:bottom w:val="single" w:color="auto" w:sz="12" w:space="0"/>
                  </w:tcBorders>
                  <w:vAlign w:val="center"/>
                </w:tcPr>
                <w:p>
                  <w:pPr>
                    <w:widowControl/>
                    <w:spacing w:line="360" w:lineRule="exact"/>
                    <w:jc w:val="center"/>
                    <w:rPr>
                      <w:kern w:val="0"/>
                      <w:sz w:val="21"/>
                      <w:szCs w:val="21"/>
                    </w:rPr>
                  </w:pPr>
                </w:p>
              </w:tc>
              <w:tc>
                <w:tcPr>
                  <w:tcW w:w="1682" w:type="dxa"/>
                  <w:gridSpan w:val="2"/>
                  <w:vMerge w:val="continue"/>
                  <w:tcBorders>
                    <w:bottom w:val="single" w:color="auto" w:sz="12" w:space="0"/>
                  </w:tcBorders>
                  <w:vAlign w:val="center"/>
                </w:tcPr>
                <w:p>
                  <w:pPr>
                    <w:spacing w:line="360" w:lineRule="exact"/>
                    <w:jc w:val="center"/>
                    <w:rPr>
                      <w:kern w:val="0"/>
                      <w:sz w:val="21"/>
                      <w:szCs w:val="21"/>
                    </w:rPr>
                  </w:pPr>
                </w:p>
              </w:tc>
              <w:tc>
                <w:tcPr>
                  <w:tcW w:w="3260" w:type="dxa"/>
                  <w:gridSpan w:val="3"/>
                  <w:tcBorders>
                    <w:top w:val="single" w:color="auto" w:sz="4" w:space="0"/>
                    <w:bottom w:val="single" w:color="auto" w:sz="12" w:space="0"/>
                    <w:right w:val="single" w:color="auto" w:sz="4" w:space="0"/>
                  </w:tcBorders>
                  <w:vAlign w:val="center"/>
                </w:tcPr>
                <w:p>
                  <w:pPr>
                    <w:spacing w:line="360" w:lineRule="exact"/>
                    <w:jc w:val="center"/>
                    <w:rPr>
                      <w:kern w:val="0"/>
                      <w:sz w:val="21"/>
                      <w:szCs w:val="21"/>
                    </w:rPr>
                  </w:pPr>
                  <w:r>
                    <w:rPr>
                      <w:kern w:val="0"/>
                      <w:sz w:val="21"/>
                      <w:szCs w:val="21"/>
                    </w:rPr>
                    <w:t>设置</w:t>
                  </w:r>
                  <w:r>
                    <w:rPr>
                      <w:rFonts w:hint="eastAsia"/>
                      <w:kern w:val="0"/>
                      <w:sz w:val="21"/>
                      <w:szCs w:val="21"/>
                    </w:rPr>
                    <w:t>危险</w:t>
                  </w:r>
                  <w:r>
                    <w:rPr>
                      <w:kern w:val="0"/>
                      <w:sz w:val="21"/>
                      <w:szCs w:val="21"/>
                    </w:rPr>
                    <w:t>废物暂存间，</w:t>
                  </w:r>
                  <w:r>
                    <w:rPr>
                      <w:rFonts w:hint="eastAsia"/>
                      <w:kern w:val="0"/>
                      <w:sz w:val="21"/>
                      <w:szCs w:val="21"/>
                    </w:rPr>
                    <w:t>危险</w:t>
                  </w:r>
                  <w:r>
                    <w:rPr>
                      <w:kern w:val="0"/>
                      <w:sz w:val="21"/>
                      <w:szCs w:val="21"/>
                    </w:rPr>
                    <w:t>废物委托有资质单位处理</w:t>
                  </w:r>
                </w:p>
              </w:tc>
              <w:tc>
                <w:tcPr>
                  <w:tcW w:w="1223" w:type="dxa"/>
                  <w:tcBorders>
                    <w:bottom w:val="single" w:color="auto" w:sz="12" w:space="0"/>
                  </w:tcBorders>
                  <w:vAlign w:val="center"/>
                </w:tcPr>
                <w:p>
                  <w:pPr>
                    <w:jc w:val="center"/>
                    <w:rPr>
                      <w:color w:val="000000"/>
                      <w:kern w:val="0"/>
                      <w:sz w:val="21"/>
                      <w:szCs w:val="21"/>
                    </w:rPr>
                  </w:pPr>
                  <w:r>
                    <w:rPr>
                      <w:color w:val="000000"/>
                      <w:kern w:val="0"/>
                      <w:sz w:val="21"/>
                      <w:szCs w:val="21"/>
                    </w:rPr>
                    <w:t>贮存能力5m</w:t>
                  </w:r>
                  <w:r>
                    <w:rPr>
                      <w:color w:val="000000"/>
                      <w:kern w:val="0"/>
                      <w:sz w:val="21"/>
                      <w:szCs w:val="21"/>
                      <w:vertAlign w:val="superscript"/>
                    </w:rPr>
                    <w:t>3</w:t>
                  </w:r>
                </w:p>
              </w:tc>
              <w:tc>
                <w:tcPr>
                  <w:tcW w:w="1223" w:type="dxa"/>
                  <w:tcBorders>
                    <w:bottom w:val="single" w:color="auto" w:sz="12" w:space="0"/>
                  </w:tcBorders>
                </w:tcPr>
                <w:p>
                  <w:pPr>
                    <w:jc w:val="center"/>
                    <w:rPr>
                      <w:color w:val="000000"/>
                      <w:kern w:val="0"/>
                      <w:sz w:val="21"/>
                      <w:szCs w:val="21"/>
                    </w:rPr>
                  </w:pPr>
                </w:p>
              </w:tc>
            </w:tr>
          </w:tbl>
          <w:p>
            <w:pPr>
              <w:jc w:val="center"/>
              <w:rPr>
                <w:b/>
                <w:color w:val="000000"/>
                <w:sz w:val="21"/>
                <w:szCs w:val="20"/>
              </w:rPr>
            </w:pPr>
          </w:p>
          <w:p>
            <w:pPr>
              <w:jc w:val="center"/>
              <w:rPr>
                <w:b/>
                <w:color w:val="000000"/>
                <w:sz w:val="21"/>
                <w:szCs w:val="20"/>
              </w:rPr>
            </w:pPr>
            <w:r>
              <w:rPr>
                <w:b/>
                <w:color w:val="000000"/>
                <w:sz w:val="21"/>
                <w:szCs w:val="20"/>
              </w:rPr>
              <w:t xml:space="preserve">表2   </w:t>
            </w:r>
            <w:r>
              <w:rPr>
                <w:rFonts w:hint="eastAsia"/>
                <w:b/>
                <w:color w:val="000000"/>
                <w:sz w:val="21"/>
                <w:szCs w:val="20"/>
              </w:rPr>
              <w:t>产品方案</w:t>
            </w:r>
          </w:p>
          <w:tbl>
            <w:tblPr>
              <w:tblStyle w:val="18"/>
              <w:tblW w:w="8276"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0"/>
              <w:gridCol w:w="2228"/>
              <w:gridCol w:w="794"/>
              <w:gridCol w:w="1170"/>
              <w:gridCol w:w="305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14" w:hRule="atLeast"/>
                <w:jc w:val="center"/>
              </w:trPr>
              <w:tc>
                <w:tcPr>
                  <w:tcW w:w="1030" w:type="dxa"/>
                  <w:vAlign w:val="center"/>
                </w:tcPr>
                <w:p>
                  <w:pPr>
                    <w:spacing w:line="360" w:lineRule="exact"/>
                    <w:jc w:val="center"/>
                    <w:rPr>
                      <w:sz w:val="21"/>
                      <w:szCs w:val="21"/>
                    </w:rPr>
                  </w:pPr>
                  <w:r>
                    <w:rPr>
                      <w:sz w:val="21"/>
                      <w:szCs w:val="21"/>
                    </w:rPr>
                    <w:t>序号</w:t>
                  </w:r>
                </w:p>
              </w:tc>
              <w:tc>
                <w:tcPr>
                  <w:tcW w:w="2228" w:type="dxa"/>
                  <w:vAlign w:val="center"/>
                </w:tcPr>
                <w:p>
                  <w:pPr>
                    <w:spacing w:line="360" w:lineRule="exact"/>
                    <w:jc w:val="center"/>
                    <w:rPr>
                      <w:sz w:val="21"/>
                      <w:szCs w:val="21"/>
                    </w:rPr>
                  </w:pPr>
                  <w:r>
                    <w:rPr>
                      <w:sz w:val="21"/>
                      <w:szCs w:val="21"/>
                    </w:rPr>
                    <w:t>项  目</w:t>
                  </w:r>
                </w:p>
              </w:tc>
              <w:tc>
                <w:tcPr>
                  <w:tcW w:w="794" w:type="dxa"/>
                  <w:vAlign w:val="center"/>
                </w:tcPr>
                <w:p>
                  <w:pPr>
                    <w:spacing w:line="360" w:lineRule="exact"/>
                    <w:jc w:val="center"/>
                    <w:rPr>
                      <w:sz w:val="21"/>
                      <w:szCs w:val="21"/>
                    </w:rPr>
                  </w:pPr>
                  <w:r>
                    <w:rPr>
                      <w:sz w:val="21"/>
                      <w:szCs w:val="21"/>
                    </w:rPr>
                    <w:t>单位</w:t>
                  </w:r>
                </w:p>
              </w:tc>
              <w:tc>
                <w:tcPr>
                  <w:tcW w:w="1170" w:type="dxa"/>
                  <w:vAlign w:val="center"/>
                </w:tcPr>
                <w:p>
                  <w:pPr>
                    <w:spacing w:line="360" w:lineRule="exact"/>
                    <w:jc w:val="center"/>
                    <w:rPr>
                      <w:sz w:val="21"/>
                      <w:szCs w:val="21"/>
                    </w:rPr>
                  </w:pPr>
                  <w:r>
                    <w:rPr>
                      <w:sz w:val="21"/>
                      <w:szCs w:val="21"/>
                    </w:rPr>
                    <w:t>数值</w:t>
                  </w:r>
                </w:p>
              </w:tc>
              <w:tc>
                <w:tcPr>
                  <w:tcW w:w="3054" w:type="dxa"/>
                  <w:vAlign w:val="center"/>
                </w:tcPr>
                <w:p>
                  <w:pPr>
                    <w:spacing w:line="360" w:lineRule="exact"/>
                    <w:jc w:val="center"/>
                    <w:rPr>
                      <w:sz w:val="21"/>
                      <w:szCs w:val="21"/>
                    </w:rPr>
                  </w:pPr>
                  <w:r>
                    <w:rPr>
                      <w:sz w:val="21"/>
                      <w:szCs w:val="21"/>
                    </w:rPr>
                    <w:t>备  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PrEx>
              <w:trPr>
                <w:trHeight w:val="414" w:hRule="atLeast"/>
                <w:jc w:val="center"/>
              </w:trPr>
              <w:tc>
                <w:tcPr>
                  <w:tcW w:w="1030" w:type="dxa"/>
                  <w:vAlign w:val="center"/>
                </w:tcPr>
                <w:p>
                  <w:pPr>
                    <w:spacing w:line="360" w:lineRule="exact"/>
                    <w:jc w:val="center"/>
                    <w:rPr>
                      <w:sz w:val="21"/>
                      <w:szCs w:val="21"/>
                    </w:rPr>
                  </w:pPr>
                  <w:r>
                    <w:rPr>
                      <w:sz w:val="21"/>
                      <w:szCs w:val="21"/>
                    </w:rPr>
                    <w:t>1</w:t>
                  </w:r>
                </w:p>
              </w:tc>
              <w:tc>
                <w:tcPr>
                  <w:tcW w:w="2228" w:type="dxa"/>
                  <w:vAlign w:val="center"/>
                </w:tcPr>
                <w:p>
                  <w:pPr>
                    <w:spacing w:line="360" w:lineRule="exact"/>
                    <w:jc w:val="center"/>
                    <w:rPr>
                      <w:sz w:val="21"/>
                      <w:szCs w:val="21"/>
                    </w:rPr>
                  </w:pPr>
                  <w:r>
                    <w:rPr>
                      <w:rFonts w:hint="eastAsia"/>
                      <w:sz w:val="21"/>
                      <w:szCs w:val="21"/>
                    </w:rPr>
                    <w:t>再生砂浆</w:t>
                  </w:r>
                </w:p>
              </w:tc>
              <w:tc>
                <w:tcPr>
                  <w:tcW w:w="794" w:type="dxa"/>
                  <w:vAlign w:val="center"/>
                </w:tcPr>
                <w:p>
                  <w:pPr>
                    <w:spacing w:line="360" w:lineRule="exact"/>
                    <w:jc w:val="center"/>
                    <w:rPr>
                      <w:sz w:val="21"/>
                      <w:szCs w:val="21"/>
                    </w:rPr>
                  </w:pPr>
                  <w:r>
                    <w:rPr>
                      <w:rFonts w:hint="eastAsia"/>
                      <w:sz w:val="21"/>
                      <w:szCs w:val="21"/>
                    </w:rPr>
                    <w:t>吨</w:t>
                  </w:r>
                </w:p>
              </w:tc>
              <w:tc>
                <w:tcPr>
                  <w:tcW w:w="1170" w:type="dxa"/>
                  <w:vAlign w:val="center"/>
                </w:tcPr>
                <w:p>
                  <w:pPr>
                    <w:spacing w:line="360" w:lineRule="exact"/>
                    <w:jc w:val="center"/>
                    <w:rPr>
                      <w:sz w:val="21"/>
                      <w:szCs w:val="21"/>
                    </w:rPr>
                  </w:pPr>
                  <w:r>
                    <w:rPr>
                      <w:sz w:val="21"/>
                      <w:szCs w:val="21"/>
                    </w:rPr>
                    <w:t>30</w:t>
                  </w:r>
                  <w:r>
                    <w:rPr>
                      <w:rFonts w:hint="eastAsia"/>
                      <w:sz w:val="21"/>
                      <w:szCs w:val="21"/>
                    </w:rPr>
                    <w:t>万</w:t>
                  </w:r>
                </w:p>
              </w:tc>
              <w:tc>
                <w:tcPr>
                  <w:tcW w:w="3054" w:type="dxa"/>
                  <w:vAlign w:val="center"/>
                </w:tcPr>
                <w:p>
                  <w:pPr>
                    <w:spacing w:line="360" w:lineRule="exact"/>
                    <w:ind w:firstLine="840" w:firstLineChars="400"/>
                    <w:jc w:val="left"/>
                    <w:rPr>
                      <w:sz w:val="21"/>
                      <w:szCs w:val="21"/>
                    </w:rPr>
                  </w:pPr>
                </w:p>
              </w:tc>
            </w:tr>
          </w:tbl>
          <w:p>
            <w:pPr>
              <w:snapToGrid w:val="0"/>
              <w:spacing w:before="156" w:beforeLines="50" w:line="440" w:lineRule="atLeast"/>
              <w:ind w:left="482"/>
              <w:outlineLvl w:val="1"/>
              <w:rPr>
                <w:b/>
                <w:bCs/>
                <w:sz w:val="24"/>
              </w:rPr>
            </w:pPr>
          </w:p>
          <w:p>
            <w:pPr>
              <w:snapToGrid w:val="0"/>
              <w:spacing w:before="156" w:beforeLines="50" w:line="440" w:lineRule="atLeast"/>
              <w:ind w:left="482"/>
              <w:outlineLvl w:val="1"/>
              <w:rPr>
                <w:b/>
                <w:bCs/>
                <w:sz w:val="24"/>
              </w:rPr>
            </w:pPr>
            <w:bookmarkStart w:id="2" w:name="_Toc3906321"/>
            <w:r>
              <w:rPr>
                <w:b/>
                <w:bCs/>
                <w:sz w:val="24"/>
              </w:rPr>
              <w:t>5、主要设备</w:t>
            </w:r>
            <w:bookmarkEnd w:id="2"/>
          </w:p>
          <w:p>
            <w:pPr>
              <w:widowControl/>
              <w:adjustRightInd w:val="0"/>
              <w:snapToGrid w:val="0"/>
              <w:spacing w:line="520" w:lineRule="exact"/>
              <w:ind w:firstLine="480" w:firstLineChars="200"/>
              <w:rPr>
                <w:kern w:val="0"/>
                <w:sz w:val="24"/>
              </w:rPr>
            </w:pPr>
            <w:r>
              <w:rPr>
                <w:kern w:val="0"/>
                <w:sz w:val="24"/>
              </w:rPr>
              <w:t>本项目主要设备清单详见表3。</w:t>
            </w:r>
          </w:p>
          <w:p>
            <w:pPr>
              <w:jc w:val="center"/>
              <w:rPr>
                <w:b/>
                <w:sz w:val="21"/>
                <w:szCs w:val="20"/>
              </w:rPr>
            </w:pPr>
            <w:r>
              <w:rPr>
                <w:b/>
                <w:sz w:val="21"/>
                <w:szCs w:val="20"/>
              </w:rPr>
              <w:t>表3   项目主要设备清单</w:t>
            </w:r>
          </w:p>
          <w:tbl>
            <w:tblPr>
              <w:tblStyle w:val="18"/>
              <w:tblW w:w="10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00"/>
              <w:gridCol w:w="2211"/>
              <w:gridCol w:w="476"/>
              <w:gridCol w:w="1780"/>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工序</w:t>
                  </w: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设备名称</w:t>
                  </w:r>
                </w:p>
              </w:tc>
              <w:tc>
                <w:tcPr>
                  <w:tcW w:w="2211" w:type="dxa"/>
                  <w:vAlign w:val="center"/>
                </w:tcPr>
                <w:p>
                  <w:pPr>
                    <w:spacing w:before="312" w:beforeLines="100" w:line="0" w:lineRule="atLeast"/>
                    <w:ind w:firstLine="420" w:firstLineChars="20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型号</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数量</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restart"/>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建筑垃圾分检</w:t>
                  </w: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撕碎机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Height w:val="620" w:hRule="atLeast"/>
              </w:trPr>
              <w:tc>
                <w:tcPr>
                  <w:tcW w:w="1129" w:type="dxa"/>
                  <w:vMerge w:val="continue"/>
                  <w:vAlign w:val="center"/>
                </w:tcPr>
                <w:p>
                  <w:pPr>
                    <w:spacing w:before="312" w:beforeLines="100" w:line="0" w:lineRule="atLeast"/>
                    <w:jc w:val="center"/>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压包机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Y</w:t>
                  </w:r>
                  <w:r>
                    <w:rPr>
                      <w:rFonts w:asciiTheme="minorEastAsia" w:hAnsiTheme="minorEastAsia" w:eastAsiaTheme="minorEastAsia"/>
                      <w:sz w:val="21"/>
                      <w:szCs w:val="21"/>
                    </w:rPr>
                    <w:t>L</w:t>
                  </w:r>
                  <w:r>
                    <w:rPr>
                      <w:rFonts w:hint="eastAsia" w:asciiTheme="minorEastAsia" w:hAnsiTheme="minorEastAsia" w:eastAsiaTheme="minorEastAsia"/>
                      <w:sz w:val="21"/>
                      <w:szCs w:val="21"/>
                    </w:rPr>
                    <w:t>-</w:t>
                  </w:r>
                  <w:r>
                    <w:rPr>
                      <w:rFonts w:asciiTheme="minorEastAsia" w:hAnsiTheme="minorEastAsia" w:eastAsiaTheme="minorEastAsia"/>
                      <w:sz w:val="21"/>
                      <w:szCs w:val="21"/>
                    </w:rPr>
                    <w:t>15</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jc w:val="center"/>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冲气锤</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Y</w:t>
                  </w:r>
                  <w:r>
                    <w:rPr>
                      <w:rFonts w:asciiTheme="minorEastAsia" w:hAnsiTheme="minorEastAsia" w:eastAsiaTheme="minorEastAsia"/>
                      <w:sz w:val="21"/>
                      <w:szCs w:val="21"/>
                    </w:rPr>
                    <w:t>N</w:t>
                  </w:r>
                  <w:r>
                    <w:rPr>
                      <w:rFonts w:hint="eastAsia" w:asciiTheme="minorEastAsia" w:hAnsiTheme="minorEastAsia" w:eastAsiaTheme="minorEastAsia"/>
                      <w:sz w:val="21"/>
                      <w:szCs w:val="21"/>
                    </w:rPr>
                    <w:t>-</w:t>
                  </w:r>
                  <w:r>
                    <w:rPr>
                      <w:rFonts w:asciiTheme="minorEastAsia" w:hAnsiTheme="minorEastAsia" w:eastAsiaTheme="minorEastAsia"/>
                      <w:sz w:val="21"/>
                      <w:szCs w:val="21"/>
                    </w:rPr>
                    <w:t>27</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restart"/>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废加工砂石生产线</w:t>
                  </w: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环保除尘雾炮机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H</w:t>
                  </w:r>
                  <w:r>
                    <w:rPr>
                      <w:rFonts w:asciiTheme="minorEastAsia" w:hAnsiTheme="minorEastAsia" w:eastAsiaTheme="minorEastAsia"/>
                      <w:sz w:val="21"/>
                      <w:szCs w:val="21"/>
                    </w:rPr>
                    <w:t>HWP</w:t>
                  </w:r>
                  <w:r>
                    <w:rPr>
                      <w:rFonts w:hint="eastAsia" w:asciiTheme="minorEastAsia" w:hAnsiTheme="minorEastAsia" w:eastAsiaTheme="minorEastAsia"/>
                      <w:sz w:val="21"/>
                      <w:szCs w:val="21"/>
                    </w:rPr>
                    <w:t>-</w:t>
                  </w:r>
                  <w:r>
                    <w:rPr>
                      <w:rFonts w:asciiTheme="minorEastAsia" w:hAnsiTheme="minorEastAsia" w:eastAsiaTheme="minorEastAsia"/>
                      <w:sz w:val="21"/>
                      <w:szCs w:val="21"/>
                    </w:rPr>
                    <w:t>30</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反击破碎机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P</w:t>
                  </w:r>
                  <w:r>
                    <w:rPr>
                      <w:rFonts w:asciiTheme="minorEastAsia" w:hAnsiTheme="minorEastAsia" w:eastAsiaTheme="minorEastAsia"/>
                      <w:sz w:val="21"/>
                      <w:szCs w:val="21"/>
                    </w:rPr>
                    <w:t>FS-1214</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制砂机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V</w:t>
                  </w:r>
                  <w:r>
                    <w:rPr>
                      <w:rFonts w:asciiTheme="minorEastAsia" w:hAnsiTheme="minorEastAsia" w:eastAsiaTheme="minorEastAsia"/>
                      <w:sz w:val="21"/>
                      <w:szCs w:val="21"/>
                    </w:rPr>
                    <w:t>S-17611</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传送带</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20</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水泵</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w:t>
                  </w:r>
                  <w:r>
                    <w:rPr>
                      <w:rFonts w:asciiTheme="minorEastAsia" w:hAnsiTheme="minorEastAsia" w:eastAsiaTheme="minorEastAsia"/>
                      <w:sz w:val="21"/>
                      <w:szCs w:val="21"/>
                    </w:rPr>
                    <w:t>Q45-22-75</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0</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restart"/>
                  <w:vAlign w:val="center"/>
                </w:tcPr>
                <w:p>
                  <w:pPr>
                    <w:spacing w:before="312" w:beforeLines="100" w:line="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固废清洗生产线</w:t>
                  </w:r>
                </w:p>
                <w:p>
                  <w:pPr>
                    <w:spacing w:before="312" w:beforeLines="100" w:line="0" w:lineRule="atLeast"/>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50型装载机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r>
                    <w:rPr>
                      <w:rFonts w:asciiTheme="minorEastAsia" w:hAnsiTheme="minorEastAsia" w:eastAsiaTheme="minorEastAsia"/>
                      <w:sz w:val="21"/>
                      <w:szCs w:val="21"/>
                    </w:rPr>
                    <w:t>50N</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vAlign w:val="center"/>
                </w:tcPr>
                <w:p>
                  <w:pPr>
                    <w:spacing w:before="312" w:beforeLines="100" w:line="0" w:lineRule="atLeast"/>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重型给料机</w:t>
                  </w:r>
                </w:p>
              </w:tc>
              <w:tc>
                <w:tcPr>
                  <w:tcW w:w="2211" w:type="dxa"/>
                  <w:vAlign w:val="center"/>
                </w:tcPr>
                <w:p>
                  <w:pPr>
                    <w:spacing w:before="312" w:beforeLines="100" w:line="0" w:lineRule="atLeas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G</w:t>
                  </w:r>
                  <w:r>
                    <w:rPr>
                      <w:rFonts w:asciiTheme="minorEastAsia" w:hAnsiTheme="minorEastAsia" w:eastAsiaTheme="minorEastAsia"/>
                      <w:sz w:val="21"/>
                      <w:szCs w:val="21"/>
                    </w:rPr>
                    <w:t>DZ380*96</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c>
                <w:tcPr>
                  <w:tcW w:w="1780" w:type="dxa"/>
                  <w:vAlign w:val="center"/>
                </w:tcPr>
                <w:p>
                  <w:pPr>
                    <w:spacing w:before="312" w:beforeLines="100" w:line="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滚筒筛</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G</w:t>
                  </w:r>
                  <w:r>
                    <w:rPr>
                      <w:rFonts w:asciiTheme="minorEastAsia" w:hAnsiTheme="minorEastAsia" w:eastAsiaTheme="minorEastAsia"/>
                      <w:sz w:val="21"/>
                      <w:szCs w:val="21"/>
                    </w:rPr>
                    <w:t>DS2560</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砂石选洗机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2XL-1115</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进料提升机机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T</w:t>
                  </w:r>
                  <w:r>
                    <w:rPr>
                      <w:rFonts w:asciiTheme="minorEastAsia" w:hAnsiTheme="minorEastAsia" w:eastAsiaTheme="minorEastAsia"/>
                      <w:sz w:val="21"/>
                      <w:szCs w:val="21"/>
                    </w:rPr>
                    <w:t>SO12060</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细砂回收机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V</w:t>
                  </w:r>
                  <w:r>
                    <w:rPr>
                      <w:rFonts w:asciiTheme="minorEastAsia" w:hAnsiTheme="minorEastAsia" w:eastAsiaTheme="minorEastAsia"/>
                      <w:sz w:val="21"/>
                      <w:szCs w:val="21"/>
                    </w:rPr>
                    <w:t>WS20-500</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jc w:val="center"/>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洗砂机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X</w:t>
                  </w:r>
                  <w:r>
                    <w:rPr>
                      <w:rFonts w:asciiTheme="minorEastAsia" w:hAnsiTheme="minorEastAsia" w:eastAsiaTheme="minorEastAsia"/>
                      <w:sz w:val="21"/>
                      <w:szCs w:val="21"/>
                    </w:rPr>
                    <w:t>SD1830</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jc w:val="center"/>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泥浆泵</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N</w:t>
                  </w:r>
                  <w:r>
                    <w:rPr>
                      <w:rFonts w:asciiTheme="minorEastAsia" w:hAnsiTheme="minorEastAsia" w:eastAsiaTheme="minorEastAsia"/>
                      <w:sz w:val="21"/>
                      <w:szCs w:val="21"/>
                    </w:rPr>
                    <w:t>SQ300-28-30</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Height w:val="523" w:hRule="atLeast"/>
              </w:trPr>
              <w:tc>
                <w:tcPr>
                  <w:tcW w:w="1129" w:type="dxa"/>
                  <w:vMerge w:val="continue"/>
                  <w:vAlign w:val="center"/>
                </w:tcPr>
                <w:p>
                  <w:pPr>
                    <w:spacing w:before="312" w:beforeLines="100" w:line="0" w:lineRule="atLeast"/>
                    <w:jc w:val="center"/>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泥浆速凝筒</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300</w:t>
                  </w:r>
                  <w:r>
                    <w:rPr>
                      <w:rFonts w:hint="eastAsia" w:asciiTheme="minorEastAsia" w:hAnsiTheme="minorEastAsia" w:eastAsiaTheme="minorEastAsia"/>
                      <w:sz w:val="21"/>
                      <w:szCs w:val="21"/>
                    </w:rPr>
                    <w:t>吨</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4</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jc w:val="center"/>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压滤机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DYQ3S00WP1F2</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restart"/>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湿拌砂浆生产线</w:t>
                  </w: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粉煤灰舱</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100</w:t>
                  </w:r>
                  <w:r>
                    <w:rPr>
                      <w:rFonts w:hint="eastAsia" w:asciiTheme="minorEastAsia" w:hAnsiTheme="minorEastAsia" w:eastAsiaTheme="minorEastAsia"/>
                      <w:sz w:val="21"/>
                      <w:szCs w:val="21"/>
                    </w:rPr>
                    <w:t>吨</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4</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jc w:val="center"/>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水泥仓</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00</w:t>
                  </w:r>
                  <w:r>
                    <w:rPr>
                      <w:rFonts w:hint="eastAsia" w:asciiTheme="minorEastAsia" w:hAnsiTheme="minorEastAsia" w:eastAsiaTheme="minorEastAsia"/>
                      <w:sz w:val="21"/>
                      <w:szCs w:val="21"/>
                    </w:rPr>
                    <w:t>吨</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4</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jc w:val="center"/>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外加剂仓</w:t>
                  </w:r>
                </w:p>
              </w:tc>
              <w:tc>
                <w:tcPr>
                  <w:tcW w:w="2211"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0</w:t>
                  </w:r>
                  <w:r>
                    <w:rPr>
                      <w:rFonts w:hint="eastAsia" w:asciiTheme="minorEastAsia" w:hAnsiTheme="minorEastAsia" w:eastAsiaTheme="minorEastAsia"/>
                      <w:sz w:val="21"/>
                      <w:szCs w:val="21"/>
                    </w:rPr>
                    <w:t>吨</w:t>
                  </w: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80" w:type="dxa"/>
              </w:trPr>
              <w:tc>
                <w:tcPr>
                  <w:tcW w:w="1129" w:type="dxa"/>
                  <w:vMerge w:val="continue"/>
                  <w:vAlign w:val="center"/>
                </w:tcPr>
                <w:p>
                  <w:pPr>
                    <w:spacing w:before="312" w:beforeLines="100" w:line="0" w:lineRule="atLeast"/>
                    <w:jc w:val="center"/>
                    <w:rPr>
                      <w:rFonts w:asciiTheme="minorEastAsia" w:hAnsiTheme="minorEastAsia" w:eastAsiaTheme="minorEastAsia"/>
                      <w:sz w:val="21"/>
                      <w:szCs w:val="21"/>
                    </w:rPr>
                  </w:pPr>
                </w:p>
              </w:tc>
              <w:tc>
                <w:tcPr>
                  <w:tcW w:w="270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180型搅拌机</w:t>
                  </w:r>
                </w:p>
              </w:tc>
              <w:tc>
                <w:tcPr>
                  <w:tcW w:w="2211" w:type="dxa"/>
                  <w:vAlign w:val="center"/>
                </w:tcPr>
                <w:p>
                  <w:pPr>
                    <w:spacing w:before="312" w:beforeLines="100" w:line="0" w:lineRule="atLeast"/>
                    <w:jc w:val="center"/>
                    <w:rPr>
                      <w:rFonts w:asciiTheme="minorEastAsia" w:hAnsiTheme="minorEastAsia" w:eastAsiaTheme="minorEastAsia"/>
                      <w:sz w:val="21"/>
                      <w:szCs w:val="21"/>
                    </w:rPr>
                  </w:pPr>
                </w:p>
              </w:tc>
              <w:tc>
                <w:tcPr>
                  <w:tcW w:w="476" w:type="dxa"/>
                  <w:vAlign w:val="center"/>
                </w:tcPr>
                <w:p>
                  <w:pPr>
                    <w:spacing w:before="312" w:beforeLines="100" w:line="0" w:lineRule="atLeast"/>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780" w:type="dxa"/>
                  <w:vAlign w:val="center"/>
                </w:tcPr>
                <w:p>
                  <w:pPr>
                    <w:spacing w:before="312" w:beforeLines="10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新购</w:t>
                  </w:r>
                </w:p>
              </w:tc>
            </w:tr>
          </w:tbl>
          <w:p>
            <w:pPr>
              <w:rPr>
                <w:sz w:val="24"/>
              </w:rPr>
            </w:pPr>
          </w:p>
          <w:p>
            <w:pPr>
              <w:snapToGrid w:val="0"/>
              <w:spacing w:line="440" w:lineRule="atLeast"/>
              <w:ind w:firstLine="482" w:firstLineChars="200"/>
              <w:outlineLvl w:val="1"/>
              <w:rPr>
                <w:b/>
                <w:bCs/>
                <w:sz w:val="24"/>
              </w:rPr>
            </w:pPr>
          </w:p>
          <w:p>
            <w:pPr>
              <w:snapToGrid w:val="0"/>
              <w:spacing w:line="440" w:lineRule="atLeast"/>
              <w:ind w:firstLine="482" w:firstLineChars="200"/>
              <w:outlineLvl w:val="1"/>
              <w:rPr>
                <w:b/>
                <w:bCs/>
                <w:sz w:val="24"/>
              </w:rPr>
            </w:pPr>
          </w:p>
          <w:p>
            <w:pPr>
              <w:snapToGrid w:val="0"/>
              <w:spacing w:line="440" w:lineRule="atLeast"/>
              <w:outlineLvl w:val="1"/>
              <w:rPr>
                <w:b/>
                <w:bCs/>
                <w:sz w:val="24"/>
              </w:rPr>
            </w:pPr>
          </w:p>
          <w:p>
            <w:pPr>
              <w:snapToGrid w:val="0"/>
              <w:spacing w:line="440" w:lineRule="atLeast"/>
              <w:ind w:firstLine="482" w:firstLineChars="200"/>
              <w:outlineLvl w:val="1"/>
              <w:rPr>
                <w:b/>
                <w:bCs/>
                <w:sz w:val="24"/>
              </w:rPr>
            </w:pPr>
            <w:bookmarkStart w:id="3" w:name="_Toc3906322"/>
            <w:r>
              <w:rPr>
                <w:b/>
                <w:bCs/>
                <w:sz w:val="24"/>
              </w:rPr>
              <w:t>6、项目原辅材料及能源消耗</w:t>
            </w:r>
            <w:bookmarkEnd w:id="3"/>
          </w:p>
          <w:p>
            <w:pPr>
              <w:widowControl/>
              <w:adjustRightInd w:val="0"/>
              <w:snapToGrid w:val="0"/>
              <w:spacing w:line="520" w:lineRule="exact"/>
              <w:ind w:firstLine="480" w:firstLineChars="200"/>
              <w:rPr>
                <w:kern w:val="0"/>
                <w:sz w:val="24"/>
              </w:rPr>
            </w:pPr>
            <w:r>
              <w:rPr>
                <w:kern w:val="0"/>
                <w:sz w:val="24"/>
              </w:rPr>
              <w:t>本项目主要原辅材料及能源消耗情况详见下表4：</w:t>
            </w:r>
          </w:p>
          <w:p>
            <w:pPr>
              <w:jc w:val="center"/>
              <w:rPr>
                <w:b/>
                <w:color w:val="000000"/>
                <w:sz w:val="21"/>
                <w:szCs w:val="20"/>
              </w:rPr>
            </w:pPr>
            <w:r>
              <w:rPr>
                <w:b/>
                <w:color w:val="000000"/>
                <w:sz w:val="21"/>
                <w:szCs w:val="20"/>
              </w:rPr>
              <w:t>表4  本项目原辅材料及能源年消耗情况</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59"/>
              <w:gridCol w:w="2126"/>
              <w:gridCol w:w="184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55"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工序</w:t>
                  </w:r>
                </w:p>
              </w:tc>
              <w:tc>
                <w:tcPr>
                  <w:tcW w:w="1559"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名称</w:t>
                  </w:r>
                </w:p>
              </w:tc>
              <w:tc>
                <w:tcPr>
                  <w:tcW w:w="2126"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年用量</w:t>
                  </w:r>
                </w:p>
              </w:tc>
              <w:tc>
                <w:tcPr>
                  <w:tcW w:w="184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贮存方式</w:t>
                  </w:r>
                </w:p>
              </w:tc>
              <w:tc>
                <w:tcPr>
                  <w:tcW w:w="121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555" w:type="dxa"/>
                  <w:vMerge w:val="restart"/>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湿拌砂浆</w:t>
                  </w:r>
                </w:p>
              </w:tc>
              <w:tc>
                <w:tcPr>
                  <w:tcW w:w="1559"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水泥</w:t>
                  </w:r>
                </w:p>
              </w:tc>
              <w:tc>
                <w:tcPr>
                  <w:tcW w:w="2126" w:type="dxa"/>
                  <w:noWrap/>
                  <w:vAlign w:val="center"/>
                </w:tcPr>
                <w:p>
                  <w:pPr>
                    <w:spacing w:line="0" w:lineRule="atLeast"/>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2.9</w:t>
                  </w:r>
                  <w:r>
                    <w:rPr>
                      <w:rFonts w:hint="eastAsia" w:asciiTheme="minorEastAsia" w:hAnsiTheme="minorEastAsia" w:eastAsiaTheme="minorEastAsia"/>
                      <w:kern w:val="0"/>
                      <w:sz w:val="21"/>
                      <w:szCs w:val="21"/>
                    </w:rPr>
                    <w:t>万吨</w:t>
                  </w:r>
                </w:p>
              </w:tc>
              <w:tc>
                <w:tcPr>
                  <w:tcW w:w="184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筒仓储存</w:t>
                  </w:r>
                </w:p>
              </w:tc>
              <w:tc>
                <w:tcPr>
                  <w:tcW w:w="121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55" w:type="dxa"/>
                  <w:vMerge w:val="continue"/>
                  <w:noWrap/>
                  <w:vAlign w:val="center"/>
                </w:tcPr>
                <w:p>
                  <w:pPr>
                    <w:spacing w:line="0" w:lineRule="atLeast"/>
                    <w:jc w:val="center"/>
                    <w:rPr>
                      <w:rFonts w:asciiTheme="minorEastAsia" w:hAnsiTheme="minorEastAsia" w:eastAsiaTheme="minorEastAsia"/>
                      <w:kern w:val="0"/>
                      <w:sz w:val="21"/>
                      <w:szCs w:val="21"/>
                    </w:rPr>
                  </w:pPr>
                </w:p>
              </w:tc>
              <w:tc>
                <w:tcPr>
                  <w:tcW w:w="1559"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外加剂</w:t>
                  </w:r>
                </w:p>
              </w:tc>
              <w:tc>
                <w:tcPr>
                  <w:tcW w:w="2126"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0</w:t>
                  </w:r>
                  <w:r>
                    <w:rPr>
                      <w:rFonts w:asciiTheme="minorEastAsia" w:hAnsiTheme="minorEastAsia" w:eastAsiaTheme="minorEastAsia"/>
                      <w:kern w:val="0"/>
                      <w:sz w:val="21"/>
                      <w:szCs w:val="21"/>
                    </w:rPr>
                    <w:t>.1</w:t>
                  </w:r>
                  <w:r>
                    <w:rPr>
                      <w:rFonts w:hint="eastAsia" w:asciiTheme="minorEastAsia" w:hAnsiTheme="minorEastAsia" w:eastAsiaTheme="minorEastAsia"/>
                      <w:kern w:val="0"/>
                      <w:sz w:val="21"/>
                      <w:szCs w:val="21"/>
                    </w:rPr>
                    <w:t>万吨</w:t>
                  </w:r>
                </w:p>
              </w:tc>
              <w:tc>
                <w:tcPr>
                  <w:tcW w:w="184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罐装储存</w:t>
                  </w:r>
                </w:p>
              </w:tc>
              <w:tc>
                <w:tcPr>
                  <w:tcW w:w="121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55" w:type="dxa"/>
                  <w:vMerge w:val="continue"/>
                  <w:noWrap/>
                  <w:vAlign w:val="center"/>
                </w:tcPr>
                <w:p>
                  <w:pPr>
                    <w:spacing w:line="0" w:lineRule="atLeast"/>
                    <w:jc w:val="center"/>
                    <w:rPr>
                      <w:rFonts w:asciiTheme="minorEastAsia" w:hAnsiTheme="minorEastAsia" w:eastAsiaTheme="minorEastAsia"/>
                      <w:kern w:val="0"/>
                      <w:sz w:val="21"/>
                      <w:szCs w:val="21"/>
                    </w:rPr>
                  </w:pPr>
                </w:p>
              </w:tc>
              <w:tc>
                <w:tcPr>
                  <w:tcW w:w="1559"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粉煤灰</w:t>
                  </w:r>
                </w:p>
              </w:tc>
              <w:tc>
                <w:tcPr>
                  <w:tcW w:w="2126" w:type="dxa"/>
                  <w:noWrap/>
                  <w:vAlign w:val="center"/>
                </w:tcPr>
                <w:p>
                  <w:pPr>
                    <w:spacing w:line="0" w:lineRule="atLeast"/>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1</w:t>
                  </w:r>
                  <w:r>
                    <w:rPr>
                      <w:rFonts w:hint="eastAsia" w:asciiTheme="minorEastAsia" w:hAnsiTheme="minorEastAsia" w:eastAsiaTheme="minorEastAsia"/>
                      <w:kern w:val="0"/>
                      <w:sz w:val="21"/>
                      <w:szCs w:val="21"/>
                    </w:rPr>
                    <w:t>万吨</w:t>
                  </w:r>
                </w:p>
              </w:tc>
              <w:tc>
                <w:tcPr>
                  <w:tcW w:w="184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筒仓储存</w:t>
                  </w:r>
                </w:p>
              </w:tc>
              <w:tc>
                <w:tcPr>
                  <w:tcW w:w="121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55" w:type="dxa"/>
                  <w:vMerge w:val="continue"/>
                  <w:noWrap/>
                  <w:vAlign w:val="center"/>
                </w:tcPr>
                <w:p>
                  <w:pPr>
                    <w:spacing w:line="0" w:lineRule="atLeast"/>
                    <w:jc w:val="center"/>
                    <w:rPr>
                      <w:rFonts w:asciiTheme="minorEastAsia" w:hAnsiTheme="minorEastAsia" w:eastAsiaTheme="minorEastAsia"/>
                      <w:kern w:val="0"/>
                      <w:sz w:val="21"/>
                      <w:szCs w:val="21"/>
                    </w:rPr>
                  </w:pPr>
                </w:p>
              </w:tc>
              <w:tc>
                <w:tcPr>
                  <w:tcW w:w="1559"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废砂石</w:t>
                  </w:r>
                </w:p>
              </w:tc>
              <w:tc>
                <w:tcPr>
                  <w:tcW w:w="2126"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w:t>
                  </w:r>
                  <w:r>
                    <w:rPr>
                      <w:rFonts w:asciiTheme="minorEastAsia" w:hAnsiTheme="minorEastAsia" w:eastAsiaTheme="minorEastAsia"/>
                      <w:kern w:val="0"/>
                      <w:sz w:val="21"/>
                      <w:szCs w:val="21"/>
                    </w:rPr>
                    <w:t>0</w:t>
                  </w:r>
                  <w:r>
                    <w:rPr>
                      <w:rFonts w:hint="eastAsia" w:asciiTheme="minorEastAsia" w:hAnsiTheme="minorEastAsia" w:eastAsiaTheme="minorEastAsia"/>
                      <w:kern w:val="0"/>
                      <w:sz w:val="21"/>
                      <w:szCs w:val="21"/>
                    </w:rPr>
                    <w:t>万吨</w:t>
                  </w:r>
                </w:p>
              </w:tc>
              <w:tc>
                <w:tcPr>
                  <w:tcW w:w="184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料场堆放</w:t>
                  </w:r>
                </w:p>
              </w:tc>
              <w:tc>
                <w:tcPr>
                  <w:tcW w:w="121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55" w:type="dxa"/>
                  <w:noWrap/>
                  <w:vAlign w:val="center"/>
                </w:tcPr>
                <w:p>
                  <w:pPr>
                    <w:spacing w:line="0" w:lineRule="atLeast"/>
                    <w:jc w:val="center"/>
                    <w:rPr>
                      <w:rFonts w:asciiTheme="minorEastAsia" w:hAnsiTheme="minorEastAsia" w:eastAsiaTheme="minorEastAsia"/>
                      <w:kern w:val="0"/>
                      <w:sz w:val="21"/>
                      <w:szCs w:val="21"/>
                      <w:u w:val="single"/>
                    </w:rPr>
                  </w:pPr>
                  <w:r>
                    <w:rPr>
                      <w:rFonts w:hint="eastAsia" w:asciiTheme="minorEastAsia" w:hAnsiTheme="minorEastAsia" w:eastAsiaTheme="minorEastAsia"/>
                      <w:kern w:val="0"/>
                      <w:sz w:val="21"/>
                      <w:szCs w:val="21"/>
                      <w:u w:val="single"/>
                    </w:rPr>
                    <w:t>破碎</w:t>
                  </w:r>
                </w:p>
              </w:tc>
              <w:tc>
                <w:tcPr>
                  <w:tcW w:w="1559" w:type="dxa"/>
                  <w:noWrap/>
                  <w:vAlign w:val="center"/>
                </w:tcPr>
                <w:p>
                  <w:pPr>
                    <w:spacing w:line="0" w:lineRule="atLeast"/>
                    <w:jc w:val="center"/>
                    <w:rPr>
                      <w:rFonts w:asciiTheme="minorEastAsia" w:hAnsiTheme="minorEastAsia" w:eastAsiaTheme="minorEastAsia"/>
                      <w:kern w:val="0"/>
                      <w:sz w:val="21"/>
                      <w:szCs w:val="21"/>
                      <w:u w:val="single"/>
                    </w:rPr>
                  </w:pPr>
                  <w:r>
                    <w:rPr>
                      <w:rFonts w:hint="eastAsia" w:asciiTheme="minorEastAsia" w:hAnsiTheme="minorEastAsia" w:eastAsiaTheme="minorEastAsia"/>
                      <w:kern w:val="0"/>
                      <w:sz w:val="21"/>
                      <w:szCs w:val="21"/>
                      <w:u w:val="single"/>
                    </w:rPr>
                    <w:t>建筑垃圾</w:t>
                  </w:r>
                </w:p>
              </w:tc>
              <w:tc>
                <w:tcPr>
                  <w:tcW w:w="2126" w:type="dxa"/>
                  <w:noWrap/>
                  <w:vAlign w:val="center"/>
                </w:tcPr>
                <w:p>
                  <w:pPr>
                    <w:spacing w:line="0" w:lineRule="atLeast"/>
                    <w:jc w:val="center"/>
                    <w:rPr>
                      <w:rFonts w:asciiTheme="minorEastAsia" w:hAnsiTheme="minorEastAsia" w:eastAsiaTheme="minorEastAsia"/>
                      <w:kern w:val="0"/>
                      <w:sz w:val="21"/>
                      <w:szCs w:val="21"/>
                      <w:u w:val="single"/>
                    </w:rPr>
                  </w:pPr>
                  <w:r>
                    <w:rPr>
                      <w:rFonts w:asciiTheme="minorEastAsia" w:hAnsiTheme="minorEastAsia" w:eastAsiaTheme="minorEastAsia"/>
                      <w:kern w:val="0"/>
                      <w:sz w:val="21"/>
                      <w:szCs w:val="21"/>
                      <w:u w:val="single"/>
                    </w:rPr>
                    <w:t>18</w:t>
                  </w:r>
                  <w:r>
                    <w:rPr>
                      <w:rFonts w:hint="eastAsia" w:asciiTheme="minorEastAsia" w:hAnsiTheme="minorEastAsia" w:eastAsiaTheme="minorEastAsia"/>
                      <w:kern w:val="0"/>
                      <w:sz w:val="21"/>
                      <w:szCs w:val="21"/>
                      <w:u w:val="single"/>
                    </w:rPr>
                    <w:t>万吨（分拣后用量6万吨）</w:t>
                  </w:r>
                </w:p>
              </w:tc>
              <w:tc>
                <w:tcPr>
                  <w:tcW w:w="1843" w:type="dxa"/>
                  <w:noWrap/>
                  <w:vAlign w:val="center"/>
                </w:tcPr>
                <w:p>
                  <w:pPr>
                    <w:spacing w:line="0" w:lineRule="atLeast"/>
                    <w:jc w:val="center"/>
                    <w:rPr>
                      <w:rFonts w:asciiTheme="minorEastAsia" w:hAnsiTheme="minorEastAsia" w:eastAsiaTheme="minorEastAsia"/>
                      <w:kern w:val="0"/>
                      <w:sz w:val="21"/>
                      <w:szCs w:val="21"/>
                      <w:u w:val="single"/>
                    </w:rPr>
                  </w:pPr>
                  <w:r>
                    <w:rPr>
                      <w:rFonts w:hint="eastAsia" w:asciiTheme="minorEastAsia" w:hAnsiTheme="minorEastAsia" w:eastAsiaTheme="minorEastAsia"/>
                      <w:kern w:val="0"/>
                      <w:sz w:val="21"/>
                      <w:szCs w:val="21"/>
                      <w:u w:val="single"/>
                    </w:rPr>
                    <w:t>/</w:t>
                  </w:r>
                </w:p>
              </w:tc>
              <w:tc>
                <w:tcPr>
                  <w:tcW w:w="1213" w:type="dxa"/>
                  <w:noWrap/>
                  <w:vAlign w:val="center"/>
                </w:tcPr>
                <w:p>
                  <w:pPr>
                    <w:spacing w:line="0" w:lineRule="atLeast"/>
                    <w:jc w:val="center"/>
                    <w:rPr>
                      <w:rFonts w:asciiTheme="minorEastAsia" w:hAnsiTheme="minorEastAsia" w:eastAsiaTheme="minorEastAsia"/>
                      <w:kern w:val="0"/>
                      <w:sz w:val="21"/>
                      <w:szCs w:val="21"/>
                      <w:u w:val="single"/>
                    </w:rPr>
                  </w:pPr>
                  <w:r>
                    <w:rPr>
                      <w:rFonts w:hint="eastAsia" w:asciiTheme="minorEastAsia" w:hAnsiTheme="minorEastAsia" w:eastAsiaTheme="minorEastAsia"/>
                      <w:kern w:val="0"/>
                      <w:sz w:val="21"/>
                      <w:szCs w:val="21"/>
                      <w:u w:val="singl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55" w:type="dxa"/>
                  <w:vMerge w:val="restart"/>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能源</w:t>
                  </w:r>
                </w:p>
              </w:tc>
              <w:tc>
                <w:tcPr>
                  <w:tcW w:w="1559"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柴油</w:t>
                  </w:r>
                </w:p>
              </w:tc>
              <w:tc>
                <w:tcPr>
                  <w:tcW w:w="2126"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20</w:t>
                  </w:r>
                  <w:r>
                    <w:rPr>
                      <w:rFonts w:hint="eastAsia" w:asciiTheme="minorEastAsia" w:hAnsiTheme="minorEastAsia" w:eastAsiaTheme="minorEastAsia"/>
                      <w:kern w:val="0"/>
                      <w:sz w:val="21"/>
                      <w:szCs w:val="21"/>
                    </w:rPr>
                    <w:t>吨</w:t>
                  </w:r>
                </w:p>
              </w:tc>
              <w:tc>
                <w:tcPr>
                  <w:tcW w:w="184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桶装</w:t>
                  </w:r>
                </w:p>
              </w:tc>
              <w:tc>
                <w:tcPr>
                  <w:tcW w:w="121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55" w:type="dxa"/>
                  <w:vMerge w:val="continue"/>
                  <w:noWrap/>
                  <w:vAlign w:val="center"/>
                </w:tcPr>
                <w:p>
                  <w:pPr>
                    <w:spacing w:line="0" w:lineRule="atLeast"/>
                    <w:jc w:val="center"/>
                    <w:rPr>
                      <w:rFonts w:asciiTheme="minorEastAsia" w:hAnsiTheme="minorEastAsia" w:eastAsiaTheme="minorEastAsia"/>
                      <w:kern w:val="0"/>
                      <w:sz w:val="21"/>
                      <w:szCs w:val="21"/>
                    </w:rPr>
                  </w:pPr>
                </w:p>
              </w:tc>
              <w:tc>
                <w:tcPr>
                  <w:tcW w:w="1559"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电</w:t>
                  </w:r>
                </w:p>
              </w:tc>
              <w:tc>
                <w:tcPr>
                  <w:tcW w:w="2126"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r>
                    <w:rPr>
                      <w:rFonts w:asciiTheme="minorEastAsia" w:hAnsiTheme="minorEastAsia" w:eastAsiaTheme="minorEastAsia"/>
                      <w:kern w:val="0"/>
                      <w:sz w:val="21"/>
                      <w:szCs w:val="21"/>
                    </w:rPr>
                    <w:t>80</w:t>
                  </w:r>
                  <w:r>
                    <w:rPr>
                      <w:rFonts w:hint="eastAsia" w:asciiTheme="minorEastAsia" w:hAnsiTheme="minorEastAsia" w:eastAsiaTheme="minorEastAsia"/>
                      <w:kern w:val="0"/>
                      <w:sz w:val="21"/>
                      <w:szCs w:val="21"/>
                    </w:rPr>
                    <w:t>万k</w:t>
                  </w:r>
                  <w:r>
                    <w:rPr>
                      <w:rFonts w:asciiTheme="minorEastAsia" w:hAnsiTheme="minorEastAsia" w:eastAsiaTheme="minorEastAsia"/>
                      <w:kern w:val="0"/>
                      <w:sz w:val="21"/>
                      <w:szCs w:val="21"/>
                    </w:rPr>
                    <w:t>W</w:t>
                  </w:r>
                  <w:r>
                    <w:rPr>
                      <w:rFonts w:hint="eastAsia" w:asciiTheme="minorEastAsia" w:hAnsiTheme="minorEastAsia" w:eastAsiaTheme="minorEastAsia"/>
                      <w:kern w:val="0"/>
                      <w:sz w:val="21"/>
                      <w:szCs w:val="21"/>
                    </w:rPr>
                    <w:t>h</w:t>
                  </w:r>
                </w:p>
              </w:tc>
              <w:tc>
                <w:tcPr>
                  <w:tcW w:w="184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w:t>
                  </w:r>
                </w:p>
              </w:tc>
              <w:tc>
                <w:tcPr>
                  <w:tcW w:w="121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国家电网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55" w:type="dxa"/>
                  <w:vMerge w:val="continue"/>
                  <w:noWrap/>
                  <w:vAlign w:val="center"/>
                </w:tcPr>
                <w:p>
                  <w:pPr>
                    <w:spacing w:line="0" w:lineRule="atLeast"/>
                    <w:jc w:val="center"/>
                    <w:rPr>
                      <w:rFonts w:asciiTheme="minorEastAsia" w:hAnsiTheme="minorEastAsia" w:eastAsiaTheme="minorEastAsia"/>
                      <w:kern w:val="0"/>
                      <w:sz w:val="21"/>
                      <w:szCs w:val="21"/>
                    </w:rPr>
                  </w:pPr>
                </w:p>
              </w:tc>
              <w:tc>
                <w:tcPr>
                  <w:tcW w:w="1559"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水</w:t>
                  </w:r>
                </w:p>
              </w:tc>
              <w:tc>
                <w:tcPr>
                  <w:tcW w:w="2126" w:type="dxa"/>
                  <w:noWrap/>
                  <w:vAlign w:val="center"/>
                </w:tcPr>
                <w:p>
                  <w:pPr>
                    <w:spacing w:line="0" w:lineRule="atLeast"/>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70000</w:t>
                  </w:r>
                  <w:r>
                    <w:rPr>
                      <w:rFonts w:hint="eastAsia" w:asciiTheme="minorEastAsia" w:hAnsiTheme="minorEastAsia" w:eastAsiaTheme="minorEastAsia"/>
                      <w:kern w:val="0"/>
                      <w:sz w:val="21"/>
                      <w:szCs w:val="21"/>
                    </w:rPr>
                    <w:t>m</w:t>
                  </w:r>
                  <w:r>
                    <w:rPr>
                      <w:rFonts w:asciiTheme="minorEastAsia" w:hAnsiTheme="minorEastAsia" w:eastAsiaTheme="minorEastAsia"/>
                      <w:kern w:val="0"/>
                      <w:sz w:val="21"/>
                      <w:szCs w:val="21"/>
                      <w:vertAlign w:val="superscript"/>
                    </w:rPr>
                    <w:t>3</w:t>
                  </w:r>
                </w:p>
              </w:tc>
              <w:tc>
                <w:tcPr>
                  <w:tcW w:w="184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w:t>
                  </w:r>
                </w:p>
              </w:tc>
              <w:tc>
                <w:tcPr>
                  <w:tcW w:w="1213" w:type="dxa"/>
                  <w:noWrap/>
                  <w:vAlign w:val="center"/>
                </w:tcPr>
                <w:p>
                  <w:pPr>
                    <w:spacing w:line="0" w:lineRule="atLeas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地表水</w:t>
                  </w:r>
                </w:p>
              </w:tc>
            </w:tr>
          </w:tbl>
          <w:p>
            <w:pPr>
              <w:adjustRightInd w:val="0"/>
              <w:snapToGrid w:val="0"/>
              <w:jc w:val="left"/>
              <w:rPr>
                <w:sz w:val="21"/>
                <w:u w:val="single"/>
              </w:rPr>
            </w:pPr>
            <w:r>
              <w:rPr>
                <w:rFonts w:hint="eastAsia"/>
                <w:b/>
                <w:sz w:val="21"/>
                <w:szCs w:val="21"/>
                <w:u w:val="single"/>
              </w:rPr>
              <w:t>备</w:t>
            </w:r>
            <w:r>
              <w:rPr>
                <w:b/>
                <w:sz w:val="21"/>
                <w:szCs w:val="21"/>
                <w:u w:val="single"/>
              </w:rPr>
              <w:t>注：</w:t>
            </w:r>
            <w:r>
              <w:rPr>
                <w:rFonts w:hint="eastAsia" w:ascii="宋体" w:hAnsi="宋体" w:cs="宋体"/>
                <w:b/>
                <w:sz w:val="21"/>
                <w:szCs w:val="21"/>
                <w:u w:val="single"/>
              </w:rPr>
              <w:t>①</w:t>
            </w:r>
            <w:r>
              <w:rPr>
                <w:b/>
                <w:sz w:val="21"/>
                <w:szCs w:val="21"/>
                <w:u w:val="single"/>
              </w:rPr>
              <w:t>本环评要求各原辅材料严禁露天堆放；</w:t>
            </w:r>
            <w:r>
              <w:rPr>
                <w:rFonts w:hint="eastAsia" w:ascii="宋体" w:hAnsi="宋体" w:cs="宋体"/>
                <w:b/>
                <w:sz w:val="21"/>
                <w:szCs w:val="21"/>
                <w:u w:val="single"/>
              </w:rPr>
              <w:t>②</w:t>
            </w:r>
            <w:r>
              <w:rPr>
                <w:b/>
                <w:sz w:val="21"/>
                <w:szCs w:val="21"/>
                <w:u w:val="single"/>
              </w:rPr>
              <w:t>本项目水泥采用专业散装运输车进行运输，且运输车的输送管路与配料仓的进料管路相接，通过散装水泥车的气体压力将罐内水泥输送到配料仓内，不产生外排粉尘，故本项目不对其进行评价；外加剂需储存在仓库内，厂区内不进行砂石清洗</w:t>
            </w:r>
            <w:r>
              <w:rPr>
                <w:rFonts w:hint="eastAsia"/>
                <w:b/>
                <w:sz w:val="21"/>
                <w:szCs w:val="21"/>
                <w:u w:val="single"/>
              </w:rPr>
              <w:t>。③项目原料混凝土块来自建筑废料，禁止使用其他砖、渣土等。</w:t>
            </w:r>
          </w:p>
          <w:p>
            <w:pPr>
              <w:spacing w:line="360" w:lineRule="auto"/>
              <w:ind w:firstLine="480" w:firstLineChars="200"/>
              <w:rPr>
                <w:color w:val="000000"/>
                <w:sz w:val="24"/>
              </w:rPr>
            </w:pPr>
            <w:r>
              <w:rPr>
                <w:rFonts w:hint="eastAsia"/>
                <w:color w:val="000000"/>
                <w:sz w:val="24"/>
              </w:rPr>
              <w:t>外加剂：《混凝土外加剂分类、命名与定义》GB8075-87，是在拌制混凝土过程中加入，用以改善混凝土性能的物质，掺量不大于水泥质量的5%（特殊情况除外）。</w:t>
            </w:r>
            <w:r>
              <w:rPr>
                <w:color w:val="000000"/>
                <w:sz w:val="24"/>
              </w:rPr>
              <w:t>在混凝土中掺入外加剂，具有投资少、见效快、技术经济效益显著的特点。</w:t>
            </w:r>
          </w:p>
          <w:p>
            <w:pPr>
              <w:spacing w:line="360" w:lineRule="auto"/>
              <w:ind w:firstLine="480" w:firstLineChars="200"/>
              <w:rPr>
                <w:color w:val="000000"/>
                <w:sz w:val="24"/>
                <w:u w:val="single"/>
              </w:rPr>
            </w:pPr>
            <w:r>
              <w:rPr>
                <w:rFonts w:hint="eastAsia"/>
                <w:color w:val="000000"/>
                <w:sz w:val="24"/>
                <w:u w:val="single"/>
              </w:rPr>
              <w:t>建筑垃圾：建设单位已与城管部门签订合同，危险废物不能流入厂内。分选出来的木头、塑料等外售。</w:t>
            </w:r>
          </w:p>
          <w:p>
            <w:pPr>
              <w:spacing w:line="360" w:lineRule="auto"/>
              <w:ind w:firstLine="480" w:firstLineChars="200"/>
              <w:rPr>
                <w:rFonts w:cs="Calibri"/>
                <w:sz w:val="24"/>
                <w:u w:val="single"/>
              </w:rPr>
            </w:pPr>
            <w:r>
              <w:rPr>
                <w:rFonts w:hint="eastAsia" w:cs="Calibri"/>
                <w:sz w:val="24"/>
                <w:u w:val="single"/>
              </w:rPr>
              <w:t>破碎、</w:t>
            </w:r>
            <w:r>
              <w:rPr>
                <w:rFonts w:cs="Calibri"/>
                <w:sz w:val="24"/>
                <w:u w:val="single"/>
              </w:rPr>
              <w:t>搅拌主机拌轴采用防粘连技术，有效防止水泥在轴上的结块，轴端密封采用独特的多重密封</w:t>
            </w:r>
            <w:r>
              <w:fldChar w:fldCharType="begin"/>
            </w:r>
            <w:r>
              <w:instrText xml:space="preserve"> HYPERLINK "http://www.tujian.com/earthwork/discourse/JIEGOU/Index.html" </w:instrText>
            </w:r>
            <w:r>
              <w:fldChar w:fldCharType="separate"/>
            </w:r>
            <w:r>
              <w:rPr>
                <w:rFonts w:cs="Calibri"/>
                <w:sz w:val="24"/>
                <w:u w:val="single"/>
              </w:rPr>
              <w:t>结构</w:t>
            </w:r>
            <w:r>
              <w:rPr>
                <w:rFonts w:cs="Calibri"/>
                <w:sz w:val="24"/>
                <w:u w:val="single"/>
              </w:rPr>
              <w:fldChar w:fldCharType="end"/>
            </w:r>
            <w:r>
              <w:rPr>
                <w:rFonts w:cs="Calibri"/>
                <w:sz w:val="24"/>
                <w:u w:val="single"/>
              </w:rPr>
              <w:t>，有效防止沙浆泄漏及保证整个搅拌系统的持续长久运行。</w:t>
            </w:r>
          </w:p>
          <w:p>
            <w:pPr>
              <w:spacing w:line="360" w:lineRule="auto"/>
              <w:ind w:firstLine="480" w:firstLineChars="200"/>
              <w:rPr>
                <w:rFonts w:cs="Calibri"/>
                <w:sz w:val="24"/>
                <w:u w:val="single"/>
              </w:rPr>
            </w:pPr>
            <w:r>
              <w:rPr>
                <w:rFonts w:cs="Calibri"/>
                <w:sz w:val="24"/>
                <w:u w:val="single"/>
              </w:rPr>
              <w:t>所有的粉状物料，从上料、配料、计量、加料到搅拌出料都在密闭状态下进行。搅拌机盖、水泥计量仓、粉煤灰计量仓的排尘管均与除尘器相连，骨料加注口设置阻尘板，从而降低粉尘排放量。</w:t>
            </w:r>
          </w:p>
          <w:p>
            <w:pPr>
              <w:spacing w:line="360" w:lineRule="auto"/>
              <w:ind w:firstLine="480" w:firstLineChars="200"/>
              <w:rPr>
                <w:rFonts w:cs="Calibri"/>
                <w:sz w:val="24"/>
                <w:u w:val="single"/>
              </w:rPr>
            </w:pPr>
            <w:r>
              <w:rPr>
                <w:rFonts w:cs="Calibri"/>
                <w:sz w:val="24"/>
                <w:u w:val="single"/>
              </w:rPr>
              <w:t>全封闭的搅拌主楼及皮带输送机</w:t>
            </w:r>
            <w:r>
              <w:fldChar w:fldCharType="begin"/>
            </w:r>
            <w:r>
              <w:instrText xml:space="preserve"> HYPERLINK "http://www.tujian.com/earthwork/discourse/JIEGOU/Index.html" </w:instrText>
            </w:r>
            <w:r>
              <w:fldChar w:fldCharType="separate"/>
            </w:r>
            <w:r>
              <w:rPr>
                <w:rFonts w:cs="Calibri"/>
                <w:sz w:val="24"/>
                <w:u w:val="single"/>
              </w:rPr>
              <w:t>结构</w:t>
            </w:r>
            <w:r>
              <w:rPr>
                <w:rFonts w:cs="Calibri"/>
                <w:sz w:val="24"/>
                <w:u w:val="single"/>
              </w:rPr>
              <w:fldChar w:fldCharType="end"/>
            </w:r>
            <w:r>
              <w:rPr>
                <w:rFonts w:cs="Calibri"/>
                <w:sz w:val="24"/>
                <w:u w:val="single"/>
              </w:rPr>
              <w:t>，极大地降低了粉尘和嗓声对环境的污染。</w:t>
            </w:r>
          </w:p>
          <w:p>
            <w:pPr>
              <w:spacing w:line="360" w:lineRule="auto"/>
              <w:ind w:firstLine="480" w:firstLineChars="200"/>
              <w:rPr>
                <w:rFonts w:cs="Calibri"/>
                <w:sz w:val="24"/>
                <w:u w:val="single"/>
              </w:rPr>
            </w:pPr>
            <w:r>
              <w:rPr>
                <w:rFonts w:cs="Calibri"/>
                <w:sz w:val="24"/>
                <w:u w:val="single"/>
              </w:rPr>
              <w:t>使投料时产生的灰尘完全进入除尘器而不向周围扩散，而收集到的粉尘又可方便的回收再利用，有效的保护环境。</w:t>
            </w:r>
          </w:p>
          <w:p>
            <w:pPr>
              <w:spacing w:line="360" w:lineRule="auto"/>
              <w:ind w:firstLine="480" w:firstLineChars="200"/>
              <w:rPr>
                <w:rFonts w:cs="Calibri"/>
                <w:sz w:val="24"/>
                <w:u w:val="single"/>
              </w:rPr>
            </w:pPr>
            <w:r>
              <w:rPr>
                <w:rFonts w:cs="Calibri"/>
                <w:sz w:val="24"/>
                <w:u w:val="single"/>
              </w:rPr>
              <w:t>原料料场设计为全封闭式，同时安装喷淋除尘系统，可保证料场降尘区域覆盖率达98%以上，最大程度的降低了料场无组织排放对周边环境的污染。</w:t>
            </w:r>
          </w:p>
          <w:p>
            <w:pPr>
              <w:spacing w:line="360" w:lineRule="auto"/>
              <w:ind w:firstLine="480" w:firstLineChars="200"/>
              <w:rPr>
                <w:rFonts w:cs="Calibri"/>
                <w:sz w:val="24"/>
                <w:u w:val="single"/>
              </w:rPr>
            </w:pPr>
            <w:r>
              <w:rPr>
                <w:rFonts w:cs="Calibri"/>
                <w:sz w:val="24"/>
                <w:u w:val="single"/>
              </w:rPr>
              <w:t>运输方式及环保措施</w:t>
            </w:r>
          </w:p>
          <w:p>
            <w:pPr>
              <w:spacing w:line="360" w:lineRule="auto"/>
              <w:ind w:firstLine="480" w:firstLineChars="200"/>
              <w:rPr>
                <w:rFonts w:cs="Calibri"/>
                <w:sz w:val="24"/>
                <w:u w:val="single"/>
              </w:rPr>
            </w:pPr>
            <w:r>
              <w:rPr>
                <w:rFonts w:hint="eastAsia" w:ascii="宋体" w:hAnsi="宋体" w:cs="宋体"/>
                <w:sz w:val="24"/>
                <w:u w:val="single"/>
              </w:rPr>
              <w:t>①</w:t>
            </w:r>
            <w:r>
              <w:rPr>
                <w:rFonts w:cs="Calibri"/>
                <w:sz w:val="24"/>
                <w:u w:val="single"/>
              </w:rPr>
              <w:t>运输车辆不得超载，防止物料泼洒；</w:t>
            </w:r>
            <w:r>
              <w:rPr>
                <w:rFonts w:hint="eastAsia" w:ascii="宋体" w:hAnsi="宋体" w:cs="宋体"/>
                <w:sz w:val="24"/>
                <w:u w:val="single"/>
              </w:rPr>
              <w:t>②</w:t>
            </w:r>
            <w:r>
              <w:rPr>
                <w:rFonts w:cs="Calibri"/>
                <w:sz w:val="24"/>
                <w:u w:val="single"/>
              </w:rPr>
              <w:t>运输物料的车辆应当密闭或者加盖篷布，并保证物料不遗撒外漏；</w:t>
            </w:r>
            <w:r>
              <w:rPr>
                <w:rFonts w:hint="eastAsia" w:ascii="宋体" w:hAnsi="宋体" w:cs="宋体"/>
                <w:sz w:val="24"/>
                <w:u w:val="single"/>
              </w:rPr>
              <w:t>③</w:t>
            </w:r>
            <w:r>
              <w:rPr>
                <w:rFonts w:cs="Calibri"/>
                <w:sz w:val="24"/>
                <w:u w:val="single"/>
              </w:rPr>
              <w:t>厂区需设置洗车平台，车辆驶出装、卸场地前用水将车厢和轮胎冲洗干净；运输车辆驶出施厂区前要将车轮和槽帮冲洗干净，确保车辆不带泥土驶离工地；场地内运输通道及时清扫冲洗，以减少汽车行驶扬尘；运输车辆行使路线应避尽量避开居民点和环境敏感点。</w:t>
            </w:r>
            <w:r>
              <w:rPr>
                <w:rFonts w:hint="eastAsia" w:ascii="宋体" w:hAnsi="宋体" w:cs="宋体"/>
                <w:sz w:val="24"/>
                <w:u w:val="single"/>
              </w:rPr>
              <w:t>④</w:t>
            </w:r>
            <w:r>
              <w:rPr>
                <w:rFonts w:cs="Calibri"/>
                <w:sz w:val="24"/>
                <w:u w:val="single"/>
              </w:rPr>
              <w:t>合理安排作业时间，尽量减少夜间运输频次，并进行线路优化</w:t>
            </w:r>
            <w:r>
              <w:rPr>
                <w:rFonts w:hint="eastAsia" w:cs="Calibri"/>
                <w:sz w:val="24"/>
                <w:u w:val="single"/>
              </w:rPr>
              <w:t>，场地全部硬化。</w:t>
            </w:r>
          </w:p>
          <w:p>
            <w:pPr>
              <w:snapToGrid w:val="0"/>
              <w:spacing w:line="360" w:lineRule="auto"/>
              <w:ind w:firstLine="482" w:firstLineChars="200"/>
              <w:outlineLvl w:val="1"/>
              <w:rPr>
                <w:b/>
                <w:bCs/>
                <w:sz w:val="24"/>
              </w:rPr>
            </w:pPr>
            <w:bookmarkStart w:id="4" w:name="_Toc3906323"/>
            <w:r>
              <w:rPr>
                <w:b/>
                <w:bCs/>
                <w:sz w:val="24"/>
              </w:rPr>
              <w:t>7、平面布局</w:t>
            </w:r>
            <w:bookmarkEnd w:id="4"/>
          </w:p>
          <w:p>
            <w:pPr>
              <w:widowControl/>
              <w:adjustRightInd w:val="0"/>
              <w:snapToGrid w:val="0"/>
              <w:spacing w:line="360" w:lineRule="auto"/>
              <w:ind w:firstLine="480" w:firstLineChars="200"/>
              <w:rPr>
                <w:kern w:val="0"/>
                <w:sz w:val="24"/>
              </w:rPr>
            </w:pPr>
            <w:r>
              <w:rPr>
                <w:kern w:val="0"/>
                <w:sz w:val="24"/>
              </w:rPr>
              <w:t>本项目位于</w:t>
            </w:r>
            <w:r>
              <w:rPr>
                <w:rFonts w:hint="eastAsia"/>
                <w:bCs/>
                <w:kern w:val="0"/>
                <w:sz w:val="24"/>
              </w:rPr>
              <w:t>岳阳市湘阴县文星镇漕溪港街道原板桥砖厂处</w:t>
            </w:r>
            <w:r>
              <w:rPr>
                <w:kern w:val="0"/>
                <w:sz w:val="24"/>
              </w:rPr>
              <w:t>。</w:t>
            </w:r>
            <w:r>
              <w:rPr>
                <w:rFonts w:hint="eastAsia"/>
                <w:kern w:val="0"/>
                <w:sz w:val="24"/>
              </w:rPr>
              <w:t>四周无聚集住户，只有零散居民</w:t>
            </w:r>
            <w:r>
              <w:rPr>
                <w:kern w:val="0"/>
                <w:sz w:val="24"/>
              </w:rPr>
              <w:t>。</w:t>
            </w:r>
            <w:r>
              <w:rPr>
                <w:rFonts w:hint="eastAsia"/>
                <w:kern w:val="0"/>
                <w:sz w:val="24"/>
                <w:u w:val="single"/>
              </w:rPr>
              <w:t>项目东北面6</w:t>
            </w:r>
            <w:r>
              <w:rPr>
                <w:kern w:val="0"/>
                <w:sz w:val="24"/>
                <w:u w:val="single"/>
              </w:rPr>
              <w:t>0</w:t>
            </w:r>
            <w:r>
              <w:rPr>
                <w:rFonts w:hint="eastAsia"/>
                <w:kern w:val="0"/>
                <w:sz w:val="24"/>
                <w:u w:val="single"/>
              </w:rPr>
              <w:t>米处有一老年公寓，故破碎、清洗设备均远离其放置，且设备均安装在厂房内部，靠近老年公寓一侧安装隔音墙。</w:t>
            </w:r>
            <w:r>
              <w:rPr>
                <w:kern w:val="0"/>
                <w:sz w:val="24"/>
              </w:rPr>
              <w:t>项目地理位置优越，交通便利。</w:t>
            </w:r>
            <w:r>
              <w:rPr>
                <w:bCs/>
                <w:sz w:val="24"/>
              </w:rPr>
              <w:t>根据建筑物的结构，本项目平面布局图见（附图）</w:t>
            </w:r>
            <w:r>
              <w:rPr>
                <w:rFonts w:hint="eastAsia"/>
                <w:bCs/>
                <w:sz w:val="24"/>
              </w:rPr>
              <w:t>。</w:t>
            </w:r>
          </w:p>
          <w:p>
            <w:pPr>
              <w:widowControl/>
              <w:adjustRightInd w:val="0"/>
              <w:snapToGrid w:val="0"/>
              <w:spacing w:line="360" w:lineRule="auto"/>
              <w:ind w:firstLine="480" w:firstLineChars="200"/>
              <w:rPr>
                <w:bCs/>
                <w:sz w:val="24"/>
              </w:rPr>
            </w:pPr>
            <w:r>
              <w:rPr>
                <w:bCs/>
                <w:sz w:val="24"/>
              </w:rPr>
              <w:t>项目附属设施包括：</w:t>
            </w:r>
            <w:r>
              <w:rPr>
                <w:rFonts w:hint="eastAsia"/>
                <w:sz w:val="24"/>
              </w:rPr>
              <w:t>厨房</w:t>
            </w:r>
            <w:r>
              <w:rPr>
                <w:sz w:val="24"/>
              </w:rPr>
              <w:t>、</w:t>
            </w:r>
            <w:r>
              <w:rPr>
                <w:rFonts w:hint="eastAsia"/>
                <w:sz w:val="24"/>
              </w:rPr>
              <w:t>宿舍</w:t>
            </w:r>
            <w:r>
              <w:rPr>
                <w:sz w:val="24"/>
              </w:rPr>
              <w:t>、污水</w:t>
            </w:r>
            <w:r>
              <w:rPr>
                <w:rFonts w:hint="eastAsia"/>
                <w:sz w:val="24"/>
              </w:rPr>
              <w:t>设施</w:t>
            </w:r>
            <w:r>
              <w:rPr>
                <w:sz w:val="24"/>
              </w:rPr>
              <w:t>等配套工程。</w:t>
            </w:r>
          </w:p>
          <w:p>
            <w:pPr>
              <w:snapToGrid w:val="0"/>
              <w:spacing w:line="360" w:lineRule="auto"/>
              <w:ind w:firstLine="482" w:firstLineChars="200"/>
              <w:outlineLvl w:val="1"/>
              <w:rPr>
                <w:b/>
                <w:bCs/>
                <w:sz w:val="24"/>
              </w:rPr>
            </w:pPr>
            <w:bookmarkStart w:id="5" w:name="_Toc3906324"/>
            <w:r>
              <w:rPr>
                <w:b/>
                <w:bCs/>
                <w:sz w:val="24"/>
              </w:rPr>
              <w:t>8、公用工程</w:t>
            </w:r>
            <w:bookmarkEnd w:id="5"/>
          </w:p>
          <w:p>
            <w:pPr>
              <w:adjustRightInd w:val="0"/>
              <w:snapToGrid w:val="0"/>
              <w:spacing w:line="360" w:lineRule="auto"/>
              <w:ind w:firstLine="498" w:firstLineChars="200"/>
              <w:rPr>
                <w:b/>
                <w:spacing w:val="4"/>
                <w:sz w:val="24"/>
              </w:rPr>
            </w:pPr>
            <w:r>
              <w:rPr>
                <w:b/>
                <w:spacing w:val="4"/>
                <w:sz w:val="24"/>
              </w:rPr>
              <w:t>（1）给水</w:t>
            </w:r>
          </w:p>
          <w:p>
            <w:pPr>
              <w:adjustRightInd w:val="0"/>
              <w:snapToGrid w:val="0"/>
              <w:spacing w:line="360" w:lineRule="auto"/>
              <w:ind w:firstLine="496" w:firstLineChars="200"/>
              <w:rPr>
                <w:sz w:val="24"/>
              </w:rPr>
            </w:pPr>
            <w:r>
              <w:rPr>
                <w:spacing w:val="4"/>
                <w:sz w:val="24"/>
              </w:rPr>
              <w:t>本项目用水水源</w:t>
            </w:r>
            <w:r>
              <w:rPr>
                <w:rFonts w:hint="eastAsia"/>
                <w:spacing w:val="4"/>
                <w:sz w:val="24"/>
              </w:rPr>
              <w:t>主要来自周围水塘和雨水（不够时就近水库调水）</w:t>
            </w:r>
            <w:r>
              <w:rPr>
                <w:spacing w:val="4"/>
                <w:sz w:val="24"/>
              </w:rPr>
              <w:t>，</w:t>
            </w:r>
            <w:r>
              <w:rPr>
                <w:sz w:val="24"/>
              </w:rPr>
              <w:t>用水主要包括：</w:t>
            </w:r>
            <w:r>
              <w:rPr>
                <w:rFonts w:hint="eastAsia"/>
                <w:sz w:val="24"/>
              </w:rPr>
              <w:t>生产</w:t>
            </w:r>
            <w:r>
              <w:rPr>
                <w:sz w:val="24"/>
              </w:rPr>
              <w:t>用水</w:t>
            </w:r>
            <w:r>
              <w:rPr>
                <w:rFonts w:hint="eastAsia"/>
                <w:sz w:val="24"/>
              </w:rPr>
              <w:t>、冲</w:t>
            </w:r>
            <w:r>
              <w:rPr>
                <w:sz w:val="24"/>
              </w:rPr>
              <w:t>洗用水、生活用水、降尘洒水用水等</w:t>
            </w:r>
            <w:r>
              <w:rPr>
                <w:rFonts w:hint="eastAsia"/>
                <w:sz w:val="24"/>
              </w:rPr>
              <w:t>。</w:t>
            </w:r>
          </w:p>
          <w:p>
            <w:pPr>
              <w:adjustRightInd w:val="0"/>
              <w:snapToGrid w:val="0"/>
              <w:spacing w:line="360" w:lineRule="auto"/>
              <w:ind w:firstLine="498" w:firstLineChars="200"/>
              <w:rPr>
                <w:b/>
                <w:spacing w:val="4"/>
                <w:sz w:val="24"/>
              </w:rPr>
            </w:pPr>
            <w:r>
              <w:rPr>
                <w:b/>
                <w:spacing w:val="4"/>
                <w:sz w:val="24"/>
              </w:rPr>
              <w:t>（2）排水</w:t>
            </w:r>
          </w:p>
          <w:p>
            <w:pPr>
              <w:adjustRightInd w:val="0"/>
              <w:snapToGrid w:val="0"/>
              <w:spacing w:line="360" w:lineRule="auto"/>
              <w:ind w:firstLine="496" w:firstLineChars="200"/>
              <w:rPr>
                <w:sz w:val="24"/>
              </w:rPr>
            </w:pPr>
            <w:r>
              <w:rPr>
                <w:spacing w:val="4"/>
                <w:sz w:val="24"/>
              </w:rPr>
              <w:t>项目排水体制采用雨、污分流制</w:t>
            </w:r>
            <w:r>
              <w:rPr>
                <w:bCs/>
                <w:sz w:val="24"/>
              </w:rPr>
              <w:t>，</w:t>
            </w:r>
            <w:r>
              <w:rPr>
                <w:sz w:val="24"/>
              </w:rPr>
              <w:t>项目</w:t>
            </w:r>
            <w:bookmarkStart w:id="6" w:name="_Hlk526704163"/>
            <w:r>
              <w:rPr>
                <w:sz w:val="24"/>
              </w:rPr>
              <w:t>雨水由屋面雨水斗、雨水棚收集</w:t>
            </w:r>
            <w:bookmarkEnd w:id="6"/>
            <w:r>
              <w:rPr>
                <w:rFonts w:hint="eastAsia"/>
                <w:sz w:val="24"/>
              </w:rPr>
              <w:t>至厂区内沉淀池。</w:t>
            </w:r>
          </w:p>
          <w:p>
            <w:pPr>
              <w:widowControl/>
              <w:spacing w:line="360" w:lineRule="auto"/>
              <w:ind w:firstLine="480" w:firstLineChars="200"/>
              <w:rPr>
                <w:sz w:val="24"/>
                <w:u w:val="single"/>
              </w:rPr>
            </w:pPr>
            <w:r>
              <w:rPr>
                <w:sz w:val="24"/>
                <w:u w:val="single"/>
              </w:rPr>
              <w:t>清洗用水排入沉淀池中后回用于</w:t>
            </w:r>
            <w:r>
              <w:rPr>
                <w:rFonts w:hint="eastAsia"/>
                <w:sz w:val="24"/>
                <w:u w:val="single"/>
              </w:rPr>
              <w:t>洒水降尘</w:t>
            </w:r>
            <w:r>
              <w:rPr>
                <w:sz w:val="24"/>
                <w:u w:val="single"/>
              </w:rPr>
              <w:t>，不外排至外环境；项目生活污水经化粪池处理后用于厂区周边的菜地施肥，周边属于农村环境，完全有土地能够消纳此部分生活污水，对外环境影响很小；降尘洒水蒸发消耗，不外排</w:t>
            </w:r>
            <w:r>
              <w:rPr>
                <w:rFonts w:hint="eastAsia"/>
                <w:sz w:val="24"/>
                <w:u w:val="single"/>
              </w:rPr>
              <w:t>。</w:t>
            </w:r>
            <w:r>
              <w:rPr>
                <w:sz w:val="24"/>
                <w:u w:val="single"/>
              </w:rPr>
              <w:t xml:space="preserve"> </w:t>
            </w:r>
          </w:p>
          <w:p>
            <w:pPr>
              <w:rPr>
                <w:b/>
                <w:color w:val="000000"/>
                <w:sz w:val="24"/>
                <w:szCs w:val="20"/>
              </w:rPr>
            </w:pPr>
            <w:r>
              <w:rPr>
                <w:rFonts w:hint="eastAsia"/>
                <w:b/>
                <w:color w:val="000000"/>
                <w:sz w:val="24"/>
                <w:szCs w:val="20"/>
              </w:rPr>
              <w:t xml:space="preserve">    （3）供电</w:t>
            </w:r>
          </w:p>
          <w:p>
            <w:pPr>
              <w:adjustRightInd w:val="0"/>
              <w:snapToGrid w:val="0"/>
              <w:spacing w:line="360" w:lineRule="auto"/>
              <w:ind w:firstLine="480" w:firstLineChars="200"/>
              <w:rPr>
                <w:sz w:val="24"/>
              </w:rPr>
            </w:pPr>
            <w:r>
              <w:rPr>
                <w:sz w:val="24"/>
              </w:rPr>
              <w:t>本项目电源由</w:t>
            </w:r>
            <w:r>
              <w:rPr>
                <w:rFonts w:hint="eastAsia"/>
                <w:sz w:val="24"/>
              </w:rPr>
              <w:t>国家</w:t>
            </w:r>
            <w:r>
              <w:rPr>
                <w:sz w:val="24"/>
              </w:rPr>
              <w:t>电力网接入。</w:t>
            </w:r>
          </w:p>
          <w:p>
            <w:pPr>
              <w:snapToGrid w:val="0"/>
              <w:spacing w:line="360" w:lineRule="auto"/>
              <w:ind w:firstLine="482" w:firstLineChars="200"/>
              <w:outlineLvl w:val="1"/>
              <w:rPr>
                <w:b/>
                <w:bCs/>
                <w:sz w:val="24"/>
              </w:rPr>
            </w:pPr>
            <w:bookmarkStart w:id="7" w:name="_Toc3906325"/>
            <w:r>
              <w:rPr>
                <w:b/>
                <w:bCs/>
                <w:sz w:val="24"/>
              </w:rPr>
              <w:t>9、工作制度和劳动定员</w:t>
            </w:r>
            <w:bookmarkEnd w:id="7"/>
          </w:p>
          <w:p>
            <w:pPr>
              <w:adjustRightInd w:val="0"/>
              <w:snapToGrid w:val="0"/>
              <w:spacing w:line="360" w:lineRule="auto"/>
              <w:ind w:firstLine="496" w:firstLineChars="200"/>
              <w:rPr>
                <w:spacing w:val="4"/>
                <w:sz w:val="24"/>
              </w:rPr>
            </w:pPr>
            <w:r>
              <w:rPr>
                <w:spacing w:val="4"/>
                <w:sz w:val="24"/>
              </w:rPr>
              <w:t>本项目运营后劳动定员 40 人，在厂区内食宿。工作制度每天 8 小时，年工作时间 300 天。</w:t>
            </w:r>
          </w:p>
          <w:p>
            <w:pPr>
              <w:snapToGrid w:val="0"/>
              <w:spacing w:line="360" w:lineRule="auto"/>
              <w:ind w:firstLine="482" w:firstLineChars="200"/>
              <w:outlineLvl w:val="1"/>
              <w:rPr>
                <w:b/>
                <w:bCs/>
                <w:sz w:val="24"/>
              </w:rPr>
            </w:pPr>
            <w:bookmarkStart w:id="8" w:name="_Toc3906326"/>
            <w:r>
              <w:rPr>
                <w:b/>
                <w:bCs/>
                <w:sz w:val="24"/>
              </w:rPr>
              <w:t>10、</w:t>
            </w:r>
            <w:r>
              <w:rPr>
                <w:b/>
                <w:sz w:val="24"/>
              </w:rPr>
              <w:t>建设项目可行性分析</w:t>
            </w:r>
            <w:bookmarkEnd w:id="8"/>
          </w:p>
          <w:p>
            <w:pPr>
              <w:adjustRightInd w:val="0"/>
              <w:snapToGrid w:val="0"/>
              <w:spacing w:line="360" w:lineRule="auto"/>
              <w:ind w:firstLine="496" w:firstLineChars="200"/>
              <w:rPr>
                <w:spacing w:val="4"/>
                <w:sz w:val="24"/>
              </w:rPr>
            </w:pPr>
            <w:r>
              <w:rPr>
                <w:rFonts w:hint="eastAsia"/>
                <w:spacing w:val="4"/>
                <w:sz w:val="24"/>
              </w:rPr>
              <w:t>（1）</w:t>
            </w:r>
            <w:r>
              <w:rPr>
                <w:spacing w:val="4"/>
                <w:sz w:val="24"/>
              </w:rPr>
              <w:t>产业政策符合性分析</w:t>
            </w:r>
          </w:p>
          <w:p>
            <w:pPr>
              <w:adjustRightInd w:val="0"/>
              <w:snapToGrid w:val="0"/>
              <w:spacing w:line="360" w:lineRule="auto"/>
              <w:ind w:firstLine="496" w:firstLineChars="200"/>
              <w:rPr>
                <w:spacing w:val="4"/>
                <w:sz w:val="24"/>
              </w:rPr>
            </w:pPr>
            <w:r>
              <w:rPr>
                <w:spacing w:val="4"/>
                <w:sz w:val="24"/>
              </w:rPr>
              <w:t>本项目为</w:t>
            </w:r>
            <w:r>
              <w:rPr>
                <w:rFonts w:hint="eastAsia"/>
                <w:spacing w:val="4"/>
                <w:sz w:val="24"/>
              </w:rPr>
              <w:t>生产再生砂浆</w:t>
            </w:r>
            <w:r>
              <w:rPr>
                <w:spacing w:val="4"/>
                <w:sz w:val="24"/>
              </w:rPr>
              <w:t>，对照《产业结构调整指导目录(2011年本)》以及2013年修正版可知，本项目不属于淘汰、限制类。根据《部分工业行业淘汰落后生产工艺装备和产品指导目录（2010年本及2012年修订版）》，本项目使用的原材料、生产设备等，均不属于《部分工业行业淘汰落后生产工艺装备和产品指导目录（2010年本及2012年修订版）》中的淘汰类，因此，本项目的建设符合国家产业政策</w:t>
            </w:r>
            <w:r>
              <w:rPr>
                <w:rFonts w:hint="eastAsia"/>
                <w:spacing w:val="4"/>
                <w:sz w:val="24"/>
              </w:rPr>
              <w:t>。</w:t>
            </w:r>
          </w:p>
          <w:p>
            <w:pPr>
              <w:adjustRightInd w:val="0"/>
              <w:snapToGrid w:val="0"/>
              <w:spacing w:line="360" w:lineRule="auto"/>
              <w:ind w:firstLine="496" w:firstLineChars="200"/>
              <w:rPr>
                <w:spacing w:val="4"/>
                <w:sz w:val="24"/>
                <w:u w:val="single"/>
              </w:rPr>
            </w:pPr>
            <w:r>
              <w:rPr>
                <w:rFonts w:hint="eastAsia"/>
                <w:spacing w:val="4"/>
                <w:sz w:val="24"/>
              </w:rPr>
              <w:t>（2</w:t>
            </w:r>
            <w:r>
              <w:rPr>
                <w:rFonts w:hint="eastAsia"/>
                <w:spacing w:val="4"/>
                <w:sz w:val="24"/>
                <w:u w:val="single"/>
              </w:rPr>
              <w:t>）与《湖南省砂石骨料行业规范条件》的符合性分析</w:t>
            </w:r>
          </w:p>
          <w:p>
            <w:pPr>
              <w:adjustRightInd w:val="0"/>
              <w:snapToGrid w:val="0"/>
              <w:spacing w:line="360" w:lineRule="auto"/>
              <w:ind w:firstLine="496" w:firstLineChars="200"/>
              <w:rPr>
                <w:spacing w:val="4"/>
                <w:sz w:val="24"/>
                <w:u w:val="single"/>
              </w:rPr>
            </w:pPr>
            <w:r>
              <w:rPr>
                <w:rFonts w:hint="eastAsia"/>
                <w:spacing w:val="4"/>
                <w:sz w:val="24"/>
                <w:u w:val="single"/>
              </w:rPr>
              <w:t>本项目与《湖南省砂石骨料行业规范条件》相关内容的符合性分析如下：</w:t>
            </w:r>
          </w:p>
          <w:tbl>
            <w:tblPr>
              <w:tblStyle w:val="19"/>
              <w:tblW w:w="827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02"/>
              <w:gridCol w:w="39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02" w:type="dxa"/>
                  <w:tcBorders>
                    <w:tl2br w:val="nil"/>
                    <w:tr2bl w:val="nil"/>
                  </w:tcBorders>
                  <w:vAlign w:val="center"/>
                </w:tcPr>
                <w:p>
                  <w:pPr>
                    <w:pStyle w:val="68"/>
                    <w:rPr>
                      <w:kern w:val="0"/>
                      <w:u w:val="single"/>
                    </w:rPr>
                  </w:pPr>
                  <w:r>
                    <w:rPr>
                      <w:rFonts w:hint="eastAsia"/>
                      <w:kern w:val="0"/>
                      <w:u w:val="single"/>
                    </w:rPr>
                    <w:t>行业规范条件要求</w:t>
                  </w:r>
                </w:p>
              </w:tc>
              <w:tc>
                <w:tcPr>
                  <w:tcW w:w="3974" w:type="dxa"/>
                  <w:tcBorders>
                    <w:tl2br w:val="nil"/>
                    <w:tr2bl w:val="nil"/>
                  </w:tcBorders>
                  <w:vAlign w:val="center"/>
                </w:tcPr>
                <w:p>
                  <w:pPr>
                    <w:pStyle w:val="68"/>
                    <w:rPr>
                      <w:kern w:val="0"/>
                      <w:u w:val="single"/>
                    </w:rPr>
                  </w:pPr>
                  <w:r>
                    <w:rPr>
                      <w:rFonts w:hint="eastAsia"/>
                      <w:kern w:val="0"/>
                      <w:u w:val="single"/>
                    </w:rPr>
                    <w:t>本项目</w:t>
                  </w:r>
                  <w:r>
                    <w:rPr>
                      <w:kern w:val="0"/>
                      <w:u w:val="single"/>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02" w:type="dxa"/>
                  <w:tcBorders>
                    <w:tl2br w:val="nil"/>
                    <w:tr2bl w:val="nil"/>
                  </w:tcBorders>
                  <w:vAlign w:val="center"/>
                </w:tcPr>
                <w:p>
                  <w:pPr>
                    <w:pStyle w:val="68"/>
                    <w:rPr>
                      <w:kern w:val="0"/>
                      <w:u w:val="single"/>
                    </w:rPr>
                  </w:pPr>
                  <w:r>
                    <w:rPr>
                      <w:rFonts w:hint="eastAsia"/>
                      <w:kern w:val="0"/>
                      <w:u w:val="single"/>
                    </w:rPr>
                    <w:t>一、规划布局和建设要求</w:t>
                  </w:r>
                </w:p>
                <w:p>
                  <w:pPr>
                    <w:pStyle w:val="68"/>
                    <w:rPr>
                      <w:kern w:val="0"/>
                      <w:u w:val="single"/>
                    </w:rPr>
                  </w:pPr>
                  <w:r>
                    <w:rPr>
                      <w:rFonts w:hint="eastAsia"/>
                      <w:kern w:val="0"/>
                      <w:u w:val="single"/>
                    </w:rPr>
                    <w:t>新建机制砂石骨料项目宜选择资源或接近矿山资源所在地，远离居民区。严禁在风景名胜区、地质公园、生态保护区、自然和文化遗产保护区、饮用水源保护区、城市建成区等区域新建和扩建机制砂石骨料项目。</w:t>
                  </w:r>
                </w:p>
              </w:tc>
              <w:tc>
                <w:tcPr>
                  <w:tcW w:w="3974" w:type="dxa"/>
                  <w:tcBorders>
                    <w:tl2br w:val="nil"/>
                    <w:tr2bl w:val="nil"/>
                  </w:tcBorders>
                  <w:vAlign w:val="center"/>
                </w:tcPr>
                <w:p>
                  <w:pPr>
                    <w:pStyle w:val="68"/>
                    <w:rPr>
                      <w:kern w:val="0"/>
                      <w:u w:val="single"/>
                    </w:rPr>
                  </w:pPr>
                  <w:r>
                    <w:rPr>
                      <w:rFonts w:hint="eastAsia"/>
                      <w:kern w:val="0"/>
                      <w:u w:val="single"/>
                    </w:rPr>
                    <w:t>本项目位于</w:t>
                  </w:r>
                  <w:r>
                    <w:rPr>
                      <w:rFonts w:hint="eastAsia"/>
                      <w:bCs/>
                      <w:kern w:val="0"/>
                      <w:u w:val="single"/>
                    </w:rPr>
                    <w:t>岳阳市湘阴县文星镇漕溪港街道原板桥砖厂处</w:t>
                  </w:r>
                  <w:r>
                    <w:rPr>
                      <w:rFonts w:hint="eastAsia"/>
                      <w:kern w:val="0"/>
                      <w:u w:val="single"/>
                    </w:rPr>
                    <w:t>，距居民集中区较远，不位于风景名胜区、地质公园、生态保护区、自然和文化遗产保护区、饮用水源保护区、城市建成区等区域，故项目选址基本合理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02" w:type="dxa"/>
                  <w:tcBorders>
                    <w:tl2br w:val="nil"/>
                    <w:tr2bl w:val="nil"/>
                  </w:tcBorders>
                  <w:vAlign w:val="center"/>
                </w:tcPr>
                <w:p>
                  <w:pPr>
                    <w:pStyle w:val="68"/>
                    <w:rPr>
                      <w:kern w:val="0"/>
                      <w:u w:val="single"/>
                    </w:rPr>
                  </w:pPr>
                  <w:r>
                    <w:rPr>
                      <w:rFonts w:hint="eastAsia"/>
                      <w:kern w:val="0"/>
                      <w:u w:val="single"/>
                    </w:rPr>
                    <w:t>二、工艺与装备</w:t>
                  </w:r>
                </w:p>
                <w:p>
                  <w:pPr>
                    <w:pStyle w:val="68"/>
                    <w:rPr>
                      <w:kern w:val="0"/>
                      <w:u w:val="single"/>
                    </w:rPr>
                  </w:pPr>
                  <w:r>
                    <w:rPr>
                      <w:rFonts w:hint="eastAsia"/>
                      <w:kern w:val="0"/>
                      <w:u w:val="single"/>
                    </w:rPr>
                    <w:t>1、生产规模：新建、改建机制砂石骨料项目生产规模不低于60万t/年；对综合利用尾矿、废石、工业和建筑等废弃物生产砂石骨料，其生产规模可适当放宽。</w:t>
                  </w:r>
                </w:p>
                <w:p>
                  <w:pPr>
                    <w:pStyle w:val="68"/>
                    <w:rPr>
                      <w:kern w:val="0"/>
                      <w:u w:val="single"/>
                    </w:rPr>
                  </w:pPr>
                  <w:r>
                    <w:rPr>
                      <w:rFonts w:hint="eastAsia"/>
                      <w:kern w:val="0"/>
                      <w:u w:val="single"/>
                    </w:rPr>
                    <w:t>2、生产工艺：优先采用干法生产工艺，其次半干法砂石工艺,当不能满足要求时，可采用湿法砂石生产工艺。新建项目不得使用限制和淘汰技术设备；</w:t>
                  </w:r>
                </w:p>
                <w:p>
                  <w:pPr>
                    <w:pStyle w:val="68"/>
                    <w:rPr>
                      <w:kern w:val="0"/>
                      <w:u w:val="single"/>
                    </w:rPr>
                  </w:pPr>
                  <w:r>
                    <w:rPr>
                      <w:rFonts w:hint="eastAsia"/>
                      <w:kern w:val="0"/>
                      <w:u w:val="single"/>
                    </w:rPr>
                    <w:t>3、节能降耗：生产设备的配置应与砂石骨料工厂的生产规模相适应，优选大型设备，减少设备台数，降低总装机功率。物料输送应采用带式输送机。</w:t>
                  </w:r>
                </w:p>
              </w:tc>
              <w:tc>
                <w:tcPr>
                  <w:tcW w:w="3974" w:type="dxa"/>
                  <w:tcBorders>
                    <w:tl2br w:val="nil"/>
                    <w:tr2bl w:val="nil"/>
                  </w:tcBorders>
                  <w:vAlign w:val="center"/>
                </w:tcPr>
                <w:p>
                  <w:pPr>
                    <w:pStyle w:val="68"/>
                    <w:rPr>
                      <w:kern w:val="0"/>
                      <w:u w:val="single"/>
                    </w:rPr>
                  </w:pPr>
                  <w:r>
                    <w:rPr>
                      <w:rFonts w:hint="eastAsia"/>
                      <w:kern w:val="0"/>
                      <w:u w:val="single"/>
                    </w:rPr>
                    <w:t>1、本项目为年产3</w:t>
                  </w:r>
                  <w:r>
                    <w:rPr>
                      <w:kern w:val="0"/>
                      <w:u w:val="single"/>
                    </w:rPr>
                    <w:t>0</w:t>
                  </w:r>
                  <w:r>
                    <w:rPr>
                      <w:rFonts w:hint="eastAsia"/>
                      <w:kern w:val="0"/>
                      <w:u w:val="single"/>
                    </w:rPr>
                    <w:t>万吨再生砂浆，利用废石、建筑废弃物，规模可适当放宽。</w:t>
                  </w:r>
                </w:p>
                <w:p>
                  <w:pPr>
                    <w:pStyle w:val="68"/>
                    <w:rPr>
                      <w:kern w:val="0"/>
                      <w:u w:val="single"/>
                    </w:rPr>
                  </w:pPr>
                  <w:r>
                    <w:rPr>
                      <w:rFonts w:hint="eastAsia"/>
                      <w:kern w:val="0"/>
                      <w:u w:val="single"/>
                    </w:rPr>
                    <w:t>2、本项目由于原料是利用废弃物，与砂不一样，不能用干化来处置，故采用湿法生产工艺，所用设备均符合相关政策要求。</w:t>
                  </w:r>
                </w:p>
                <w:p>
                  <w:pPr>
                    <w:pStyle w:val="68"/>
                    <w:rPr>
                      <w:kern w:val="0"/>
                      <w:u w:val="single"/>
                    </w:rPr>
                  </w:pPr>
                  <w:r>
                    <w:rPr>
                      <w:rFonts w:hint="eastAsia"/>
                      <w:kern w:val="0"/>
                      <w:u w:val="single"/>
                    </w:rPr>
                    <w:t>3、本项目所用设备均为大型设备，采用带式输送机进行物料输送。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02" w:type="dxa"/>
                  <w:tcBorders>
                    <w:tl2br w:val="nil"/>
                    <w:tr2bl w:val="nil"/>
                  </w:tcBorders>
                  <w:vAlign w:val="center"/>
                </w:tcPr>
                <w:p>
                  <w:pPr>
                    <w:pStyle w:val="68"/>
                    <w:rPr>
                      <w:kern w:val="0"/>
                      <w:u w:val="single"/>
                    </w:rPr>
                  </w:pPr>
                  <w:r>
                    <w:rPr>
                      <w:rFonts w:hint="eastAsia"/>
                      <w:kern w:val="0"/>
                      <w:u w:val="single"/>
                    </w:rPr>
                    <w:t>三、质量管理</w:t>
                  </w:r>
                </w:p>
                <w:p>
                  <w:pPr>
                    <w:pStyle w:val="68"/>
                    <w:rPr>
                      <w:kern w:val="0"/>
                      <w:u w:val="single"/>
                    </w:rPr>
                  </w:pPr>
                  <w:r>
                    <w:rPr>
                      <w:rFonts w:hint="eastAsia"/>
                      <w:kern w:val="0"/>
                      <w:u w:val="single"/>
                    </w:rPr>
                    <w:t>机制、天然砂石骨料质量应符合《建设用砂》</w:t>
                  </w:r>
                </w:p>
                <w:p>
                  <w:pPr>
                    <w:pStyle w:val="68"/>
                    <w:rPr>
                      <w:kern w:val="0"/>
                      <w:u w:val="single"/>
                    </w:rPr>
                  </w:pPr>
                  <w:r>
                    <w:rPr>
                      <w:rFonts w:hint="eastAsia"/>
                      <w:kern w:val="0"/>
                      <w:u w:val="single"/>
                    </w:rPr>
                    <w:t>（GB/T 14684）等标准要求</w:t>
                  </w:r>
                </w:p>
              </w:tc>
              <w:tc>
                <w:tcPr>
                  <w:tcW w:w="3974" w:type="dxa"/>
                  <w:tcBorders>
                    <w:tl2br w:val="nil"/>
                    <w:tr2bl w:val="nil"/>
                  </w:tcBorders>
                  <w:vAlign w:val="center"/>
                </w:tcPr>
                <w:p>
                  <w:pPr>
                    <w:pStyle w:val="68"/>
                    <w:rPr>
                      <w:kern w:val="0"/>
                      <w:u w:val="single"/>
                    </w:rPr>
                  </w:pPr>
                  <w:r>
                    <w:rPr>
                      <w:rFonts w:hint="eastAsia"/>
                      <w:kern w:val="0"/>
                      <w:u w:val="single"/>
                    </w:rPr>
                    <w:t>项目砂石产品满足《建设用砂》（GB/T14684-2011）等要求。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302" w:type="dxa"/>
                  <w:tcBorders>
                    <w:tl2br w:val="nil"/>
                    <w:tr2bl w:val="nil"/>
                  </w:tcBorders>
                  <w:vAlign w:val="center"/>
                </w:tcPr>
                <w:p>
                  <w:pPr>
                    <w:pStyle w:val="68"/>
                    <w:rPr>
                      <w:kern w:val="0"/>
                      <w:u w:val="single"/>
                    </w:rPr>
                  </w:pPr>
                  <w:r>
                    <w:rPr>
                      <w:rFonts w:hint="eastAsia"/>
                      <w:kern w:val="0"/>
                      <w:u w:val="single"/>
                    </w:rPr>
                    <w:t>四、环境保护与资源综合利用</w:t>
                  </w:r>
                </w:p>
                <w:p>
                  <w:pPr>
                    <w:pStyle w:val="68"/>
                    <w:rPr>
                      <w:kern w:val="0"/>
                      <w:u w:val="single"/>
                    </w:rPr>
                  </w:pPr>
                  <w:r>
                    <w:rPr>
                      <w:rFonts w:hint="eastAsia"/>
                      <w:kern w:val="0"/>
                      <w:u w:val="single"/>
                    </w:rPr>
                    <w:t>1、砂石骨料企业应制订相关环境保护管理体系文件和环境突发事件应急预案等。</w:t>
                  </w:r>
                </w:p>
                <w:p>
                  <w:pPr>
                    <w:pStyle w:val="68"/>
                    <w:rPr>
                      <w:kern w:val="0"/>
                      <w:u w:val="single"/>
                    </w:rPr>
                  </w:pPr>
                  <w:r>
                    <w:rPr>
                      <w:rFonts w:hint="eastAsia"/>
                      <w:kern w:val="0"/>
                      <w:u w:val="single"/>
                    </w:rPr>
                    <w:t>2、机制砂石骨料生产线须配套收尘装置，采用喷雾、洒水、全封闭皮带运输等措施。破碎加工区、中间料库、成品库等区域实现厂房全封闭，污染物排放符合GB 16297《大气污染物综合排放标准》要求。</w:t>
                  </w:r>
                </w:p>
                <w:p>
                  <w:pPr>
                    <w:pStyle w:val="68"/>
                    <w:rPr>
                      <w:kern w:val="0"/>
                      <w:u w:val="single"/>
                    </w:rPr>
                  </w:pPr>
                  <w:r>
                    <w:rPr>
                      <w:rFonts w:hint="eastAsia"/>
                      <w:kern w:val="0"/>
                      <w:u w:val="single"/>
                    </w:rPr>
                    <w:t>3、机制砂石骨料生产线须配置消声、减振、隔振等设施，工厂噪声应符合GB 12348《工业企业厂界环境噪声排放标准》要求。</w:t>
                  </w:r>
                </w:p>
                <w:p>
                  <w:pPr>
                    <w:pStyle w:val="68"/>
                    <w:rPr>
                      <w:kern w:val="0"/>
                      <w:u w:val="single"/>
                    </w:rPr>
                  </w:pPr>
                  <w:r>
                    <w:rPr>
                      <w:rFonts w:hint="eastAsia"/>
                      <w:kern w:val="0"/>
                      <w:u w:val="single"/>
                    </w:rPr>
                    <w:t>4、厂区污水排放符合GB8978《污水综合排放标准》二级及以上要求，湿法生产线必须设置水处理循环系统。</w:t>
                  </w:r>
                </w:p>
              </w:tc>
              <w:tc>
                <w:tcPr>
                  <w:tcW w:w="3974" w:type="dxa"/>
                  <w:tcBorders>
                    <w:tl2br w:val="nil"/>
                    <w:tr2bl w:val="nil"/>
                  </w:tcBorders>
                  <w:vAlign w:val="center"/>
                </w:tcPr>
                <w:p>
                  <w:pPr>
                    <w:pStyle w:val="68"/>
                    <w:rPr>
                      <w:kern w:val="0"/>
                      <w:u w:val="single"/>
                    </w:rPr>
                  </w:pPr>
                  <w:r>
                    <w:rPr>
                      <w:rFonts w:hint="eastAsia"/>
                      <w:kern w:val="0"/>
                      <w:u w:val="single"/>
                    </w:rPr>
                    <w:t>1、本项目建成后将制订相关环境保护管理体系文件和环境突发事件应急预案等。</w:t>
                  </w:r>
                </w:p>
                <w:p>
                  <w:pPr>
                    <w:pStyle w:val="68"/>
                    <w:rPr>
                      <w:kern w:val="0"/>
                      <w:u w:val="single"/>
                    </w:rPr>
                  </w:pPr>
                  <w:r>
                    <w:rPr>
                      <w:rFonts w:hint="eastAsia"/>
                      <w:kern w:val="0"/>
                      <w:u w:val="single"/>
                    </w:rPr>
                    <w:t>2、项目生产线配套设置了收尘装置，采用了喷雾、洒水、全封闭皮带运输等措施，破碎加工区、成品库等区域实现了厂房全封闭，废气排放满足《大气污染物综合排放标准》（GB 16297-1996）二级标准要求。</w:t>
                  </w:r>
                </w:p>
                <w:p>
                  <w:pPr>
                    <w:pStyle w:val="68"/>
                    <w:rPr>
                      <w:kern w:val="0"/>
                      <w:u w:val="single"/>
                    </w:rPr>
                  </w:pPr>
                  <w:r>
                    <w:rPr>
                      <w:rFonts w:hint="eastAsia"/>
                      <w:kern w:val="0"/>
                      <w:u w:val="single"/>
                    </w:rPr>
                    <w:t>3、生产线配置了消声、减振、隔振等设施，工厂噪声应符合《工业企业厂界环境噪声排放标准》（GB 12348-2008）2类区标准要求。</w:t>
                  </w:r>
                </w:p>
                <w:p>
                  <w:pPr>
                    <w:pStyle w:val="68"/>
                    <w:rPr>
                      <w:kern w:val="0"/>
                      <w:u w:val="single"/>
                    </w:rPr>
                  </w:pPr>
                  <w:r>
                    <w:rPr>
                      <w:rFonts w:hint="eastAsia"/>
                      <w:kern w:val="0"/>
                      <w:u w:val="single"/>
                    </w:rPr>
                    <w:t>4、冲洗水等经沉淀处理后用于喷雾洒水降尘不外排。初期雨水收集用于生产。</w:t>
                  </w:r>
                </w:p>
              </w:tc>
            </w:tr>
          </w:tbl>
          <w:p>
            <w:pPr>
              <w:adjustRightInd w:val="0"/>
              <w:snapToGrid w:val="0"/>
              <w:spacing w:line="360" w:lineRule="auto"/>
              <w:ind w:firstLine="496" w:firstLineChars="200"/>
              <w:rPr>
                <w:spacing w:val="4"/>
                <w:sz w:val="24"/>
              </w:rPr>
            </w:pPr>
          </w:p>
          <w:p>
            <w:pPr>
              <w:adjustRightInd w:val="0"/>
              <w:snapToGrid w:val="0"/>
              <w:spacing w:line="360" w:lineRule="auto"/>
              <w:ind w:firstLine="496" w:firstLineChars="200"/>
              <w:rPr>
                <w:spacing w:val="4"/>
                <w:sz w:val="24"/>
              </w:rPr>
            </w:pPr>
            <w:r>
              <w:rPr>
                <w:rFonts w:hint="eastAsia"/>
                <w:spacing w:val="4"/>
                <w:sz w:val="24"/>
              </w:rPr>
              <w:t>（</w:t>
            </w:r>
            <w:r>
              <w:rPr>
                <w:spacing w:val="4"/>
                <w:sz w:val="24"/>
              </w:rPr>
              <w:t>3</w:t>
            </w:r>
            <w:r>
              <w:rPr>
                <w:rFonts w:hint="eastAsia"/>
                <w:spacing w:val="4"/>
                <w:sz w:val="24"/>
              </w:rPr>
              <w:t>）</w:t>
            </w:r>
            <w:r>
              <w:rPr>
                <w:spacing w:val="4"/>
                <w:sz w:val="24"/>
              </w:rPr>
              <w:t>选址合理性分析</w:t>
            </w:r>
          </w:p>
          <w:p>
            <w:pPr>
              <w:adjustRightInd w:val="0"/>
              <w:snapToGrid w:val="0"/>
              <w:spacing w:line="360" w:lineRule="auto"/>
              <w:ind w:firstLine="496" w:firstLineChars="200"/>
              <w:rPr>
                <w:spacing w:val="4"/>
                <w:sz w:val="24"/>
              </w:rPr>
            </w:pPr>
            <w:r>
              <w:rPr>
                <w:spacing w:val="4"/>
                <w:sz w:val="24"/>
              </w:rPr>
              <w:t>本项目位于</w:t>
            </w:r>
            <w:r>
              <w:rPr>
                <w:rFonts w:hint="eastAsia"/>
                <w:bCs/>
                <w:spacing w:val="4"/>
                <w:sz w:val="24"/>
              </w:rPr>
              <w:t>岳阳市湘阴县文星镇漕溪港街道</w:t>
            </w:r>
            <w:r>
              <w:rPr>
                <w:spacing w:val="4"/>
                <w:sz w:val="24"/>
              </w:rPr>
              <w:t>，属于农村集体用地，项目用地不占用基本农田、公益林地，建设单位已</w:t>
            </w:r>
            <w:r>
              <w:rPr>
                <w:rFonts w:hint="eastAsia"/>
                <w:spacing w:val="4"/>
                <w:sz w:val="24"/>
              </w:rPr>
              <w:t>向</w:t>
            </w:r>
            <w:r>
              <w:rPr>
                <w:spacing w:val="4"/>
                <w:sz w:val="24"/>
              </w:rPr>
              <w:t>所在地</w:t>
            </w:r>
            <w:r>
              <w:rPr>
                <w:rFonts w:hint="eastAsia"/>
                <w:spacing w:val="4"/>
                <w:sz w:val="24"/>
              </w:rPr>
              <w:t>湘阴县国土局申报临时用地批复</w:t>
            </w:r>
            <w:r>
              <w:rPr>
                <w:spacing w:val="4"/>
                <w:sz w:val="24"/>
              </w:rPr>
              <w:t>，并取得政府以及当地村委同意（详见附件）。选址充分利用闲置土地。综上所述，本项目环境保护的角度分析，本项目选址可行。</w:t>
            </w:r>
          </w:p>
          <w:p>
            <w:pPr>
              <w:adjustRightInd w:val="0"/>
              <w:snapToGrid w:val="0"/>
              <w:spacing w:line="360" w:lineRule="auto"/>
              <w:ind w:firstLine="496" w:firstLineChars="200"/>
              <w:rPr>
                <w:spacing w:val="4"/>
                <w:sz w:val="24"/>
              </w:rPr>
            </w:pPr>
            <w:r>
              <w:rPr>
                <w:rFonts w:hint="eastAsia"/>
                <w:spacing w:val="4"/>
                <w:sz w:val="24"/>
              </w:rPr>
              <w:t>（</w:t>
            </w:r>
            <w:r>
              <w:rPr>
                <w:spacing w:val="4"/>
                <w:sz w:val="24"/>
              </w:rPr>
              <w:t>4</w:t>
            </w:r>
            <w:r>
              <w:rPr>
                <w:rFonts w:hint="eastAsia"/>
                <w:spacing w:val="4"/>
                <w:sz w:val="24"/>
              </w:rPr>
              <w:t>）</w:t>
            </w:r>
            <w:r>
              <w:rPr>
                <w:spacing w:val="4"/>
                <w:sz w:val="24"/>
              </w:rPr>
              <w:t>平面布局合理性分析</w:t>
            </w:r>
          </w:p>
          <w:p>
            <w:pPr>
              <w:adjustRightInd w:val="0"/>
              <w:snapToGrid w:val="0"/>
              <w:spacing w:line="360" w:lineRule="auto"/>
              <w:ind w:firstLine="496" w:firstLineChars="200"/>
              <w:rPr>
                <w:spacing w:val="4"/>
                <w:sz w:val="24"/>
              </w:rPr>
            </w:pPr>
            <w:r>
              <w:rPr>
                <w:spacing w:val="4"/>
                <w:sz w:val="24"/>
              </w:rPr>
              <w:t>本项目占地面积</w:t>
            </w:r>
            <w:r>
              <w:rPr>
                <w:rFonts w:hint="eastAsia"/>
                <w:spacing w:val="4"/>
                <w:sz w:val="24"/>
              </w:rPr>
              <w:t>3</w:t>
            </w:r>
            <w:r>
              <w:rPr>
                <w:spacing w:val="4"/>
                <w:sz w:val="24"/>
              </w:rPr>
              <w:t>335</w:t>
            </w:r>
            <w:r>
              <w:rPr>
                <w:rFonts w:hint="eastAsia"/>
                <w:spacing w:val="4"/>
                <w:sz w:val="24"/>
              </w:rPr>
              <w:t>0</w:t>
            </w:r>
            <w:r>
              <w:rPr>
                <w:spacing w:val="4"/>
                <w:sz w:val="24"/>
              </w:rPr>
              <w:t>m</w:t>
            </w:r>
            <w:r>
              <w:rPr>
                <w:spacing w:val="4"/>
                <w:sz w:val="24"/>
                <w:vertAlign w:val="superscript"/>
              </w:rPr>
              <w:t>2</w:t>
            </w:r>
            <w:r>
              <w:rPr>
                <w:spacing w:val="4"/>
                <w:sz w:val="24"/>
              </w:rPr>
              <w:t>，分为加工区、原料</w:t>
            </w:r>
            <w:r>
              <w:rPr>
                <w:rFonts w:hint="eastAsia"/>
                <w:spacing w:val="4"/>
                <w:sz w:val="24"/>
              </w:rPr>
              <w:t>仓库</w:t>
            </w:r>
            <w:r>
              <w:rPr>
                <w:spacing w:val="4"/>
                <w:sz w:val="24"/>
              </w:rPr>
              <w:t>、成品</w:t>
            </w:r>
            <w:r>
              <w:rPr>
                <w:rFonts w:hint="eastAsia"/>
                <w:spacing w:val="4"/>
                <w:sz w:val="24"/>
              </w:rPr>
              <w:t>仓库</w:t>
            </w:r>
            <w:r>
              <w:rPr>
                <w:spacing w:val="4"/>
                <w:sz w:val="24"/>
              </w:rPr>
              <w:t>以及办公生活区。整个厂区人流、物流分开，方便了运输。综上所述，本项目厂区布局合理。</w:t>
            </w:r>
          </w:p>
          <w:p>
            <w:pPr>
              <w:spacing w:line="360" w:lineRule="auto"/>
              <w:rPr>
                <w:b/>
                <w:bCs/>
                <w:sz w:val="24"/>
              </w:rPr>
            </w:pPr>
            <w:r>
              <w:rPr>
                <w:b/>
                <w:bCs/>
                <w:sz w:val="24"/>
              </w:rPr>
              <w:t>与项目有关的原有污染情况及主要环境问题：</w:t>
            </w:r>
          </w:p>
          <w:p>
            <w:pPr>
              <w:pStyle w:val="53"/>
              <w:adjustRightInd w:val="0"/>
              <w:snapToGrid w:val="0"/>
              <w:spacing w:line="360" w:lineRule="auto"/>
              <w:ind w:firstLine="496"/>
              <w:jc w:val="left"/>
              <w:rPr>
                <w:spacing w:val="4"/>
                <w:sz w:val="24"/>
                <w:u w:val="single"/>
              </w:rPr>
            </w:pPr>
            <w:r>
              <w:rPr>
                <w:spacing w:val="4"/>
                <w:sz w:val="24"/>
                <w:u w:val="single"/>
              </w:rPr>
              <w:t>本项目位于</w:t>
            </w:r>
            <w:r>
              <w:rPr>
                <w:rFonts w:hint="eastAsia"/>
                <w:bCs/>
                <w:spacing w:val="4"/>
                <w:sz w:val="24"/>
                <w:u w:val="single"/>
              </w:rPr>
              <w:t>岳阳市湘阴县文星镇漕溪港街道原板桥砖厂处</w:t>
            </w:r>
            <w:r>
              <w:rPr>
                <w:rFonts w:hint="eastAsia"/>
                <w:spacing w:val="4"/>
                <w:sz w:val="24"/>
                <w:u w:val="single"/>
              </w:rPr>
              <w:t>。原板桥砖厂已停运，原有生产设备均已拆除撤离，只留下两栋生产厂房，无其他遗留环境问题。</w:t>
            </w:r>
          </w:p>
          <w:p>
            <w:pPr>
              <w:pStyle w:val="53"/>
              <w:adjustRightInd w:val="0"/>
              <w:snapToGrid w:val="0"/>
              <w:spacing w:line="360" w:lineRule="auto"/>
              <w:ind w:firstLine="496"/>
              <w:jc w:val="left"/>
              <w:rPr>
                <w:spacing w:val="4"/>
                <w:sz w:val="24"/>
              </w:rPr>
            </w:pPr>
          </w:p>
          <w:p>
            <w:pPr>
              <w:pStyle w:val="53"/>
              <w:adjustRightInd w:val="0"/>
              <w:snapToGrid w:val="0"/>
              <w:spacing w:line="360" w:lineRule="auto"/>
              <w:ind w:firstLine="496"/>
              <w:jc w:val="left"/>
              <w:rPr>
                <w:spacing w:val="4"/>
                <w:sz w:val="24"/>
              </w:rPr>
            </w:pPr>
          </w:p>
          <w:p>
            <w:pPr>
              <w:adjustRightInd w:val="0"/>
              <w:snapToGrid w:val="0"/>
              <w:spacing w:line="440" w:lineRule="exact"/>
              <w:rPr>
                <w:spacing w:val="4"/>
                <w:sz w:val="24"/>
              </w:rPr>
            </w:pPr>
          </w:p>
          <w:p>
            <w:pPr>
              <w:adjustRightInd w:val="0"/>
              <w:snapToGrid w:val="0"/>
              <w:spacing w:line="440" w:lineRule="exact"/>
              <w:rPr>
                <w:spacing w:val="4"/>
                <w:sz w:val="24"/>
              </w:rPr>
            </w:pPr>
          </w:p>
          <w:p>
            <w:pPr>
              <w:adjustRightInd w:val="0"/>
              <w:snapToGrid w:val="0"/>
              <w:spacing w:line="440" w:lineRule="exact"/>
              <w:rPr>
                <w:spacing w:val="4"/>
                <w:sz w:val="24"/>
              </w:rPr>
            </w:pPr>
          </w:p>
          <w:p>
            <w:pPr>
              <w:adjustRightInd w:val="0"/>
              <w:snapToGrid w:val="0"/>
              <w:spacing w:line="440" w:lineRule="exact"/>
              <w:rPr>
                <w:spacing w:val="4"/>
                <w:sz w:val="24"/>
              </w:rPr>
            </w:pPr>
          </w:p>
          <w:p>
            <w:pPr>
              <w:adjustRightInd w:val="0"/>
              <w:snapToGrid w:val="0"/>
              <w:spacing w:line="440" w:lineRule="exact"/>
              <w:rPr>
                <w:spacing w:val="4"/>
                <w:sz w:val="24"/>
              </w:rPr>
            </w:pPr>
          </w:p>
          <w:p>
            <w:pPr>
              <w:adjustRightInd w:val="0"/>
              <w:snapToGrid w:val="0"/>
              <w:spacing w:line="440" w:lineRule="exact"/>
              <w:rPr>
                <w:spacing w:val="4"/>
                <w:sz w:val="24"/>
              </w:rPr>
            </w:pPr>
          </w:p>
          <w:p>
            <w:pPr>
              <w:adjustRightInd w:val="0"/>
              <w:snapToGrid w:val="0"/>
              <w:spacing w:line="440" w:lineRule="exact"/>
              <w:rPr>
                <w:spacing w:val="4"/>
                <w:sz w:val="24"/>
              </w:rPr>
            </w:pPr>
          </w:p>
          <w:p>
            <w:pPr>
              <w:adjustRightInd w:val="0"/>
              <w:snapToGrid w:val="0"/>
              <w:spacing w:line="440" w:lineRule="exact"/>
              <w:rPr>
                <w:spacing w:val="4"/>
                <w:sz w:val="24"/>
              </w:rPr>
            </w:pPr>
          </w:p>
          <w:p>
            <w:pPr>
              <w:adjustRightInd w:val="0"/>
              <w:snapToGrid w:val="0"/>
              <w:spacing w:line="440" w:lineRule="exact"/>
              <w:rPr>
                <w:rFonts w:hint="eastAsia"/>
                <w:spacing w:val="4"/>
                <w:sz w:val="24"/>
              </w:rPr>
            </w:pPr>
          </w:p>
        </w:tc>
      </w:tr>
    </w:tbl>
    <w:p>
      <w:pPr>
        <w:spacing w:line="500" w:lineRule="exact"/>
        <w:outlineLvl w:val="0"/>
        <w:rPr>
          <w:b/>
          <w:sz w:val="28"/>
          <w:szCs w:val="28"/>
        </w:rPr>
      </w:pPr>
      <w:bookmarkStart w:id="9" w:name="_Toc3906327"/>
      <w:r>
        <w:rPr>
          <w:b/>
          <w:sz w:val="28"/>
          <w:szCs w:val="28"/>
        </w:rPr>
        <w:t>建设项目所在地自然环境简况</w:t>
      </w:r>
      <w:bookmarkEnd w:id="9"/>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6" w:hRule="atLeast"/>
          <w:jc w:val="center"/>
        </w:trPr>
        <w:tc>
          <w:tcPr>
            <w:tcW w:w="8522" w:type="dxa"/>
          </w:tcPr>
          <w:p>
            <w:pPr>
              <w:spacing w:line="360" w:lineRule="auto"/>
              <w:rPr>
                <w:b/>
                <w:spacing w:val="-8"/>
                <w:sz w:val="24"/>
              </w:rPr>
            </w:pPr>
            <w:r>
              <w:rPr>
                <w:b/>
                <w:spacing w:val="-8"/>
                <w:sz w:val="24"/>
              </w:rPr>
              <w:t>自然环境简况（地形、地貌、地质、气候、气象、水文、植被、生物多样性等）</w:t>
            </w:r>
          </w:p>
          <w:p>
            <w:pPr>
              <w:spacing w:line="360" w:lineRule="auto"/>
              <w:ind w:firstLine="482" w:firstLineChars="200"/>
              <w:rPr>
                <w:b/>
                <w:bCs/>
                <w:sz w:val="24"/>
              </w:rPr>
            </w:pPr>
            <w:r>
              <w:rPr>
                <w:rFonts w:hint="eastAsia"/>
                <w:b/>
                <w:bCs/>
                <w:sz w:val="24"/>
              </w:rPr>
              <w:t>一、地理位置</w:t>
            </w:r>
          </w:p>
          <w:p>
            <w:pPr>
              <w:spacing w:line="360" w:lineRule="auto"/>
              <w:ind w:firstLine="480" w:firstLineChars="200"/>
              <w:rPr>
                <w:sz w:val="24"/>
              </w:rPr>
            </w:pPr>
            <w:r>
              <w:rPr>
                <w:rFonts w:hAnsi="宋体"/>
                <w:sz w:val="24"/>
              </w:rPr>
              <w:t>湘阴县行政隶属岳阳市，位于湖南省东北部、</w:t>
            </w:r>
            <w:r>
              <w:fldChar w:fldCharType="begin"/>
            </w:r>
            <w:r>
              <w:instrText xml:space="preserve"> HYPERLINK "http://baike.baidu.com/view/4982.htm" \t "_blank" </w:instrText>
            </w:r>
            <w:r>
              <w:fldChar w:fldCharType="separate"/>
            </w:r>
            <w:r>
              <w:rPr>
                <w:rFonts w:hAnsi="宋体"/>
                <w:sz w:val="24"/>
              </w:rPr>
              <w:t>岳阳</w:t>
            </w:r>
            <w:r>
              <w:rPr>
                <w:rFonts w:hAnsi="宋体"/>
                <w:sz w:val="24"/>
              </w:rPr>
              <w:fldChar w:fldCharType="end"/>
            </w:r>
            <w:r>
              <w:rPr>
                <w:rFonts w:hAnsi="宋体"/>
                <w:sz w:val="24"/>
              </w:rPr>
              <w:t>市西南部，县城南距省会</w:t>
            </w:r>
            <w:r>
              <w:fldChar w:fldCharType="begin"/>
            </w:r>
            <w:r>
              <w:instrText xml:space="preserve"> HYPERLINK "http://baike.baidu.com/view/7127.htm" \t "_blank" </w:instrText>
            </w:r>
            <w:r>
              <w:fldChar w:fldCharType="separate"/>
            </w:r>
            <w:r>
              <w:rPr>
                <w:rFonts w:hAnsi="宋体"/>
                <w:sz w:val="24"/>
              </w:rPr>
              <w:t>长沙</w:t>
            </w:r>
            <w:r>
              <w:rPr>
                <w:rFonts w:hAnsi="宋体"/>
                <w:sz w:val="24"/>
              </w:rPr>
              <w:fldChar w:fldCharType="end"/>
            </w:r>
            <w:r>
              <w:rPr>
                <w:rFonts w:hAnsi="宋体"/>
                <w:sz w:val="24"/>
              </w:rPr>
              <w:t>市</w:t>
            </w:r>
            <w:r>
              <w:rPr>
                <w:sz w:val="24"/>
              </w:rPr>
              <w:t>60</w:t>
            </w:r>
            <w:r>
              <w:rPr>
                <w:rFonts w:hAnsi="宋体"/>
                <w:sz w:val="24"/>
              </w:rPr>
              <w:t>公里，居湘、资两水尾间，濒南洞庭湖。东邻汨罗市、西接益阳市，南界望城县，北抵沅江市、屈原行政区，介于东经</w:t>
            </w:r>
            <w:r>
              <w:rPr>
                <w:sz w:val="24"/>
              </w:rPr>
              <w:t>112°30′—113°02′</w:t>
            </w:r>
            <w:r>
              <w:rPr>
                <w:rFonts w:hAnsi="宋体"/>
                <w:sz w:val="24"/>
              </w:rPr>
              <w:t>，北纬</w:t>
            </w:r>
            <w:r>
              <w:rPr>
                <w:sz w:val="24"/>
              </w:rPr>
              <w:t>28°30′—29°03′</w:t>
            </w:r>
            <w:r>
              <w:rPr>
                <w:rFonts w:hAnsi="宋体"/>
                <w:sz w:val="24"/>
              </w:rPr>
              <w:t>之间。南北长</w:t>
            </w:r>
            <w:r>
              <w:rPr>
                <w:sz w:val="24"/>
              </w:rPr>
              <w:t>61</w:t>
            </w:r>
            <w:r>
              <w:rPr>
                <w:rFonts w:hAnsi="宋体"/>
                <w:sz w:val="24"/>
              </w:rPr>
              <w:t>公里</w:t>
            </w:r>
            <w:r>
              <w:rPr>
                <w:sz w:val="24"/>
              </w:rPr>
              <w:t>,</w:t>
            </w:r>
            <w:r>
              <w:rPr>
                <w:rFonts w:hAnsi="宋体"/>
                <w:sz w:val="24"/>
              </w:rPr>
              <w:t>东西宽</w:t>
            </w:r>
            <w:r>
              <w:rPr>
                <w:sz w:val="24"/>
              </w:rPr>
              <w:t>51.3</w:t>
            </w:r>
            <w:r>
              <w:rPr>
                <w:rFonts w:hAnsi="宋体"/>
                <w:sz w:val="24"/>
              </w:rPr>
              <w:t>公里，面积</w:t>
            </w:r>
            <w:r>
              <w:rPr>
                <w:sz w:val="24"/>
              </w:rPr>
              <w:t>1581.5</w:t>
            </w:r>
            <w:r>
              <w:rPr>
                <w:rFonts w:hAnsi="宋体"/>
                <w:sz w:val="24"/>
              </w:rPr>
              <w:t>平方公里，距益阳市区仅</w:t>
            </w:r>
            <w:r>
              <w:rPr>
                <w:sz w:val="24"/>
              </w:rPr>
              <w:t>50</w:t>
            </w:r>
            <w:r>
              <w:rPr>
                <w:rFonts w:hAnsi="宋体"/>
                <w:sz w:val="24"/>
              </w:rPr>
              <w:t>公里，岳阳市区</w:t>
            </w:r>
            <w:r>
              <w:rPr>
                <w:sz w:val="24"/>
              </w:rPr>
              <w:t>110</w:t>
            </w:r>
            <w:r>
              <w:rPr>
                <w:rFonts w:hAnsi="宋体"/>
                <w:sz w:val="24"/>
              </w:rPr>
              <w:t>公里，经长湘公路至长沙仅</w:t>
            </w:r>
            <w:r>
              <w:rPr>
                <w:sz w:val="24"/>
              </w:rPr>
              <w:t>45</w:t>
            </w:r>
            <w:r>
              <w:rPr>
                <w:rFonts w:hAnsi="宋体"/>
                <w:sz w:val="24"/>
              </w:rPr>
              <w:t>公里，交通十分便利。</w:t>
            </w:r>
            <w:r>
              <w:rPr>
                <w:rFonts w:hint="eastAsia"/>
                <w:sz w:val="24"/>
              </w:rPr>
              <w:t xml:space="preserve">                            </w:t>
            </w:r>
          </w:p>
          <w:p>
            <w:pPr>
              <w:spacing w:line="360" w:lineRule="auto"/>
              <w:ind w:firstLine="482" w:firstLineChars="200"/>
              <w:rPr>
                <w:sz w:val="24"/>
              </w:rPr>
            </w:pPr>
            <w:r>
              <w:rPr>
                <w:rFonts w:hint="eastAsia"/>
                <w:b/>
                <w:bCs/>
                <w:sz w:val="24"/>
              </w:rPr>
              <w:t>二、地形、地貌</w:t>
            </w:r>
          </w:p>
          <w:p>
            <w:pPr>
              <w:pStyle w:val="43"/>
              <w:adjustRightInd w:val="0"/>
              <w:snapToGrid w:val="0"/>
              <w:spacing w:line="360" w:lineRule="auto"/>
              <w:ind w:firstLine="480"/>
              <w:rPr>
                <w:rFonts w:hAnsi="宋体"/>
                <w:sz w:val="24"/>
                <w:szCs w:val="24"/>
              </w:rPr>
            </w:pPr>
            <w:r>
              <w:rPr>
                <w:rFonts w:hint="eastAsia" w:hAnsi="宋体"/>
                <w:sz w:val="24"/>
                <w:szCs w:val="24"/>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702.11平方公里，占全县总面积的44.4%；岗地占13.59%；低山占1.51%。其三、河湖交会，水域广阔。湘江自南而北贯穿全景，自然分成东西两部，江东为东乡，为低山岗丘地，岗丘婉蜒，地形起伏；江西为西乡，属滨湖平原地，河渠纵横，湖沼塘堰星罗棋布。全县国土总面积1581.5平方公里，湖区、山丘区、湖洲分别为675.0平方公里、484.6平方公里、421.9平方公里。水域面积98.56万亩，占全县总面积的41.56%。各类地貌中的水面面积占总面积的百分比分别为：滨湖平原为89.06万亩，占53.99%；江河平原为2.37万亩，占21.68%；溪谷平原为3.82万亩，占15.54%；岗地为2.95万亩，占8.92%，低山为3600亩，占10.08%。</w:t>
            </w:r>
          </w:p>
          <w:p>
            <w:pPr>
              <w:pStyle w:val="43"/>
              <w:adjustRightInd w:val="0"/>
              <w:snapToGrid w:val="0"/>
              <w:spacing w:line="360" w:lineRule="auto"/>
              <w:ind w:firstLine="480"/>
              <w:rPr>
                <w:rFonts w:hAnsi="宋体"/>
                <w:sz w:val="24"/>
                <w:szCs w:val="24"/>
              </w:rPr>
            </w:pPr>
            <w:r>
              <w:rPr>
                <w:rFonts w:hint="eastAsia" w:hAnsi="宋体"/>
                <w:sz w:val="24"/>
                <w:szCs w:val="24"/>
              </w:rPr>
              <w:t>湘阴是湖南省地震监测重点区，具备发生中强地震的地质构造背景，为6.5级潜在震源区。历史上湘阴一带发生过多次有感地震，近期仪器记录到4次小震。根据《建筑抗震设计规范》GB50011—2001附录A及相关规定，湘阴为Ⅶ度烈度区。</w:t>
            </w:r>
          </w:p>
          <w:p>
            <w:pPr>
              <w:pStyle w:val="43"/>
              <w:adjustRightInd w:val="0"/>
              <w:snapToGrid w:val="0"/>
              <w:spacing w:line="360" w:lineRule="auto"/>
              <w:ind w:firstLine="480"/>
              <w:rPr>
                <w:rFonts w:hAnsi="宋体"/>
                <w:sz w:val="24"/>
                <w:szCs w:val="24"/>
              </w:rPr>
            </w:pPr>
            <w:r>
              <w:rPr>
                <w:rFonts w:hint="eastAsia" w:hAnsi="宋体"/>
                <w:sz w:val="24"/>
                <w:szCs w:val="24"/>
              </w:rPr>
              <w:t>本项目区属低丘剥蚀地貌，其地势平坦，工程地质条件简单。项目区没有发现不良工程地质现象。</w:t>
            </w:r>
          </w:p>
          <w:p>
            <w:pPr>
              <w:spacing w:line="360" w:lineRule="auto"/>
              <w:ind w:firstLine="482" w:firstLineChars="200"/>
              <w:rPr>
                <w:b/>
                <w:bCs/>
                <w:sz w:val="24"/>
              </w:rPr>
            </w:pPr>
            <w:r>
              <w:rPr>
                <w:rFonts w:hint="eastAsia"/>
                <w:b/>
                <w:bCs/>
                <w:sz w:val="24"/>
              </w:rPr>
              <w:t>三、气候、气象</w:t>
            </w:r>
          </w:p>
          <w:p>
            <w:pPr>
              <w:pStyle w:val="62"/>
              <w:spacing w:line="360" w:lineRule="auto"/>
              <w:rPr>
                <w:rFonts w:hAnsi="宋体" w:cs="Times New Roman"/>
                <w:bCs/>
                <w:szCs w:val="24"/>
              </w:rPr>
            </w:pPr>
            <w:r>
              <w:rPr>
                <w:rFonts w:hint="eastAsia" w:hAnsi="宋体" w:cs="Times New Roman"/>
                <w:bCs/>
                <w:szCs w:val="24"/>
              </w:rPr>
              <w:t>湘阴县地处中亚热带向北亚热带过渡的季风气候区，县域内地貌类型简单，东西两部分气候差异不显著，气候温和，雨量充沛，光照充足，四季分明。主要灾害性天气有暴雨、干旱、大风、雷雹、低温、冰冻。县气象站记载，1959～1985年的27年间，共发生此类天气141次，年均5.2次。各种灾害性天气发生次数及占此类天气总数的百分比为：暴雨25次，占17.85%；干旱23次，占16.42%，低温31次，占22.17%；大风26次，占18.57%；雷雹13次，占9.28%，冰冻23次，占15.71%。</w:t>
            </w:r>
          </w:p>
          <w:p>
            <w:pPr>
              <w:pStyle w:val="62"/>
              <w:spacing w:line="360" w:lineRule="auto"/>
              <w:rPr>
                <w:rFonts w:hAnsi="宋体" w:cs="Times New Roman"/>
                <w:bCs/>
                <w:szCs w:val="24"/>
              </w:rPr>
            </w:pPr>
            <w:r>
              <w:rPr>
                <w:rFonts w:hint="eastAsia" w:hAnsi="宋体" w:cs="Times New Roman"/>
                <w:bCs/>
                <w:szCs w:val="24"/>
              </w:rPr>
              <w:t>湘阴县区域主要气象数据：</w:t>
            </w:r>
          </w:p>
          <w:p>
            <w:pPr>
              <w:pStyle w:val="62"/>
              <w:spacing w:line="360" w:lineRule="auto"/>
              <w:rPr>
                <w:rFonts w:hAnsi="宋体" w:cs="Times New Roman"/>
                <w:bCs/>
                <w:szCs w:val="24"/>
              </w:rPr>
            </w:pPr>
            <w:r>
              <w:rPr>
                <w:rFonts w:hint="eastAsia" w:hAnsi="宋体" w:cs="Times New Roman"/>
                <w:bCs/>
                <w:szCs w:val="24"/>
              </w:rPr>
              <w:t>年平均气温                     16.9℃</w:t>
            </w:r>
          </w:p>
          <w:p>
            <w:pPr>
              <w:pStyle w:val="62"/>
              <w:spacing w:line="360" w:lineRule="auto"/>
              <w:rPr>
                <w:rFonts w:hAnsi="宋体" w:cs="Times New Roman"/>
                <w:bCs/>
                <w:szCs w:val="24"/>
              </w:rPr>
            </w:pPr>
            <w:r>
              <w:rPr>
                <w:rFonts w:hint="eastAsia" w:hAnsi="宋体" w:cs="Times New Roman"/>
                <w:bCs/>
                <w:szCs w:val="24"/>
              </w:rPr>
              <w:t>最热月平均气温                 29.0℃</w:t>
            </w:r>
          </w:p>
          <w:p>
            <w:pPr>
              <w:pStyle w:val="62"/>
              <w:spacing w:line="360" w:lineRule="auto"/>
              <w:rPr>
                <w:rFonts w:hAnsi="宋体" w:cs="Times New Roman"/>
                <w:bCs/>
                <w:szCs w:val="24"/>
              </w:rPr>
            </w:pPr>
            <w:r>
              <w:rPr>
                <w:rFonts w:hint="eastAsia" w:hAnsi="宋体" w:cs="Times New Roman"/>
                <w:bCs/>
                <w:szCs w:val="24"/>
              </w:rPr>
              <w:t>最冷月平均气温                 4.4℃</w:t>
            </w:r>
          </w:p>
          <w:p>
            <w:pPr>
              <w:pStyle w:val="62"/>
              <w:spacing w:line="360" w:lineRule="auto"/>
              <w:rPr>
                <w:rFonts w:hAnsi="宋体" w:cs="Times New Roman"/>
                <w:bCs/>
                <w:szCs w:val="24"/>
              </w:rPr>
            </w:pPr>
            <w:r>
              <w:rPr>
                <w:rFonts w:hint="eastAsia" w:hAnsi="宋体" w:cs="Times New Roman"/>
                <w:bCs/>
                <w:szCs w:val="24"/>
              </w:rPr>
              <w:t>极端最高气温                   38.4℃</w:t>
            </w:r>
          </w:p>
          <w:p>
            <w:pPr>
              <w:pStyle w:val="62"/>
              <w:spacing w:line="360" w:lineRule="auto"/>
              <w:rPr>
                <w:rFonts w:hAnsi="宋体" w:cs="Times New Roman"/>
                <w:bCs/>
                <w:szCs w:val="24"/>
              </w:rPr>
            </w:pPr>
            <w:r>
              <w:rPr>
                <w:rFonts w:hint="eastAsia" w:hAnsi="宋体" w:cs="Times New Roman"/>
                <w:bCs/>
                <w:szCs w:val="24"/>
              </w:rPr>
              <w:t>极端最低气温                   -12.0℃</w:t>
            </w:r>
          </w:p>
          <w:p>
            <w:pPr>
              <w:pStyle w:val="62"/>
              <w:spacing w:line="360" w:lineRule="auto"/>
              <w:rPr>
                <w:rFonts w:hAnsi="宋体" w:cs="Times New Roman"/>
                <w:bCs/>
                <w:szCs w:val="24"/>
              </w:rPr>
            </w:pPr>
            <w:r>
              <w:rPr>
                <w:rFonts w:hint="eastAsia" w:hAnsi="宋体" w:cs="Times New Roman"/>
                <w:bCs/>
                <w:szCs w:val="24"/>
              </w:rPr>
              <w:t>年总降水量                     1410.8mm</w:t>
            </w:r>
          </w:p>
          <w:p>
            <w:pPr>
              <w:pStyle w:val="62"/>
              <w:spacing w:line="360" w:lineRule="auto"/>
              <w:rPr>
                <w:rFonts w:hAnsi="宋体" w:cs="Times New Roman"/>
                <w:bCs/>
                <w:szCs w:val="24"/>
              </w:rPr>
            </w:pPr>
            <w:r>
              <w:rPr>
                <w:rFonts w:hint="eastAsia" w:hAnsi="宋体" w:cs="Times New Roman"/>
                <w:bCs/>
                <w:szCs w:val="24"/>
              </w:rPr>
              <w:t>年总日照                       1610.5h</w:t>
            </w:r>
          </w:p>
          <w:p>
            <w:pPr>
              <w:pStyle w:val="62"/>
              <w:spacing w:line="360" w:lineRule="auto"/>
              <w:rPr>
                <w:rFonts w:hAnsi="宋体" w:cs="Times New Roman"/>
                <w:bCs/>
                <w:szCs w:val="24"/>
              </w:rPr>
            </w:pPr>
            <w:r>
              <w:rPr>
                <w:rFonts w:hint="eastAsia" w:hAnsi="宋体" w:cs="Times New Roman"/>
                <w:bCs/>
                <w:szCs w:val="24"/>
              </w:rPr>
              <w:t>年总辐射量                     1410.4千卡/平方厘米</w:t>
            </w:r>
          </w:p>
          <w:p>
            <w:pPr>
              <w:pStyle w:val="62"/>
              <w:spacing w:line="360" w:lineRule="auto"/>
              <w:rPr>
                <w:rFonts w:hAnsi="宋体" w:cs="Times New Roman"/>
                <w:bCs/>
                <w:szCs w:val="24"/>
              </w:rPr>
            </w:pPr>
            <w:r>
              <w:rPr>
                <w:rFonts w:hint="eastAsia" w:hAnsi="宋体" w:cs="Times New Roman"/>
                <w:bCs/>
                <w:szCs w:val="24"/>
              </w:rPr>
              <w:t>年主导风向                     西北风</w:t>
            </w:r>
          </w:p>
          <w:p>
            <w:pPr>
              <w:pStyle w:val="62"/>
              <w:spacing w:line="360" w:lineRule="auto"/>
              <w:rPr>
                <w:rFonts w:hAnsi="宋体" w:cs="Times New Roman"/>
                <w:bCs/>
                <w:szCs w:val="24"/>
              </w:rPr>
            </w:pPr>
            <w:r>
              <w:rPr>
                <w:rFonts w:hint="eastAsia" w:hAnsi="宋体" w:cs="Times New Roman"/>
                <w:bCs/>
                <w:szCs w:val="24"/>
              </w:rPr>
              <w:t>年平均风速                     1.8m/s</w:t>
            </w:r>
          </w:p>
          <w:p>
            <w:pPr>
              <w:pStyle w:val="62"/>
              <w:spacing w:line="360" w:lineRule="auto"/>
              <w:rPr>
                <w:rFonts w:hAnsi="宋体" w:cs="Times New Roman"/>
                <w:bCs/>
                <w:szCs w:val="24"/>
              </w:rPr>
            </w:pPr>
            <w:r>
              <w:rPr>
                <w:rFonts w:hint="eastAsia" w:hAnsi="宋体" w:cs="Times New Roman"/>
                <w:bCs/>
                <w:szCs w:val="24"/>
              </w:rPr>
              <w:t>年相对湿度                     81%</w:t>
            </w:r>
          </w:p>
          <w:p>
            <w:pPr>
              <w:pStyle w:val="62"/>
              <w:spacing w:line="360" w:lineRule="auto"/>
              <w:rPr>
                <w:rFonts w:hAnsi="宋体" w:cs="Times New Roman"/>
                <w:bCs/>
                <w:szCs w:val="24"/>
              </w:rPr>
            </w:pPr>
            <w:r>
              <w:rPr>
                <w:rFonts w:hint="eastAsia" w:hAnsi="宋体" w:cs="Times New Roman"/>
                <w:bCs/>
                <w:szCs w:val="24"/>
              </w:rPr>
              <w:t>年平均降雨量                   1383毫米</w:t>
            </w:r>
          </w:p>
          <w:p>
            <w:pPr>
              <w:pStyle w:val="62"/>
              <w:spacing w:line="360" w:lineRule="auto"/>
              <w:rPr>
                <w:rFonts w:hAnsi="宋体" w:cs="Times New Roman"/>
                <w:bCs/>
                <w:szCs w:val="24"/>
              </w:rPr>
            </w:pPr>
            <w:r>
              <w:rPr>
                <w:rFonts w:hint="eastAsia" w:hAnsi="宋体" w:cs="Times New Roman"/>
                <w:bCs/>
                <w:szCs w:val="24"/>
              </w:rPr>
              <w:t>年总蒸发量                     1329.4mm</w:t>
            </w:r>
          </w:p>
          <w:p>
            <w:pPr>
              <w:pStyle w:val="62"/>
              <w:spacing w:line="360" w:lineRule="auto"/>
              <w:rPr>
                <w:rFonts w:hAnsi="宋体" w:cs="Times New Roman"/>
                <w:bCs/>
                <w:szCs w:val="24"/>
              </w:rPr>
            </w:pPr>
            <w:r>
              <w:rPr>
                <w:rFonts w:hint="eastAsia" w:hAnsi="宋体" w:cs="Times New Roman"/>
                <w:bCs/>
                <w:szCs w:val="24"/>
              </w:rPr>
              <w:t>全年无霜期                     274天</w:t>
            </w:r>
          </w:p>
          <w:p>
            <w:pPr>
              <w:spacing w:line="360" w:lineRule="auto"/>
              <w:ind w:firstLine="482" w:firstLineChars="200"/>
              <w:rPr>
                <w:sz w:val="24"/>
              </w:rPr>
            </w:pPr>
            <w:r>
              <w:rPr>
                <w:rFonts w:hint="eastAsia"/>
                <w:b/>
                <w:bCs/>
                <w:sz w:val="24"/>
              </w:rPr>
              <w:t>四、水文</w:t>
            </w:r>
          </w:p>
          <w:p>
            <w:pPr>
              <w:spacing w:line="360" w:lineRule="auto"/>
              <w:ind w:firstLine="504" w:firstLineChars="200"/>
              <w:rPr>
                <w:spacing w:val="6"/>
                <w:sz w:val="24"/>
              </w:rPr>
            </w:pPr>
            <w:r>
              <w:rPr>
                <w:rFonts w:hAnsi="宋体"/>
                <w:spacing w:val="6"/>
                <w:sz w:val="24"/>
              </w:rPr>
              <w:t>湘阴江湖甚多，湘江和资江两水在县内流经长度达</w:t>
            </w:r>
            <w:r>
              <w:rPr>
                <w:spacing w:val="6"/>
                <w:sz w:val="24"/>
              </w:rPr>
              <w:t>250</w:t>
            </w:r>
            <w:r>
              <w:rPr>
                <w:rFonts w:hAnsi="宋体"/>
                <w:spacing w:val="6"/>
                <w:sz w:val="24"/>
              </w:rPr>
              <w:t>余公里，内江流经长度</w:t>
            </w:r>
            <w:r>
              <w:rPr>
                <w:spacing w:val="6"/>
                <w:sz w:val="24"/>
              </w:rPr>
              <w:t>70</w:t>
            </w:r>
            <w:r>
              <w:rPr>
                <w:rFonts w:hAnsi="宋体"/>
                <w:spacing w:val="6"/>
                <w:sz w:val="24"/>
              </w:rPr>
              <w:t>余公里，计有外湖</w:t>
            </w:r>
            <w:r>
              <w:rPr>
                <w:spacing w:val="6"/>
                <w:sz w:val="24"/>
              </w:rPr>
              <w:t>81</w:t>
            </w:r>
            <w:r>
              <w:rPr>
                <w:rFonts w:hAnsi="宋体"/>
                <w:spacing w:val="6"/>
                <w:sz w:val="24"/>
              </w:rPr>
              <w:t>个，内湖</w:t>
            </w:r>
            <w:r>
              <w:rPr>
                <w:spacing w:val="6"/>
                <w:sz w:val="24"/>
              </w:rPr>
              <w:t>78</w:t>
            </w:r>
            <w:r>
              <w:rPr>
                <w:rFonts w:hAnsi="宋体"/>
                <w:spacing w:val="6"/>
                <w:sz w:val="24"/>
              </w:rPr>
              <w:t>个，塘堰</w:t>
            </w:r>
            <w:r>
              <w:rPr>
                <w:spacing w:val="6"/>
                <w:sz w:val="24"/>
              </w:rPr>
              <w:t>3372</w:t>
            </w:r>
            <w:r>
              <w:rPr>
                <w:rFonts w:hAnsi="宋体"/>
                <w:spacing w:val="6"/>
                <w:sz w:val="24"/>
              </w:rPr>
              <w:t>个，水坝</w:t>
            </w:r>
            <w:r>
              <w:rPr>
                <w:spacing w:val="6"/>
                <w:sz w:val="24"/>
              </w:rPr>
              <w:t>2249</w:t>
            </w:r>
            <w:r>
              <w:rPr>
                <w:rFonts w:hAnsi="宋体"/>
                <w:spacing w:val="6"/>
                <w:sz w:val="24"/>
              </w:rPr>
              <w:t>座。主要河流有湘江、资江和白水江，主要外湖有横岭湖、团林湖、淳湖和荷叶湖等，主要内湖有鹤龙湖、洋沙湖、范家坝、白洋湖和南湖垸哑河等。水域面积</w:t>
            </w:r>
            <w:r>
              <w:rPr>
                <w:spacing w:val="6"/>
                <w:sz w:val="24"/>
              </w:rPr>
              <w:t>98.56</w:t>
            </w:r>
            <w:r>
              <w:rPr>
                <w:rFonts w:hAnsi="宋体"/>
                <w:spacing w:val="6"/>
                <w:sz w:val="24"/>
              </w:rPr>
              <w:t>万亩，占全县总面积的</w:t>
            </w:r>
            <w:r>
              <w:rPr>
                <w:spacing w:val="6"/>
                <w:sz w:val="24"/>
              </w:rPr>
              <w:t>41.56%</w:t>
            </w:r>
            <w:r>
              <w:rPr>
                <w:rFonts w:hAnsi="宋体"/>
                <w:spacing w:val="6"/>
                <w:sz w:val="24"/>
              </w:rPr>
              <w:t>。其中，江河面积</w:t>
            </w:r>
            <w:r>
              <w:rPr>
                <w:spacing w:val="6"/>
                <w:sz w:val="24"/>
              </w:rPr>
              <w:t>14.55</w:t>
            </w:r>
            <w:r>
              <w:rPr>
                <w:rFonts w:hAnsi="宋体"/>
                <w:spacing w:val="6"/>
                <w:sz w:val="24"/>
              </w:rPr>
              <w:t>万亩，占水域面积的</w:t>
            </w:r>
            <w:r>
              <w:rPr>
                <w:spacing w:val="6"/>
                <w:sz w:val="24"/>
              </w:rPr>
              <w:t>14.76%</w:t>
            </w:r>
            <w:r>
              <w:rPr>
                <w:rFonts w:hAnsi="宋体"/>
                <w:spacing w:val="6"/>
                <w:sz w:val="24"/>
              </w:rPr>
              <w:t>；湖泊面积约</w:t>
            </w:r>
            <w:r>
              <w:rPr>
                <w:spacing w:val="6"/>
                <w:sz w:val="24"/>
              </w:rPr>
              <w:t>33.2</w:t>
            </w:r>
            <w:r>
              <w:rPr>
                <w:rFonts w:hAnsi="宋体"/>
                <w:spacing w:val="6"/>
                <w:sz w:val="24"/>
              </w:rPr>
              <w:t>万亩，占水域面积的</w:t>
            </w:r>
            <w:r>
              <w:rPr>
                <w:spacing w:val="6"/>
                <w:sz w:val="24"/>
              </w:rPr>
              <w:t>33.69%</w:t>
            </w:r>
            <w:r>
              <w:rPr>
                <w:rFonts w:hAnsi="宋体"/>
                <w:spacing w:val="6"/>
                <w:sz w:val="24"/>
              </w:rPr>
              <w:t>。余为洪水季节是水、枯水季节即洲的湖洲，约占水域的</w:t>
            </w:r>
            <w:r>
              <w:rPr>
                <w:spacing w:val="6"/>
                <w:sz w:val="24"/>
              </w:rPr>
              <w:t>15.55%</w:t>
            </w:r>
            <w:r>
              <w:rPr>
                <w:rFonts w:hAnsi="宋体"/>
                <w:spacing w:val="6"/>
                <w:sz w:val="24"/>
              </w:rPr>
              <w:t>。</w:t>
            </w:r>
          </w:p>
          <w:p>
            <w:pPr>
              <w:spacing w:line="360" w:lineRule="auto"/>
              <w:ind w:firstLine="504" w:firstLineChars="200"/>
              <w:rPr>
                <w:spacing w:val="6"/>
                <w:sz w:val="24"/>
              </w:rPr>
            </w:pPr>
            <w:r>
              <w:rPr>
                <w:rFonts w:hAnsi="宋体"/>
                <w:spacing w:val="6"/>
                <w:sz w:val="24"/>
              </w:rPr>
              <w:t>地下水以沙卵石层含量为最丰富。据湖南地质局勘测，湘阴年平补给地下水的总量为</w:t>
            </w:r>
            <w:r>
              <w:rPr>
                <w:spacing w:val="6"/>
                <w:sz w:val="24"/>
              </w:rPr>
              <w:t>14.03</w:t>
            </w:r>
            <w:r>
              <w:rPr>
                <w:rFonts w:hAnsi="宋体"/>
                <w:spacing w:val="6"/>
                <w:sz w:val="24"/>
              </w:rPr>
              <w:t>亿立方米。其中，降水补给</w:t>
            </w:r>
            <w:r>
              <w:rPr>
                <w:spacing w:val="6"/>
                <w:sz w:val="24"/>
              </w:rPr>
              <w:t>1.64</w:t>
            </w:r>
            <w:r>
              <w:rPr>
                <w:rFonts w:hAnsi="宋体"/>
                <w:spacing w:val="6"/>
                <w:sz w:val="24"/>
              </w:rPr>
              <w:t>亿立方米，江湖补给</w:t>
            </w:r>
            <w:r>
              <w:rPr>
                <w:spacing w:val="6"/>
                <w:sz w:val="24"/>
              </w:rPr>
              <w:t>2.39</w:t>
            </w:r>
            <w:r>
              <w:rPr>
                <w:rFonts w:hAnsi="宋体"/>
                <w:spacing w:val="6"/>
                <w:sz w:val="24"/>
              </w:rPr>
              <w:t>亿立方米。枯水年地下水径流量为</w:t>
            </w:r>
            <w:r>
              <w:rPr>
                <w:spacing w:val="6"/>
                <w:sz w:val="24"/>
              </w:rPr>
              <w:t>0.78</w:t>
            </w:r>
            <w:r>
              <w:rPr>
                <w:rFonts w:hAnsi="宋体"/>
                <w:spacing w:val="6"/>
                <w:sz w:val="24"/>
              </w:rPr>
              <w:t>亿立方米，孔隙水总储量为</w:t>
            </w:r>
            <w:r>
              <w:rPr>
                <w:spacing w:val="6"/>
                <w:sz w:val="24"/>
              </w:rPr>
              <w:t>131.67</w:t>
            </w:r>
            <w:r>
              <w:rPr>
                <w:rFonts w:hAnsi="宋体"/>
                <w:spacing w:val="6"/>
                <w:sz w:val="24"/>
              </w:rPr>
              <w:t>亿立方米。年可开采量为</w:t>
            </w:r>
            <w:r>
              <w:rPr>
                <w:spacing w:val="6"/>
                <w:sz w:val="24"/>
              </w:rPr>
              <w:t>3.29</w:t>
            </w:r>
            <w:r>
              <w:rPr>
                <w:rFonts w:hAnsi="宋体"/>
                <w:spacing w:val="6"/>
                <w:sz w:val="24"/>
              </w:rPr>
              <w:t>亿立方米。县境地下水质良好。</w:t>
            </w:r>
          </w:p>
          <w:p>
            <w:pPr>
              <w:spacing w:line="360" w:lineRule="auto"/>
              <w:ind w:firstLine="504" w:firstLineChars="200"/>
              <w:rPr>
                <w:spacing w:val="6"/>
                <w:sz w:val="24"/>
              </w:rPr>
            </w:pPr>
            <w:r>
              <w:rPr>
                <w:rFonts w:hint="eastAsia" w:hAnsi="宋体"/>
                <w:spacing w:val="6"/>
                <w:sz w:val="24"/>
              </w:rPr>
              <w:t>与项目有关的地表水体主要为湘江。</w:t>
            </w:r>
            <w:r>
              <w:rPr>
                <w:rFonts w:hAnsi="宋体"/>
                <w:spacing w:val="6"/>
                <w:sz w:val="24"/>
              </w:rPr>
              <w:t>湘江是我省的最大河流，其发源于广西省临桂县海洋坪龙门界，经金沙入湖南省东安县，流经零陵、衡阳、株洲、湘潭、岳阳，然后自岳阳入洞庭湖，于城陵矶入长江，全长</w:t>
            </w:r>
            <w:r>
              <w:rPr>
                <w:spacing w:val="6"/>
                <w:sz w:val="24"/>
              </w:rPr>
              <w:t>856km</w:t>
            </w:r>
            <w:r>
              <w:rPr>
                <w:rFonts w:hAnsi="宋体"/>
                <w:spacing w:val="6"/>
                <w:sz w:val="24"/>
              </w:rPr>
              <w:t>，是岳阳市的主要供水源。湘江岳阳段全长</w:t>
            </w:r>
            <w:r>
              <w:rPr>
                <w:spacing w:val="6"/>
                <w:sz w:val="24"/>
              </w:rPr>
              <w:t>95km</w:t>
            </w:r>
            <w:r>
              <w:rPr>
                <w:rFonts w:hAnsi="宋体"/>
                <w:spacing w:val="6"/>
                <w:sz w:val="24"/>
              </w:rPr>
              <w:t>，江面宽</w:t>
            </w:r>
            <w:r>
              <w:rPr>
                <w:spacing w:val="6"/>
                <w:sz w:val="24"/>
              </w:rPr>
              <w:t>500</w:t>
            </w:r>
            <w:r>
              <w:rPr>
                <w:rFonts w:hAnsi="宋体"/>
                <w:spacing w:val="6"/>
                <w:sz w:val="24"/>
              </w:rPr>
              <w:t>～</w:t>
            </w:r>
            <w:r>
              <w:rPr>
                <w:spacing w:val="6"/>
                <w:sz w:val="24"/>
              </w:rPr>
              <w:t>1500m</w:t>
            </w:r>
            <w:r>
              <w:rPr>
                <w:rFonts w:hAnsi="宋体"/>
                <w:spacing w:val="6"/>
                <w:sz w:val="24"/>
              </w:rPr>
              <w:t>，一般水深</w:t>
            </w:r>
            <w:r>
              <w:rPr>
                <w:spacing w:val="6"/>
                <w:sz w:val="24"/>
              </w:rPr>
              <w:t>6</w:t>
            </w:r>
            <w:r>
              <w:rPr>
                <w:rFonts w:hAnsi="宋体"/>
                <w:spacing w:val="6"/>
                <w:sz w:val="24"/>
              </w:rPr>
              <w:t>～</w:t>
            </w:r>
            <w:r>
              <w:rPr>
                <w:spacing w:val="6"/>
                <w:sz w:val="24"/>
              </w:rPr>
              <w:t>15m</w:t>
            </w:r>
            <w:r>
              <w:rPr>
                <w:rFonts w:hAnsi="宋体"/>
                <w:spacing w:val="6"/>
                <w:sz w:val="24"/>
              </w:rPr>
              <w:t>，河床多砂砾石且坡度平缓，河水流速慢。其流量分平、洪、丰、枯四个水期，有明显的季节变化，洪水期多出现在</w:t>
            </w:r>
            <w:r>
              <w:rPr>
                <w:spacing w:val="6"/>
                <w:sz w:val="24"/>
              </w:rPr>
              <w:t>5</w:t>
            </w:r>
            <w:r>
              <w:rPr>
                <w:rFonts w:hAnsi="宋体"/>
                <w:spacing w:val="6"/>
                <w:sz w:val="24"/>
              </w:rPr>
              <w:t>～</w:t>
            </w:r>
            <w:r>
              <w:rPr>
                <w:spacing w:val="6"/>
                <w:sz w:val="24"/>
              </w:rPr>
              <w:t>7</w:t>
            </w:r>
            <w:r>
              <w:rPr>
                <w:rFonts w:hAnsi="宋体"/>
                <w:spacing w:val="6"/>
                <w:sz w:val="24"/>
              </w:rPr>
              <w:t>月，枯水期多出现在</w:t>
            </w:r>
            <w:r>
              <w:rPr>
                <w:spacing w:val="6"/>
                <w:sz w:val="24"/>
              </w:rPr>
              <w:t>12</w:t>
            </w:r>
            <w:r>
              <w:rPr>
                <w:rFonts w:hAnsi="宋体"/>
                <w:spacing w:val="6"/>
                <w:sz w:val="24"/>
              </w:rPr>
              <w:t>～翌年</w:t>
            </w:r>
            <w:r>
              <w:rPr>
                <w:spacing w:val="6"/>
                <w:sz w:val="24"/>
              </w:rPr>
              <w:t>2</w:t>
            </w:r>
            <w:r>
              <w:rPr>
                <w:rFonts w:hAnsi="宋体"/>
                <w:spacing w:val="6"/>
                <w:sz w:val="24"/>
              </w:rPr>
              <w:t>月。湘江是岳阳市的一条景观河流，既是岳阳市的主要供水水源，又是岳阳市的污水最终受纳水体。保护好湘江岳阳市区段的水环境质量，是保证岳阳市可持续发展战略的重要因素之一。</w:t>
            </w:r>
          </w:p>
          <w:p>
            <w:pPr>
              <w:spacing w:line="360" w:lineRule="auto"/>
              <w:ind w:firstLine="504" w:firstLineChars="200"/>
              <w:rPr>
                <w:spacing w:val="6"/>
                <w:sz w:val="24"/>
              </w:rPr>
            </w:pPr>
            <w:r>
              <w:rPr>
                <w:rFonts w:hAnsi="宋体"/>
                <w:spacing w:val="6"/>
                <w:sz w:val="24"/>
              </w:rPr>
              <w:t>其主要水文参数如下：</w:t>
            </w:r>
          </w:p>
          <w:p>
            <w:pPr>
              <w:spacing w:line="360" w:lineRule="auto"/>
              <w:ind w:firstLine="504" w:firstLineChars="200"/>
              <w:rPr>
                <w:spacing w:val="6"/>
                <w:sz w:val="24"/>
              </w:rPr>
            </w:pPr>
            <w:r>
              <w:rPr>
                <w:rFonts w:hAnsi="宋体"/>
                <w:spacing w:val="6"/>
                <w:sz w:val="24"/>
              </w:rPr>
              <w:t>年平均水位</w:t>
            </w:r>
            <w:r>
              <w:rPr>
                <w:spacing w:val="6"/>
                <w:sz w:val="24"/>
              </w:rPr>
              <w:t xml:space="preserve">                    27.31m</w:t>
            </w:r>
          </w:p>
          <w:p>
            <w:pPr>
              <w:spacing w:line="360" w:lineRule="auto"/>
              <w:ind w:firstLine="504" w:firstLineChars="200"/>
              <w:rPr>
                <w:spacing w:val="6"/>
                <w:sz w:val="24"/>
              </w:rPr>
            </w:pPr>
            <w:r>
              <w:rPr>
                <w:rFonts w:hAnsi="宋体"/>
                <w:spacing w:val="6"/>
                <w:sz w:val="24"/>
              </w:rPr>
              <w:t>平均最高水位</w:t>
            </w:r>
            <w:r>
              <w:rPr>
                <w:spacing w:val="6"/>
                <w:sz w:val="24"/>
              </w:rPr>
              <w:t xml:space="preserve">                  36.65m</w:t>
            </w:r>
          </w:p>
          <w:p>
            <w:pPr>
              <w:spacing w:line="360" w:lineRule="auto"/>
              <w:ind w:firstLine="504" w:firstLineChars="200"/>
              <w:rPr>
                <w:spacing w:val="6"/>
                <w:sz w:val="24"/>
              </w:rPr>
            </w:pPr>
            <w:r>
              <w:rPr>
                <w:rFonts w:hAnsi="宋体"/>
                <w:spacing w:val="6"/>
                <w:sz w:val="24"/>
              </w:rPr>
              <w:t>平均最低水位</w:t>
            </w:r>
            <w:r>
              <w:rPr>
                <w:spacing w:val="6"/>
                <w:sz w:val="24"/>
              </w:rPr>
              <w:t xml:space="preserve">                  23.25m</w:t>
            </w:r>
          </w:p>
          <w:p>
            <w:pPr>
              <w:spacing w:line="360" w:lineRule="auto"/>
              <w:ind w:firstLine="504" w:firstLineChars="200"/>
              <w:rPr>
                <w:spacing w:val="6"/>
                <w:sz w:val="24"/>
              </w:rPr>
            </w:pPr>
            <w:r>
              <w:rPr>
                <w:rFonts w:hAnsi="宋体"/>
                <w:spacing w:val="6"/>
                <w:sz w:val="24"/>
              </w:rPr>
              <w:t>历史最高洪峰水位</w:t>
            </w:r>
            <w:r>
              <w:rPr>
                <w:spacing w:val="6"/>
                <w:sz w:val="24"/>
              </w:rPr>
              <w:t xml:space="preserve">              37.37m</w:t>
            </w:r>
          </w:p>
          <w:p>
            <w:pPr>
              <w:spacing w:line="360" w:lineRule="auto"/>
              <w:ind w:firstLine="504" w:firstLineChars="200"/>
              <w:rPr>
                <w:spacing w:val="6"/>
                <w:sz w:val="24"/>
              </w:rPr>
            </w:pPr>
            <w:r>
              <w:rPr>
                <w:rFonts w:hAnsi="宋体"/>
                <w:spacing w:val="6"/>
                <w:sz w:val="24"/>
              </w:rPr>
              <w:t>平均径流深</w:t>
            </w:r>
            <w:r>
              <w:rPr>
                <w:spacing w:val="6"/>
                <w:sz w:val="24"/>
              </w:rPr>
              <w:t xml:space="preserve">                    7.76m</w:t>
            </w:r>
          </w:p>
          <w:p>
            <w:pPr>
              <w:spacing w:line="360" w:lineRule="auto"/>
              <w:ind w:firstLine="504" w:firstLineChars="200"/>
              <w:rPr>
                <w:spacing w:val="6"/>
                <w:sz w:val="24"/>
              </w:rPr>
            </w:pPr>
            <w:r>
              <w:rPr>
                <w:rFonts w:hAnsi="宋体"/>
                <w:spacing w:val="6"/>
                <w:sz w:val="24"/>
              </w:rPr>
              <w:t>年平均流量</w:t>
            </w:r>
            <w:r>
              <w:rPr>
                <w:spacing w:val="6"/>
                <w:sz w:val="24"/>
              </w:rPr>
              <w:t xml:space="preserve">                    2131m</w:t>
            </w:r>
            <w:r>
              <w:rPr>
                <w:spacing w:val="6"/>
                <w:sz w:val="24"/>
                <w:vertAlign w:val="superscript"/>
              </w:rPr>
              <w:t>3</w:t>
            </w:r>
            <w:r>
              <w:rPr>
                <w:spacing w:val="6"/>
                <w:sz w:val="24"/>
              </w:rPr>
              <w:t>/s</w:t>
            </w:r>
          </w:p>
          <w:p>
            <w:pPr>
              <w:spacing w:line="360" w:lineRule="auto"/>
              <w:ind w:firstLine="504" w:firstLineChars="200"/>
              <w:rPr>
                <w:spacing w:val="6"/>
                <w:sz w:val="24"/>
              </w:rPr>
            </w:pPr>
            <w:r>
              <w:rPr>
                <w:rFonts w:hAnsi="宋体"/>
                <w:spacing w:val="6"/>
                <w:sz w:val="24"/>
              </w:rPr>
              <w:t>平均最大流量</w:t>
            </w:r>
            <w:r>
              <w:rPr>
                <w:spacing w:val="6"/>
                <w:sz w:val="24"/>
              </w:rPr>
              <w:t xml:space="preserve">                  12900m</w:t>
            </w:r>
            <w:r>
              <w:rPr>
                <w:spacing w:val="6"/>
                <w:sz w:val="24"/>
                <w:vertAlign w:val="superscript"/>
              </w:rPr>
              <w:t>3</w:t>
            </w:r>
            <w:r>
              <w:rPr>
                <w:spacing w:val="6"/>
                <w:sz w:val="24"/>
              </w:rPr>
              <w:t>/s</w:t>
            </w:r>
          </w:p>
          <w:p>
            <w:pPr>
              <w:spacing w:line="360" w:lineRule="auto"/>
              <w:ind w:firstLine="504" w:firstLineChars="200"/>
              <w:rPr>
                <w:spacing w:val="6"/>
                <w:sz w:val="24"/>
              </w:rPr>
            </w:pPr>
            <w:r>
              <w:rPr>
                <w:rFonts w:hAnsi="宋体"/>
                <w:spacing w:val="6"/>
                <w:sz w:val="24"/>
              </w:rPr>
              <w:t>历史最大洪峰流量</w:t>
            </w:r>
            <w:r>
              <w:rPr>
                <w:spacing w:val="6"/>
                <w:sz w:val="24"/>
              </w:rPr>
              <w:t xml:space="preserve">              23000m</w:t>
            </w:r>
            <w:r>
              <w:rPr>
                <w:spacing w:val="6"/>
                <w:sz w:val="24"/>
                <w:vertAlign w:val="superscript"/>
              </w:rPr>
              <w:t>3</w:t>
            </w:r>
            <w:r>
              <w:rPr>
                <w:spacing w:val="6"/>
                <w:sz w:val="24"/>
              </w:rPr>
              <w:t>/s</w:t>
            </w:r>
          </w:p>
          <w:p>
            <w:pPr>
              <w:spacing w:line="360" w:lineRule="auto"/>
              <w:ind w:firstLine="504" w:firstLineChars="200"/>
              <w:rPr>
                <w:spacing w:val="6"/>
                <w:sz w:val="24"/>
              </w:rPr>
            </w:pPr>
            <w:r>
              <w:rPr>
                <w:rFonts w:hAnsi="宋体"/>
                <w:spacing w:val="6"/>
                <w:sz w:val="24"/>
              </w:rPr>
              <w:t>平均最小流量</w:t>
            </w:r>
            <w:r>
              <w:rPr>
                <w:spacing w:val="6"/>
                <w:sz w:val="24"/>
              </w:rPr>
              <w:t xml:space="preserve">                  248m</w:t>
            </w:r>
            <w:r>
              <w:rPr>
                <w:spacing w:val="6"/>
                <w:sz w:val="24"/>
                <w:vertAlign w:val="superscript"/>
              </w:rPr>
              <w:t>3</w:t>
            </w:r>
            <w:r>
              <w:rPr>
                <w:spacing w:val="6"/>
                <w:sz w:val="24"/>
              </w:rPr>
              <w:t>/s</w:t>
            </w:r>
          </w:p>
          <w:p>
            <w:pPr>
              <w:spacing w:line="360" w:lineRule="auto"/>
              <w:ind w:firstLine="504" w:firstLineChars="200"/>
              <w:rPr>
                <w:spacing w:val="6"/>
                <w:sz w:val="24"/>
              </w:rPr>
            </w:pPr>
            <w:r>
              <w:rPr>
                <w:rFonts w:hAnsi="宋体"/>
                <w:spacing w:val="6"/>
                <w:sz w:val="24"/>
              </w:rPr>
              <w:t>枯水期流量（</w:t>
            </w:r>
            <w:r>
              <w:rPr>
                <w:spacing w:val="6"/>
                <w:sz w:val="24"/>
              </w:rPr>
              <w:t>90%</w:t>
            </w:r>
            <w:r>
              <w:rPr>
                <w:rFonts w:hAnsi="宋体"/>
                <w:spacing w:val="6"/>
                <w:sz w:val="24"/>
              </w:rPr>
              <w:t>保证率）</w:t>
            </w:r>
            <w:r>
              <w:rPr>
                <w:spacing w:val="6"/>
                <w:sz w:val="24"/>
              </w:rPr>
              <w:t xml:space="preserve">       410m</w:t>
            </w:r>
            <w:r>
              <w:rPr>
                <w:spacing w:val="6"/>
                <w:sz w:val="24"/>
                <w:vertAlign w:val="superscript"/>
              </w:rPr>
              <w:t>3</w:t>
            </w:r>
            <w:r>
              <w:rPr>
                <w:spacing w:val="6"/>
                <w:sz w:val="24"/>
              </w:rPr>
              <w:t>/s</w:t>
            </w:r>
          </w:p>
          <w:p>
            <w:pPr>
              <w:spacing w:line="360" w:lineRule="auto"/>
              <w:ind w:firstLine="504" w:firstLineChars="200"/>
              <w:rPr>
                <w:spacing w:val="6"/>
                <w:sz w:val="24"/>
              </w:rPr>
            </w:pPr>
            <w:r>
              <w:rPr>
                <w:rFonts w:hAnsi="宋体"/>
                <w:spacing w:val="6"/>
                <w:sz w:val="24"/>
              </w:rPr>
              <w:t>历史最小流量</w:t>
            </w:r>
            <w:r>
              <w:rPr>
                <w:spacing w:val="6"/>
                <w:sz w:val="24"/>
              </w:rPr>
              <w:t xml:space="preserve">                  120m</w:t>
            </w:r>
            <w:r>
              <w:rPr>
                <w:spacing w:val="6"/>
                <w:sz w:val="24"/>
                <w:vertAlign w:val="superscript"/>
              </w:rPr>
              <w:t>3</w:t>
            </w:r>
            <w:r>
              <w:rPr>
                <w:spacing w:val="6"/>
                <w:sz w:val="24"/>
              </w:rPr>
              <w:t>/s</w:t>
            </w:r>
          </w:p>
          <w:p>
            <w:pPr>
              <w:spacing w:line="360" w:lineRule="auto"/>
              <w:ind w:firstLine="504" w:firstLineChars="200"/>
              <w:rPr>
                <w:spacing w:val="6"/>
                <w:sz w:val="24"/>
              </w:rPr>
            </w:pPr>
            <w:r>
              <w:rPr>
                <w:rFonts w:hAnsi="宋体"/>
                <w:spacing w:val="6"/>
                <w:sz w:val="24"/>
              </w:rPr>
              <w:t>最大流速</w:t>
            </w:r>
            <w:r>
              <w:rPr>
                <w:spacing w:val="6"/>
                <w:sz w:val="24"/>
              </w:rPr>
              <w:t xml:space="preserve">                      2.6m/s</w:t>
            </w:r>
          </w:p>
          <w:p>
            <w:pPr>
              <w:spacing w:line="360" w:lineRule="auto"/>
              <w:ind w:firstLine="504" w:firstLineChars="200"/>
              <w:rPr>
                <w:spacing w:val="6"/>
                <w:sz w:val="24"/>
              </w:rPr>
            </w:pPr>
            <w:r>
              <w:rPr>
                <w:rFonts w:hAnsi="宋体"/>
                <w:spacing w:val="6"/>
                <w:sz w:val="24"/>
              </w:rPr>
              <w:t>年平均流速</w:t>
            </w:r>
            <w:r>
              <w:rPr>
                <w:spacing w:val="6"/>
                <w:sz w:val="24"/>
              </w:rPr>
              <w:t xml:space="preserve">                    0.45m/s</w:t>
            </w:r>
          </w:p>
          <w:p>
            <w:pPr>
              <w:spacing w:line="360" w:lineRule="auto"/>
              <w:ind w:firstLine="504" w:firstLineChars="200"/>
              <w:rPr>
                <w:spacing w:val="6"/>
                <w:sz w:val="24"/>
              </w:rPr>
            </w:pPr>
            <w:r>
              <w:rPr>
                <w:rFonts w:hAnsi="宋体"/>
                <w:spacing w:val="6"/>
                <w:sz w:val="24"/>
              </w:rPr>
              <w:t>枯水期平均流速</w:t>
            </w:r>
            <w:r>
              <w:rPr>
                <w:spacing w:val="6"/>
                <w:sz w:val="24"/>
              </w:rPr>
              <w:t xml:space="preserve">                0.18m/s</w:t>
            </w:r>
          </w:p>
          <w:p>
            <w:pPr>
              <w:spacing w:line="360" w:lineRule="auto"/>
              <w:ind w:firstLine="504" w:firstLineChars="200"/>
              <w:rPr>
                <w:spacing w:val="6"/>
                <w:sz w:val="24"/>
              </w:rPr>
            </w:pPr>
            <w:r>
              <w:rPr>
                <w:rFonts w:hAnsi="宋体"/>
                <w:spacing w:val="6"/>
                <w:sz w:val="24"/>
              </w:rPr>
              <w:t>平均含砂量</w:t>
            </w:r>
            <w:r>
              <w:rPr>
                <w:spacing w:val="6"/>
                <w:sz w:val="24"/>
              </w:rPr>
              <w:t xml:space="preserve">                    0.1-0.2kg/m</w:t>
            </w:r>
            <w:r>
              <w:rPr>
                <w:spacing w:val="6"/>
                <w:sz w:val="24"/>
                <w:vertAlign w:val="superscript"/>
              </w:rPr>
              <w:t>3</w:t>
            </w:r>
          </w:p>
          <w:p>
            <w:pPr>
              <w:spacing w:line="360" w:lineRule="auto"/>
              <w:ind w:firstLine="482" w:firstLineChars="200"/>
              <w:rPr>
                <w:sz w:val="24"/>
              </w:rPr>
            </w:pPr>
            <w:r>
              <w:rPr>
                <w:rFonts w:hint="eastAsia"/>
                <w:b/>
                <w:bCs/>
                <w:sz w:val="24"/>
              </w:rPr>
              <w:t>五、生态环境</w:t>
            </w:r>
          </w:p>
          <w:p>
            <w:pPr>
              <w:pStyle w:val="63"/>
              <w:rPr>
                <w:rFonts w:hAnsi="宋体"/>
              </w:rPr>
            </w:pPr>
            <w:r>
              <w:rPr>
                <w:rFonts w:hint="eastAsia" w:hAnsi="宋体"/>
              </w:rPr>
              <w:t>湘阴县农业生物资源极为丰富，全县有以水稻、红薯为主的11种粮食作物，有以茶叶、棉花、荞头为主的15种经济作物，有以芦苇、湘莲为主的10余种水生经济作物，有以松、杉、樟、柳为主的228个树种，有以青、草、鲢、鳙、鲤和湘去鲫(鲤)为主的114个鱼类品种，有以猪、牛、山羊、鸡、鸭、鹅为主的9个畜禽种类。</w:t>
            </w:r>
          </w:p>
          <w:p>
            <w:pPr>
              <w:pStyle w:val="63"/>
              <w:rPr>
                <w:rFonts w:hAnsi="宋体"/>
              </w:rPr>
            </w:pPr>
            <w:r>
              <w:rPr>
                <w:rFonts w:hint="eastAsia" w:hAnsi="宋体"/>
              </w:rPr>
              <w:t>全县山林24万亩，林业用地占陆地面积的16%，森林覆盖率为12.5%，用林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30余种，珍禽异兽有鹿、獐、獾、锦鸡、鸳鸯等。珍贵的鱼有中华鲟、白鲟、银鱼、胭脂鱼、非洲鲫等，还有特种水产甲鱼、乌龟、泥蛙、龙虾、河蟹、贝类以及世界珍稀的白鳍豚。</w:t>
            </w:r>
          </w:p>
          <w:p>
            <w:pPr>
              <w:pStyle w:val="63"/>
              <w:rPr>
                <w:rFonts w:hAnsi="宋体"/>
                <w:bCs/>
              </w:rPr>
            </w:pPr>
            <w:r>
              <w:rPr>
                <w:rFonts w:hint="eastAsia" w:hAnsi="宋体"/>
              </w:rPr>
              <w:t>本区域内未发现珍稀动植物物种</w:t>
            </w:r>
            <w:r>
              <w:rPr>
                <w:rFonts w:hAnsi="宋体"/>
                <w:bCs/>
              </w:rPr>
              <w:t>。</w:t>
            </w:r>
          </w:p>
          <w:p>
            <w:pPr>
              <w:spacing w:line="360" w:lineRule="auto"/>
              <w:ind w:firstLine="482" w:firstLineChars="200"/>
              <w:rPr>
                <w:b/>
                <w:bCs/>
                <w:sz w:val="24"/>
              </w:rPr>
            </w:pPr>
            <w:r>
              <w:rPr>
                <w:rFonts w:hint="eastAsia"/>
                <w:b/>
                <w:bCs/>
                <w:sz w:val="24"/>
              </w:rPr>
              <w:t>六、</w:t>
            </w:r>
            <w:r>
              <w:rPr>
                <w:b/>
                <w:bCs/>
                <w:sz w:val="24"/>
              </w:rPr>
              <w:t>区域环境功能</w:t>
            </w:r>
            <w:r>
              <w:rPr>
                <w:rFonts w:hint="eastAsia"/>
                <w:b/>
                <w:bCs/>
                <w:sz w:val="24"/>
              </w:rPr>
              <w:t>区划</w:t>
            </w:r>
          </w:p>
          <w:p>
            <w:pPr>
              <w:spacing w:line="360" w:lineRule="auto"/>
              <w:ind w:firstLine="480" w:firstLineChars="200"/>
              <w:rPr>
                <w:sz w:val="24"/>
              </w:rPr>
            </w:pPr>
            <w:r>
              <w:rPr>
                <w:sz w:val="24"/>
              </w:rPr>
              <w:t>本项目所在地环境功能属性见表5：</w:t>
            </w:r>
          </w:p>
          <w:p>
            <w:pPr>
              <w:autoSpaceDE w:val="0"/>
              <w:autoSpaceDN w:val="0"/>
              <w:adjustRightInd w:val="0"/>
              <w:spacing w:line="360" w:lineRule="auto"/>
              <w:jc w:val="center"/>
              <w:textAlignment w:val="baseline"/>
              <w:rPr>
                <w:color w:val="000000"/>
                <w:sz w:val="21"/>
                <w:szCs w:val="21"/>
              </w:rPr>
            </w:pPr>
            <w:r>
              <w:rPr>
                <w:color w:val="000000"/>
                <w:sz w:val="21"/>
                <w:szCs w:val="21"/>
              </w:rPr>
              <w:t xml:space="preserve">表5 </w:t>
            </w:r>
            <w:r>
              <w:rPr>
                <w:rFonts w:hint="eastAsia"/>
                <w:color w:val="000000"/>
                <w:sz w:val="21"/>
                <w:szCs w:val="21"/>
              </w:rPr>
              <w:t xml:space="preserve">  </w:t>
            </w:r>
            <w:r>
              <w:rPr>
                <w:color w:val="000000"/>
                <w:sz w:val="21"/>
                <w:szCs w:val="21"/>
              </w:rPr>
              <w:t>项目拟选址环境功能属性</w:t>
            </w:r>
          </w:p>
          <w:tbl>
            <w:tblPr>
              <w:tblStyle w:val="1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609"/>
              <w:gridCol w:w="2024"/>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678" w:type="dxa"/>
                  <w:vAlign w:val="center"/>
                </w:tcPr>
                <w:p>
                  <w:pPr>
                    <w:pStyle w:val="64"/>
                    <w:rPr>
                      <w:b/>
                      <w:bCs/>
                    </w:rPr>
                  </w:pPr>
                  <w:r>
                    <w:rPr>
                      <w:b/>
                      <w:bCs/>
                    </w:rPr>
                    <w:t>编号</w:t>
                  </w:r>
                </w:p>
              </w:tc>
              <w:tc>
                <w:tcPr>
                  <w:tcW w:w="2609" w:type="dxa"/>
                  <w:vAlign w:val="center"/>
                </w:tcPr>
                <w:p>
                  <w:pPr>
                    <w:pStyle w:val="64"/>
                    <w:rPr>
                      <w:b/>
                      <w:bCs/>
                    </w:rPr>
                  </w:pPr>
                  <w:r>
                    <w:rPr>
                      <w:b/>
                      <w:bCs/>
                    </w:rPr>
                    <w:t>项目</w:t>
                  </w:r>
                </w:p>
              </w:tc>
              <w:tc>
                <w:tcPr>
                  <w:tcW w:w="5009" w:type="dxa"/>
                  <w:gridSpan w:val="2"/>
                  <w:vAlign w:val="center"/>
                </w:tcPr>
                <w:p>
                  <w:pPr>
                    <w:pStyle w:val="64"/>
                    <w:rPr>
                      <w:b/>
                      <w:bCs/>
                    </w:rPr>
                  </w:pPr>
                  <w:r>
                    <w:rPr>
                      <w:b/>
                      <w:bCs/>
                    </w:rPr>
                    <w:t>功能属性及执行标准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8" w:type="dxa"/>
                  <w:vAlign w:val="center"/>
                </w:tcPr>
                <w:p>
                  <w:pPr>
                    <w:pStyle w:val="64"/>
                  </w:pPr>
                  <w:r>
                    <w:t>1</w:t>
                  </w:r>
                </w:p>
              </w:tc>
              <w:tc>
                <w:tcPr>
                  <w:tcW w:w="2609" w:type="dxa"/>
                  <w:vAlign w:val="center"/>
                </w:tcPr>
                <w:p>
                  <w:pPr>
                    <w:pStyle w:val="64"/>
                  </w:pPr>
                  <w:r>
                    <w:t>水环境功能区</w:t>
                  </w:r>
                </w:p>
              </w:tc>
              <w:tc>
                <w:tcPr>
                  <w:tcW w:w="2024" w:type="dxa"/>
                  <w:vAlign w:val="center"/>
                </w:tcPr>
                <w:p>
                  <w:pPr>
                    <w:pStyle w:val="64"/>
                  </w:pPr>
                  <w:r>
                    <w:rPr>
                      <w:rFonts w:hint="eastAsia"/>
                    </w:rPr>
                    <w:t>湘江湘阴段</w:t>
                  </w:r>
                </w:p>
              </w:tc>
              <w:tc>
                <w:tcPr>
                  <w:tcW w:w="2985" w:type="dxa"/>
                  <w:vAlign w:val="center"/>
                </w:tcPr>
                <w:p>
                  <w:pPr>
                    <w:pStyle w:val="64"/>
                  </w:pPr>
                  <w:r>
                    <w:t>《地表水环境质量标准》（GB3838-2002）Ⅲ类</w:t>
                  </w:r>
                  <w:r>
                    <w:rPr>
                      <w:rFonts w:hint="eastAsia"/>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2</w:t>
                  </w:r>
                </w:p>
              </w:tc>
              <w:tc>
                <w:tcPr>
                  <w:tcW w:w="2609" w:type="dxa"/>
                  <w:vAlign w:val="center"/>
                </w:tcPr>
                <w:p>
                  <w:pPr>
                    <w:pStyle w:val="64"/>
                  </w:pPr>
                  <w:r>
                    <w:t>环境空气质量功能区</w:t>
                  </w:r>
                </w:p>
              </w:tc>
              <w:tc>
                <w:tcPr>
                  <w:tcW w:w="5009" w:type="dxa"/>
                  <w:gridSpan w:val="2"/>
                  <w:vAlign w:val="center"/>
                </w:tcPr>
                <w:p>
                  <w:pPr>
                    <w:pStyle w:val="64"/>
                  </w:pPr>
                  <w:r>
                    <w:t>二类区，环境空气质量执行《环境空气质量标准》</w:t>
                  </w:r>
                </w:p>
                <w:p>
                  <w:pPr>
                    <w:pStyle w:val="64"/>
                  </w:pPr>
                  <w:r>
                    <w:t>（GB3095-2012）的二级标准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3</w:t>
                  </w:r>
                </w:p>
              </w:tc>
              <w:tc>
                <w:tcPr>
                  <w:tcW w:w="2609" w:type="dxa"/>
                  <w:vAlign w:val="center"/>
                </w:tcPr>
                <w:p>
                  <w:pPr>
                    <w:pStyle w:val="64"/>
                  </w:pPr>
                  <w:r>
                    <w:t>声环境功能区</w:t>
                  </w:r>
                </w:p>
              </w:tc>
              <w:tc>
                <w:tcPr>
                  <w:tcW w:w="5009" w:type="dxa"/>
                  <w:gridSpan w:val="2"/>
                  <w:vAlign w:val="center"/>
                </w:tcPr>
                <w:p>
                  <w:pPr>
                    <w:pStyle w:val="64"/>
                  </w:pPr>
                  <w:r>
                    <w:t>执行了《声环境质量标准》（GB3096-2008）2类环境噪声限值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4</w:t>
                  </w:r>
                </w:p>
              </w:tc>
              <w:tc>
                <w:tcPr>
                  <w:tcW w:w="2609" w:type="dxa"/>
                  <w:vAlign w:val="center"/>
                </w:tcPr>
                <w:p>
                  <w:pPr>
                    <w:pStyle w:val="64"/>
                  </w:pPr>
                  <w:r>
                    <w:t>是否基本农田保护区</w:t>
                  </w:r>
                </w:p>
              </w:tc>
              <w:tc>
                <w:tcPr>
                  <w:tcW w:w="5009" w:type="dxa"/>
                  <w:gridSpan w:val="2"/>
                  <w:vAlign w:val="center"/>
                </w:tcPr>
                <w:p>
                  <w:pPr>
                    <w:pStyle w:val="64"/>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5</w:t>
                  </w:r>
                </w:p>
              </w:tc>
              <w:tc>
                <w:tcPr>
                  <w:tcW w:w="2609" w:type="dxa"/>
                  <w:vAlign w:val="center"/>
                </w:tcPr>
                <w:p>
                  <w:pPr>
                    <w:pStyle w:val="64"/>
                  </w:pPr>
                  <w:r>
                    <w:t>是否森林公园</w:t>
                  </w:r>
                </w:p>
              </w:tc>
              <w:tc>
                <w:tcPr>
                  <w:tcW w:w="5009" w:type="dxa"/>
                  <w:gridSpan w:val="2"/>
                  <w:vAlign w:val="center"/>
                </w:tcPr>
                <w:p>
                  <w:pPr>
                    <w:pStyle w:val="64"/>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6</w:t>
                  </w:r>
                </w:p>
              </w:tc>
              <w:tc>
                <w:tcPr>
                  <w:tcW w:w="2609" w:type="dxa"/>
                  <w:vAlign w:val="center"/>
                </w:tcPr>
                <w:p>
                  <w:pPr>
                    <w:pStyle w:val="64"/>
                  </w:pPr>
                  <w:r>
                    <w:t>是否生态功保护区</w:t>
                  </w:r>
                </w:p>
              </w:tc>
              <w:tc>
                <w:tcPr>
                  <w:tcW w:w="5009" w:type="dxa"/>
                  <w:gridSpan w:val="2"/>
                  <w:vAlign w:val="center"/>
                </w:tcPr>
                <w:p>
                  <w:pPr>
                    <w:pStyle w:val="64"/>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7</w:t>
                  </w:r>
                </w:p>
              </w:tc>
              <w:tc>
                <w:tcPr>
                  <w:tcW w:w="2609" w:type="dxa"/>
                  <w:vAlign w:val="center"/>
                </w:tcPr>
                <w:p>
                  <w:pPr>
                    <w:pStyle w:val="64"/>
                  </w:pPr>
                  <w:r>
                    <w:t>是否水土流失重点防治区</w:t>
                  </w:r>
                </w:p>
              </w:tc>
              <w:tc>
                <w:tcPr>
                  <w:tcW w:w="5009" w:type="dxa"/>
                  <w:gridSpan w:val="2"/>
                  <w:vAlign w:val="center"/>
                </w:tcPr>
                <w:p>
                  <w:pPr>
                    <w:pStyle w:val="64"/>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8</w:t>
                  </w:r>
                </w:p>
              </w:tc>
              <w:tc>
                <w:tcPr>
                  <w:tcW w:w="2609" w:type="dxa"/>
                  <w:vAlign w:val="center"/>
                </w:tcPr>
                <w:p>
                  <w:pPr>
                    <w:pStyle w:val="64"/>
                  </w:pPr>
                  <w:r>
                    <w:t>是否人口密集区</w:t>
                  </w:r>
                </w:p>
              </w:tc>
              <w:tc>
                <w:tcPr>
                  <w:tcW w:w="5009" w:type="dxa"/>
                  <w:gridSpan w:val="2"/>
                  <w:vAlign w:val="center"/>
                </w:tcPr>
                <w:p>
                  <w:pPr>
                    <w:pStyle w:val="64"/>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9</w:t>
                  </w:r>
                </w:p>
              </w:tc>
              <w:tc>
                <w:tcPr>
                  <w:tcW w:w="2609" w:type="dxa"/>
                  <w:vAlign w:val="center"/>
                </w:tcPr>
                <w:p>
                  <w:pPr>
                    <w:pStyle w:val="64"/>
                  </w:pPr>
                  <w:r>
                    <w:t>是否重点文物保护单位</w:t>
                  </w:r>
                </w:p>
              </w:tc>
              <w:tc>
                <w:tcPr>
                  <w:tcW w:w="5009" w:type="dxa"/>
                  <w:gridSpan w:val="2"/>
                  <w:vAlign w:val="center"/>
                </w:tcPr>
                <w:p>
                  <w:pPr>
                    <w:pStyle w:val="64"/>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10</w:t>
                  </w:r>
                </w:p>
              </w:tc>
              <w:tc>
                <w:tcPr>
                  <w:tcW w:w="2609" w:type="dxa"/>
                  <w:vAlign w:val="center"/>
                </w:tcPr>
                <w:p>
                  <w:pPr>
                    <w:pStyle w:val="64"/>
                  </w:pPr>
                  <w:r>
                    <w:t>是否三河、三湖、两控区</w:t>
                  </w:r>
                </w:p>
              </w:tc>
              <w:tc>
                <w:tcPr>
                  <w:tcW w:w="5009" w:type="dxa"/>
                  <w:gridSpan w:val="2"/>
                  <w:vAlign w:val="center"/>
                </w:tcPr>
                <w:p>
                  <w:pPr>
                    <w:pStyle w:val="64"/>
                  </w:pPr>
                  <w: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11</w:t>
                  </w:r>
                </w:p>
              </w:tc>
              <w:tc>
                <w:tcPr>
                  <w:tcW w:w="2609" w:type="dxa"/>
                  <w:vAlign w:val="center"/>
                </w:tcPr>
                <w:p>
                  <w:pPr>
                    <w:pStyle w:val="64"/>
                  </w:pPr>
                  <w:r>
                    <w:t>是否水库库区</w:t>
                  </w:r>
                </w:p>
              </w:tc>
              <w:tc>
                <w:tcPr>
                  <w:tcW w:w="5009" w:type="dxa"/>
                  <w:gridSpan w:val="2"/>
                  <w:vAlign w:val="center"/>
                </w:tcPr>
                <w:p>
                  <w:pPr>
                    <w:pStyle w:val="64"/>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t>12</w:t>
                  </w:r>
                </w:p>
              </w:tc>
              <w:tc>
                <w:tcPr>
                  <w:tcW w:w="2609" w:type="dxa"/>
                  <w:vAlign w:val="center"/>
                </w:tcPr>
                <w:p>
                  <w:pPr>
                    <w:pStyle w:val="64"/>
                  </w:pPr>
                  <w:r>
                    <w:t>是否污水处理厂集水范围</w:t>
                  </w:r>
                </w:p>
              </w:tc>
              <w:tc>
                <w:tcPr>
                  <w:tcW w:w="5009" w:type="dxa"/>
                  <w:gridSpan w:val="2"/>
                  <w:vAlign w:val="center"/>
                </w:tcPr>
                <w:p>
                  <w:pPr>
                    <w:pStyle w:val="64"/>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 w:hRule="atLeast"/>
                <w:jc w:val="center"/>
              </w:trPr>
              <w:tc>
                <w:tcPr>
                  <w:tcW w:w="678" w:type="dxa"/>
                  <w:vAlign w:val="center"/>
                </w:tcPr>
                <w:p>
                  <w:pPr>
                    <w:pStyle w:val="64"/>
                  </w:pPr>
                  <w:r>
                    <w:rPr>
                      <w:rFonts w:hint="eastAsia"/>
                    </w:rPr>
                    <w:t>1</w:t>
                  </w:r>
                  <w:r>
                    <w:t>3</w:t>
                  </w:r>
                </w:p>
              </w:tc>
              <w:tc>
                <w:tcPr>
                  <w:tcW w:w="2609" w:type="dxa"/>
                  <w:vAlign w:val="center"/>
                </w:tcPr>
                <w:p>
                  <w:pPr>
                    <w:pStyle w:val="64"/>
                  </w:pPr>
                  <w:r>
                    <w:t>是否属于生态敏感与脆弱区</w:t>
                  </w:r>
                </w:p>
              </w:tc>
              <w:tc>
                <w:tcPr>
                  <w:tcW w:w="5009" w:type="dxa"/>
                  <w:gridSpan w:val="2"/>
                  <w:vAlign w:val="center"/>
                </w:tcPr>
                <w:p>
                  <w:pPr>
                    <w:pStyle w:val="64"/>
                  </w:pPr>
                  <w:r>
                    <w:t>否</w:t>
                  </w:r>
                </w:p>
              </w:tc>
            </w:tr>
          </w:tbl>
          <w:p>
            <w:pPr>
              <w:spacing w:line="520" w:lineRule="exact"/>
              <w:ind w:firstLine="460" w:firstLineChars="192"/>
              <w:rPr>
                <w:sz w:val="24"/>
              </w:rPr>
            </w:pPr>
          </w:p>
          <w:p>
            <w:pPr>
              <w:spacing w:line="520" w:lineRule="exact"/>
              <w:ind w:firstLine="460" w:firstLineChars="192"/>
              <w:rPr>
                <w:sz w:val="24"/>
              </w:rPr>
            </w:pPr>
          </w:p>
          <w:p>
            <w:pPr>
              <w:spacing w:line="520" w:lineRule="exact"/>
              <w:ind w:firstLine="460" w:firstLineChars="192"/>
              <w:rPr>
                <w:sz w:val="24"/>
              </w:rPr>
            </w:pPr>
          </w:p>
          <w:p>
            <w:pPr>
              <w:spacing w:line="520" w:lineRule="exact"/>
              <w:ind w:firstLine="460" w:firstLineChars="192"/>
              <w:rPr>
                <w:sz w:val="24"/>
              </w:rPr>
            </w:pPr>
          </w:p>
          <w:p>
            <w:pPr>
              <w:spacing w:line="520" w:lineRule="exact"/>
              <w:ind w:firstLine="460" w:firstLineChars="192"/>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tc>
      </w:tr>
    </w:tbl>
    <w:p>
      <w:pPr>
        <w:outlineLvl w:val="0"/>
        <w:rPr>
          <w:b/>
          <w:szCs w:val="32"/>
        </w:rPr>
      </w:pPr>
      <w:bookmarkStart w:id="10" w:name="_Toc3906328"/>
      <w:r>
        <w:rPr>
          <w:b/>
          <w:szCs w:val="32"/>
        </w:rPr>
        <w:t>环境质量状况</w:t>
      </w:r>
      <w:bookmarkEnd w:id="10"/>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0" w:hRule="atLeast"/>
          <w:jc w:val="center"/>
        </w:trPr>
        <w:tc>
          <w:tcPr>
            <w:tcW w:w="8522" w:type="dxa"/>
          </w:tcPr>
          <w:p>
            <w:pPr>
              <w:pStyle w:val="14"/>
              <w:adjustRightInd w:val="0"/>
              <w:snapToGrid w:val="0"/>
              <w:spacing w:after="0" w:line="360" w:lineRule="auto"/>
              <w:ind w:right="320"/>
              <w:rPr>
                <w:b/>
                <w:sz w:val="24"/>
              </w:rPr>
            </w:pPr>
            <w:r>
              <w:rPr>
                <w:b/>
                <w:sz w:val="24"/>
              </w:rPr>
              <w:t>建设项目所在地区域环境质量现状及主要环境问题（环境空气、地面水、地下水、声环境、生态环境等）</w:t>
            </w:r>
          </w:p>
          <w:p>
            <w:pPr>
              <w:adjustRightInd w:val="0"/>
              <w:snapToGrid w:val="0"/>
              <w:spacing w:line="360" w:lineRule="auto"/>
              <w:ind w:firstLine="472" w:firstLineChars="196"/>
              <w:rPr>
                <w:b/>
                <w:sz w:val="24"/>
              </w:rPr>
            </w:pPr>
            <w:r>
              <w:rPr>
                <w:b/>
                <w:sz w:val="24"/>
              </w:rPr>
              <w:t>1、大气环境质量现状调查</w:t>
            </w:r>
          </w:p>
          <w:p>
            <w:pPr>
              <w:widowControl/>
              <w:spacing w:line="360" w:lineRule="auto"/>
              <w:ind w:firstLine="482"/>
              <w:rPr>
                <w:sz w:val="24"/>
                <w:szCs w:val="20"/>
              </w:rPr>
            </w:pPr>
            <w:r>
              <w:rPr>
                <w:sz w:val="24"/>
                <w:szCs w:val="20"/>
              </w:rPr>
              <w:t>根据《环境影响评价技术导则  大气环境》（HJ2.2—20</w:t>
            </w:r>
            <w:r>
              <w:rPr>
                <w:rFonts w:hint="eastAsia"/>
                <w:sz w:val="24"/>
                <w:szCs w:val="20"/>
              </w:rPr>
              <w:t>1</w:t>
            </w:r>
            <w:r>
              <w:rPr>
                <w:sz w:val="24"/>
                <w:szCs w:val="20"/>
              </w:rPr>
              <w:t>8）</w:t>
            </w:r>
            <w:r>
              <w:rPr>
                <w:rFonts w:hint="eastAsia"/>
                <w:sz w:val="24"/>
                <w:szCs w:val="20"/>
              </w:rPr>
              <w:t>中“6环境空气质量现状调查与评价”内容，只需调查项目所在区域环境质量达标情况。并且根据导则“5.5 依据评价所需环境空气质量现状、气象资料等数据的可获得性、数量质量、代表性等因素，选择近3年中数据相对完整的1个日历年作为评价基准年”的内容，本项目筛选的评价基准年为201</w:t>
            </w:r>
            <w:r>
              <w:rPr>
                <w:sz w:val="24"/>
                <w:szCs w:val="20"/>
              </w:rPr>
              <w:t>8</w:t>
            </w:r>
            <w:r>
              <w:rPr>
                <w:rFonts w:hint="eastAsia"/>
                <w:sz w:val="24"/>
                <w:szCs w:val="20"/>
              </w:rPr>
              <w:t>年。所用数据引用201</w:t>
            </w:r>
            <w:r>
              <w:rPr>
                <w:sz w:val="24"/>
                <w:szCs w:val="20"/>
              </w:rPr>
              <w:t>8</w:t>
            </w:r>
            <w:r>
              <w:rPr>
                <w:rFonts w:hint="eastAsia"/>
                <w:sz w:val="24"/>
                <w:szCs w:val="20"/>
              </w:rPr>
              <w:t>年湘阴县城区环境监测站监测的基本污染物环境质量现状数据，结论来自岳阳市环境保护局公开发布的201</w:t>
            </w:r>
            <w:r>
              <w:rPr>
                <w:sz w:val="24"/>
                <w:szCs w:val="20"/>
              </w:rPr>
              <w:t>8</w:t>
            </w:r>
            <w:r>
              <w:rPr>
                <w:rFonts w:hint="eastAsia"/>
                <w:sz w:val="24"/>
                <w:szCs w:val="20"/>
              </w:rPr>
              <w:t>年环境质量公报，具体达标判定监测数据及评价结果见下表。</w:t>
            </w:r>
          </w:p>
          <w:p>
            <w:pPr>
              <w:autoSpaceDE w:val="0"/>
              <w:autoSpaceDN w:val="0"/>
              <w:adjustRightInd w:val="0"/>
              <w:jc w:val="center"/>
              <w:rPr>
                <w:b/>
                <w:kern w:val="0"/>
                <w:sz w:val="24"/>
                <w:szCs w:val="20"/>
              </w:rPr>
            </w:pPr>
            <w:r>
              <w:rPr>
                <w:rFonts w:hint="eastAsia"/>
                <w:b/>
                <w:kern w:val="0"/>
                <w:sz w:val="24"/>
                <w:szCs w:val="20"/>
              </w:rPr>
              <w:t>表</w:t>
            </w:r>
            <w:r>
              <w:rPr>
                <w:b/>
                <w:kern w:val="0"/>
                <w:sz w:val="24"/>
                <w:szCs w:val="20"/>
              </w:rPr>
              <w:t xml:space="preserve">6   </w:t>
            </w:r>
            <w:r>
              <w:rPr>
                <w:rFonts w:hint="eastAsia"/>
                <w:b/>
                <w:kern w:val="0"/>
                <w:sz w:val="24"/>
                <w:szCs w:val="20"/>
              </w:rPr>
              <w:t>区域空气质量现状评价表</w:t>
            </w:r>
          </w:p>
          <w:tbl>
            <w:tblPr>
              <w:tblStyle w:val="18"/>
              <w:tblW w:w="8306" w:type="dxa"/>
              <w:jc w:val="center"/>
              <w:tblInd w:w="0" w:type="dxa"/>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
            <w:tblGrid>
              <w:gridCol w:w="1355"/>
              <w:gridCol w:w="1888"/>
              <w:gridCol w:w="1008"/>
              <w:gridCol w:w="1146"/>
              <w:gridCol w:w="1146"/>
              <w:gridCol w:w="884"/>
              <w:gridCol w:w="879"/>
            </w:tblGrid>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301" w:hRule="atLeast"/>
                <w:jc w:val="center"/>
              </w:trPr>
              <w:tc>
                <w:tcPr>
                  <w:tcW w:w="1355" w:type="dxa"/>
                  <w:vMerge w:val="restart"/>
                  <w:tcBorders>
                    <w:top w:val="single" w:color="000000" w:sz="12" w:space="0"/>
                    <w:left w:val="nil"/>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评价因子</w:t>
                  </w:r>
                </w:p>
              </w:tc>
              <w:tc>
                <w:tcPr>
                  <w:tcW w:w="1888" w:type="dxa"/>
                  <w:vMerge w:val="restart"/>
                  <w:tcBorders>
                    <w:top w:val="single" w:color="000000" w:sz="1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平均时段</w:t>
                  </w:r>
                </w:p>
              </w:tc>
              <w:tc>
                <w:tcPr>
                  <w:tcW w:w="1008" w:type="dxa"/>
                  <w:vMerge w:val="restart"/>
                  <w:tcBorders>
                    <w:top w:val="single" w:color="000000" w:sz="1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百分位</w:t>
                  </w:r>
                </w:p>
              </w:tc>
              <w:tc>
                <w:tcPr>
                  <w:tcW w:w="1146" w:type="dxa"/>
                  <w:tcBorders>
                    <w:top w:val="single" w:color="000000" w:sz="1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现状浓度/</w:t>
                  </w:r>
                </w:p>
              </w:tc>
              <w:tc>
                <w:tcPr>
                  <w:tcW w:w="1146" w:type="dxa"/>
                  <w:tcBorders>
                    <w:top w:val="single" w:color="000000" w:sz="1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标准限值/</w:t>
                  </w:r>
                </w:p>
              </w:tc>
              <w:tc>
                <w:tcPr>
                  <w:tcW w:w="884" w:type="dxa"/>
                  <w:vMerge w:val="restart"/>
                  <w:tcBorders>
                    <w:top w:val="single" w:color="000000" w:sz="1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占标率/%</w:t>
                  </w:r>
                </w:p>
              </w:tc>
              <w:tc>
                <w:tcPr>
                  <w:tcW w:w="879" w:type="dxa"/>
                  <w:vMerge w:val="restart"/>
                  <w:tcBorders>
                    <w:top w:val="single" w:color="000000" w:sz="12" w:space="0"/>
                    <w:left w:val="single" w:color="000000" w:sz="2" w:space="0"/>
                    <w:bottom w:val="single" w:color="000000" w:sz="2" w:space="0"/>
                    <w:right w:val="nil"/>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达标情况</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301" w:hRule="atLeast"/>
                <w:jc w:val="center"/>
              </w:trPr>
              <w:tc>
                <w:tcPr>
                  <w:tcW w:w="1355" w:type="dxa"/>
                  <w:vMerge w:val="continue"/>
                  <w:tcBorders>
                    <w:top w:val="single" w:color="000000" w:sz="18" w:space="0"/>
                    <w:left w:val="nil"/>
                    <w:bottom w:val="single" w:color="000000" w:sz="2" w:space="0"/>
                    <w:right w:val="single" w:color="000000" w:sz="2" w:space="0"/>
                  </w:tcBorders>
                  <w:shd w:val="clear" w:color="auto" w:fill="FFFFFF"/>
                  <w:tcMar>
                    <w:top w:w="15" w:type="dxa"/>
                    <w:bottom w:w="15" w:type="dxa"/>
                  </w:tcMar>
                  <w:vAlign w:val="center"/>
                </w:tcPr>
                <w:p>
                  <w:pPr>
                    <w:jc w:val="center"/>
                    <w:rPr>
                      <w:sz w:val="21"/>
                      <w:szCs w:val="21"/>
                    </w:rPr>
                  </w:pPr>
                </w:p>
              </w:tc>
              <w:tc>
                <w:tcPr>
                  <w:tcW w:w="1888" w:type="dxa"/>
                  <w:vMerge w:val="continue"/>
                  <w:tcBorders>
                    <w:top w:val="single" w:color="000000" w:sz="18" w:space="0"/>
                    <w:left w:val="single" w:color="000000" w:sz="2" w:space="0"/>
                    <w:bottom w:val="single" w:color="000000" w:sz="2" w:space="0"/>
                    <w:right w:val="single" w:color="000000" w:sz="2" w:space="0"/>
                  </w:tcBorders>
                  <w:shd w:val="clear" w:color="auto" w:fill="FFFFFF"/>
                  <w:tcMar>
                    <w:top w:w="15" w:type="dxa"/>
                    <w:bottom w:w="15" w:type="dxa"/>
                  </w:tcMar>
                  <w:vAlign w:val="center"/>
                </w:tcPr>
                <w:p>
                  <w:pPr>
                    <w:jc w:val="center"/>
                    <w:rPr>
                      <w:sz w:val="21"/>
                      <w:szCs w:val="21"/>
                    </w:rPr>
                  </w:pPr>
                </w:p>
              </w:tc>
              <w:tc>
                <w:tcPr>
                  <w:tcW w:w="1008" w:type="dxa"/>
                  <w:vMerge w:val="continue"/>
                  <w:tcBorders>
                    <w:top w:val="single" w:color="000000" w:sz="18" w:space="0"/>
                    <w:left w:val="single" w:color="000000" w:sz="2" w:space="0"/>
                    <w:bottom w:val="single" w:color="000000" w:sz="2" w:space="0"/>
                    <w:right w:val="single" w:color="000000" w:sz="2" w:space="0"/>
                  </w:tcBorders>
                  <w:shd w:val="clear" w:color="auto" w:fill="FFFFFF"/>
                  <w:tcMar>
                    <w:top w:w="15" w:type="dxa"/>
                    <w:bottom w:w="15" w:type="dxa"/>
                  </w:tcMar>
                  <w:vAlign w:val="center"/>
                </w:tcPr>
                <w:p>
                  <w:pPr>
                    <w:jc w:val="center"/>
                    <w:rPr>
                      <w:sz w:val="21"/>
                      <w:szCs w:val="21"/>
                    </w:rPr>
                  </w:pPr>
                </w:p>
              </w:tc>
              <w:tc>
                <w:tcPr>
                  <w:tcW w:w="1146"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（μg/m</w:t>
                  </w:r>
                  <w:r>
                    <w:rPr>
                      <w:kern w:val="0"/>
                      <w:sz w:val="21"/>
                      <w:szCs w:val="21"/>
                      <w:vertAlign w:val="superscript"/>
                      <w:lang w:bidi="ar"/>
                    </w:rPr>
                    <w:t>3</w:t>
                  </w:r>
                  <w:r>
                    <w:rPr>
                      <w:kern w:val="0"/>
                      <w:sz w:val="21"/>
                      <w:szCs w:val="21"/>
                      <w:lang w:bidi="ar"/>
                    </w:rPr>
                    <w:t>）</w:t>
                  </w:r>
                </w:p>
              </w:tc>
              <w:tc>
                <w:tcPr>
                  <w:tcW w:w="1146"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（μg/m</w:t>
                  </w:r>
                  <w:r>
                    <w:rPr>
                      <w:kern w:val="0"/>
                      <w:sz w:val="21"/>
                      <w:szCs w:val="21"/>
                      <w:vertAlign w:val="superscript"/>
                      <w:lang w:bidi="ar"/>
                    </w:rPr>
                    <w:t>3</w:t>
                  </w:r>
                  <w:r>
                    <w:rPr>
                      <w:kern w:val="0"/>
                      <w:sz w:val="21"/>
                      <w:szCs w:val="21"/>
                      <w:lang w:bidi="ar"/>
                    </w:rPr>
                    <w:t>）</w:t>
                  </w:r>
                </w:p>
              </w:tc>
              <w:tc>
                <w:tcPr>
                  <w:tcW w:w="884" w:type="dxa"/>
                  <w:vMerge w:val="continue"/>
                  <w:tcBorders>
                    <w:top w:val="single" w:color="000000" w:sz="18" w:space="0"/>
                    <w:left w:val="single" w:color="000000" w:sz="2" w:space="0"/>
                    <w:bottom w:val="single" w:color="000000" w:sz="2" w:space="0"/>
                    <w:right w:val="single" w:color="000000" w:sz="2" w:space="0"/>
                  </w:tcBorders>
                  <w:shd w:val="clear" w:color="auto" w:fill="FFFFFF"/>
                  <w:tcMar>
                    <w:top w:w="15" w:type="dxa"/>
                    <w:bottom w:w="15" w:type="dxa"/>
                  </w:tcMar>
                  <w:vAlign w:val="center"/>
                </w:tcPr>
                <w:p>
                  <w:pPr>
                    <w:jc w:val="center"/>
                    <w:rPr>
                      <w:sz w:val="21"/>
                      <w:szCs w:val="21"/>
                    </w:rPr>
                  </w:pPr>
                </w:p>
              </w:tc>
              <w:tc>
                <w:tcPr>
                  <w:tcW w:w="879" w:type="dxa"/>
                  <w:vMerge w:val="continue"/>
                  <w:tcBorders>
                    <w:top w:val="single" w:color="000000" w:sz="18" w:space="0"/>
                    <w:left w:val="single" w:color="000000" w:sz="2" w:space="0"/>
                    <w:bottom w:val="single" w:color="000000" w:sz="2" w:space="0"/>
                    <w:right w:val="nil"/>
                  </w:tcBorders>
                  <w:shd w:val="clear" w:color="auto" w:fill="FFFFFF"/>
                  <w:tcMar>
                    <w:top w:w="15" w:type="dxa"/>
                    <w:bottom w:w="15" w:type="dxa"/>
                  </w:tcMar>
                  <w:vAlign w:val="center"/>
                </w:tcPr>
                <w:p>
                  <w:pPr>
                    <w:jc w:val="center"/>
                    <w:rPr>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301" w:hRule="atLeast"/>
                <w:jc w:val="center"/>
              </w:trPr>
              <w:tc>
                <w:tcPr>
                  <w:tcW w:w="1355" w:type="dxa"/>
                  <w:vMerge w:val="restart"/>
                  <w:tcBorders>
                    <w:top w:val="single" w:color="000000" w:sz="2" w:space="0"/>
                    <w:left w:val="nil"/>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SO</w:t>
                  </w:r>
                  <w:r>
                    <w:rPr>
                      <w:kern w:val="0"/>
                      <w:sz w:val="21"/>
                      <w:szCs w:val="21"/>
                      <w:vertAlign w:val="subscript"/>
                      <w:lang w:bidi="ar"/>
                    </w:rPr>
                    <w:t>2</w:t>
                  </w:r>
                </w:p>
              </w:tc>
              <w:tc>
                <w:tcPr>
                  <w:tcW w:w="1888"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年平均浓度</w:t>
                  </w:r>
                </w:p>
              </w:tc>
              <w:tc>
                <w:tcPr>
                  <w:tcW w:w="1008"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1146"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8</w:t>
                  </w:r>
                </w:p>
              </w:tc>
              <w:tc>
                <w:tcPr>
                  <w:tcW w:w="1146"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60</w:t>
                  </w:r>
                </w:p>
              </w:tc>
              <w:tc>
                <w:tcPr>
                  <w:tcW w:w="884"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jc w:val="center"/>
                    <w:rPr>
                      <w:color w:val="000000"/>
                      <w:sz w:val="21"/>
                      <w:szCs w:val="21"/>
                    </w:rPr>
                  </w:pPr>
                  <w:r>
                    <w:rPr>
                      <w:color w:val="000000"/>
                      <w:sz w:val="21"/>
                      <w:szCs w:val="21"/>
                    </w:rPr>
                    <w:t>0.14</w:t>
                  </w:r>
                </w:p>
              </w:tc>
              <w:tc>
                <w:tcPr>
                  <w:tcW w:w="879" w:type="dxa"/>
                  <w:vMerge w:val="restart"/>
                  <w:tcBorders>
                    <w:top w:val="single" w:color="000000" w:sz="2" w:space="0"/>
                    <w:left w:val="single" w:color="000000" w:sz="2" w:space="0"/>
                    <w:right w:val="nil"/>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达标</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405" w:hRule="atLeast"/>
                <w:jc w:val="center"/>
              </w:trPr>
              <w:tc>
                <w:tcPr>
                  <w:tcW w:w="1355" w:type="dxa"/>
                  <w:vMerge w:val="continue"/>
                  <w:tcBorders>
                    <w:top w:val="single" w:color="000000" w:sz="2" w:space="0"/>
                    <w:left w:val="nil"/>
                    <w:bottom w:val="single" w:color="000000" w:sz="2" w:space="0"/>
                    <w:right w:val="single" w:color="000000" w:sz="2" w:space="0"/>
                  </w:tcBorders>
                  <w:shd w:val="clear" w:color="auto" w:fill="FFFFFF"/>
                  <w:tcMar>
                    <w:top w:w="15" w:type="dxa"/>
                    <w:bottom w:w="15" w:type="dxa"/>
                  </w:tcMar>
                  <w:vAlign w:val="center"/>
                </w:tcPr>
                <w:p>
                  <w:pPr>
                    <w:jc w:val="center"/>
                    <w:rPr>
                      <w:sz w:val="21"/>
                      <w:szCs w:val="21"/>
                    </w:rPr>
                  </w:pPr>
                </w:p>
              </w:tc>
              <w:tc>
                <w:tcPr>
                  <w:tcW w:w="1888"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百分位上日平均</w:t>
                  </w:r>
                </w:p>
              </w:tc>
              <w:tc>
                <w:tcPr>
                  <w:tcW w:w="1008"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98</w:t>
                  </w:r>
                </w:p>
              </w:tc>
              <w:tc>
                <w:tcPr>
                  <w:tcW w:w="1146"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rPr>
                    <w:t>30</w:t>
                  </w:r>
                </w:p>
              </w:tc>
              <w:tc>
                <w:tcPr>
                  <w:tcW w:w="1146"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150</w:t>
                  </w:r>
                </w:p>
              </w:tc>
              <w:tc>
                <w:tcPr>
                  <w:tcW w:w="884" w:type="dxa"/>
                  <w:tcBorders>
                    <w:top w:val="single" w:color="000000" w:sz="2" w:space="0"/>
                    <w:left w:val="single" w:color="000000" w:sz="2" w:space="0"/>
                    <w:bottom w:val="single" w:color="000000" w:sz="2" w:space="0"/>
                    <w:right w:val="single" w:color="000000" w:sz="2" w:space="0"/>
                  </w:tcBorders>
                  <w:shd w:val="clear" w:color="auto" w:fill="FFFFFF"/>
                  <w:tcMar>
                    <w:top w:w="15" w:type="dxa"/>
                    <w:bottom w:w="15" w:type="dxa"/>
                  </w:tcMar>
                  <w:vAlign w:val="center"/>
                </w:tcPr>
                <w:p>
                  <w:pPr>
                    <w:jc w:val="center"/>
                    <w:rPr>
                      <w:color w:val="000000"/>
                      <w:sz w:val="21"/>
                      <w:szCs w:val="21"/>
                    </w:rPr>
                  </w:pPr>
                  <w:r>
                    <w:rPr>
                      <w:color w:val="000000"/>
                      <w:sz w:val="21"/>
                      <w:szCs w:val="21"/>
                    </w:rPr>
                    <w:t>0.2</w:t>
                  </w:r>
                </w:p>
              </w:tc>
              <w:tc>
                <w:tcPr>
                  <w:tcW w:w="879" w:type="dxa"/>
                  <w:vMerge w:val="continue"/>
                  <w:tcBorders>
                    <w:left w:val="single" w:color="000000" w:sz="2" w:space="0"/>
                    <w:bottom w:val="single" w:color="000000" w:sz="2" w:space="0"/>
                    <w:right w:val="nil"/>
                  </w:tcBorders>
                  <w:shd w:val="clear" w:color="auto" w:fill="FFFFFF"/>
                  <w:tcMar>
                    <w:top w:w="15" w:type="dxa"/>
                    <w:bottom w:w="15" w:type="dxa"/>
                  </w:tcMar>
                  <w:vAlign w:val="center"/>
                </w:tcPr>
                <w:p>
                  <w:pPr>
                    <w:widowControl/>
                    <w:spacing w:before="62" w:beforeLines="20" w:after="62" w:afterLines="20"/>
                    <w:jc w:val="center"/>
                    <w:rPr>
                      <w:kern w:val="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300" w:hRule="atLeast"/>
                <w:jc w:val="center"/>
              </w:trPr>
              <w:tc>
                <w:tcPr>
                  <w:tcW w:w="1355" w:type="dxa"/>
                  <w:vMerge w:val="restart"/>
                  <w:tcBorders>
                    <w:top w:val="single" w:color="000000" w:sz="2" w:space="0"/>
                    <w:left w:val="nil"/>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NO</w:t>
                  </w:r>
                  <w:r>
                    <w:rPr>
                      <w:kern w:val="0"/>
                      <w:sz w:val="21"/>
                      <w:szCs w:val="21"/>
                      <w:vertAlign w:val="subscript"/>
                      <w:lang w:bidi="ar"/>
                    </w:rPr>
                    <w:t>2</w:t>
                  </w:r>
                </w:p>
              </w:tc>
              <w:tc>
                <w:tcPr>
                  <w:tcW w:w="188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年平均浓度</w:t>
                  </w:r>
                </w:p>
              </w:tc>
              <w:tc>
                <w:tcPr>
                  <w:tcW w:w="100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19</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40</w:t>
                  </w:r>
                </w:p>
              </w:tc>
              <w:tc>
                <w:tcPr>
                  <w:tcW w:w="884"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jc w:val="center"/>
                    <w:rPr>
                      <w:color w:val="000000"/>
                      <w:sz w:val="21"/>
                      <w:szCs w:val="21"/>
                    </w:rPr>
                  </w:pPr>
                  <w:r>
                    <w:rPr>
                      <w:color w:val="000000"/>
                      <w:sz w:val="21"/>
                      <w:szCs w:val="21"/>
                    </w:rPr>
                    <w:t>0.48</w:t>
                  </w:r>
                </w:p>
              </w:tc>
              <w:tc>
                <w:tcPr>
                  <w:tcW w:w="879" w:type="dxa"/>
                  <w:vMerge w:val="restart"/>
                  <w:tcBorders>
                    <w:top w:val="single" w:color="000000" w:sz="2" w:space="0"/>
                    <w:left w:val="single" w:color="000000" w:sz="2" w:space="0"/>
                    <w:right w:val="nil"/>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达标</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jc w:val="center"/>
              </w:trPr>
              <w:tc>
                <w:tcPr>
                  <w:tcW w:w="1355" w:type="dxa"/>
                  <w:vMerge w:val="continue"/>
                  <w:tcBorders>
                    <w:top w:val="single" w:color="000000" w:sz="2" w:space="0"/>
                    <w:left w:val="nil"/>
                    <w:bottom w:val="single" w:color="000000" w:sz="2" w:space="0"/>
                    <w:right w:val="single" w:color="000000" w:sz="2" w:space="0"/>
                  </w:tcBorders>
                  <w:shd w:val="clear" w:color="auto" w:fill="auto"/>
                  <w:tcMar>
                    <w:top w:w="15" w:type="dxa"/>
                    <w:bottom w:w="15" w:type="dxa"/>
                  </w:tcMar>
                  <w:vAlign w:val="center"/>
                </w:tcPr>
                <w:p>
                  <w:pPr>
                    <w:jc w:val="center"/>
                    <w:rPr>
                      <w:sz w:val="21"/>
                      <w:szCs w:val="21"/>
                    </w:rPr>
                  </w:pPr>
                </w:p>
              </w:tc>
              <w:tc>
                <w:tcPr>
                  <w:tcW w:w="188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百分位上日平均</w:t>
                  </w:r>
                </w:p>
              </w:tc>
              <w:tc>
                <w:tcPr>
                  <w:tcW w:w="100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98</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rPr>
                    <w:t>60</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80</w:t>
                  </w:r>
                </w:p>
              </w:tc>
              <w:tc>
                <w:tcPr>
                  <w:tcW w:w="884"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jc w:val="center"/>
                    <w:rPr>
                      <w:color w:val="000000"/>
                      <w:sz w:val="21"/>
                      <w:szCs w:val="21"/>
                    </w:rPr>
                  </w:pPr>
                  <w:r>
                    <w:rPr>
                      <w:color w:val="000000"/>
                      <w:sz w:val="21"/>
                      <w:szCs w:val="21"/>
                    </w:rPr>
                    <w:t>0.75</w:t>
                  </w:r>
                </w:p>
              </w:tc>
              <w:tc>
                <w:tcPr>
                  <w:tcW w:w="879" w:type="dxa"/>
                  <w:vMerge w:val="continue"/>
                  <w:tcBorders>
                    <w:left w:val="single" w:color="000000" w:sz="2" w:space="0"/>
                    <w:bottom w:val="single" w:color="000000" w:sz="2" w:space="0"/>
                    <w:right w:val="nil"/>
                  </w:tcBorders>
                  <w:shd w:val="clear" w:color="auto" w:fill="auto"/>
                  <w:tcMar>
                    <w:top w:w="15" w:type="dxa"/>
                    <w:bottom w:w="15" w:type="dxa"/>
                  </w:tcMar>
                  <w:vAlign w:val="center"/>
                </w:tcPr>
                <w:p>
                  <w:pPr>
                    <w:widowControl/>
                    <w:spacing w:before="62" w:beforeLines="20" w:after="62" w:afterLines="20"/>
                    <w:jc w:val="center"/>
                    <w:rPr>
                      <w:kern w:val="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jc w:val="center"/>
              </w:trPr>
              <w:tc>
                <w:tcPr>
                  <w:tcW w:w="1355" w:type="dxa"/>
                  <w:vMerge w:val="restart"/>
                  <w:tcBorders>
                    <w:top w:val="single" w:color="000000" w:sz="2" w:space="0"/>
                    <w:left w:val="nil"/>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PM</w:t>
                  </w:r>
                  <w:r>
                    <w:rPr>
                      <w:kern w:val="0"/>
                      <w:sz w:val="21"/>
                      <w:szCs w:val="21"/>
                      <w:vertAlign w:val="subscript"/>
                      <w:lang w:bidi="ar"/>
                    </w:rPr>
                    <w:t>10</w:t>
                  </w:r>
                </w:p>
              </w:tc>
              <w:tc>
                <w:tcPr>
                  <w:tcW w:w="188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年平均浓度</w:t>
                  </w:r>
                </w:p>
              </w:tc>
              <w:tc>
                <w:tcPr>
                  <w:tcW w:w="100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55</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70</w:t>
                  </w:r>
                </w:p>
              </w:tc>
              <w:tc>
                <w:tcPr>
                  <w:tcW w:w="884"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jc w:val="center"/>
                    <w:rPr>
                      <w:color w:val="000000"/>
                      <w:sz w:val="21"/>
                      <w:szCs w:val="21"/>
                    </w:rPr>
                  </w:pPr>
                  <w:r>
                    <w:rPr>
                      <w:color w:val="000000"/>
                      <w:sz w:val="21"/>
                      <w:szCs w:val="21"/>
                    </w:rPr>
                    <w:t>0.79</w:t>
                  </w:r>
                </w:p>
              </w:tc>
              <w:tc>
                <w:tcPr>
                  <w:tcW w:w="879" w:type="dxa"/>
                  <w:vMerge w:val="restart"/>
                  <w:tcBorders>
                    <w:top w:val="single" w:color="000000" w:sz="2" w:space="0"/>
                    <w:left w:val="single" w:color="000000" w:sz="2" w:space="0"/>
                    <w:right w:val="nil"/>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不达标</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jc w:val="center"/>
              </w:trPr>
              <w:tc>
                <w:tcPr>
                  <w:tcW w:w="1355" w:type="dxa"/>
                  <w:vMerge w:val="continue"/>
                  <w:tcBorders>
                    <w:top w:val="single" w:color="000000" w:sz="2" w:space="0"/>
                    <w:left w:val="nil"/>
                    <w:bottom w:val="single" w:color="000000" w:sz="2" w:space="0"/>
                    <w:right w:val="single" w:color="000000" w:sz="2" w:space="0"/>
                  </w:tcBorders>
                  <w:shd w:val="clear" w:color="auto" w:fill="auto"/>
                  <w:tcMar>
                    <w:top w:w="15" w:type="dxa"/>
                    <w:bottom w:w="15" w:type="dxa"/>
                  </w:tcMar>
                  <w:vAlign w:val="center"/>
                </w:tcPr>
                <w:p>
                  <w:pPr>
                    <w:jc w:val="center"/>
                    <w:rPr>
                      <w:sz w:val="21"/>
                      <w:szCs w:val="21"/>
                    </w:rPr>
                  </w:pPr>
                </w:p>
              </w:tc>
              <w:tc>
                <w:tcPr>
                  <w:tcW w:w="188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百分位上日平均</w:t>
                  </w:r>
                </w:p>
              </w:tc>
              <w:tc>
                <w:tcPr>
                  <w:tcW w:w="100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95</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rPr>
                    <w:t>156</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150</w:t>
                  </w:r>
                </w:p>
              </w:tc>
              <w:tc>
                <w:tcPr>
                  <w:tcW w:w="884"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jc w:val="center"/>
                    <w:rPr>
                      <w:color w:val="000000"/>
                      <w:sz w:val="21"/>
                      <w:szCs w:val="21"/>
                    </w:rPr>
                  </w:pPr>
                  <w:r>
                    <w:rPr>
                      <w:rFonts w:hint="eastAsia"/>
                      <w:color w:val="000000"/>
                      <w:sz w:val="21"/>
                      <w:szCs w:val="21"/>
                    </w:rPr>
                    <w:t>1</w:t>
                  </w:r>
                  <w:r>
                    <w:rPr>
                      <w:color w:val="000000"/>
                      <w:sz w:val="21"/>
                      <w:szCs w:val="21"/>
                    </w:rPr>
                    <w:t>.04</w:t>
                  </w:r>
                </w:p>
              </w:tc>
              <w:tc>
                <w:tcPr>
                  <w:tcW w:w="879" w:type="dxa"/>
                  <w:vMerge w:val="continue"/>
                  <w:tcBorders>
                    <w:left w:val="single" w:color="000000" w:sz="2" w:space="0"/>
                    <w:bottom w:val="single" w:color="000000" w:sz="2" w:space="0"/>
                    <w:right w:val="nil"/>
                  </w:tcBorders>
                  <w:shd w:val="clear" w:color="auto" w:fill="auto"/>
                  <w:tcMar>
                    <w:top w:w="15" w:type="dxa"/>
                    <w:bottom w:w="15" w:type="dxa"/>
                  </w:tcMar>
                  <w:vAlign w:val="center"/>
                </w:tcPr>
                <w:p>
                  <w:pPr>
                    <w:widowControl/>
                    <w:spacing w:before="62" w:beforeLines="20" w:after="62" w:afterLines="20"/>
                    <w:jc w:val="center"/>
                    <w:rPr>
                      <w:kern w:val="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jc w:val="center"/>
              </w:trPr>
              <w:tc>
                <w:tcPr>
                  <w:tcW w:w="1355" w:type="dxa"/>
                  <w:vMerge w:val="restart"/>
                  <w:tcBorders>
                    <w:top w:val="single" w:color="000000" w:sz="2" w:space="0"/>
                    <w:left w:val="nil"/>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PM</w:t>
                  </w:r>
                  <w:r>
                    <w:rPr>
                      <w:kern w:val="0"/>
                      <w:sz w:val="21"/>
                      <w:szCs w:val="21"/>
                      <w:vertAlign w:val="subscript"/>
                      <w:lang w:bidi="ar"/>
                    </w:rPr>
                    <w:t>2.5</w:t>
                  </w:r>
                </w:p>
              </w:tc>
              <w:tc>
                <w:tcPr>
                  <w:tcW w:w="188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年平均浓度</w:t>
                  </w:r>
                </w:p>
              </w:tc>
              <w:tc>
                <w:tcPr>
                  <w:tcW w:w="100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40</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35</w:t>
                  </w:r>
                </w:p>
              </w:tc>
              <w:tc>
                <w:tcPr>
                  <w:tcW w:w="884"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jc w:val="center"/>
                    <w:rPr>
                      <w:color w:val="000000"/>
                      <w:sz w:val="21"/>
                      <w:szCs w:val="21"/>
                    </w:rPr>
                  </w:pPr>
                  <w:r>
                    <w:rPr>
                      <w:color w:val="000000"/>
                      <w:sz w:val="21"/>
                      <w:szCs w:val="21"/>
                    </w:rPr>
                    <w:t>1.14</w:t>
                  </w:r>
                </w:p>
              </w:tc>
              <w:tc>
                <w:tcPr>
                  <w:tcW w:w="879" w:type="dxa"/>
                  <w:vMerge w:val="restart"/>
                  <w:tcBorders>
                    <w:top w:val="single" w:color="000000" w:sz="2" w:space="0"/>
                    <w:left w:val="single" w:color="000000" w:sz="2" w:space="0"/>
                    <w:right w:val="nil"/>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不达标</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jc w:val="center"/>
              </w:trPr>
              <w:tc>
                <w:tcPr>
                  <w:tcW w:w="1355" w:type="dxa"/>
                  <w:vMerge w:val="continue"/>
                  <w:tcBorders>
                    <w:top w:val="single" w:color="000000" w:sz="2" w:space="0"/>
                    <w:left w:val="nil"/>
                    <w:bottom w:val="single" w:color="000000" w:sz="2" w:space="0"/>
                    <w:right w:val="single" w:color="000000" w:sz="2" w:space="0"/>
                  </w:tcBorders>
                  <w:shd w:val="clear" w:color="auto" w:fill="auto"/>
                  <w:tcMar>
                    <w:top w:w="15" w:type="dxa"/>
                    <w:bottom w:w="15" w:type="dxa"/>
                  </w:tcMar>
                  <w:vAlign w:val="center"/>
                </w:tcPr>
                <w:p>
                  <w:pPr>
                    <w:jc w:val="center"/>
                    <w:rPr>
                      <w:sz w:val="21"/>
                      <w:szCs w:val="21"/>
                    </w:rPr>
                  </w:pPr>
                </w:p>
              </w:tc>
              <w:tc>
                <w:tcPr>
                  <w:tcW w:w="188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百分位上日平均</w:t>
                  </w:r>
                </w:p>
              </w:tc>
              <w:tc>
                <w:tcPr>
                  <w:tcW w:w="100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95</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rPr>
                    <w:t>102</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75</w:t>
                  </w:r>
                </w:p>
              </w:tc>
              <w:tc>
                <w:tcPr>
                  <w:tcW w:w="884"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jc w:val="center"/>
                    <w:rPr>
                      <w:color w:val="000000"/>
                      <w:sz w:val="21"/>
                      <w:szCs w:val="21"/>
                    </w:rPr>
                  </w:pPr>
                  <w:r>
                    <w:rPr>
                      <w:rFonts w:hint="eastAsia"/>
                      <w:color w:val="000000"/>
                      <w:sz w:val="21"/>
                      <w:szCs w:val="21"/>
                    </w:rPr>
                    <w:t>1</w:t>
                  </w:r>
                  <w:r>
                    <w:rPr>
                      <w:color w:val="000000"/>
                      <w:sz w:val="21"/>
                      <w:szCs w:val="21"/>
                    </w:rPr>
                    <w:t>.36</w:t>
                  </w:r>
                </w:p>
              </w:tc>
              <w:tc>
                <w:tcPr>
                  <w:tcW w:w="879" w:type="dxa"/>
                  <w:vMerge w:val="continue"/>
                  <w:tcBorders>
                    <w:left w:val="single" w:color="000000" w:sz="2" w:space="0"/>
                    <w:bottom w:val="single" w:color="000000" w:sz="2" w:space="0"/>
                    <w:right w:val="nil"/>
                  </w:tcBorders>
                  <w:shd w:val="clear" w:color="auto" w:fill="auto"/>
                  <w:tcMar>
                    <w:top w:w="15" w:type="dxa"/>
                    <w:bottom w:w="15" w:type="dxa"/>
                  </w:tcMar>
                  <w:vAlign w:val="center"/>
                </w:tcPr>
                <w:p>
                  <w:pPr>
                    <w:widowControl/>
                    <w:spacing w:before="62" w:beforeLines="20" w:after="62" w:afterLines="20"/>
                    <w:jc w:val="center"/>
                    <w:rPr>
                      <w:kern w:val="0"/>
                      <w:sz w:val="21"/>
                      <w:szCs w:val="21"/>
                      <w:highlight w:val="yellow"/>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jc w:val="center"/>
              </w:trPr>
              <w:tc>
                <w:tcPr>
                  <w:tcW w:w="1355" w:type="dxa"/>
                  <w:vMerge w:val="restart"/>
                  <w:tcBorders>
                    <w:top w:val="single" w:color="000000" w:sz="2" w:space="0"/>
                    <w:left w:val="nil"/>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CO</w:t>
                  </w:r>
                </w:p>
              </w:tc>
              <w:tc>
                <w:tcPr>
                  <w:tcW w:w="188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年平均浓度</w:t>
                  </w:r>
                </w:p>
              </w:tc>
              <w:tc>
                <w:tcPr>
                  <w:tcW w:w="100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884"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879" w:type="dxa"/>
                  <w:vMerge w:val="restart"/>
                  <w:tcBorders>
                    <w:top w:val="single" w:color="000000" w:sz="2" w:space="0"/>
                    <w:left w:val="single" w:color="000000" w:sz="2" w:space="0"/>
                    <w:right w:val="nil"/>
                  </w:tcBorders>
                  <w:shd w:val="clear" w:color="auto" w:fill="auto"/>
                  <w:tcMar>
                    <w:top w:w="15" w:type="dxa"/>
                    <w:bottom w:w="15" w:type="dxa"/>
                  </w:tcMar>
                  <w:vAlign w:val="center"/>
                </w:tcPr>
                <w:p>
                  <w:pPr>
                    <w:spacing w:before="62" w:beforeLines="20" w:after="62" w:afterLines="20"/>
                    <w:jc w:val="center"/>
                    <w:rPr>
                      <w:kern w:val="0"/>
                      <w:sz w:val="21"/>
                      <w:szCs w:val="21"/>
                    </w:rPr>
                  </w:pPr>
                  <w:r>
                    <w:rPr>
                      <w:kern w:val="0"/>
                      <w:sz w:val="21"/>
                      <w:szCs w:val="21"/>
                      <w:lang w:bidi="ar"/>
                    </w:rPr>
                    <w:t>达标</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jc w:val="center"/>
              </w:trPr>
              <w:tc>
                <w:tcPr>
                  <w:tcW w:w="1355" w:type="dxa"/>
                  <w:vMerge w:val="continue"/>
                  <w:tcBorders>
                    <w:top w:val="single" w:color="000000" w:sz="2" w:space="0"/>
                    <w:left w:val="nil"/>
                    <w:bottom w:val="single" w:color="000000" w:sz="2" w:space="0"/>
                    <w:right w:val="single" w:color="000000" w:sz="2" w:space="0"/>
                  </w:tcBorders>
                  <w:shd w:val="clear" w:color="auto" w:fill="auto"/>
                  <w:tcMar>
                    <w:top w:w="15" w:type="dxa"/>
                    <w:bottom w:w="15" w:type="dxa"/>
                  </w:tcMar>
                  <w:vAlign w:val="center"/>
                </w:tcPr>
                <w:p>
                  <w:pPr>
                    <w:jc w:val="center"/>
                    <w:rPr>
                      <w:sz w:val="21"/>
                      <w:szCs w:val="21"/>
                    </w:rPr>
                  </w:pPr>
                </w:p>
              </w:tc>
              <w:tc>
                <w:tcPr>
                  <w:tcW w:w="188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百分位上日平均</w:t>
                  </w:r>
                </w:p>
              </w:tc>
              <w:tc>
                <w:tcPr>
                  <w:tcW w:w="100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95</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1.6</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4</w:t>
                  </w:r>
                </w:p>
              </w:tc>
              <w:tc>
                <w:tcPr>
                  <w:tcW w:w="884"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0.40</w:t>
                  </w:r>
                </w:p>
              </w:tc>
              <w:tc>
                <w:tcPr>
                  <w:tcW w:w="879" w:type="dxa"/>
                  <w:vMerge w:val="continue"/>
                  <w:tcBorders>
                    <w:left w:val="single" w:color="000000" w:sz="2" w:space="0"/>
                    <w:bottom w:val="single" w:color="000000" w:sz="2" w:space="0"/>
                    <w:right w:val="nil"/>
                  </w:tcBorders>
                  <w:shd w:val="clear" w:color="auto" w:fill="auto"/>
                  <w:tcMar>
                    <w:top w:w="15" w:type="dxa"/>
                    <w:bottom w:w="15" w:type="dxa"/>
                  </w:tcMar>
                  <w:vAlign w:val="center"/>
                </w:tcPr>
                <w:p>
                  <w:pPr>
                    <w:widowControl/>
                    <w:spacing w:before="62" w:beforeLines="20" w:after="62" w:afterLines="20"/>
                    <w:jc w:val="center"/>
                    <w:rPr>
                      <w:kern w:val="0"/>
                      <w:sz w:val="21"/>
                      <w:szCs w:val="21"/>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jc w:val="center"/>
              </w:trPr>
              <w:tc>
                <w:tcPr>
                  <w:tcW w:w="1355" w:type="dxa"/>
                  <w:vMerge w:val="restart"/>
                  <w:tcBorders>
                    <w:top w:val="single" w:color="000000" w:sz="2" w:space="0"/>
                    <w:left w:val="nil"/>
                    <w:bottom w:val="single" w:color="000000" w:sz="18"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O</w:t>
                  </w:r>
                  <w:r>
                    <w:rPr>
                      <w:kern w:val="0"/>
                      <w:sz w:val="21"/>
                      <w:szCs w:val="21"/>
                      <w:vertAlign w:val="subscript"/>
                      <w:lang w:bidi="ar"/>
                    </w:rPr>
                    <w:t>3</w:t>
                  </w:r>
                </w:p>
              </w:tc>
              <w:tc>
                <w:tcPr>
                  <w:tcW w:w="188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年平均浓度</w:t>
                  </w:r>
                </w:p>
              </w:tc>
              <w:tc>
                <w:tcPr>
                  <w:tcW w:w="1008"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1146"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884" w:type="dxa"/>
                  <w:tcBorders>
                    <w:top w:val="single" w:color="000000" w:sz="2" w:space="0"/>
                    <w:left w:val="single" w:color="000000" w:sz="2" w:space="0"/>
                    <w:bottom w:val="single" w:color="000000" w:sz="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w:t>
                  </w:r>
                </w:p>
              </w:tc>
              <w:tc>
                <w:tcPr>
                  <w:tcW w:w="879" w:type="dxa"/>
                  <w:vMerge w:val="restart"/>
                  <w:tcBorders>
                    <w:top w:val="single" w:color="000000" w:sz="2" w:space="0"/>
                    <w:left w:val="single" w:color="000000" w:sz="2" w:space="0"/>
                    <w:right w:val="nil"/>
                  </w:tcBorders>
                  <w:shd w:val="clear" w:color="auto" w:fill="auto"/>
                  <w:tcMar>
                    <w:top w:w="15" w:type="dxa"/>
                    <w:bottom w:w="15" w:type="dxa"/>
                  </w:tcMar>
                  <w:vAlign w:val="center"/>
                </w:tcPr>
                <w:p>
                  <w:pPr>
                    <w:spacing w:before="62" w:beforeLines="20" w:after="62" w:afterLines="20"/>
                    <w:jc w:val="center"/>
                    <w:rPr>
                      <w:kern w:val="0"/>
                      <w:sz w:val="21"/>
                      <w:szCs w:val="21"/>
                    </w:rPr>
                  </w:pPr>
                  <w:r>
                    <w:rPr>
                      <w:kern w:val="0"/>
                      <w:sz w:val="21"/>
                      <w:szCs w:val="21"/>
                      <w:lang w:bidi="ar"/>
                    </w:rPr>
                    <w:t>达标</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Ex>
              <w:trPr>
                <w:trHeight w:val="285" w:hRule="atLeast"/>
                <w:jc w:val="center"/>
              </w:trPr>
              <w:tc>
                <w:tcPr>
                  <w:tcW w:w="1355" w:type="dxa"/>
                  <w:vMerge w:val="continue"/>
                  <w:tcBorders>
                    <w:top w:val="single" w:color="000000" w:sz="2" w:space="0"/>
                    <w:left w:val="nil"/>
                    <w:bottom w:val="single" w:color="000000" w:sz="12" w:space="0"/>
                    <w:right w:val="single" w:color="000000" w:sz="2" w:space="0"/>
                  </w:tcBorders>
                  <w:shd w:val="clear" w:color="auto" w:fill="auto"/>
                  <w:tcMar>
                    <w:top w:w="15" w:type="dxa"/>
                    <w:bottom w:w="15" w:type="dxa"/>
                  </w:tcMar>
                  <w:vAlign w:val="center"/>
                </w:tcPr>
                <w:p>
                  <w:pPr>
                    <w:jc w:val="center"/>
                    <w:rPr>
                      <w:sz w:val="21"/>
                      <w:szCs w:val="21"/>
                    </w:rPr>
                  </w:pPr>
                </w:p>
              </w:tc>
              <w:tc>
                <w:tcPr>
                  <w:tcW w:w="1888" w:type="dxa"/>
                  <w:tcBorders>
                    <w:top w:val="single" w:color="000000" w:sz="2" w:space="0"/>
                    <w:left w:val="single" w:color="000000" w:sz="2" w:space="0"/>
                    <w:bottom w:val="single" w:color="000000" w:sz="1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8h平均质量浓度</w:t>
                  </w:r>
                </w:p>
              </w:tc>
              <w:tc>
                <w:tcPr>
                  <w:tcW w:w="1008" w:type="dxa"/>
                  <w:tcBorders>
                    <w:top w:val="single" w:color="000000" w:sz="2" w:space="0"/>
                    <w:left w:val="single" w:color="000000" w:sz="2" w:space="0"/>
                    <w:bottom w:val="single" w:color="000000" w:sz="1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90</w:t>
                  </w:r>
                </w:p>
              </w:tc>
              <w:tc>
                <w:tcPr>
                  <w:tcW w:w="1146" w:type="dxa"/>
                  <w:tcBorders>
                    <w:top w:val="single" w:color="000000" w:sz="2" w:space="0"/>
                    <w:left w:val="single" w:color="000000" w:sz="2" w:space="0"/>
                    <w:bottom w:val="single" w:color="000000" w:sz="1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154</w:t>
                  </w:r>
                </w:p>
              </w:tc>
              <w:tc>
                <w:tcPr>
                  <w:tcW w:w="1146" w:type="dxa"/>
                  <w:tcBorders>
                    <w:top w:val="single" w:color="000000" w:sz="2" w:space="0"/>
                    <w:left w:val="single" w:color="000000" w:sz="2" w:space="0"/>
                    <w:bottom w:val="single" w:color="000000" w:sz="1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160</w:t>
                  </w:r>
                </w:p>
              </w:tc>
              <w:tc>
                <w:tcPr>
                  <w:tcW w:w="884" w:type="dxa"/>
                  <w:tcBorders>
                    <w:top w:val="single" w:color="000000" w:sz="2" w:space="0"/>
                    <w:left w:val="single" w:color="000000" w:sz="2" w:space="0"/>
                    <w:bottom w:val="single" w:color="000000" w:sz="12" w:space="0"/>
                    <w:right w:val="single" w:color="000000" w:sz="2" w:space="0"/>
                  </w:tcBorders>
                  <w:shd w:val="clear" w:color="auto" w:fill="auto"/>
                  <w:tcMar>
                    <w:top w:w="15" w:type="dxa"/>
                    <w:bottom w:w="15" w:type="dxa"/>
                  </w:tcMar>
                  <w:vAlign w:val="center"/>
                </w:tcPr>
                <w:p>
                  <w:pPr>
                    <w:widowControl/>
                    <w:spacing w:before="62" w:beforeLines="20" w:after="62" w:afterLines="20"/>
                    <w:jc w:val="center"/>
                    <w:rPr>
                      <w:kern w:val="0"/>
                      <w:sz w:val="21"/>
                      <w:szCs w:val="21"/>
                    </w:rPr>
                  </w:pPr>
                  <w:r>
                    <w:rPr>
                      <w:kern w:val="0"/>
                      <w:sz w:val="21"/>
                      <w:szCs w:val="21"/>
                      <w:lang w:bidi="ar"/>
                    </w:rPr>
                    <w:t>0.96</w:t>
                  </w:r>
                </w:p>
              </w:tc>
              <w:tc>
                <w:tcPr>
                  <w:tcW w:w="879" w:type="dxa"/>
                  <w:vMerge w:val="continue"/>
                  <w:tcBorders>
                    <w:left w:val="single" w:color="000000" w:sz="2" w:space="0"/>
                    <w:bottom w:val="single" w:color="000000" w:sz="12" w:space="0"/>
                    <w:right w:val="nil"/>
                  </w:tcBorders>
                  <w:shd w:val="clear" w:color="auto" w:fill="auto"/>
                  <w:tcMar>
                    <w:top w:w="15" w:type="dxa"/>
                    <w:bottom w:w="15" w:type="dxa"/>
                  </w:tcMar>
                  <w:vAlign w:val="center"/>
                </w:tcPr>
                <w:p>
                  <w:pPr>
                    <w:widowControl/>
                    <w:spacing w:before="62" w:beforeLines="20" w:after="62" w:afterLines="20"/>
                    <w:jc w:val="center"/>
                    <w:rPr>
                      <w:kern w:val="0"/>
                      <w:sz w:val="21"/>
                      <w:szCs w:val="21"/>
                    </w:rPr>
                  </w:pPr>
                </w:p>
              </w:tc>
            </w:tr>
          </w:tbl>
          <w:p>
            <w:pPr>
              <w:spacing w:line="348" w:lineRule="auto"/>
              <w:ind w:right="160" w:rightChars="50" w:firstLine="480" w:firstLineChars="200"/>
              <w:rPr>
                <w:sz w:val="24"/>
                <w:szCs w:val="20"/>
                <w:u w:val="single"/>
              </w:rPr>
            </w:pPr>
            <w:r>
              <w:rPr>
                <w:rFonts w:hint="eastAsia"/>
                <w:sz w:val="24"/>
                <w:szCs w:val="20"/>
                <w:u w:val="single"/>
              </w:rPr>
              <w:t>由上表可知，该区域属于不达标区，主要是由于P</w:t>
            </w:r>
            <w:r>
              <w:rPr>
                <w:sz w:val="24"/>
                <w:szCs w:val="20"/>
                <w:u w:val="single"/>
              </w:rPr>
              <w:t>M</w:t>
            </w:r>
            <w:r>
              <w:rPr>
                <w:sz w:val="24"/>
                <w:szCs w:val="20"/>
                <w:u w:val="single"/>
                <w:vertAlign w:val="subscript"/>
              </w:rPr>
              <w:t>10</w:t>
            </w:r>
            <w:r>
              <w:rPr>
                <w:rFonts w:hint="eastAsia"/>
                <w:sz w:val="24"/>
                <w:szCs w:val="20"/>
                <w:u w:val="single"/>
              </w:rPr>
              <w:t>和P</w:t>
            </w:r>
            <w:r>
              <w:rPr>
                <w:sz w:val="24"/>
                <w:szCs w:val="20"/>
                <w:u w:val="single"/>
              </w:rPr>
              <w:t>M</w:t>
            </w:r>
            <w:r>
              <w:rPr>
                <w:sz w:val="24"/>
                <w:szCs w:val="20"/>
                <w:u w:val="single"/>
                <w:vertAlign w:val="subscript"/>
              </w:rPr>
              <w:t>2.5</w:t>
            </w:r>
            <w:r>
              <w:rPr>
                <w:rFonts w:hint="eastAsia"/>
                <w:sz w:val="24"/>
                <w:szCs w:val="20"/>
                <w:u w:val="single"/>
              </w:rPr>
              <w:t>的排放不达标。本项目涉及颗粒物的排放，可能会加重P</w:t>
            </w:r>
            <w:r>
              <w:rPr>
                <w:sz w:val="24"/>
                <w:szCs w:val="20"/>
                <w:u w:val="single"/>
              </w:rPr>
              <w:t>M</w:t>
            </w:r>
            <w:r>
              <w:rPr>
                <w:sz w:val="24"/>
                <w:szCs w:val="20"/>
                <w:u w:val="single"/>
                <w:vertAlign w:val="subscript"/>
              </w:rPr>
              <w:t>10</w:t>
            </w:r>
            <w:r>
              <w:rPr>
                <w:rFonts w:hint="eastAsia"/>
                <w:sz w:val="24"/>
                <w:szCs w:val="20"/>
                <w:u w:val="single"/>
              </w:rPr>
              <w:t>和P</w:t>
            </w:r>
            <w:r>
              <w:rPr>
                <w:sz w:val="24"/>
                <w:szCs w:val="20"/>
                <w:u w:val="single"/>
              </w:rPr>
              <w:t>M</w:t>
            </w:r>
            <w:r>
              <w:rPr>
                <w:sz w:val="24"/>
                <w:szCs w:val="20"/>
                <w:u w:val="single"/>
                <w:vertAlign w:val="subscript"/>
              </w:rPr>
              <w:t>2.5</w:t>
            </w:r>
            <w:r>
              <w:rPr>
                <w:rFonts w:hint="eastAsia"/>
                <w:sz w:val="24"/>
                <w:szCs w:val="20"/>
                <w:u w:val="single"/>
              </w:rPr>
              <w:t>的污染，但本项目环保设施较完善，环保意识较强，经过处理后的颗粒物排放量很小，故不会加重污染。</w:t>
            </w:r>
          </w:p>
          <w:p>
            <w:pPr>
              <w:spacing w:line="348" w:lineRule="auto"/>
              <w:ind w:right="160" w:rightChars="50" w:firstLine="482" w:firstLineChars="200"/>
              <w:rPr>
                <w:b/>
                <w:sz w:val="24"/>
                <w:szCs w:val="20"/>
              </w:rPr>
            </w:pPr>
            <w:r>
              <w:rPr>
                <w:rFonts w:hint="eastAsia"/>
                <w:b/>
                <w:sz w:val="24"/>
                <w:szCs w:val="20"/>
              </w:rPr>
              <w:t>2</w:t>
            </w:r>
            <w:r>
              <w:rPr>
                <w:b/>
                <w:sz w:val="24"/>
                <w:szCs w:val="20"/>
              </w:rPr>
              <w:t>、地表水环</w:t>
            </w:r>
            <w:r>
              <w:rPr>
                <w:rFonts w:hint="eastAsia"/>
                <w:b/>
                <w:sz w:val="24"/>
                <w:szCs w:val="20"/>
              </w:rPr>
              <w:t>境</w:t>
            </w:r>
          </w:p>
          <w:p>
            <w:pPr>
              <w:adjustRightInd w:val="0"/>
              <w:snapToGrid w:val="0"/>
              <w:spacing w:line="360" w:lineRule="auto"/>
              <w:ind w:firstLine="480" w:firstLineChars="200"/>
              <w:jc w:val="left"/>
              <w:rPr>
                <w:sz w:val="24"/>
                <w:szCs w:val="20"/>
              </w:rPr>
            </w:pPr>
            <w:r>
              <w:rPr>
                <w:rFonts w:hint="eastAsia"/>
                <w:sz w:val="24"/>
                <w:szCs w:val="20"/>
              </w:rPr>
              <w:t>湘阴县环境监测站于2017年4月5日对湘阴县地表水水质进行了常规监测，设置湘江乌龙嘴断面。</w:t>
            </w:r>
            <w:r>
              <w:rPr>
                <w:sz w:val="24"/>
                <w:szCs w:val="20"/>
              </w:rPr>
              <w:t>监测结果见表7。</w:t>
            </w:r>
          </w:p>
          <w:p>
            <w:pPr>
              <w:autoSpaceDE w:val="0"/>
              <w:autoSpaceDN w:val="0"/>
              <w:adjustRightInd w:val="0"/>
              <w:jc w:val="center"/>
              <w:rPr>
                <w:b/>
                <w:kern w:val="0"/>
                <w:sz w:val="24"/>
              </w:rPr>
            </w:pPr>
            <w:r>
              <w:rPr>
                <w:rFonts w:hint="eastAsia"/>
                <w:b/>
                <w:kern w:val="0"/>
                <w:sz w:val="24"/>
              </w:rPr>
              <w:t>表</w:t>
            </w:r>
            <w:r>
              <w:rPr>
                <w:b/>
                <w:kern w:val="0"/>
                <w:sz w:val="24"/>
              </w:rPr>
              <w:t>7</w:t>
            </w:r>
            <w:r>
              <w:rPr>
                <w:rFonts w:hint="eastAsia"/>
                <w:b/>
                <w:kern w:val="0"/>
                <w:sz w:val="24"/>
              </w:rPr>
              <w:t xml:space="preserve"> </w:t>
            </w:r>
            <w:r>
              <w:rPr>
                <w:b/>
                <w:kern w:val="0"/>
                <w:sz w:val="24"/>
              </w:rPr>
              <w:t xml:space="preserve"> 地表水环境质量监测结果 单位：mg/L（pH除外）</w:t>
            </w:r>
          </w:p>
          <w:tbl>
            <w:tblPr>
              <w:tblStyle w:val="18"/>
              <w:tblW w:w="8296" w:type="dxa"/>
              <w:tblInd w:w="0" w:type="dxa"/>
              <w:tblLayout w:type="fixed"/>
              <w:tblCellMar>
                <w:top w:w="0" w:type="dxa"/>
                <w:left w:w="108" w:type="dxa"/>
                <w:bottom w:w="0" w:type="dxa"/>
                <w:right w:w="108" w:type="dxa"/>
              </w:tblCellMar>
            </w:tblPr>
            <w:tblGrid>
              <w:gridCol w:w="425"/>
              <w:gridCol w:w="945"/>
              <w:gridCol w:w="923"/>
              <w:gridCol w:w="679"/>
              <w:gridCol w:w="1105"/>
              <w:gridCol w:w="1105"/>
              <w:gridCol w:w="1105"/>
              <w:gridCol w:w="1105"/>
              <w:gridCol w:w="904"/>
            </w:tblGrid>
            <w:tr>
              <w:tblPrEx>
                <w:tblLayout w:type="fixed"/>
                <w:tblCellMar>
                  <w:top w:w="0" w:type="dxa"/>
                  <w:left w:w="108" w:type="dxa"/>
                  <w:bottom w:w="0" w:type="dxa"/>
                  <w:right w:w="108" w:type="dxa"/>
                </w:tblCellMar>
              </w:tblPrEx>
              <w:trPr>
                <w:trHeight w:val="283" w:hRule="atLeast"/>
              </w:trPr>
              <w:tc>
                <w:tcPr>
                  <w:tcW w:w="425"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spacing w:val="-20"/>
                      <w:sz w:val="21"/>
                      <w:szCs w:val="21"/>
                    </w:rPr>
                  </w:pPr>
                  <w:r>
                    <w:rPr>
                      <w:rFonts w:hAnsi="宋体"/>
                      <w:b/>
                      <w:bCs/>
                      <w:spacing w:val="-20"/>
                      <w:sz w:val="21"/>
                      <w:szCs w:val="21"/>
                    </w:rPr>
                    <w:t>监测点位</w:t>
                  </w:r>
                </w:p>
              </w:tc>
              <w:tc>
                <w:tcPr>
                  <w:tcW w:w="945" w:type="dxa"/>
                  <w:vMerge w:val="restart"/>
                  <w:tcBorders>
                    <w:top w:val="single" w:color="auto" w:sz="4" w:space="0"/>
                    <w:left w:val="nil"/>
                    <w:bottom w:val="single" w:color="auto" w:sz="4" w:space="0"/>
                    <w:right w:val="single" w:color="auto" w:sz="4" w:space="0"/>
                  </w:tcBorders>
                  <w:vAlign w:val="center"/>
                </w:tcPr>
                <w:p>
                  <w:pPr>
                    <w:jc w:val="center"/>
                    <w:rPr>
                      <w:b/>
                      <w:bCs/>
                      <w:sz w:val="21"/>
                      <w:szCs w:val="21"/>
                    </w:rPr>
                  </w:pPr>
                  <w:r>
                    <w:rPr>
                      <w:rFonts w:hAnsi="宋体"/>
                      <w:b/>
                      <w:bCs/>
                      <w:sz w:val="21"/>
                      <w:szCs w:val="21"/>
                    </w:rPr>
                    <w:t>监测</w:t>
                  </w:r>
                </w:p>
                <w:p>
                  <w:pPr>
                    <w:jc w:val="center"/>
                    <w:rPr>
                      <w:b/>
                      <w:bCs/>
                      <w:sz w:val="21"/>
                      <w:szCs w:val="21"/>
                    </w:rPr>
                  </w:pPr>
                  <w:r>
                    <w:rPr>
                      <w:rFonts w:hAnsi="宋体"/>
                      <w:b/>
                      <w:bCs/>
                      <w:sz w:val="21"/>
                      <w:szCs w:val="21"/>
                    </w:rPr>
                    <w:t>时间</w:t>
                  </w:r>
                </w:p>
              </w:tc>
              <w:tc>
                <w:tcPr>
                  <w:tcW w:w="923" w:type="dxa"/>
                  <w:vMerge w:val="restart"/>
                  <w:tcBorders>
                    <w:top w:val="single" w:color="auto" w:sz="4" w:space="0"/>
                    <w:left w:val="nil"/>
                    <w:bottom w:val="single" w:color="auto" w:sz="4" w:space="0"/>
                    <w:right w:val="single" w:color="auto" w:sz="4" w:space="0"/>
                  </w:tcBorders>
                  <w:vAlign w:val="center"/>
                </w:tcPr>
                <w:p>
                  <w:pPr>
                    <w:jc w:val="center"/>
                    <w:rPr>
                      <w:b/>
                      <w:bCs/>
                      <w:sz w:val="21"/>
                      <w:szCs w:val="21"/>
                    </w:rPr>
                  </w:pPr>
                  <w:r>
                    <w:rPr>
                      <w:rFonts w:hAnsi="宋体"/>
                      <w:b/>
                      <w:bCs/>
                      <w:sz w:val="21"/>
                      <w:szCs w:val="21"/>
                    </w:rPr>
                    <w:t>监测</w:t>
                  </w:r>
                </w:p>
                <w:p>
                  <w:pPr>
                    <w:jc w:val="center"/>
                    <w:rPr>
                      <w:b/>
                      <w:bCs/>
                      <w:sz w:val="21"/>
                      <w:szCs w:val="21"/>
                    </w:rPr>
                  </w:pPr>
                  <w:r>
                    <w:rPr>
                      <w:rFonts w:hAnsi="宋体"/>
                      <w:b/>
                      <w:bCs/>
                      <w:sz w:val="21"/>
                      <w:szCs w:val="21"/>
                    </w:rPr>
                    <w:t>项目</w:t>
                  </w:r>
                </w:p>
              </w:tc>
              <w:tc>
                <w:tcPr>
                  <w:tcW w:w="679" w:type="dxa"/>
                  <w:vMerge w:val="restart"/>
                  <w:tcBorders>
                    <w:top w:val="single" w:color="auto" w:sz="4" w:space="0"/>
                    <w:left w:val="nil"/>
                    <w:bottom w:val="single" w:color="auto" w:sz="4" w:space="0"/>
                    <w:right w:val="single" w:color="auto" w:sz="4" w:space="0"/>
                  </w:tcBorders>
                  <w:vAlign w:val="center"/>
                </w:tcPr>
                <w:p>
                  <w:pPr>
                    <w:spacing w:line="360" w:lineRule="auto"/>
                    <w:jc w:val="center"/>
                    <w:rPr>
                      <w:b/>
                      <w:bCs/>
                      <w:sz w:val="21"/>
                      <w:szCs w:val="21"/>
                    </w:rPr>
                  </w:pPr>
                  <w:r>
                    <w:rPr>
                      <w:rFonts w:hAnsi="宋体"/>
                      <w:b/>
                      <w:bCs/>
                      <w:sz w:val="21"/>
                      <w:szCs w:val="21"/>
                    </w:rPr>
                    <w:t>单位</w:t>
                  </w:r>
                </w:p>
              </w:tc>
              <w:tc>
                <w:tcPr>
                  <w:tcW w:w="4420" w:type="dxa"/>
                  <w:gridSpan w:val="4"/>
                  <w:tcBorders>
                    <w:top w:val="single" w:color="auto" w:sz="4" w:space="0"/>
                    <w:left w:val="nil"/>
                    <w:bottom w:val="single" w:color="auto" w:sz="4" w:space="0"/>
                    <w:right w:val="single" w:color="auto" w:sz="4" w:space="0"/>
                  </w:tcBorders>
                  <w:vAlign w:val="center"/>
                </w:tcPr>
                <w:p>
                  <w:pPr>
                    <w:spacing w:line="360" w:lineRule="auto"/>
                    <w:jc w:val="center"/>
                    <w:rPr>
                      <w:b/>
                      <w:bCs/>
                      <w:sz w:val="21"/>
                      <w:szCs w:val="21"/>
                    </w:rPr>
                  </w:pPr>
                  <w:r>
                    <w:rPr>
                      <w:rFonts w:hAnsi="宋体"/>
                      <w:b/>
                      <w:bCs/>
                      <w:sz w:val="21"/>
                      <w:szCs w:val="21"/>
                    </w:rPr>
                    <w:t>监测结果</w:t>
                  </w:r>
                </w:p>
              </w:tc>
              <w:tc>
                <w:tcPr>
                  <w:tcW w:w="904" w:type="dxa"/>
                  <w:vMerge w:val="restart"/>
                  <w:tcBorders>
                    <w:top w:val="single" w:color="auto" w:sz="4" w:space="0"/>
                    <w:left w:val="nil"/>
                    <w:bottom w:val="single" w:color="auto" w:sz="4" w:space="0"/>
                    <w:right w:val="single" w:color="auto" w:sz="4" w:space="0"/>
                  </w:tcBorders>
                  <w:vAlign w:val="center"/>
                </w:tcPr>
                <w:p>
                  <w:pPr>
                    <w:spacing w:line="360" w:lineRule="auto"/>
                    <w:jc w:val="center"/>
                    <w:rPr>
                      <w:b/>
                      <w:bCs/>
                      <w:sz w:val="21"/>
                      <w:szCs w:val="21"/>
                    </w:rPr>
                  </w:pPr>
                  <w:r>
                    <w:rPr>
                      <w:rFonts w:hAnsi="宋体"/>
                      <w:b/>
                      <w:bCs/>
                      <w:sz w:val="21"/>
                      <w:szCs w:val="21"/>
                    </w:rPr>
                    <w:t>标准值</w:t>
                  </w:r>
                </w:p>
              </w:tc>
            </w:tr>
            <w:tr>
              <w:tblPrEx>
                <w:tblLayout w:type="fixed"/>
                <w:tblCellMar>
                  <w:top w:w="0" w:type="dxa"/>
                  <w:left w:w="108" w:type="dxa"/>
                  <w:bottom w:w="0" w:type="dxa"/>
                  <w:right w:w="108" w:type="dxa"/>
                </w:tblCellMar>
              </w:tblPrEx>
              <w:trPr>
                <w:trHeight w:val="283" w:hRule="atLeast"/>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pacing w:val="-20"/>
                      <w:sz w:val="21"/>
                      <w:szCs w:val="21"/>
                    </w:rPr>
                  </w:pPr>
                </w:p>
              </w:tc>
              <w:tc>
                <w:tcPr>
                  <w:tcW w:w="945" w:type="dxa"/>
                  <w:vMerge w:val="continue"/>
                  <w:tcBorders>
                    <w:top w:val="single" w:color="auto" w:sz="4" w:space="0"/>
                    <w:left w:val="nil"/>
                    <w:bottom w:val="single" w:color="auto" w:sz="4" w:space="0"/>
                    <w:right w:val="single" w:color="auto" w:sz="4" w:space="0"/>
                  </w:tcBorders>
                  <w:vAlign w:val="center"/>
                </w:tcPr>
                <w:p>
                  <w:pPr>
                    <w:widowControl/>
                    <w:jc w:val="center"/>
                    <w:rPr>
                      <w:sz w:val="21"/>
                      <w:szCs w:val="21"/>
                    </w:rPr>
                  </w:pPr>
                </w:p>
              </w:tc>
              <w:tc>
                <w:tcPr>
                  <w:tcW w:w="923" w:type="dxa"/>
                  <w:vMerge w:val="continue"/>
                  <w:tcBorders>
                    <w:top w:val="single" w:color="auto" w:sz="4" w:space="0"/>
                    <w:left w:val="nil"/>
                    <w:bottom w:val="single" w:color="auto" w:sz="4" w:space="0"/>
                    <w:right w:val="single" w:color="auto" w:sz="4" w:space="0"/>
                  </w:tcBorders>
                  <w:vAlign w:val="center"/>
                </w:tcPr>
                <w:p>
                  <w:pPr>
                    <w:widowControl/>
                    <w:jc w:val="center"/>
                    <w:rPr>
                      <w:sz w:val="21"/>
                      <w:szCs w:val="21"/>
                    </w:rPr>
                  </w:pPr>
                </w:p>
              </w:tc>
              <w:tc>
                <w:tcPr>
                  <w:tcW w:w="679" w:type="dxa"/>
                  <w:vMerge w:val="continue"/>
                  <w:tcBorders>
                    <w:top w:val="single" w:color="auto" w:sz="4" w:space="0"/>
                    <w:left w:val="nil"/>
                    <w:bottom w:val="single" w:color="auto" w:sz="4" w:space="0"/>
                    <w:right w:val="single" w:color="auto" w:sz="4" w:space="0"/>
                  </w:tcBorders>
                  <w:vAlign w:val="center"/>
                </w:tcPr>
                <w:p>
                  <w:pPr>
                    <w:widowControl/>
                    <w:jc w:val="center"/>
                    <w:rPr>
                      <w:sz w:val="21"/>
                      <w:szCs w:val="21"/>
                    </w:rPr>
                  </w:pP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b/>
                      <w:bCs/>
                      <w:sz w:val="21"/>
                      <w:szCs w:val="21"/>
                    </w:rPr>
                  </w:pPr>
                  <w:r>
                    <w:rPr>
                      <w:rFonts w:hAnsi="宋体"/>
                      <w:b/>
                      <w:bCs/>
                      <w:sz w:val="21"/>
                      <w:szCs w:val="21"/>
                    </w:rPr>
                    <w:t>左</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b/>
                      <w:bCs/>
                      <w:sz w:val="21"/>
                      <w:szCs w:val="21"/>
                    </w:rPr>
                  </w:pPr>
                  <w:r>
                    <w:rPr>
                      <w:rFonts w:hAnsi="宋体"/>
                      <w:b/>
                      <w:bCs/>
                      <w:sz w:val="21"/>
                      <w:szCs w:val="21"/>
                    </w:rPr>
                    <w:t>中</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b/>
                      <w:bCs/>
                      <w:sz w:val="21"/>
                      <w:szCs w:val="21"/>
                    </w:rPr>
                  </w:pPr>
                  <w:r>
                    <w:rPr>
                      <w:rFonts w:hAnsi="宋体"/>
                      <w:b/>
                      <w:bCs/>
                      <w:sz w:val="21"/>
                      <w:szCs w:val="21"/>
                    </w:rPr>
                    <w:t>右</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b/>
                      <w:bCs/>
                      <w:sz w:val="21"/>
                      <w:szCs w:val="21"/>
                    </w:rPr>
                  </w:pPr>
                  <w:r>
                    <w:rPr>
                      <w:rFonts w:hAnsi="宋体"/>
                      <w:b/>
                      <w:bCs/>
                      <w:sz w:val="21"/>
                      <w:szCs w:val="21"/>
                    </w:rPr>
                    <w:t>均值</w:t>
                  </w:r>
                </w:p>
              </w:tc>
              <w:tc>
                <w:tcPr>
                  <w:tcW w:w="904" w:type="dxa"/>
                  <w:vMerge w:val="continue"/>
                  <w:tcBorders>
                    <w:top w:val="single" w:color="auto" w:sz="4" w:space="0"/>
                    <w:left w:val="nil"/>
                    <w:bottom w:val="single" w:color="auto" w:sz="4" w:space="0"/>
                    <w:right w:val="single" w:color="auto" w:sz="4" w:space="0"/>
                  </w:tcBorders>
                  <w:vAlign w:val="center"/>
                </w:tcPr>
                <w:p>
                  <w:pPr>
                    <w:widowControl/>
                    <w:jc w:val="center"/>
                    <w:rPr>
                      <w:sz w:val="21"/>
                      <w:szCs w:val="21"/>
                    </w:rPr>
                  </w:pPr>
                </w:p>
              </w:tc>
            </w:tr>
            <w:tr>
              <w:tblPrEx>
                <w:tblLayout w:type="fixed"/>
                <w:tblCellMar>
                  <w:top w:w="0" w:type="dxa"/>
                  <w:left w:w="108" w:type="dxa"/>
                  <w:bottom w:w="0" w:type="dxa"/>
                  <w:right w:w="108" w:type="dxa"/>
                </w:tblCellMar>
              </w:tblPrEx>
              <w:trPr>
                <w:trHeight w:val="429" w:hRule="atLeast"/>
              </w:trPr>
              <w:tc>
                <w:tcPr>
                  <w:tcW w:w="425" w:type="dxa"/>
                  <w:vMerge w:val="restart"/>
                  <w:tcBorders>
                    <w:top w:val="nil"/>
                    <w:left w:val="single" w:color="auto" w:sz="4" w:space="0"/>
                    <w:bottom w:val="single" w:color="auto" w:sz="4" w:space="0"/>
                    <w:right w:val="single" w:color="auto" w:sz="4" w:space="0"/>
                  </w:tcBorders>
                  <w:vAlign w:val="center"/>
                </w:tcPr>
                <w:p>
                  <w:pPr>
                    <w:spacing w:line="360" w:lineRule="auto"/>
                    <w:jc w:val="center"/>
                    <w:rPr>
                      <w:sz w:val="21"/>
                      <w:szCs w:val="21"/>
                    </w:rPr>
                  </w:pPr>
                  <w:r>
                    <w:rPr>
                      <w:rFonts w:hAnsi="宋体"/>
                      <w:sz w:val="21"/>
                      <w:szCs w:val="21"/>
                    </w:rPr>
                    <w:t>乌龙嘴断面</w:t>
                  </w:r>
                </w:p>
              </w:tc>
              <w:tc>
                <w:tcPr>
                  <w:tcW w:w="945" w:type="dxa"/>
                  <w:vMerge w:val="restart"/>
                  <w:tcBorders>
                    <w:top w:val="nil"/>
                    <w:left w:val="nil"/>
                    <w:bottom w:val="single" w:color="auto" w:sz="4" w:space="0"/>
                    <w:right w:val="single" w:color="auto" w:sz="4" w:space="0"/>
                  </w:tcBorders>
                  <w:vAlign w:val="center"/>
                </w:tcPr>
                <w:p>
                  <w:pPr>
                    <w:spacing w:line="360" w:lineRule="auto"/>
                    <w:jc w:val="center"/>
                    <w:rPr>
                      <w:sz w:val="21"/>
                      <w:szCs w:val="21"/>
                    </w:rPr>
                  </w:pPr>
                  <w:r>
                    <w:rPr>
                      <w:sz w:val="21"/>
                      <w:szCs w:val="21"/>
                    </w:rPr>
                    <w:t>2017.4.5</w:t>
                  </w:r>
                </w:p>
              </w:tc>
              <w:tc>
                <w:tcPr>
                  <w:tcW w:w="923"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rFonts w:hAnsi="宋体"/>
                      <w:sz w:val="21"/>
                      <w:szCs w:val="21"/>
                    </w:rPr>
                    <w:t>水温</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rFonts w:hAnsi="宋体"/>
                      <w:sz w:val="21"/>
                      <w:szCs w:val="21"/>
                    </w:rPr>
                    <w:t>℃</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17.5</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17.5</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17.5</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17.5</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rFonts w:hAnsi="宋体"/>
                      <w:kern w:val="0"/>
                      <w:sz w:val="21"/>
                      <w:szCs w:val="21"/>
                    </w:rPr>
                    <w:t>电导率</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ms/m</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20.3</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21.9</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22.6</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21.6</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pH</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rFonts w:hAnsi="宋体"/>
                      <w:sz w:val="21"/>
                      <w:szCs w:val="21"/>
                    </w:rPr>
                    <w:t>无量纲</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6.72</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6.45</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6.49</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6.55</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6~9</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kern w:val="0"/>
                      <w:sz w:val="21"/>
                      <w:szCs w:val="21"/>
                    </w:rPr>
                    <w:t>DO</w:t>
                  </w:r>
                </w:p>
              </w:tc>
              <w:tc>
                <w:tcPr>
                  <w:tcW w:w="67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7.97</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7.81</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6.67</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7.48</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≥5</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CODmn</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2.21</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2.14</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2.36</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2.24</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≤6</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CODcr</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12.1</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11.4</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12.9</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12.1</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≤20</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kern w:val="0"/>
                      <w:sz w:val="21"/>
                      <w:szCs w:val="21"/>
                    </w:rPr>
                    <w:t>BOD</w:t>
                  </w:r>
                  <w:r>
                    <w:rPr>
                      <w:kern w:val="0"/>
                      <w:sz w:val="21"/>
                      <w:szCs w:val="21"/>
                      <w:vertAlign w:val="subscript"/>
                    </w:rPr>
                    <w:t>5</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2.42</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2.28</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2.58</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2.43</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≤4</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rFonts w:hAnsi="宋体"/>
                      <w:kern w:val="0"/>
                      <w:sz w:val="21"/>
                      <w:szCs w:val="21"/>
                    </w:rPr>
                    <w:t>氨氮</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0.387</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0.373</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0.390</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0.383</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≤1.0</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rFonts w:hAnsi="宋体"/>
                      <w:kern w:val="0"/>
                      <w:sz w:val="21"/>
                      <w:szCs w:val="21"/>
                    </w:rPr>
                    <w:t>总磷</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0.019</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0.020</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0.020</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0.020</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≤0.2</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240" w:lineRule="atLeast"/>
                    <w:jc w:val="center"/>
                    <w:rPr>
                      <w:kern w:val="0"/>
                      <w:sz w:val="21"/>
                      <w:szCs w:val="21"/>
                    </w:rPr>
                  </w:pPr>
                  <w:r>
                    <w:rPr>
                      <w:rFonts w:hAnsi="宋体"/>
                      <w:kern w:val="0"/>
                      <w:sz w:val="21"/>
                      <w:szCs w:val="21"/>
                    </w:rPr>
                    <w:t>铜</w:t>
                  </w:r>
                </w:p>
              </w:tc>
              <w:tc>
                <w:tcPr>
                  <w:tcW w:w="67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0.001ND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0.001ND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0.001ND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0.001ND</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≤1.0</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240" w:lineRule="atLeast"/>
                    <w:jc w:val="center"/>
                    <w:rPr>
                      <w:kern w:val="0"/>
                      <w:sz w:val="21"/>
                      <w:szCs w:val="21"/>
                    </w:rPr>
                  </w:pPr>
                  <w:r>
                    <w:rPr>
                      <w:rFonts w:hAnsi="宋体"/>
                      <w:kern w:val="0"/>
                      <w:sz w:val="21"/>
                      <w:szCs w:val="21"/>
                    </w:rPr>
                    <w:t>锌</w:t>
                  </w:r>
                </w:p>
              </w:tc>
              <w:tc>
                <w:tcPr>
                  <w:tcW w:w="67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0.01</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0.01</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0.01</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0.01</w:t>
                  </w:r>
                </w:p>
              </w:tc>
              <w:tc>
                <w:tcPr>
                  <w:tcW w:w="904"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≤1.0</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rFonts w:hAnsi="宋体"/>
                      <w:kern w:val="0"/>
                      <w:sz w:val="21"/>
                      <w:szCs w:val="21"/>
                    </w:rPr>
                    <w:t>氟化物</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0.20</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0.19</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0.19</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0.19</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≤1.0</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240" w:lineRule="atLeast"/>
                    <w:jc w:val="center"/>
                    <w:rPr>
                      <w:kern w:val="0"/>
                      <w:sz w:val="21"/>
                      <w:szCs w:val="21"/>
                    </w:rPr>
                  </w:pPr>
                  <w:r>
                    <w:rPr>
                      <w:rFonts w:hAnsi="宋体"/>
                      <w:kern w:val="0"/>
                      <w:sz w:val="21"/>
                      <w:szCs w:val="21"/>
                    </w:rPr>
                    <w:t>硒</w:t>
                  </w:r>
                </w:p>
              </w:tc>
              <w:tc>
                <w:tcPr>
                  <w:tcW w:w="67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0.0004ND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0.0004ND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0.0004ND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0.0004ND</w:t>
                  </w:r>
                </w:p>
              </w:tc>
              <w:tc>
                <w:tcPr>
                  <w:tcW w:w="904"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≤0.01</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240" w:lineRule="atLeast"/>
                    <w:jc w:val="center"/>
                    <w:rPr>
                      <w:kern w:val="0"/>
                      <w:sz w:val="21"/>
                      <w:szCs w:val="21"/>
                    </w:rPr>
                  </w:pPr>
                  <w:r>
                    <w:rPr>
                      <w:rFonts w:hAnsi="宋体"/>
                      <w:kern w:val="0"/>
                      <w:sz w:val="21"/>
                      <w:szCs w:val="21"/>
                    </w:rPr>
                    <w:t>砷</w:t>
                  </w:r>
                </w:p>
              </w:tc>
              <w:tc>
                <w:tcPr>
                  <w:tcW w:w="67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0.0003ND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0.0003ND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0.0003ND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0.0003ND</w:t>
                  </w:r>
                </w:p>
              </w:tc>
              <w:tc>
                <w:tcPr>
                  <w:tcW w:w="904"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≤0.05</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240" w:lineRule="atLeast"/>
                    <w:jc w:val="center"/>
                    <w:rPr>
                      <w:kern w:val="0"/>
                      <w:sz w:val="21"/>
                      <w:szCs w:val="21"/>
                    </w:rPr>
                  </w:pPr>
                  <w:r>
                    <w:rPr>
                      <w:rFonts w:hAnsi="宋体"/>
                      <w:kern w:val="0"/>
                      <w:sz w:val="21"/>
                      <w:szCs w:val="21"/>
                    </w:rPr>
                    <w:t>汞</w:t>
                  </w:r>
                </w:p>
              </w:tc>
              <w:tc>
                <w:tcPr>
                  <w:tcW w:w="67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pacing w:val="-10"/>
                      <w:sz w:val="21"/>
                      <w:szCs w:val="21"/>
                    </w:rPr>
                  </w:pPr>
                  <w:r>
                    <w:rPr>
                      <w:spacing w:val="-10"/>
                      <w:sz w:val="21"/>
                      <w:szCs w:val="21"/>
                    </w:rPr>
                    <w:t>0.00004ND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pacing w:val="-10"/>
                      <w:sz w:val="21"/>
                      <w:szCs w:val="21"/>
                    </w:rPr>
                  </w:pPr>
                  <w:r>
                    <w:rPr>
                      <w:spacing w:val="-10"/>
                      <w:sz w:val="21"/>
                      <w:szCs w:val="21"/>
                    </w:rPr>
                    <w:t>0.00004ND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pacing w:val="-10"/>
                      <w:sz w:val="21"/>
                      <w:szCs w:val="21"/>
                    </w:rPr>
                  </w:pPr>
                  <w:r>
                    <w:rPr>
                      <w:spacing w:val="-10"/>
                      <w:sz w:val="21"/>
                      <w:szCs w:val="21"/>
                    </w:rPr>
                    <w:t>0.00004ND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pacing w:val="-10"/>
                      <w:sz w:val="21"/>
                      <w:szCs w:val="21"/>
                    </w:rPr>
                  </w:pPr>
                  <w:r>
                    <w:rPr>
                      <w:spacing w:val="-10"/>
                      <w:sz w:val="21"/>
                      <w:szCs w:val="21"/>
                    </w:rPr>
                    <w:t>0.00004ND</w:t>
                  </w:r>
                </w:p>
              </w:tc>
              <w:tc>
                <w:tcPr>
                  <w:tcW w:w="904"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≤0.0001</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240" w:lineRule="atLeast"/>
                    <w:jc w:val="center"/>
                    <w:rPr>
                      <w:kern w:val="0"/>
                      <w:sz w:val="21"/>
                      <w:szCs w:val="21"/>
                    </w:rPr>
                  </w:pPr>
                  <w:r>
                    <w:rPr>
                      <w:rFonts w:hAnsi="宋体"/>
                      <w:kern w:val="0"/>
                      <w:sz w:val="21"/>
                      <w:szCs w:val="21"/>
                    </w:rPr>
                    <w:t>镉</w:t>
                  </w:r>
                </w:p>
              </w:tc>
              <w:tc>
                <w:tcPr>
                  <w:tcW w:w="67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0.0001ND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0.0001ND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0.0001ND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0.0001ND</w:t>
                  </w:r>
                </w:p>
              </w:tc>
              <w:tc>
                <w:tcPr>
                  <w:tcW w:w="904"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≤0.005</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rFonts w:hAnsi="宋体"/>
                      <w:kern w:val="0"/>
                      <w:sz w:val="21"/>
                      <w:szCs w:val="21"/>
                    </w:rPr>
                    <w:t>六价铬</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0.004ND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0.004ND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0.004ND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0.004ND</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≤0.05</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240" w:lineRule="atLeast"/>
                    <w:jc w:val="center"/>
                    <w:rPr>
                      <w:kern w:val="0"/>
                      <w:sz w:val="21"/>
                      <w:szCs w:val="21"/>
                    </w:rPr>
                  </w:pPr>
                  <w:r>
                    <w:rPr>
                      <w:rFonts w:hAnsi="宋体"/>
                      <w:kern w:val="0"/>
                      <w:sz w:val="21"/>
                      <w:szCs w:val="21"/>
                    </w:rPr>
                    <w:t>铅</w:t>
                  </w:r>
                </w:p>
              </w:tc>
              <w:tc>
                <w:tcPr>
                  <w:tcW w:w="679"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0.001ND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0.001ND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0.001ND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0.001ND</w:t>
                  </w:r>
                </w:p>
              </w:tc>
              <w:tc>
                <w:tcPr>
                  <w:tcW w:w="904"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≤0.05</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rFonts w:hAnsi="宋体"/>
                      <w:kern w:val="0"/>
                      <w:sz w:val="21"/>
                      <w:szCs w:val="21"/>
                    </w:rPr>
                    <w:t>氰化物</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0.004ND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0.004ND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0.004ND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0.004ND</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≤0.2</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rFonts w:hAnsi="宋体"/>
                      <w:kern w:val="0"/>
                      <w:sz w:val="21"/>
                      <w:szCs w:val="21"/>
                    </w:rPr>
                    <w:t>挥发酚</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0.0003ND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0.0003ND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0.0003ND</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0.0003ND</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≤0.005</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rFonts w:hAnsi="宋体"/>
                      <w:kern w:val="0"/>
                      <w:sz w:val="21"/>
                      <w:szCs w:val="21"/>
                    </w:rPr>
                    <w:t>石油类</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0.02</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0.02</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0.02</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0.02</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≤0.05</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kern w:val="0"/>
                      <w:sz w:val="21"/>
                      <w:szCs w:val="21"/>
                    </w:rPr>
                    <w:t>LAS</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0.05ND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0.05ND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0.05ND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0.05ND</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≤0.2</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480" w:lineRule="exact"/>
                    <w:jc w:val="center"/>
                    <w:rPr>
                      <w:kern w:val="0"/>
                      <w:sz w:val="21"/>
                      <w:szCs w:val="21"/>
                    </w:rPr>
                  </w:pPr>
                  <w:r>
                    <w:rPr>
                      <w:rFonts w:hAnsi="宋体"/>
                      <w:kern w:val="0"/>
                      <w:sz w:val="21"/>
                      <w:szCs w:val="21"/>
                    </w:rPr>
                    <w:t>硫化物</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mg/L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0.005ND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0.005ND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0.005ND</w:t>
                  </w:r>
                </w:p>
              </w:tc>
              <w:tc>
                <w:tcPr>
                  <w:tcW w:w="1105" w:type="dxa"/>
                  <w:tcBorders>
                    <w:top w:val="single" w:color="auto" w:sz="4" w:space="0"/>
                    <w:left w:val="nil"/>
                    <w:bottom w:val="single" w:color="auto" w:sz="4" w:space="0"/>
                    <w:right w:val="single" w:color="auto" w:sz="4" w:space="0"/>
                  </w:tcBorders>
                  <w:vAlign w:val="center"/>
                </w:tcPr>
                <w:p>
                  <w:pPr>
                    <w:jc w:val="center"/>
                    <w:rPr>
                      <w:sz w:val="21"/>
                      <w:szCs w:val="21"/>
                    </w:rPr>
                  </w:pPr>
                  <w:r>
                    <w:rPr>
                      <w:sz w:val="21"/>
                      <w:szCs w:val="21"/>
                    </w:rPr>
                    <w:t>0.005ND</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≤0.2</w:t>
                  </w:r>
                </w:p>
              </w:tc>
            </w:tr>
            <w:tr>
              <w:tblPrEx>
                <w:tblLayout w:type="fixed"/>
                <w:tblCellMar>
                  <w:top w:w="0" w:type="dxa"/>
                  <w:left w:w="108" w:type="dxa"/>
                  <w:bottom w:w="0" w:type="dxa"/>
                  <w:right w:w="108" w:type="dxa"/>
                </w:tblCellMar>
              </w:tblPrEx>
              <w:trPr>
                <w:trHeight w:val="429"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center"/>
                    <w:rPr>
                      <w:sz w:val="21"/>
                      <w:szCs w:val="21"/>
                    </w:rPr>
                  </w:pPr>
                </w:p>
              </w:tc>
              <w:tc>
                <w:tcPr>
                  <w:tcW w:w="945" w:type="dxa"/>
                  <w:vMerge w:val="continue"/>
                  <w:tcBorders>
                    <w:top w:val="nil"/>
                    <w:left w:val="nil"/>
                    <w:bottom w:val="single" w:color="auto" w:sz="4" w:space="0"/>
                    <w:right w:val="single" w:color="auto" w:sz="4" w:space="0"/>
                  </w:tcBorders>
                  <w:vAlign w:val="center"/>
                </w:tcPr>
                <w:p>
                  <w:pPr>
                    <w:widowControl/>
                    <w:jc w:val="center"/>
                    <w:rPr>
                      <w:sz w:val="21"/>
                      <w:szCs w:val="21"/>
                    </w:rPr>
                  </w:pPr>
                </w:p>
              </w:tc>
              <w:tc>
                <w:tcPr>
                  <w:tcW w:w="923" w:type="dxa"/>
                  <w:tcBorders>
                    <w:top w:val="single" w:color="auto" w:sz="4" w:space="0"/>
                    <w:left w:val="nil"/>
                    <w:bottom w:val="single" w:color="auto" w:sz="4" w:space="0"/>
                    <w:right w:val="single" w:color="auto" w:sz="4" w:space="0"/>
                  </w:tcBorders>
                  <w:vAlign w:val="center"/>
                </w:tcPr>
                <w:p>
                  <w:pPr>
                    <w:spacing w:line="240" w:lineRule="atLeast"/>
                    <w:jc w:val="center"/>
                    <w:rPr>
                      <w:kern w:val="0"/>
                      <w:sz w:val="21"/>
                      <w:szCs w:val="21"/>
                    </w:rPr>
                  </w:pPr>
                  <w:r>
                    <w:rPr>
                      <w:rFonts w:hAnsi="宋体"/>
                      <w:kern w:val="0"/>
                      <w:sz w:val="21"/>
                      <w:szCs w:val="21"/>
                    </w:rPr>
                    <w:t>粪大肠菌群</w:t>
                  </w:r>
                </w:p>
              </w:tc>
              <w:tc>
                <w:tcPr>
                  <w:tcW w:w="679"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rFonts w:hAnsi="宋体"/>
                      <w:sz w:val="21"/>
                      <w:szCs w:val="21"/>
                    </w:rPr>
                    <w:t>个</w:t>
                  </w:r>
                  <w:r>
                    <w:rPr>
                      <w:sz w:val="21"/>
                      <w:szCs w:val="21"/>
                    </w:rPr>
                    <w:t>/L</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2800</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2200</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1700</w:t>
                  </w:r>
                </w:p>
              </w:tc>
              <w:tc>
                <w:tcPr>
                  <w:tcW w:w="1105"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2233</w:t>
                  </w:r>
                </w:p>
              </w:tc>
              <w:tc>
                <w:tcPr>
                  <w:tcW w:w="904" w:type="dxa"/>
                  <w:tcBorders>
                    <w:top w:val="single" w:color="auto" w:sz="4" w:space="0"/>
                    <w:left w:val="nil"/>
                    <w:bottom w:val="single" w:color="auto" w:sz="4" w:space="0"/>
                    <w:right w:val="single" w:color="auto" w:sz="4" w:space="0"/>
                  </w:tcBorders>
                  <w:vAlign w:val="center"/>
                </w:tcPr>
                <w:p>
                  <w:pPr>
                    <w:spacing w:line="360" w:lineRule="auto"/>
                    <w:jc w:val="center"/>
                    <w:rPr>
                      <w:sz w:val="21"/>
                      <w:szCs w:val="21"/>
                    </w:rPr>
                  </w:pPr>
                  <w:r>
                    <w:rPr>
                      <w:sz w:val="21"/>
                      <w:szCs w:val="21"/>
                    </w:rPr>
                    <w:t>≤10000</w:t>
                  </w:r>
                </w:p>
              </w:tc>
            </w:tr>
          </w:tbl>
          <w:p>
            <w:pPr>
              <w:adjustRightInd w:val="0"/>
              <w:snapToGrid w:val="0"/>
              <w:spacing w:line="360" w:lineRule="auto"/>
              <w:ind w:firstLine="480" w:firstLineChars="200"/>
              <w:rPr>
                <w:kern w:val="0"/>
                <w:sz w:val="24"/>
                <w:szCs w:val="20"/>
              </w:rPr>
            </w:pPr>
            <w:r>
              <w:rPr>
                <w:kern w:val="0"/>
                <w:sz w:val="24"/>
                <w:szCs w:val="20"/>
              </w:rPr>
              <w:t>监测结果表明，</w:t>
            </w:r>
            <w:r>
              <w:rPr>
                <w:rFonts w:hint="eastAsia"/>
                <w:kern w:val="0"/>
                <w:sz w:val="24"/>
                <w:szCs w:val="20"/>
              </w:rPr>
              <w:t>乌龙嘴断面的水环境各项指标能够达到《地表水环境质量标准》（GB3838-2002）中Ⅲ类水质标准要求，湘江湘阴段水环境质量良好</w:t>
            </w:r>
            <w:r>
              <w:rPr>
                <w:kern w:val="0"/>
                <w:sz w:val="24"/>
                <w:szCs w:val="20"/>
              </w:rPr>
              <w:t>。</w:t>
            </w:r>
          </w:p>
          <w:p>
            <w:pPr>
              <w:adjustRightInd w:val="0"/>
              <w:snapToGrid w:val="0"/>
              <w:spacing w:line="440" w:lineRule="exact"/>
              <w:ind w:firstLine="482" w:firstLineChars="200"/>
              <w:rPr>
                <w:b/>
                <w:sz w:val="24"/>
              </w:rPr>
            </w:pPr>
            <w:r>
              <w:rPr>
                <w:b/>
                <w:sz w:val="24"/>
              </w:rPr>
              <w:t>3、声环境质量现状调查</w:t>
            </w:r>
          </w:p>
          <w:p>
            <w:pPr>
              <w:pStyle w:val="43"/>
              <w:spacing w:line="440" w:lineRule="exact"/>
              <w:ind w:firstLine="480" w:firstLineChars="200"/>
              <w:rPr>
                <w:sz w:val="24"/>
              </w:rPr>
            </w:pPr>
            <w:r>
              <w:rPr>
                <w:sz w:val="24"/>
              </w:rPr>
              <w:t>为了解项目所在区域声环境质量现状，本项目委托</w:t>
            </w:r>
            <w:r>
              <w:rPr>
                <w:rFonts w:hint="eastAsia"/>
                <w:sz w:val="24"/>
              </w:rPr>
              <w:t>永蓝科技</w:t>
            </w:r>
            <w:r>
              <w:rPr>
                <w:sz w:val="24"/>
              </w:rPr>
              <w:t>有限公司于2019年</w:t>
            </w:r>
            <w:r>
              <w:rPr>
                <w:rFonts w:hint="eastAsia"/>
                <w:sz w:val="24"/>
              </w:rPr>
              <w:t>2</w:t>
            </w:r>
            <w:r>
              <w:rPr>
                <w:sz w:val="24"/>
              </w:rPr>
              <w:t>月18日~19日对项目场址周围进行了一期噪声现场监测。</w:t>
            </w:r>
          </w:p>
          <w:p>
            <w:pPr>
              <w:pStyle w:val="43"/>
              <w:spacing w:line="440" w:lineRule="exact"/>
              <w:ind w:left="482"/>
              <w:rPr>
                <w:sz w:val="24"/>
              </w:rPr>
            </w:pPr>
            <w:r>
              <w:rPr>
                <w:rFonts w:hint="eastAsia" w:ascii="宋体" w:hAnsi="宋体" w:cs="宋体"/>
                <w:b/>
                <w:sz w:val="24"/>
              </w:rPr>
              <w:t>①</w:t>
            </w:r>
            <w:r>
              <w:rPr>
                <w:b/>
                <w:sz w:val="24"/>
              </w:rPr>
              <w:t>监测布点：</w:t>
            </w:r>
            <w:r>
              <w:rPr>
                <w:sz w:val="24"/>
              </w:rPr>
              <w:t>本项目场界东、南、西、北外1m处。</w:t>
            </w:r>
          </w:p>
          <w:p>
            <w:pPr>
              <w:pStyle w:val="43"/>
              <w:spacing w:line="440" w:lineRule="exact"/>
              <w:ind w:firstLine="482" w:firstLineChars="200"/>
              <w:rPr>
                <w:sz w:val="24"/>
              </w:rPr>
            </w:pPr>
            <w:r>
              <w:rPr>
                <w:b/>
                <w:sz w:val="24"/>
              </w:rPr>
              <w:fldChar w:fldCharType="begin"/>
            </w:r>
            <w:r>
              <w:rPr>
                <w:b/>
                <w:sz w:val="24"/>
              </w:rPr>
              <w:instrText xml:space="preserve"> = 2 \* GB3 </w:instrText>
            </w:r>
            <w:r>
              <w:rPr>
                <w:b/>
                <w:sz w:val="24"/>
              </w:rPr>
              <w:fldChar w:fldCharType="separate"/>
            </w:r>
            <w:r>
              <w:rPr>
                <w:rFonts w:hint="eastAsia" w:ascii="宋体" w:hAnsi="宋体" w:cs="宋体"/>
                <w:b/>
                <w:sz w:val="24"/>
              </w:rPr>
              <w:t>②</w:t>
            </w:r>
            <w:r>
              <w:rPr>
                <w:b/>
                <w:sz w:val="24"/>
              </w:rPr>
              <w:fldChar w:fldCharType="end"/>
            </w:r>
            <w:r>
              <w:rPr>
                <w:b/>
                <w:sz w:val="24"/>
              </w:rPr>
              <w:t>监测因子：</w:t>
            </w:r>
            <w:r>
              <w:rPr>
                <w:sz w:val="24"/>
              </w:rPr>
              <w:t>Leq(A)。</w:t>
            </w:r>
          </w:p>
          <w:p>
            <w:pPr>
              <w:pStyle w:val="43"/>
              <w:spacing w:line="440" w:lineRule="exact"/>
              <w:ind w:firstLine="482" w:firstLineChars="200"/>
              <w:rPr>
                <w:sz w:val="24"/>
              </w:rPr>
            </w:pPr>
            <w:r>
              <w:rPr>
                <w:rFonts w:hint="eastAsia" w:ascii="宋体" w:hAnsi="宋体" w:cs="宋体"/>
                <w:b/>
                <w:bCs/>
                <w:sz w:val="24"/>
              </w:rPr>
              <w:t>③</w:t>
            </w:r>
            <w:r>
              <w:rPr>
                <w:b/>
                <w:sz w:val="24"/>
              </w:rPr>
              <w:t>监测时间、频次：</w:t>
            </w:r>
            <w:r>
              <w:rPr>
                <w:sz w:val="24"/>
              </w:rPr>
              <w:t>监测3天，昼夜各1次。</w:t>
            </w:r>
          </w:p>
          <w:p>
            <w:pPr>
              <w:pStyle w:val="43"/>
              <w:spacing w:line="440" w:lineRule="exact"/>
              <w:ind w:firstLine="482" w:firstLineChars="200"/>
              <w:rPr>
                <w:sz w:val="24"/>
              </w:rPr>
            </w:pPr>
            <w:r>
              <w:rPr>
                <w:rFonts w:hint="eastAsia" w:ascii="宋体" w:hAnsi="宋体" w:cs="宋体"/>
                <w:b/>
                <w:sz w:val="24"/>
              </w:rPr>
              <w:t>④</w:t>
            </w:r>
            <w:r>
              <w:rPr>
                <w:b/>
                <w:sz w:val="24"/>
              </w:rPr>
              <w:t>监测结果与评价：</w:t>
            </w:r>
            <w:r>
              <w:rPr>
                <w:sz w:val="24"/>
              </w:rPr>
              <w:t>本次噪声监测结果，详见表8。</w:t>
            </w:r>
          </w:p>
          <w:p>
            <w:pPr>
              <w:adjustRightInd w:val="0"/>
              <w:snapToGrid w:val="0"/>
              <w:spacing w:line="520" w:lineRule="exact"/>
              <w:jc w:val="center"/>
              <w:rPr>
                <w:b/>
                <w:bCs/>
                <w:kern w:val="0"/>
                <w:sz w:val="24"/>
              </w:rPr>
            </w:pPr>
            <w:r>
              <w:rPr>
                <w:b/>
                <w:bCs/>
                <w:kern w:val="0"/>
                <w:sz w:val="24"/>
              </w:rPr>
              <w:t>表8 噪声监测统计结果表   单位：dB(A)</w:t>
            </w:r>
          </w:p>
          <w:tbl>
            <w:tblPr>
              <w:tblStyle w:val="18"/>
              <w:tblW w:w="8300" w:type="dxa"/>
              <w:jc w:val="center"/>
              <w:tblInd w:w="0" w:type="dxa"/>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418"/>
              <w:gridCol w:w="1300"/>
              <w:gridCol w:w="1535"/>
              <w:gridCol w:w="1498"/>
              <w:gridCol w:w="1020"/>
              <w:gridCol w:w="965"/>
            </w:tblGrid>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64" w:type="dxa"/>
                  <w:vMerge w:val="restart"/>
                  <w:vAlign w:val="center"/>
                </w:tcPr>
                <w:p>
                  <w:pPr>
                    <w:jc w:val="center"/>
                    <w:rPr>
                      <w:sz w:val="21"/>
                      <w:szCs w:val="21"/>
                    </w:rPr>
                  </w:pPr>
                  <w:r>
                    <w:rPr>
                      <w:rFonts w:hAnsi="宋体"/>
                      <w:sz w:val="21"/>
                      <w:szCs w:val="21"/>
                    </w:rPr>
                    <w:t>编号</w:t>
                  </w:r>
                </w:p>
              </w:tc>
              <w:tc>
                <w:tcPr>
                  <w:tcW w:w="1418" w:type="dxa"/>
                  <w:vMerge w:val="restart"/>
                  <w:vAlign w:val="center"/>
                </w:tcPr>
                <w:p>
                  <w:pPr>
                    <w:jc w:val="center"/>
                    <w:rPr>
                      <w:sz w:val="21"/>
                      <w:szCs w:val="21"/>
                    </w:rPr>
                  </w:pPr>
                  <w:r>
                    <w:rPr>
                      <w:rFonts w:hAnsi="宋体"/>
                      <w:sz w:val="21"/>
                      <w:szCs w:val="21"/>
                    </w:rPr>
                    <w:t>测点位置</w:t>
                  </w:r>
                </w:p>
              </w:tc>
              <w:tc>
                <w:tcPr>
                  <w:tcW w:w="1300" w:type="dxa"/>
                  <w:vMerge w:val="restart"/>
                  <w:vAlign w:val="center"/>
                </w:tcPr>
                <w:p>
                  <w:pPr>
                    <w:jc w:val="center"/>
                    <w:rPr>
                      <w:rFonts w:hAnsi="宋体"/>
                      <w:sz w:val="21"/>
                      <w:szCs w:val="21"/>
                    </w:rPr>
                  </w:pPr>
                  <w:r>
                    <w:rPr>
                      <w:rFonts w:hint="eastAsia" w:hAnsi="宋体"/>
                      <w:sz w:val="21"/>
                      <w:szCs w:val="21"/>
                    </w:rPr>
                    <w:t>采样时间</w:t>
                  </w:r>
                </w:p>
              </w:tc>
              <w:tc>
                <w:tcPr>
                  <w:tcW w:w="3033" w:type="dxa"/>
                  <w:gridSpan w:val="2"/>
                  <w:vAlign w:val="center"/>
                </w:tcPr>
                <w:p>
                  <w:pPr>
                    <w:jc w:val="center"/>
                    <w:rPr>
                      <w:sz w:val="21"/>
                      <w:szCs w:val="21"/>
                    </w:rPr>
                  </w:pPr>
                  <w:r>
                    <w:rPr>
                      <w:rFonts w:hint="eastAsia"/>
                      <w:sz w:val="21"/>
                      <w:szCs w:val="21"/>
                    </w:rPr>
                    <w:t>检测</w:t>
                  </w:r>
                  <w:r>
                    <w:rPr>
                      <w:sz w:val="21"/>
                      <w:szCs w:val="21"/>
                    </w:rPr>
                    <w:t>结果 LeqdB(A)</w:t>
                  </w:r>
                </w:p>
              </w:tc>
              <w:tc>
                <w:tcPr>
                  <w:tcW w:w="1985" w:type="dxa"/>
                  <w:gridSpan w:val="2"/>
                  <w:vAlign w:val="center"/>
                </w:tcPr>
                <w:p>
                  <w:pPr>
                    <w:jc w:val="center"/>
                    <w:rPr>
                      <w:sz w:val="21"/>
                      <w:szCs w:val="21"/>
                    </w:rPr>
                  </w:pPr>
                  <w:r>
                    <w:rPr>
                      <w:rFonts w:hint="eastAsia"/>
                      <w:sz w:val="21"/>
                      <w:szCs w:val="21"/>
                    </w:rPr>
                    <w:t>标准值</w:t>
                  </w:r>
                  <w:r>
                    <w:rPr>
                      <w:sz w:val="21"/>
                      <w:szCs w:val="21"/>
                    </w:rPr>
                    <w:t>LeqdB(A)</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64" w:type="dxa"/>
                  <w:vMerge w:val="continue"/>
                  <w:vAlign w:val="center"/>
                </w:tcPr>
                <w:p>
                  <w:pPr>
                    <w:jc w:val="center"/>
                    <w:rPr>
                      <w:sz w:val="21"/>
                      <w:szCs w:val="21"/>
                    </w:rPr>
                  </w:pPr>
                </w:p>
              </w:tc>
              <w:tc>
                <w:tcPr>
                  <w:tcW w:w="1418" w:type="dxa"/>
                  <w:vMerge w:val="continue"/>
                  <w:vAlign w:val="center"/>
                </w:tcPr>
                <w:p>
                  <w:pPr>
                    <w:jc w:val="center"/>
                    <w:rPr>
                      <w:sz w:val="21"/>
                      <w:szCs w:val="21"/>
                    </w:rPr>
                  </w:pPr>
                </w:p>
              </w:tc>
              <w:tc>
                <w:tcPr>
                  <w:tcW w:w="1300" w:type="dxa"/>
                  <w:vMerge w:val="continue"/>
                  <w:vAlign w:val="center"/>
                </w:tcPr>
                <w:p>
                  <w:pPr>
                    <w:jc w:val="center"/>
                    <w:rPr>
                      <w:sz w:val="21"/>
                      <w:szCs w:val="21"/>
                    </w:rPr>
                  </w:pPr>
                </w:p>
              </w:tc>
              <w:tc>
                <w:tcPr>
                  <w:tcW w:w="1535" w:type="dxa"/>
                  <w:vAlign w:val="center"/>
                </w:tcPr>
                <w:p>
                  <w:pPr>
                    <w:jc w:val="center"/>
                    <w:rPr>
                      <w:sz w:val="21"/>
                      <w:szCs w:val="21"/>
                    </w:rPr>
                  </w:pPr>
                  <w:r>
                    <w:rPr>
                      <w:sz w:val="21"/>
                      <w:szCs w:val="21"/>
                    </w:rPr>
                    <w:t>昼间</w:t>
                  </w:r>
                </w:p>
              </w:tc>
              <w:tc>
                <w:tcPr>
                  <w:tcW w:w="1498" w:type="dxa"/>
                  <w:vAlign w:val="center"/>
                </w:tcPr>
                <w:p>
                  <w:pPr>
                    <w:jc w:val="center"/>
                    <w:rPr>
                      <w:sz w:val="21"/>
                      <w:szCs w:val="21"/>
                    </w:rPr>
                  </w:pPr>
                  <w:r>
                    <w:rPr>
                      <w:rFonts w:hint="eastAsia"/>
                      <w:sz w:val="21"/>
                      <w:szCs w:val="21"/>
                    </w:rPr>
                    <w:t>夜间</w:t>
                  </w:r>
                </w:p>
              </w:tc>
              <w:tc>
                <w:tcPr>
                  <w:tcW w:w="1020" w:type="dxa"/>
                  <w:vAlign w:val="center"/>
                </w:tcPr>
                <w:p>
                  <w:pPr>
                    <w:jc w:val="center"/>
                    <w:rPr>
                      <w:sz w:val="21"/>
                      <w:szCs w:val="21"/>
                    </w:rPr>
                  </w:pPr>
                  <w:r>
                    <w:rPr>
                      <w:sz w:val="21"/>
                      <w:szCs w:val="21"/>
                    </w:rPr>
                    <w:t>昼间</w:t>
                  </w:r>
                </w:p>
              </w:tc>
              <w:tc>
                <w:tcPr>
                  <w:tcW w:w="965" w:type="dxa"/>
                  <w:vAlign w:val="center"/>
                </w:tcPr>
                <w:p>
                  <w:pPr>
                    <w:jc w:val="center"/>
                    <w:rPr>
                      <w:sz w:val="21"/>
                      <w:szCs w:val="21"/>
                    </w:rPr>
                  </w:pPr>
                  <w:r>
                    <w:rPr>
                      <w:rFonts w:hint="eastAsia"/>
                      <w:sz w:val="21"/>
                      <w:szCs w:val="21"/>
                    </w:rPr>
                    <w:t>夜间</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64" w:type="dxa"/>
                  <w:vMerge w:val="restart"/>
                  <w:vAlign w:val="center"/>
                </w:tcPr>
                <w:p>
                  <w:pPr>
                    <w:jc w:val="center"/>
                    <w:rPr>
                      <w:sz w:val="21"/>
                      <w:szCs w:val="21"/>
                    </w:rPr>
                  </w:pPr>
                  <w:r>
                    <w:rPr>
                      <w:rFonts w:hint="eastAsia" w:hAnsi="宋体"/>
                      <w:sz w:val="21"/>
                      <w:szCs w:val="21"/>
                    </w:rPr>
                    <w:t>N1</w:t>
                  </w:r>
                </w:p>
              </w:tc>
              <w:tc>
                <w:tcPr>
                  <w:tcW w:w="1418" w:type="dxa"/>
                  <w:vMerge w:val="restart"/>
                  <w:vAlign w:val="center"/>
                </w:tcPr>
                <w:p>
                  <w:pPr>
                    <w:jc w:val="center"/>
                    <w:rPr>
                      <w:rFonts w:hAnsi="宋体"/>
                      <w:sz w:val="21"/>
                      <w:szCs w:val="21"/>
                    </w:rPr>
                  </w:pPr>
                  <w:r>
                    <w:rPr>
                      <w:sz w:val="21"/>
                      <w:szCs w:val="21"/>
                    </w:rPr>
                    <w:t>项目东面界外1m</w:t>
                  </w:r>
                </w:p>
              </w:tc>
              <w:tc>
                <w:tcPr>
                  <w:tcW w:w="1300" w:type="dxa"/>
                  <w:vAlign w:val="center"/>
                </w:tcPr>
                <w:p>
                  <w:pPr>
                    <w:jc w:val="center"/>
                    <w:rPr>
                      <w:sz w:val="21"/>
                      <w:szCs w:val="21"/>
                    </w:rPr>
                  </w:pPr>
                  <w:r>
                    <w:rPr>
                      <w:rFonts w:hAnsi="宋体"/>
                      <w:sz w:val="21"/>
                      <w:szCs w:val="21"/>
                    </w:rPr>
                    <w:t>02</w:t>
                  </w:r>
                  <w:r>
                    <w:rPr>
                      <w:rFonts w:hint="eastAsia" w:hAnsi="宋体"/>
                      <w:sz w:val="21"/>
                      <w:szCs w:val="21"/>
                    </w:rPr>
                    <w:t>月1</w:t>
                  </w:r>
                  <w:r>
                    <w:rPr>
                      <w:rFonts w:hAnsi="宋体"/>
                      <w:sz w:val="21"/>
                      <w:szCs w:val="21"/>
                    </w:rPr>
                    <w:t>8</w:t>
                  </w:r>
                  <w:r>
                    <w:rPr>
                      <w:rFonts w:hint="eastAsia" w:hAnsi="宋体"/>
                      <w:sz w:val="21"/>
                      <w:szCs w:val="21"/>
                    </w:rPr>
                    <w:t>日</w:t>
                  </w:r>
                </w:p>
              </w:tc>
              <w:tc>
                <w:tcPr>
                  <w:tcW w:w="1535" w:type="dxa"/>
                  <w:vAlign w:val="center"/>
                </w:tcPr>
                <w:p>
                  <w:pPr>
                    <w:jc w:val="center"/>
                    <w:rPr>
                      <w:sz w:val="21"/>
                      <w:szCs w:val="21"/>
                    </w:rPr>
                  </w:pPr>
                  <w:r>
                    <w:rPr>
                      <w:rFonts w:hint="eastAsia"/>
                      <w:sz w:val="21"/>
                      <w:szCs w:val="21"/>
                    </w:rPr>
                    <w:t>53.1</w:t>
                  </w:r>
                </w:p>
              </w:tc>
              <w:tc>
                <w:tcPr>
                  <w:tcW w:w="1498" w:type="dxa"/>
                  <w:vAlign w:val="center"/>
                </w:tcPr>
                <w:p>
                  <w:pPr>
                    <w:jc w:val="center"/>
                    <w:rPr>
                      <w:sz w:val="21"/>
                      <w:szCs w:val="21"/>
                    </w:rPr>
                  </w:pPr>
                  <w:r>
                    <w:rPr>
                      <w:rFonts w:hint="eastAsia"/>
                      <w:sz w:val="21"/>
                      <w:szCs w:val="21"/>
                    </w:rPr>
                    <w:t>39.5</w:t>
                  </w:r>
                </w:p>
              </w:tc>
              <w:tc>
                <w:tcPr>
                  <w:tcW w:w="1020" w:type="dxa"/>
                  <w:vAlign w:val="center"/>
                </w:tcPr>
                <w:p>
                  <w:pPr>
                    <w:jc w:val="center"/>
                    <w:rPr>
                      <w:sz w:val="21"/>
                      <w:szCs w:val="21"/>
                    </w:rPr>
                  </w:pPr>
                  <w:r>
                    <w:rPr>
                      <w:rFonts w:hint="eastAsia"/>
                      <w:sz w:val="21"/>
                      <w:szCs w:val="21"/>
                    </w:rPr>
                    <w:t>6</w:t>
                  </w:r>
                  <w:r>
                    <w:rPr>
                      <w:sz w:val="21"/>
                      <w:szCs w:val="21"/>
                    </w:rPr>
                    <w:t>0</w:t>
                  </w:r>
                </w:p>
              </w:tc>
              <w:tc>
                <w:tcPr>
                  <w:tcW w:w="965" w:type="dxa"/>
                  <w:vAlign w:val="center"/>
                </w:tcPr>
                <w:p>
                  <w:pPr>
                    <w:jc w:val="center"/>
                    <w:rPr>
                      <w:sz w:val="21"/>
                      <w:szCs w:val="21"/>
                    </w:rPr>
                  </w:pPr>
                  <w:r>
                    <w:rPr>
                      <w:rFonts w:hint="eastAsia"/>
                      <w:sz w:val="21"/>
                      <w:szCs w:val="21"/>
                    </w:rPr>
                    <w:t>5</w:t>
                  </w:r>
                  <w:r>
                    <w:rPr>
                      <w:sz w:val="21"/>
                      <w:szCs w:val="21"/>
                    </w:rPr>
                    <w:t>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64" w:type="dxa"/>
                  <w:vMerge w:val="continue"/>
                  <w:vAlign w:val="center"/>
                </w:tcPr>
                <w:p>
                  <w:pPr>
                    <w:jc w:val="center"/>
                    <w:rPr>
                      <w:rFonts w:hAnsi="宋体"/>
                      <w:sz w:val="21"/>
                      <w:szCs w:val="21"/>
                    </w:rPr>
                  </w:pPr>
                </w:p>
              </w:tc>
              <w:tc>
                <w:tcPr>
                  <w:tcW w:w="1418" w:type="dxa"/>
                  <w:vMerge w:val="continue"/>
                  <w:vAlign w:val="center"/>
                </w:tcPr>
                <w:p>
                  <w:pPr>
                    <w:jc w:val="center"/>
                    <w:rPr>
                      <w:sz w:val="21"/>
                      <w:szCs w:val="21"/>
                    </w:rPr>
                  </w:pPr>
                </w:p>
              </w:tc>
              <w:tc>
                <w:tcPr>
                  <w:tcW w:w="1300" w:type="dxa"/>
                  <w:vAlign w:val="center"/>
                </w:tcPr>
                <w:p>
                  <w:pPr>
                    <w:jc w:val="center"/>
                    <w:rPr>
                      <w:rFonts w:hAnsi="宋体"/>
                      <w:sz w:val="21"/>
                      <w:szCs w:val="21"/>
                    </w:rPr>
                  </w:pPr>
                  <w:r>
                    <w:rPr>
                      <w:rFonts w:hint="eastAsia" w:hAnsi="宋体"/>
                      <w:sz w:val="21"/>
                      <w:szCs w:val="21"/>
                    </w:rPr>
                    <w:t>0</w:t>
                  </w:r>
                  <w:r>
                    <w:rPr>
                      <w:rFonts w:hAnsi="宋体"/>
                      <w:sz w:val="21"/>
                      <w:szCs w:val="21"/>
                    </w:rPr>
                    <w:t>2</w:t>
                  </w:r>
                  <w:r>
                    <w:rPr>
                      <w:rFonts w:hint="eastAsia" w:hAnsi="宋体"/>
                      <w:sz w:val="21"/>
                      <w:szCs w:val="21"/>
                    </w:rPr>
                    <w:t>月1</w:t>
                  </w:r>
                  <w:r>
                    <w:rPr>
                      <w:rFonts w:hAnsi="宋体"/>
                      <w:sz w:val="21"/>
                      <w:szCs w:val="21"/>
                    </w:rPr>
                    <w:t>9</w:t>
                  </w:r>
                  <w:r>
                    <w:rPr>
                      <w:rFonts w:hint="eastAsia" w:hAnsi="宋体"/>
                      <w:sz w:val="21"/>
                      <w:szCs w:val="21"/>
                    </w:rPr>
                    <w:t>日</w:t>
                  </w:r>
                </w:p>
              </w:tc>
              <w:tc>
                <w:tcPr>
                  <w:tcW w:w="1535" w:type="dxa"/>
                  <w:vAlign w:val="center"/>
                </w:tcPr>
                <w:p>
                  <w:pPr>
                    <w:jc w:val="center"/>
                    <w:rPr>
                      <w:sz w:val="21"/>
                      <w:szCs w:val="21"/>
                    </w:rPr>
                  </w:pPr>
                  <w:r>
                    <w:rPr>
                      <w:rFonts w:hint="eastAsia"/>
                      <w:sz w:val="21"/>
                      <w:szCs w:val="21"/>
                    </w:rPr>
                    <w:t>52.9</w:t>
                  </w:r>
                </w:p>
              </w:tc>
              <w:tc>
                <w:tcPr>
                  <w:tcW w:w="1498" w:type="dxa"/>
                  <w:vAlign w:val="center"/>
                </w:tcPr>
                <w:p>
                  <w:pPr>
                    <w:jc w:val="center"/>
                    <w:rPr>
                      <w:sz w:val="21"/>
                      <w:szCs w:val="21"/>
                    </w:rPr>
                  </w:pPr>
                  <w:r>
                    <w:rPr>
                      <w:rFonts w:hint="eastAsia"/>
                      <w:sz w:val="21"/>
                      <w:szCs w:val="21"/>
                    </w:rPr>
                    <w:t>39.8</w:t>
                  </w:r>
                </w:p>
              </w:tc>
              <w:tc>
                <w:tcPr>
                  <w:tcW w:w="1020" w:type="dxa"/>
                  <w:vAlign w:val="center"/>
                </w:tcPr>
                <w:p>
                  <w:pPr>
                    <w:jc w:val="center"/>
                    <w:rPr>
                      <w:sz w:val="21"/>
                      <w:szCs w:val="21"/>
                    </w:rPr>
                  </w:pPr>
                  <w:r>
                    <w:rPr>
                      <w:rFonts w:hint="eastAsia"/>
                      <w:sz w:val="21"/>
                      <w:szCs w:val="21"/>
                    </w:rPr>
                    <w:t>6</w:t>
                  </w:r>
                  <w:r>
                    <w:rPr>
                      <w:sz w:val="21"/>
                      <w:szCs w:val="21"/>
                    </w:rPr>
                    <w:t>0</w:t>
                  </w:r>
                </w:p>
              </w:tc>
              <w:tc>
                <w:tcPr>
                  <w:tcW w:w="965" w:type="dxa"/>
                  <w:vAlign w:val="center"/>
                </w:tcPr>
                <w:p>
                  <w:pPr>
                    <w:jc w:val="center"/>
                    <w:rPr>
                      <w:sz w:val="21"/>
                      <w:szCs w:val="21"/>
                    </w:rPr>
                  </w:pPr>
                  <w:r>
                    <w:rPr>
                      <w:rFonts w:hint="eastAsia"/>
                      <w:sz w:val="21"/>
                      <w:szCs w:val="21"/>
                    </w:rPr>
                    <w:t>5</w:t>
                  </w:r>
                  <w:r>
                    <w:rPr>
                      <w:sz w:val="21"/>
                      <w:szCs w:val="21"/>
                    </w:rPr>
                    <w:t>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64" w:type="dxa"/>
                  <w:vMerge w:val="restart"/>
                  <w:vAlign w:val="center"/>
                </w:tcPr>
                <w:p>
                  <w:pPr>
                    <w:jc w:val="center"/>
                    <w:rPr>
                      <w:sz w:val="21"/>
                      <w:szCs w:val="21"/>
                    </w:rPr>
                  </w:pPr>
                  <w:r>
                    <w:rPr>
                      <w:rFonts w:hint="eastAsia" w:hAnsi="宋体"/>
                      <w:sz w:val="21"/>
                      <w:szCs w:val="21"/>
                    </w:rPr>
                    <w:t>N2</w:t>
                  </w:r>
                </w:p>
              </w:tc>
              <w:tc>
                <w:tcPr>
                  <w:tcW w:w="1418" w:type="dxa"/>
                  <w:vMerge w:val="restart"/>
                  <w:vAlign w:val="center"/>
                </w:tcPr>
                <w:p>
                  <w:pPr>
                    <w:jc w:val="center"/>
                    <w:rPr>
                      <w:rFonts w:hAnsi="宋体"/>
                      <w:sz w:val="21"/>
                      <w:szCs w:val="21"/>
                    </w:rPr>
                  </w:pPr>
                  <w:r>
                    <w:rPr>
                      <w:sz w:val="21"/>
                      <w:szCs w:val="21"/>
                    </w:rPr>
                    <w:t>项目</w:t>
                  </w:r>
                  <w:r>
                    <w:rPr>
                      <w:rFonts w:hint="eastAsia"/>
                      <w:sz w:val="21"/>
                      <w:szCs w:val="21"/>
                    </w:rPr>
                    <w:t>南</w:t>
                  </w:r>
                  <w:r>
                    <w:rPr>
                      <w:sz w:val="21"/>
                      <w:szCs w:val="21"/>
                    </w:rPr>
                    <w:t>面界外1m</w:t>
                  </w:r>
                </w:p>
              </w:tc>
              <w:tc>
                <w:tcPr>
                  <w:tcW w:w="1300" w:type="dxa"/>
                  <w:vAlign w:val="center"/>
                </w:tcPr>
                <w:p>
                  <w:pPr>
                    <w:jc w:val="center"/>
                    <w:rPr>
                      <w:sz w:val="21"/>
                      <w:szCs w:val="21"/>
                    </w:rPr>
                  </w:pPr>
                  <w:r>
                    <w:rPr>
                      <w:rFonts w:hint="eastAsia" w:hAnsi="宋体"/>
                      <w:sz w:val="21"/>
                      <w:szCs w:val="21"/>
                    </w:rPr>
                    <w:t>0</w:t>
                  </w:r>
                  <w:r>
                    <w:rPr>
                      <w:rFonts w:hAnsi="宋体"/>
                      <w:sz w:val="21"/>
                      <w:szCs w:val="21"/>
                    </w:rPr>
                    <w:t>2</w:t>
                  </w:r>
                  <w:r>
                    <w:rPr>
                      <w:rFonts w:hint="eastAsia" w:hAnsi="宋体"/>
                      <w:sz w:val="21"/>
                      <w:szCs w:val="21"/>
                    </w:rPr>
                    <w:t>月1</w:t>
                  </w:r>
                  <w:r>
                    <w:rPr>
                      <w:rFonts w:hAnsi="宋体"/>
                      <w:sz w:val="21"/>
                      <w:szCs w:val="21"/>
                    </w:rPr>
                    <w:t>8</w:t>
                  </w:r>
                  <w:r>
                    <w:rPr>
                      <w:rFonts w:hint="eastAsia" w:hAnsi="宋体"/>
                      <w:sz w:val="21"/>
                      <w:szCs w:val="21"/>
                    </w:rPr>
                    <w:t>日</w:t>
                  </w:r>
                </w:p>
              </w:tc>
              <w:tc>
                <w:tcPr>
                  <w:tcW w:w="1535" w:type="dxa"/>
                  <w:vAlign w:val="center"/>
                </w:tcPr>
                <w:p>
                  <w:pPr>
                    <w:jc w:val="center"/>
                    <w:rPr>
                      <w:sz w:val="21"/>
                      <w:szCs w:val="21"/>
                    </w:rPr>
                  </w:pPr>
                  <w:r>
                    <w:rPr>
                      <w:rFonts w:hint="eastAsia"/>
                      <w:sz w:val="21"/>
                      <w:szCs w:val="21"/>
                    </w:rPr>
                    <w:t>52.2</w:t>
                  </w:r>
                </w:p>
              </w:tc>
              <w:tc>
                <w:tcPr>
                  <w:tcW w:w="1498" w:type="dxa"/>
                  <w:vAlign w:val="center"/>
                </w:tcPr>
                <w:p>
                  <w:pPr>
                    <w:jc w:val="center"/>
                    <w:rPr>
                      <w:sz w:val="21"/>
                      <w:szCs w:val="21"/>
                    </w:rPr>
                  </w:pPr>
                  <w:r>
                    <w:rPr>
                      <w:rFonts w:hint="eastAsia"/>
                      <w:sz w:val="21"/>
                      <w:szCs w:val="21"/>
                    </w:rPr>
                    <w:t>40.2</w:t>
                  </w:r>
                </w:p>
              </w:tc>
              <w:tc>
                <w:tcPr>
                  <w:tcW w:w="1020" w:type="dxa"/>
                  <w:vAlign w:val="center"/>
                </w:tcPr>
                <w:p>
                  <w:pPr>
                    <w:jc w:val="center"/>
                    <w:rPr>
                      <w:sz w:val="21"/>
                      <w:szCs w:val="21"/>
                    </w:rPr>
                  </w:pPr>
                  <w:r>
                    <w:rPr>
                      <w:rFonts w:hint="eastAsia"/>
                      <w:sz w:val="21"/>
                      <w:szCs w:val="21"/>
                    </w:rPr>
                    <w:t>6</w:t>
                  </w:r>
                  <w:r>
                    <w:rPr>
                      <w:sz w:val="21"/>
                      <w:szCs w:val="21"/>
                    </w:rPr>
                    <w:t>0</w:t>
                  </w:r>
                </w:p>
              </w:tc>
              <w:tc>
                <w:tcPr>
                  <w:tcW w:w="965" w:type="dxa"/>
                  <w:vAlign w:val="center"/>
                </w:tcPr>
                <w:p>
                  <w:pPr>
                    <w:jc w:val="center"/>
                    <w:rPr>
                      <w:sz w:val="21"/>
                      <w:szCs w:val="21"/>
                    </w:rPr>
                  </w:pPr>
                  <w:r>
                    <w:rPr>
                      <w:rFonts w:hint="eastAsia"/>
                      <w:sz w:val="21"/>
                      <w:szCs w:val="21"/>
                    </w:rPr>
                    <w:t>5</w:t>
                  </w:r>
                  <w:r>
                    <w:rPr>
                      <w:sz w:val="21"/>
                      <w:szCs w:val="21"/>
                    </w:rPr>
                    <w:t>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64" w:type="dxa"/>
                  <w:vMerge w:val="continue"/>
                  <w:vAlign w:val="center"/>
                </w:tcPr>
                <w:p>
                  <w:pPr>
                    <w:jc w:val="center"/>
                    <w:rPr>
                      <w:rFonts w:hAnsi="宋体"/>
                      <w:sz w:val="21"/>
                      <w:szCs w:val="21"/>
                    </w:rPr>
                  </w:pPr>
                </w:p>
              </w:tc>
              <w:tc>
                <w:tcPr>
                  <w:tcW w:w="1418" w:type="dxa"/>
                  <w:vMerge w:val="continue"/>
                  <w:vAlign w:val="center"/>
                </w:tcPr>
                <w:p>
                  <w:pPr>
                    <w:jc w:val="center"/>
                    <w:rPr>
                      <w:sz w:val="21"/>
                      <w:szCs w:val="21"/>
                    </w:rPr>
                  </w:pPr>
                </w:p>
              </w:tc>
              <w:tc>
                <w:tcPr>
                  <w:tcW w:w="1300" w:type="dxa"/>
                  <w:vAlign w:val="center"/>
                </w:tcPr>
                <w:p>
                  <w:pPr>
                    <w:jc w:val="center"/>
                    <w:rPr>
                      <w:rFonts w:hAnsi="宋体"/>
                      <w:sz w:val="21"/>
                      <w:szCs w:val="21"/>
                    </w:rPr>
                  </w:pPr>
                  <w:r>
                    <w:rPr>
                      <w:rFonts w:hint="eastAsia" w:hAnsi="宋体"/>
                      <w:sz w:val="21"/>
                      <w:szCs w:val="21"/>
                    </w:rPr>
                    <w:t>0</w:t>
                  </w:r>
                  <w:r>
                    <w:rPr>
                      <w:rFonts w:hAnsi="宋体"/>
                      <w:sz w:val="21"/>
                      <w:szCs w:val="21"/>
                    </w:rPr>
                    <w:t>2</w:t>
                  </w:r>
                  <w:r>
                    <w:rPr>
                      <w:rFonts w:hint="eastAsia" w:hAnsi="宋体"/>
                      <w:sz w:val="21"/>
                      <w:szCs w:val="21"/>
                    </w:rPr>
                    <w:t>月1</w:t>
                  </w:r>
                  <w:r>
                    <w:rPr>
                      <w:rFonts w:hAnsi="宋体"/>
                      <w:sz w:val="21"/>
                      <w:szCs w:val="21"/>
                    </w:rPr>
                    <w:t>9</w:t>
                  </w:r>
                  <w:r>
                    <w:rPr>
                      <w:rFonts w:hint="eastAsia" w:hAnsi="宋体"/>
                      <w:sz w:val="21"/>
                      <w:szCs w:val="21"/>
                    </w:rPr>
                    <w:t>日</w:t>
                  </w:r>
                </w:p>
              </w:tc>
              <w:tc>
                <w:tcPr>
                  <w:tcW w:w="1535" w:type="dxa"/>
                  <w:vAlign w:val="center"/>
                </w:tcPr>
                <w:p>
                  <w:pPr>
                    <w:jc w:val="center"/>
                    <w:rPr>
                      <w:sz w:val="21"/>
                      <w:szCs w:val="21"/>
                    </w:rPr>
                  </w:pPr>
                  <w:r>
                    <w:rPr>
                      <w:rFonts w:hint="eastAsia"/>
                      <w:sz w:val="21"/>
                      <w:szCs w:val="21"/>
                    </w:rPr>
                    <w:t>51.8</w:t>
                  </w:r>
                </w:p>
              </w:tc>
              <w:tc>
                <w:tcPr>
                  <w:tcW w:w="1498" w:type="dxa"/>
                  <w:vAlign w:val="center"/>
                </w:tcPr>
                <w:p>
                  <w:pPr>
                    <w:jc w:val="center"/>
                    <w:rPr>
                      <w:sz w:val="21"/>
                      <w:szCs w:val="21"/>
                    </w:rPr>
                  </w:pPr>
                  <w:r>
                    <w:rPr>
                      <w:rFonts w:hint="eastAsia"/>
                      <w:sz w:val="21"/>
                      <w:szCs w:val="21"/>
                    </w:rPr>
                    <w:t>40.1</w:t>
                  </w:r>
                </w:p>
              </w:tc>
              <w:tc>
                <w:tcPr>
                  <w:tcW w:w="1020" w:type="dxa"/>
                  <w:vAlign w:val="center"/>
                </w:tcPr>
                <w:p>
                  <w:pPr>
                    <w:jc w:val="center"/>
                    <w:rPr>
                      <w:sz w:val="21"/>
                      <w:szCs w:val="21"/>
                    </w:rPr>
                  </w:pPr>
                  <w:r>
                    <w:rPr>
                      <w:rFonts w:hint="eastAsia"/>
                      <w:sz w:val="21"/>
                      <w:szCs w:val="21"/>
                    </w:rPr>
                    <w:t>6</w:t>
                  </w:r>
                  <w:r>
                    <w:rPr>
                      <w:sz w:val="21"/>
                      <w:szCs w:val="21"/>
                    </w:rPr>
                    <w:t>0</w:t>
                  </w:r>
                </w:p>
              </w:tc>
              <w:tc>
                <w:tcPr>
                  <w:tcW w:w="965" w:type="dxa"/>
                  <w:vAlign w:val="center"/>
                </w:tcPr>
                <w:p>
                  <w:pPr>
                    <w:jc w:val="center"/>
                    <w:rPr>
                      <w:sz w:val="21"/>
                      <w:szCs w:val="21"/>
                    </w:rPr>
                  </w:pPr>
                  <w:r>
                    <w:rPr>
                      <w:rFonts w:hint="eastAsia"/>
                      <w:sz w:val="21"/>
                      <w:szCs w:val="21"/>
                    </w:rPr>
                    <w:t>5</w:t>
                  </w:r>
                  <w:r>
                    <w:rPr>
                      <w:sz w:val="21"/>
                      <w:szCs w:val="21"/>
                    </w:rPr>
                    <w:t>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64" w:type="dxa"/>
                  <w:vMerge w:val="restart"/>
                  <w:vAlign w:val="center"/>
                </w:tcPr>
                <w:p>
                  <w:pPr>
                    <w:jc w:val="center"/>
                    <w:rPr>
                      <w:rFonts w:hAnsi="宋体"/>
                      <w:sz w:val="21"/>
                      <w:szCs w:val="21"/>
                    </w:rPr>
                  </w:pPr>
                  <w:r>
                    <w:rPr>
                      <w:rFonts w:hint="eastAsia" w:hAnsi="宋体"/>
                      <w:sz w:val="21"/>
                      <w:szCs w:val="21"/>
                    </w:rPr>
                    <w:t>N3</w:t>
                  </w:r>
                </w:p>
              </w:tc>
              <w:tc>
                <w:tcPr>
                  <w:tcW w:w="1418" w:type="dxa"/>
                  <w:vMerge w:val="restart"/>
                  <w:vAlign w:val="center"/>
                </w:tcPr>
                <w:p>
                  <w:pPr>
                    <w:jc w:val="center"/>
                    <w:rPr>
                      <w:rFonts w:hAnsi="宋体"/>
                      <w:sz w:val="21"/>
                      <w:szCs w:val="21"/>
                    </w:rPr>
                  </w:pPr>
                  <w:r>
                    <w:rPr>
                      <w:sz w:val="21"/>
                      <w:szCs w:val="21"/>
                    </w:rPr>
                    <w:t>项目</w:t>
                  </w:r>
                  <w:r>
                    <w:rPr>
                      <w:rFonts w:hint="eastAsia"/>
                      <w:sz w:val="21"/>
                      <w:szCs w:val="21"/>
                    </w:rPr>
                    <w:t>西</w:t>
                  </w:r>
                  <w:r>
                    <w:rPr>
                      <w:sz w:val="21"/>
                      <w:szCs w:val="21"/>
                    </w:rPr>
                    <w:t>面界外1m</w:t>
                  </w:r>
                </w:p>
              </w:tc>
              <w:tc>
                <w:tcPr>
                  <w:tcW w:w="1300" w:type="dxa"/>
                  <w:vAlign w:val="center"/>
                </w:tcPr>
                <w:p>
                  <w:pPr>
                    <w:jc w:val="center"/>
                    <w:rPr>
                      <w:sz w:val="21"/>
                      <w:szCs w:val="21"/>
                    </w:rPr>
                  </w:pPr>
                  <w:r>
                    <w:rPr>
                      <w:rFonts w:hint="eastAsia" w:hAnsi="宋体"/>
                      <w:sz w:val="21"/>
                      <w:szCs w:val="21"/>
                    </w:rPr>
                    <w:t>0</w:t>
                  </w:r>
                  <w:r>
                    <w:rPr>
                      <w:rFonts w:hAnsi="宋体"/>
                      <w:sz w:val="21"/>
                      <w:szCs w:val="21"/>
                    </w:rPr>
                    <w:t>2</w:t>
                  </w:r>
                  <w:r>
                    <w:rPr>
                      <w:rFonts w:hint="eastAsia" w:hAnsi="宋体"/>
                      <w:sz w:val="21"/>
                      <w:szCs w:val="21"/>
                    </w:rPr>
                    <w:t>月1</w:t>
                  </w:r>
                  <w:r>
                    <w:rPr>
                      <w:rFonts w:hAnsi="宋体"/>
                      <w:sz w:val="21"/>
                      <w:szCs w:val="21"/>
                    </w:rPr>
                    <w:t>8</w:t>
                  </w:r>
                  <w:r>
                    <w:rPr>
                      <w:rFonts w:hint="eastAsia" w:hAnsi="宋体"/>
                      <w:sz w:val="21"/>
                      <w:szCs w:val="21"/>
                    </w:rPr>
                    <w:t>日</w:t>
                  </w:r>
                </w:p>
              </w:tc>
              <w:tc>
                <w:tcPr>
                  <w:tcW w:w="1535" w:type="dxa"/>
                  <w:vAlign w:val="center"/>
                </w:tcPr>
                <w:p>
                  <w:pPr>
                    <w:jc w:val="center"/>
                    <w:rPr>
                      <w:rFonts w:hAnsi="宋体"/>
                      <w:sz w:val="21"/>
                      <w:szCs w:val="21"/>
                    </w:rPr>
                  </w:pPr>
                  <w:r>
                    <w:rPr>
                      <w:rFonts w:hint="eastAsia" w:hAnsi="宋体"/>
                      <w:sz w:val="21"/>
                      <w:szCs w:val="21"/>
                    </w:rPr>
                    <w:t>50.5</w:t>
                  </w:r>
                </w:p>
              </w:tc>
              <w:tc>
                <w:tcPr>
                  <w:tcW w:w="1498" w:type="dxa"/>
                  <w:vAlign w:val="center"/>
                </w:tcPr>
                <w:p>
                  <w:pPr>
                    <w:jc w:val="center"/>
                    <w:rPr>
                      <w:rFonts w:hAnsi="宋体"/>
                      <w:sz w:val="21"/>
                      <w:szCs w:val="21"/>
                    </w:rPr>
                  </w:pPr>
                  <w:r>
                    <w:rPr>
                      <w:rFonts w:hint="eastAsia" w:hAnsi="宋体"/>
                      <w:sz w:val="21"/>
                      <w:szCs w:val="21"/>
                    </w:rPr>
                    <w:t>38.9</w:t>
                  </w:r>
                </w:p>
              </w:tc>
              <w:tc>
                <w:tcPr>
                  <w:tcW w:w="1020" w:type="dxa"/>
                  <w:vAlign w:val="center"/>
                </w:tcPr>
                <w:p>
                  <w:pPr>
                    <w:jc w:val="center"/>
                    <w:rPr>
                      <w:rFonts w:hAnsi="宋体"/>
                      <w:sz w:val="21"/>
                      <w:szCs w:val="21"/>
                    </w:rPr>
                  </w:pPr>
                  <w:r>
                    <w:rPr>
                      <w:rFonts w:hint="eastAsia" w:hAnsi="宋体"/>
                      <w:sz w:val="21"/>
                      <w:szCs w:val="21"/>
                    </w:rPr>
                    <w:t>6</w:t>
                  </w:r>
                  <w:r>
                    <w:rPr>
                      <w:rFonts w:hAnsi="宋体"/>
                      <w:sz w:val="21"/>
                      <w:szCs w:val="21"/>
                    </w:rPr>
                    <w:t>0</w:t>
                  </w:r>
                </w:p>
              </w:tc>
              <w:tc>
                <w:tcPr>
                  <w:tcW w:w="965" w:type="dxa"/>
                  <w:vAlign w:val="center"/>
                </w:tcPr>
                <w:p>
                  <w:pPr>
                    <w:jc w:val="center"/>
                    <w:rPr>
                      <w:rFonts w:hAnsi="宋体"/>
                      <w:sz w:val="21"/>
                      <w:szCs w:val="21"/>
                    </w:rPr>
                  </w:pPr>
                  <w:r>
                    <w:rPr>
                      <w:rFonts w:hint="eastAsia" w:hAnsi="宋体"/>
                      <w:sz w:val="21"/>
                      <w:szCs w:val="21"/>
                    </w:rPr>
                    <w:t>5</w:t>
                  </w:r>
                  <w:r>
                    <w:rPr>
                      <w:rFonts w:hAnsi="宋体"/>
                      <w:sz w:val="21"/>
                      <w:szCs w:val="21"/>
                    </w:rPr>
                    <w:t>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64" w:type="dxa"/>
                  <w:vMerge w:val="continue"/>
                  <w:vAlign w:val="center"/>
                </w:tcPr>
                <w:p>
                  <w:pPr>
                    <w:jc w:val="center"/>
                    <w:rPr>
                      <w:rFonts w:hAnsi="宋体"/>
                      <w:sz w:val="21"/>
                      <w:szCs w:val="21"/>
                    </w:rPr>
                  </w:pPr>
                </w:p>
              </w:tc>
              <w:tc>
                <w:tcPr>
                  <w:tcW w:w="1418" w:type="dxa"/>
                  <w:vMerge w:val="continue"/>
                  <w:vAlign w:val="center"/>
                </w:tcPr>
                <w:p>
                  <w:pPr>
                    <w:jc w:val="center"/>
                    <w:rPr>
                      <w:sz w:val="21"/>
                      <w:szCs w:val="21"/>
                    </w:rPr>
                  </w:pPr>
                </w:p>
              </w:tc>
              <w:tc>
                <w:tcPr>
                  <w:tcW w:w="1300" w:type="dxa"/>
                  <w:vAlign w:val="center"/>
                </w:tcPr>
                <w:p>
                  <w:pPr>
                    <w:jc w:val="center"/>
                    <w:rPr>
                      <w:rFonts w:hAnsi="宋体"/>
                      <w:sz w:val="21"/>
                      <w:szCs w:val="21"/>
                    </w:rPr>
                  </w:pPr>
                  <w:r>
                    <w:rPr>
                      <w:rFonts w:hint="eastAsia" w:hAnsi="宋体"/>
                      <w:sz w:val="21"/>
                      <w:szCs w:val="21"/>
                    </w:rPr>
                    <w:t>0</w:t>
                  </w:r>
                  <w:r>
                    <w:rPr>
                      <w:rFonts w:hAnsi="宋体"/>
                      <w:sz w:val="21"/>
                      <w:szCs w:val="21"/>
                    </w:rPr>
                    <w:t>2</w:t>
                  </w:r>
                  <w:r>
                    <w:rPr>
                      <w:rFonts w:hint="eastAsia" w:hAnsi="宋体"/>
                      <w:sz w:val="21"/>
                      <w:szCs w:val="21"/>
                    </w:rPr>
                    <w:t>月1</w:t>
                  </w:r>
                  <w:r>
                    <w:rPr>
                      <w:rFonts w:hAnsi="宋体"/>
                      <w:sz w:val="21"/>
                      <w:szCs w:val="21"/>
                    </w:rPr>
                    <w:t>9</w:t>
                  </w:r>
                  <w:r>
                    <w:rPr>
                      <w:rFonts w:hint="eastAsia" w:hAnsi="宋体"/>
                      <w:sz w:val="21"/>
                      <w:szCs w:val="21"/>
                    </w:rPr>
                    <w:t>日</w:t>
                  </w:r>
                </w:p>
              </w:tc>
              <w:tc>
                <w:tcPr>
                  <w:tcW w:w="1535" w:type="dxa"/>
                  <w:vAlign w:val="center"/>
                </w:tcPr>
                <w:p>
                  <w:pPr>
                    <w:jc w:val="center"/>
                    <w:rPr>
                      <w:rFonts w:hAnsi="宋体"/>
                      <w:sz w:val="21"/>
                      <w:szCs w:val="21"/>
                    </w:rPr>
                  </w:pPr>
                  <w:r>
                    <w:rPr>
                      <w:rFonts w:hint="eastAsia" w:hAnsi="宋体"/>
                      <w:sz w:val="21"/>
                      <w:szCs w:val="21"/>
                    </w:rPr>
                    <w:t>51.0</w:t>
                  </w:r>
                </w:p>
              </w:tc>
              <w:tc>
                <w:tcPr>
                  <w:tcW w:w="1498" w:type="dxa"/>
                  <w:vAlign w:val="center"/>
                </w:tcPr>
                <w:p>
                  <w:pPr>
                    <w:jc w:val="center"/>
                    <w:rPr>
                      <w:rFonts w:hAnsi="宋体"/>
                      <w:sz w:val="21"/>
                      <w:szCs w:val="21"/>
                    </w:rPr>
                  </w:pPr>
                  <w:r>
                    <w:rPr>
                      <w:rFonts w:hint="eastAsia" w:hAnsi="宋体"/>
                      <w:sz w:val="21"/>
                      <w:szCs w:val="21"/>
                    </w:rPr>
                    <w:t>39.2</w:t>
                  </w:r>
                </w:p>
              </w:tc>
              <w:tc>
                <w:tcPr>
                  <w:tcW w:w="1020" w:type="dxa"/>
                  <w:vAlign w:val="center"/>
                </w:tcPr>
                <w:p>
                  <w:pPr>
                    <w:jc w:val="center"/>
                    <w:rPr>
                      <w:rFonts w:hAnsi="宋体"/>
                      <w:sz w:val="21"/>
                      <w:szCs w:val="21"/>
                    </w:rPr>
                  </w:pPr>
                  <w:r>
                    <w:rPr>
                      <w:rFonts w:hint="eastAsia" w:hAnsi="宋体"/>
                      <w:sz w:val="21"/>
                      <w:szCs w:val="21"/>
                    </w:rPr>
                    <w:t>6</w:t>
                  </w:r>
                  <w:r>
                    <w:rPr>
                      <w:rFonts w:hAnsi="宋体"/>
                      <w:sz w:val="21"/>
                      <w:szCs w:val="21"/>
                    </w:rPr>
                    <w:t>0</w:t>
                  </w:r>
                </w:p>
              </w:tc>
              <w:tc>
                <w:tcPr>
                  <w:tcW w:w="965" w:type="dxa"/>
                  <w:vAlign w:val="center"/>
                </w:tcPr>
                <w:p>
                  <w:pPr>
                    <w:jc w:val="center"/>
                    <w:rPr>
                      <w:rFonts w:hAnsi="宋体"/>
                      <w:sz w:val="21"/>
                      <w:szCs w:val="21"/>
                    </w:rPr>
                  </w:pPr>
                  <w:r>
                    <w:rPr>
                      <w:rFonts w:hint="eastAsia" w:hAnsi="宋体"/>
                      <w:sz w:val="21"/>
                      <w:szCs w:val="21"/>
                    </w:rPr>
                    <w:t>5</w:t>
                  </w:r>
                  <w:r>
                    <w:rPr>
                      <w:rFonts w:hAnsi="宋体"/>
                      <w:sz w:val="21"/>
                      <w:szCs w:val="21"/>
                    </w:rPr>
                    <w:t>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64" w:type="dxa"/>
                  <w:vMerge w:val="restart"/>
                  <w:vAlign w:val="center"/>
                </w:tcPr>
                <w:p>
                  <w:pPr>
                    <w:jc w:val="center"/>
                    <w:rPr>
                      <w:rFonts w:hAnsi="宋体"/>
                      <w:sz w:val="21"/>
                      <w:szCs w:val="21"/>
                    </w:rPr>
                  </w:pPr>
                  <w:r>
                    <w:rPr>
                      <w:rFonts w:hint="eastAsia" w:hAnsi="宋体"/>
                      <w:sz w:val="21"/>
                      <w:szCs w:val="21"/>
                    </w:rPr>
                    <w:t>N4</w:t>
                  </w:r>
                </w:p>
              </w:tc>
              <w:tc>
                <w:tcPr>
                  <w:tcW w:w="1418" w:type="dxa"/>
                  <w:vMerge w:val="restart"/>
                  <w:vAlign w:val="center"/>
                </w:tcPr>
                <w:p>
                  <w:pPr>
                    <w:jc w:val="center"/>
                    <w:rPr>
                      <w:rFonts w:hAnsi="宋体"/>
                      <w:sz w:val="21"/>
                      <w:szCs w:val="21"/>
                    </w:rPr>
                  </w:pPr>
                  <w:r>
                    <w:rPr>
                      <w:sz w:val="21"/>
                      <w:szCs w:val="21"/>
                    </w:rPr>
                    <w:t>项目</w:t>
                  </w:r>
                  <w:r>
                    <w:rPr>
                      <w:rFonts w:hint="eastAsia"/>
                      <w:sz w:val="21"/>
                      <w:szCs w:val="21"/>
                    </w:rPr>
                    <w:t>北</w:t>
                  </w:r>
                  <w:r>
                    <w:rPr>
                      <w:sz w:val="21"/>
                      <w:szCs w:val="21"/>
                    </w:rPr>
                    <w:t>面界外1m</w:t>
                  </w:r>
                </w:p>
              </w:tc>
              <w:tc>
                <w:tcPr>
                  <w:tcW w:w="1300" w:type="dxa"/>
                  <w:vAlign w:val="center"/>
                </w:tcPr>
                <w:p>
                  <w:pPr>
                    <w:jc w:val="center"/>
                    <w:rPr>
                      <w:sz w:val="21"/>
                      <w:szCs w:val="21"/>
                    </w:rPr>
                  </w:pPr>
                  <w:r>
                    <w:rPr>
                      <w:rFonts w:hint="eastAsia" w:hAnsi="宋体"/>
                      <w:sz w:val="21"/>
                      <w:szCs w:val="21"/>
                    </w:rPr>
                    <w:t>0</w:t>
                  </w:r>
                  <w:r>
                    <w:rPr>
                      <w:rFonts w:hAnsi="宋体"/>
                      <w:sz w:val="21"/>
                      <w:szCs w:val="21"/>
                    </w:rPr>
                    <w:t>2</w:t>
                  </w:r>
                  <w:r>
                    <w:rPr>
                      <w:rFonts w:hint="eastAsia" w:hAnsi="宋体"/>
                      <w:sz w:val="21"/>
                      <w:szCs w:val="21"/>
                    </w:rPr>
                    <w:t>月1</w:t>
                  </w:r>
                  <w:r>
                    <w:rPr>
                      <w:rFonts w:hAnsi="宋体"/>
                      <w:sz w:val="21"/>
                      <w:szCs w:val="21"/>
                    </w:rPr>
                    <w:t>8</w:t>
                  </w:r>
                  <w:r>
                    <w:rPr>
                      <w:rFonts w:hint="eastAsia" w:hAnsi="宋体"/>
                      <w:sz w:val="21"/>
                      <w:szCs w:val="21"/>
                    </w:rPr>
                    <w:t>日</w:t>
                  </w:r>
                </w:p>
              </w:tc>
              <w:tc>
                <w:tcPr>
                  <w:tcW w:w="1535" w:type="dxa"/>
                  <w:vAlign w:val="center"/>
                </w:tcPr>
                <w:p>
                  <w:pPr>
                    <w:jc w:val="center"/>
                    <w:rPr>
                      <w:rFonts w:hAnsi="宋体"/>
                      <w:sz w:val="21"/>
                      <w:szCs w:val="21"/>
                    </w:rPr>
                  </w:pPr>
                  <w:r>
                    <w:rPr>
                      <w:rFonts w:hint="eastAsia" w:hAnsi="宋体"/>
                      <w:sz w:val="21"/>
                      <w:szCs w:val="21"/>
                    </w:rPr>
                    <w:t>54.1</w:t>
                  </w:r>
                </w:p>
              </w:tc>
              <w:tc>
                <w:tcPr>
                  <w:tcW w:w="1498" w:type="dxa"/>
                  <w:vAlign w:val="center"/>
                </w:tcPr>
                <w:p>
                  <w:pPr>
                    <w:jc w:val="center"/>
                    <w:rPr>
                      <w:rFonts w:hAnsi="宋体"/>
                      <w:sz w:val="21"/>
                      <w:szCs w:val="21"/>
                    </w:rPr>
                  </w:pPr>
                  <w:r>
                    <w:rPr>
                      <w:rFonts w:hint="eastAsia" w:hAnsi="宋体"/>
                      <w:sz w:val="21"/>
                      <w:szCs w:val="21"/>
                    </w:rPr>
                    <w:t>39.5</w:t>
                  </w:r>
                </w:p>
              </w:tc>
              <w:tc>
                <w:tcPr>
                  <w:tcW w:w="1020" w:type="dxa"/>
                  <w:vAlign w:val="center"/>
                </w:tcPr>
                <w:p>
                  <w:pPr>
                    <w:jc w:val="center"/>
                    <w:rPr>
                      <w:rFonts w:hAnsi="宋体"/>
                      <w:sz w:val="21"/>
                      <w:szCs w:val="21"/>
                    </w:rPr>
                  </w:pPr>
                  <w:r>
                    <w:rPr>
                      <w:rFonts w:hint="eastAsia" w:hAnsi="宋体"/>
                      <w:sz w:val="21"/>
                      <w:szCs w:val="21"/>
                    </w:rPr>
                    <w:t>6</w:t>
                  </w:r>
                  <w:r>
                    <w:rPr>
                      <w:rFonts w:hAnsi="宋体"/>
                      <w:sz w:val="21"/>
                      <w:szCs w:val="21"/>
                    </w:rPr>
                    <w:t>0</w:t>
                  </w:r>
                </w:p>
              </w:tc>
              <w:tc>
                <w:tcPr>
                  <w:tcW w:w="965" w:type="dxa"/>
                  <w:vAlign w:val="center"/>
                </w:tcPr>
                <w:p>
                  <w:pPr>
                    <w:jc w:val="center"/>
                    <w:rPr>
                      <w:rFonts w:hAnsi="宋体"/>
                      <w:sz w:val="21"/>
                      <w:szCs w:val="21"/>
                    </w:rPr>
                  </w:pPr>
                  <w:r>
                    <w:rPr>
                      <w:rFonts w:hint="eastAsia" w:hAnsi="宋体"/>
                      <w:sz w:val="21"/>
                      <w:szCs w:val="21"/>
                    </w:rPr>
                    <w:t>5</w:t>
                  </w:r>
                  <w:r>
                    <w:rPr>
                      <w:rFonts w:hAnsi="宋体"/>
                      <w:sz w:val="21"/>
                      <w:szCs w:val="21"/>
                    </w:rPr>
                    <w:t>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64" w:type="dxa"/>
                  <w:vMerge w:val="continue"/>
                  <w:vAlign w:val="center"/>
                </w:tcPr>
                <w:p>
                  <w:pPr>
                    <w:jc w:val="center"/>
                    <w:rPr>
                      <w:rFonts w:hAnsi="宋体"/>
                      <w:sz w:val="21"/>
                      <w:szCs w:val="21"/>
                    </w:rPr>
                  </w:pPr>
                </w:p>
              </w:tc>
              <w:tc>
                <w:tcPr>
                  <w:tcW w:w="1418" w:type="dxa"/>
                  <w:vMerge w:val="continue"/>
                  <w:vAlign w:val="center"/>
                </w:tcPr>
                <w:p>
                  <w:pPr>
                    <w:jc w:val="center"/>
                    <w:rPr>
                      <w:sz w:val="21"/>
                      <w:szCs w:val="21"/>
                    </w:rPr>
                  </w:pPr>
                </w:p>
              </w:tc>
              <w:tc>
                <w:tcPr>
                  <w:tcW w:w="1300" w:type="dxa"/>
                  <w:vAlign w:val="center"/>
                </w:tcPr>
                <w:p>
                  <w:pPr>
                    <w:jc w:val="center"/>
                    <w:rPr>
                      <w:rFonts w:hAnsi="宋体"/>
                      <w:sz w:val="21"/>
                      <w:szCs w:val="21"/>
                    </w:rPr>
                  </w:pPr>
                  <w:r>
                    <w:rPr>
                      <w:rFonts w:hint="eastAsia" w:hAnsi="宋体"/>
                      <w:sz w:val="21"/>
                      <w:szCs w:val="21"/>
                    </w:rPr>
                    <w:t>0</w:t>
                  </w:r>
                  <w:r>
                    <w:rPr>
                      <w:rFonts w:hAnsi="宋体"/>
                      <w:sz w:val="21"/>
                      <w:szCs w:val="21"/>
                    </w:rPr>
                    <w:t>2</w:t>
                  </w:r>
                  <w:r>
                    <w:rPr>
                      <w:rFonts w:hint="eastAsia" w:hAnsi="宋体"/>
                      <w:sz w:val="21"/>
                      <w:szCs w:val="21"/>
                    </w:rPr>
                    <w:t>月1</w:t>
                  </w:r>
                  <w:r>
                    <w:rPr>
                      <w:rFonts w:hAnsi="宋体"/>
                      <w:sz w:val="21"/>
                      <w:szCs w:val="21"/>
                    </w:rPr>
                    <w:t>9</w:t>
                  </w:r>
                  <w:r>
                    <w:rPr>
                      <w:rFonts w:hint="eastAsia" w:hAnsi="宋体"/>
                      <w:sz w:val="21"/>
                      <w:szCs w:val="21"/>
                    </w:rPr>
                    <w:t>日</w:t>
                  </w:r>
                </w:p>
              </w:tc>
              <w:tc>
                <w:tcPr>
                  <w:tcW w:w="1535" w:type="dxa"/>
                  <w:vAlign w:val="center"/>
                </w:tcPr>
                <w:p>
                  <w:pPr>
                    <w:jc w:val="center"/>
                    <w:rPr>
                      <w:rFonts w:hAnsi="宋体"/>
                      <w:sz w:val="21"/>
                      <w:szCs w:val="21"/>
                    </w:rPr>
                  </w:pPr>
                  <w:r>
                    <w:rPr>
                      <w:rFonts w:hint="eastAsia" w:hAnsi="宋体"/>
                      <w:sz w:val="21"/>
                      <w:szCs w:val="21"/>
                    </w:rPr>
                    <w:t>53.9</w:t>
                  </w:r>
                </w:p>
              </w:tc>
              <w:tc>
                <w:tcPr>
                  <w:tcW w:w="1498" w:type="dxa"/>
                  <w:vAlign w:val="center"/>
                </w:tcPr>
                <w:p>
                  <w:pPr>
                    <w:jc w:val="center"/>
                    <w:rPr>
                      <w:rFonts w:hAnsi="宋体"/>
                      <w:sz w:val="21"/>
                      <w:szCs w:val="21"/>
                    </w:rPr>
                  </w:pPr>
                  <w:r>
                    <w:rPr>
                      <w:rFonts w:hint="eastAsia" w:hAnsi="宋体"/>
                      <w:sz w:val="21"/>
                      <w:szCs w:val="21"/>
                    </w:rPr>
                    <w:t>39.8</w:t>
                  </w:r>
                </w:p>
              </w:tc>
              <w:tc>
                <w:tcPr>
                  <w:tcW w:w="1020" w:type="dxa"/>
                  <w:vAlign w:val="center"/>
                </w:tcPr>
                <w:p>
                  <w:pPr>
                    <w:jc w:val="center"/>
                    <w:rPr>
                      <w:rFonts w:hAnsi="宋体"/>
                      <w:sz w:val="21"/>
                      <w:szCs w:val="21"/>
                    </w:rPr>
                  </w:pPr>
                  <w:r>
                    <w:rPr>
                      <w:rFonts w:hAnsi="宋体"/>
                      <w:sz w:val="21"/>
                      <w:szCs w:val="21"/>
                    </w:rPr>
                    <w:t>60</w:t>
                  </w:r>
                </w:p>
              </w:tc>
              <w:tc>
                <w:tcPr>
                  <w:tcW w:w="965" w:type="dxa"/>
                  <w:vAlign w:val="center"/>
                </w:tcPr>
                <w:p>
                  <w:pPr>
                    <w:jc w:val="center"/>
                    <w:rPr>
                      <w:rFonts w:hAnsi="宋体"/>
                      <w:sz w:val="21"/>
                      <w:szCs w:val="21"/>
                    </w:rPr>
                  </w:pPr>
                  <w:r>
                    <w:rPr>
                      <w:rFonts w:hint="eastAsia" w:hAnsi="宋体"/>
                      <w:sz w:val="21"/>
                      <w:szCs w:val="21"/>
                    </w:rPr>
                    <w:t>5</w:t>
                  </w:r>
                  <w:r>
                    <w:rPr>
                      <w:rFonts w:hAnsi="宋体"/>
                      <w:sz w:val="21"/>
                      <w:szCs w:val="21"/>
                    </w:rPr>
                    <w:t>0</w:t>
                  </w:r>
                </w:p>
              </w:tc>
            </w:tr>
            <w:tr>
              <w:tblPrEx>
                <w:tblBorders>
                  <w:top w:val="single" w:color="auto" w:sz="12" w:space="0"/>
                  <w:left w:val="single" w:color="auto" w:sz="2" w:space="0"/>
                  <w:bottom w:val="single" w:color="auto" w:sz="1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00" w:type="dxa"/>
                  <w:gridSpan w:val="7"/>
                  <w:vAlign w:val="center"/>
                </w:tcPr>
                <w:p>
                  <w:pPr>
                    <w:rPr>
                      <w:rFonts w:hAnsi="宋体"/>
                      <w:sz w:val="21"/>
                      <w:szCs w:val="21"/>
                    </w:rPr>
                  </w:pPr>
                  <w:r>
                    <w:rPr>
                      <w:rFonts w:hAnsi="宋体"/>
                      <w:sz w:val="21"/>
                      <w:szCs w:val="21"/>
                    </w:rPr>
                    <w:t>备注：该检测结果仅对本次</w:t>
                  </w:r>
                  <w:r>
                    <w:rPr>
                      <w:rFonts w:hint="eastAsia" w:hAnsi="宋体"/>
                      <w:sz w:val="21"/>
                      <w:szCs w:val="21"/>
                    </w:rPr>
                    <w:t>采样</w:t>
                  </w:r>
                  <w:r>
                    <w:rPr>
                      <w:rFonts w:hAnsi="宋体"/>
                      <w:sz w:val="21"/>
                      <w:szCs w:val="21"/>
                    </w:rPr>
                    <w:t>负责。</w:t>
                  </w:r>
                </w:p>
              </w:tc>
            </w:tr>
          </w:tbl>
          <w:p>
            <w:pPr>
              <w:pStyle w:val="43"/>
              <w:spacing w:line="360" w:lineRule="auto"/>
              <w:ind w:firstLine="480" w:firstLineChars="200"/>
              <w:jc w:val="left"/>
              <w:rPr>
                <w:sz w:val="24"/>
              </w:rPr>
            </w:pPr>
            <w:r>
              <w:rPr>
                <w:sz w:val="24"/>
              </w:rPr>
              <w:t>噪声监测结果表明，本项目厂界均能达到《声环境质量标准》（GB3096-2008）中2</w:t>
            </w:r>
            <w:r>
              <w:rPr>
                <w:rFonts w:hint="eastAsia"/>
                <w:sz w:val="24"/>
              </w:rPr>
              <w:t>类</w:t>
            </w:r>
            <w:r>
              <w:rPr>
                <w:sz w:val="24"/>
              </w:rPr>
              <w:t>标准要求。</w:t>
            </w:r>
          </w:p>
          <w:p>
            <w:pPr>
              <w:adjustRightInd w:val="0"/>
              <w:snapToGrid w:val="0"/>
              <w:spacing w:line="360" w:lineRule="auto"/>
              <w:ind w:firstLine="482" w:firstLineChars="200"/>
              <w:rPr>
                <w:b/>
                <w:sz w:val="24"/>
              </w:rPr>
            </w:pPr>
            <w:r>
              <w:rPr>
                <w:b/>
                <w:sz w:val="24"/>
              </w:rPr>
              <w:t>4、生态环境质量现状调查</w:t>
            </w:r>
          </w:p>
          <w:p>
            <w:pPr>
              <w:widowControl/>
              <w:adjustRightInd w:val="0"/>
              <w:snapToGrid w:val="0"/>
              <w:spacing w:line="360" w:lineRule="auto"/>
              <w:ind w:firstLine="480" w:firstLineChars="200"/>
              <w:rPr>
                <w:kern w:val="0"/>
                <w:sz w:val="24"/>
              </w:rPr>
            </w:pPr>
            <w:r>
              <w:rPr>
                <w:rFonts w:hAnsi="宋体"/>
                <w:kern w:val="0"/>
                <w:sz w:val="24"/>
              </w:rPr>
              <w:t>根据实地调查统计，评价区域的野生动物种类较少，只有常见的蛇、蛙、鼠及常见鸟类，没有特别珍稀保护动物，评价区没有国家保护的珍贵动物物种分布。植被调查的结果显示，本项目评价范围内无国家保护树种。因此评价区也没有珍稀濒危的国家保护物种，更没有风景名胜等保护区。</w:t>
            </w:r>
          </w:p>
          <w:p>
            <w:pPr>
              <w:spacing w:line="360" w:lineRule="auto"/>
              <w:rPr>
                <w:sz w:val="24"/>
              </w:rPr>
            </w:pPr>
            <w:r>
              <w:rPr>
                <w:b/>
                <w:bCs/>
                <w:sz w:val="24"/>
              </w:rPr>
              <w:t xml:space="preserve">主要环境保护目标（列出名单及保护级别）： </w:t>
            </w:r>
          </w:p>
          <w:p>
            <w:pPr>
              <w:widowControl/>
              <w:adjustRightInd w:val="0"/>
              <w:snapToGrid w:val="0"/>
              <w:spacing w:line="360" w:lineRule="auto"/>
              <w:ind w:firstLine="480" w:firstLineChars="200"/>
              <w:rPr>
                <w:spacing w:val="4"/>
                <w:sz w:val="24"/>
                <w:u w:val="single"/>
              </w:rPr>
            </w:pPr>
            <w:r>
              <w:rPr>
                <w:kern w:val="0"/>
                <w:sz w:val="24"/>
                <w:u w:val="single"/>
              </w:rPr>
              <w:t>根据现场踏勘可知，本项目环境保护目标详见表9，</w:t>
            </w:r>
            <w:r>
              <w:rPr>
                <w:spacing w:val="4"/>
                <w:sz w:val="24"/>
                <w:u w:val="single"/>
              </w:rPr>
              <w:t>项目环境保护目标图详见附图。</w:t>
            </w:r>
            <w:r>
              <w:rPr>
                <w:rFonts w:hint="eastAsia"/>
                <w:spacing w:val="4"/>
                <w:sz w:val="24"/>
                <w:u w:val="single"/>
              </w:rPr>
              <w:t xml:space="preserve"> </w:t>
            </w:r>
            <w:r>
              <w:rPr>
                <w:spacing w:val="4"/>
                <w:sz w:val="24"/>
                <w:u w:val="single"/>
              </w:rPr>
              <w:t xml:space="preserve">      </w:t>
            </w:r>
          </w:p>
          <w:p>
            <w:pPr>
              <w:widowControl/>
              <w:adjustRightInd w:val="0"/>
              <w:snapToGrid w:val="0"/>
              <w:spacing w:line="360" w:lineRule="auto"/>
              <w:ind w:firstLine="2480" w:firstLineChars="1000"/>
              <w:rPr>
                <w:spacing w:val="4"/>
                <w:sz w:val="24"/>
                <w:u w:val="single"/>
              </w:rPr>
            </w:pPr>
            <w:r>
              <w:rPr>
                <w:spacing w:val="4"/>
                <w:sz w:val="24"/>
                <w:u w:val="single"/>
              </w:rPr>
              <w:t xml:space="preserve"> </w:t>
            </w:r>
            <w:r>
              <w:rPr>
                <w:b/>
                <w:bCs/>
                <w:kern w:val="0"/>
                <w:sz w:val="21"/>
                <w:u w:val="single"/>
              </w:rPr>
              <w:t>表9  主要环境保护目标一览表</w:t>
            </w:r>
          </w:p>
          <w:tbl>
            <w:tblPr>
              <w:tblStyle w:val="1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66"/>
              <w:gridCol w:w="816"/>
              <w:gridCol w:w="13"/>
              <w:gridCol w:w="724"/>
              <w:gridCol w:w="789"/>
              <w:gridCol w:w="1182"/>
              <w:gridCol w:w="972"/>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618" w:type="dxa"/>
                  <w:vMerge w:val="restart"/>
                  <w:vAlign w:val="center"/>
                </w:tcPr>
                <w:p>
                  <w:pPr>
                    <w:spacing w:line="0" w:lineRule="atLeast"/>
                    <w:jc w:val="center"/>
                    <w:rPr>
                      <w:sz w:val="21"/>
                      <w:szCs w:val="21"/>
                      <w:u w:val="single"/>
                    </w:rPr>
                  </w:pPr>
                  <w:r>
                    <w:rPr>
                      <w:sz w:val="21"/>
                      <w:szCs w:val="21"/>
                      <w:u w:val="single"/>
                    </w:rPr>
                    <w:t>环境要素</w:t>
                  </w:r>
                </w:p>
              </w:tc>
              <w:tc>
                <w:tcPr>
                  <w:tcW w:w="866" w:type="dxa"/>
                  <w:vMerge w:val="restart"/>
                  <w:vAlign w:val="center"/>
                </w:tcPr>
                <w:p>
                  <w:pPr>
                    <w:spacing w:line="0" w:lineRule="atLeast"/>
                    <w:jc w:val="center"/>
                    <w:rPr>
                      <w:sz w:val="21"/>
                      <w:szCs w:val="21"/>
                      <w:u w:val="single"/>
                    </w:rPr>
                  </w:pPr>
                  <w:r>
                    <w:rPr>
                      <w:sz w:val="21"/>
                      <w:szCs w:val="21"/>
                      <w:u w:val="single"/>
                    </w:rPr>
                    <w:t>环境</w:t>
                  </w:r>
                  <w:r>
                    <w:rPr>
                      <w:rFonts w:hint="eastAsia"/>
                      <w:sz w:val="21"/>
                      <w:szCs w:val="21"/>
                      <w:u w:val="single"/>
                    </w:rPr>
                    <w:t>敏感</w:t>
                  </w:r>
                  <w:r>
                    <w:rPr>
                      <w:sz w:val="21"/>
                      <w:szCs w:val="21"/>
                      <w:u w:val="single"/>
                    </w:rPr>
                    <w:t>点</w:t>
                  </w:r>
                </w:p>
              </w:tc>
              <w:tc>
                <w:tcPr>
                  <w:tcW w:w="1553" w:type="dxa"/>
                  <w:gridSpan w:val="3"/>
                </w:tcPr>
                <w:p>
                  <w:pPr>
                    <w:spacing w:line="0" w:lineRule="atLeast"/>
                    <w:jc w:val="center"/>
                    <w:rPr>
                      <w:sz w:val="21"/>
                      <w:szCs w:val="21"/>
                      <w:u w:val="single"/>
                    </w:rPr>
                  </w:pPr>
                  <w:r>
                    <w:rPr>
                      <w:rFonts w:hint="eastAsia"/>
                      <w:sz w:val="21"/>
                      <w:szCs w:val="21"/>
                      <w:u w:val="single"/>
                    </w:rPr>
                    <w:t>坐标/m</w:t>
                  </w:r>
                </w:p>
              </w:tc>
              <w:tc>
                <w:tcPr>
                  <w:tcW w:w="789" w:type="dxa"/>
                  <w:vMerge w:val="restart"/>
                  <w:vAlign w:val="center"/>
                </w:tcPr>
                <w:p>
                  <w:pPr>
                    <w:spacing w:line="0" w:lineRule="atLeast"/>
                    <w:jc w:val="center"/>
                    <w:rPr>
                      <w:sz w:val="21"/>
                      <w:szCs w:val="21"/>
                      <w:u w:val="single"/>
                    </w:rPr>
                  </w:pPr>
                  <w:r>
                    <w:rPr>
                      <w:sz w:val="21"/>
                      <w:szCs w:val="21"/>
                      <w:u w:val="single"/>
                    </w:rPr>
                    <w:t>方位</w:t>
                  </w:r>
                </w:p>
              </w:tc>
              <w:tc>
                <w:tcPr>
                  <w:tcW w:w="1182" w:type="dxa"/>
                  <w:vMerge w:val="restart"/>
                  <w:vAlign w:val="center"/>
                </w:tcPr>
                <w:p>
                  <w:pPr>
                    <w:spacing w:line="0" w:lineRule="atLeast"/>
                    <w:jc w:val="center"/>
                    <w:rPr>
                      <w:sz w:val="21"/>
                      <w:szCs w:val="21"/>
                      <w:u w:val="single"/>
                    </w:rPr>
                  </w:pPr>
                  <w:r>
                    <w:rPr>
                      <w:rFonts w:hint="eastAsia"/>
                      <w:sz w:val="21"/>
                      <w:szCs w:val="21"/>
                      <w:u w:val="single"/>
                    </w:rPr>
                    <w:t>距离</w:t>
                  </w:r>
                </w:p>
              </w:tc>
              <w:tc>
                <w:tcPr>
                  <w:tcW w:w="972" w:type="dxa"/>
                  <w:vMerge w:val="restart"/>
                  <w:vAlign w:val="center"/>
                </w:tcPr>
                <w:p>
                  <w:pPr>
                    <w:spacing w:line="0" w:lineRule="atLeast"/>
                    <w:jc w:val="center"/>
                    <w:rPr>
                      <w:sz w:val="21"/>
                      <w:szCs w:val="21"/>
                      <w:u w:val="single"/>
                    </w:rPr>
                  </w:pPr>
                  <w:r>
                    <w:rPr>
                      <w:sz w:val="21"/>
                      <w:szCs w:val="21"/>
                      <w:u w:val="single"/>
                    </w:rPr>
                    <w:t>功能规模</w:t>
                  </w:r>
                </w:p>
              </w:tc>
              <w:tc>
                <w:tcPr>
                  <w:tcW w:w="2316" w:type="dxa"/>
                  <w:vMerge w:val="restart"/>
                  <w:vAlign w:val="center"/>
                </w:tcPr>
                <w:p>
                  <w:pPr>
                    <w:spacing w:line="0" w:lineRule="atLeast"/>
                    <w:jc w:val="center"/>
                    <w:rPr>
                      <w:sz w:val="21"/>
                      <w:szCs w:val="21"/>
                      <w:u w:val="single"/>
                    </w:rPr>
                  </w:pPr>
                  <w:r>
                    <w:rPr>
                      <w:sz w:val="21"/>
                      <w:szCs w:val="21"/>
                      <w:u w:val="single"/>
                    </w:rPr>
                    <w:t>环境保护</w:t>
                  </w:r>
                  <w:r>
                    <w:rPr>
                      <w:rFonts w:hint="eastAsia"/>
                      <w:sz w:val="21"/>
                      <w:szCs w:val="21"/>
                      <w:u w:val="single"/>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618" w:type="dxa"/>
                  <w:vMerge w:val="continue"/>
                  <w:vAlign w:val="center"/>
                </w:tcPr>
                <w:p>
                  <w:pPr>
                    <w:spacing w:line="0" w:lineRule="atLeast"/>
                    <w:jc w:val="center"/>
                    <w:rPr>
                      <w:sz w:val="21"/>
                      <w:szCs w:val="21"/>
                      <w:u w:val="single"/>
                    </w:rPr>
                  </w:pPr>
                </w:p>
              </w:tc>
              <w:tc>
                <w:tcPr>
                  <w:tcW w:w="866" w:type="dxa"/>
                  <w:vMerge w:val="continue"/>
                  <w:vAlign w:val="center"/>
                </w:tcPr>
                <w:p>
                  <w:pPr>
                    <w:spacing w:line="0" w:lineRule="atLeast"/>
                    <w:jc w:val="center"/>
                    <w:rPr>
                      <w:sz w:val="21"/>
                      <w:szCs w:val="21"/>
                      <w:u w:val="single"/>
                    </w:rPr>
                  </w:pPr>
                </w:p>
              </w:tc>
              <w:tc>
                <w:tcPr>
                  <w:tcW w:w="829" w:type="dxa"/>
                  <w:gridSpan w:val="2"/>
                </w:tcPr>
                <w:p>
                  <w:pPr>
                    <w:spacing w:line="0" w:lineRule="atLeast"/>
                    <w:jc w:val="center"/>
                    <w:rPr>
                      <w:sz w:val="21"/>
                      <w:szCs w:val="21"/>
                      <w:u w:val="single"/>
                    </w:rPr>
                  </w:pPr>
                  <w:r>
                    <w:rPr>
                      <w:rFonts w:hint="eastAsia"/>
                      <w:sz w:val="21"/>
                      <w:szCs w:val="21"/>
                      <w:u w:val="single"/>
                    </w:rPr>
                    <w:t>X</w:t>
                  </w:r>
                </w:p>
              </w:tc>
              <w:tc>
                <w:tcPr>
                  <w:tcW w:w="724" w:type="dxa"/>
                </w:tcPr>
                <w:p>
                  <w:pPr>
                    <w:spacing w:line="0" w:lineRule="atLeast"/>
                    <w:jc w:val="center"/>
                    <w:rPr>
                      <w:sz w:val="21"/>
                      <w:szCs w:val="21"/>
                      <w:u w:val="single"/>
                    </w:rPr>
                  </w:pPr>
                  <w:r>
                    <w:rPr>
                      <w:rFonts w:hint="eastAsia"/>
                      <w:sz w:val="21"/>
                      <w:szCs w:val="21"/>
                      <w:u w:val="single"/>
                    </w:rPr>
                    <w:t>Y</w:t>
                  </w:r>
                </w:p>
              </w:tc>
              <w:tc>
                <w:tcPr>
                  <w:tcW w:w="789" w:type="dxa"/>
                  <w:vMerge w:val="continue"/>
                  <w:vAlign w:val="center"/>
                </w:tcPr>
                <w:p>
                  <w:pPr>
                    <w:spacing w:line="0" w:lineRule="atLeast"/>
                    <w:jc w:val="center"/>
                    <w:rPr>
                      <w:sz w:val="21"/>
                      <w:szCs w:val="21"/>
                      <w:u w:val="single"/>
                    </w:rPr>
                  </w:pPr>
                </w:p>
              </w:tc>
              <w:tc>
                <w:tcPr>
                  <w:tcW w:w="1182" w:type="dxa"/>
                  <w:vMerge w:val="continue"/>
                  <w:vAlign w:val="center"/>
                </w:tcPr>
                <w:p>
                  <w:pPr>
                    <w:spacing w:line="0" w:lineRule="atLeast"/>
                    <w:jc w:val="center"/>
                    <w:rPr>
                      <w:sz w:val="21"/>
                      <w:szCs w:val="21"/>
                      <w:u w:val="single"/>
                    </w:rPr>
                  </w:pPr>
                </w:p>
              </w:tc>
              <w:tc>
                <w:tcPr>
                  <w:tcW w:w="972" w:type="dxa"/>
                  <w:vMerge w:val="continue"/>
                  <w:vAlign w:val="center"/>
                </w:tcPr>
                <w:p>
                  <w:pPr>
                    <w:spacing w:line="0" w:lineRule="atLeast"/>
                    <w:jc w:val="center"/>
                    <w:rPr>
                      <w:sz w:val="21"/>
                      <w:szCs w:val="21"/>
                      <w:u w:val="single"/>
                    </w:rPr>
                  </w:pPr>
                </w:p>
              </w:tc>
              <w:tc>
                <w:tcPr>
                  <w:tcW w:w="2316" w:type="dxa"/>
                  <w:vMerge w:val="continue"/>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618" w:type="dxa"/>
                  <w:vMerge w:val="restart"/>
                  <w:vAlign w:val="center"/>
                </w:tcPr>
                <w:p>
                  <w:pPr>
                    <w:spacing w:line="0" w:lineRule="atLeast"/>
                    <w:jc w:val="center"/>
                    <w:rPr>
                      <w:sz w:val="21"/>
                      <w:szCs w:val="21"/>
                      <w:u w:val="single"/>
                    </w:rPr>
                  </w:pPr>
                  <w:r>
                    <w:rPr>
                      <w:sz w:val="21"/>
                      <w:szCs w:val="21"/>
                      <w:u w:val="single"/>
                    </w:rPr>
                    <w:t>大气环境</w:t>
                  </w:r>
                </w:p>
              </w:tc>
              <w:tc>
                <w:tcPr>
                  <w:tcW w:w="866" w:type="dxa"/>
                  <w:vAlign w:val="center"/>
                </w:tcPr>
                <w:p>
                  <w:pPr>
                    <w:spacing w:line="0" w:lineRule="atLeast"/>
                    <w:jc w:val="center"/>
                    <w:rPr>
                      <w:sz w:val="21"/>
                      <w:szCs w:val="21"/>
                      <w:u w:val="single"/>
                    </w:rPr>
                  </w:pPr>
                  <w:r>
                    <w:rPr>
                      <w:rFonts w:hint="eastAsia"/>
                      <w:sz w:val="21"/>
                      <w:szCs w:val="21"/>
                      <w:u w:val="single"/>
                    </w:rPr>
                    <w:t>清政老年公寓</w:t>
                  </w:r>
                </w:p>
              </w:tc>
              <w:tc>
                <w:tcPr>
                  <w:tcW w:w="829" w:type="dxa"/>
                  <w:gridSpan w:val="2"/>
                  <w:vAlign w:val="center"/>
                </w:tcPr>
                <w:p>
                  <w:pPr>
                    <w:spacing w:line="0" w:lineRule="atLeast"/>
                    <w:jc w:val="center"/>
                    <w:rPr>
                      <w:sz w:val="21"/>
                      <w:szCs w:val="21"/>
                      <w:u w:val="single"/>
                    </w:rPr>
                  </w:pPr>
                  <w:r>
                    <w:rPr>
                      <w:sz w:val="21"/>
                      <w:szCs w:val="21"/>
                      <w:u w:val="single"/>
                    </w:rPr>
                    <w:t>50</w:t>
                  </w:r>
                </w:p>
              </w:tc>
              <w:tc>
                <w:tcPr>
                  <w:tcW w:w="724" w:type="dxa"/>
                  <w:vAlign w:val="center"/>
                </w:tcPr>
                <w:p>
                  <w:pPr>
                    <w:spacing w:line="0" w:lineRule="atLeast"/>
                    <w:jc w:val="center"/>
                    <w:rPr>
                      <w:sz w:val="21"/>
                      <w:szCs w:val="21"/>
                      <w:u w:val="single"/>
                    </w:rPr>
                  </w:pPr>
                  <w:r>
                    <w:rPr>
                      <w:sz w:val="21"/>
                      <w:szCs w:val="21"/>
                      <w:u w:val="single"/>
                    </w:rPr>
                    <w:t>50</w:t>
                  </w:r>
                </w:p>
              </w:tc>
              <w:tc>
                <w:tcPr>
                  <w:tcW w:w="789" w:type="dxa"/>
                  <w:vAlign w:val="center"/>
                </w:tcPr>
                <w:p>
                  <w:pPr>
                    <w:spacing w:line="0" w:lineRule="atLeast"/>
                    <w:jc w:val="center"/>
                    <w:rPr>
                      <w:sz w:val="21"/>
                      <w:szCs w:val="21"/>
                      <w:u w:val="single"/>
                    </w:rPr>
                  </w:pPr>
                  <w:r>
                    <w:rPr>
                      <w:sz w:val="21"/>
                      <w:szCs w:val="21"/>
                      <w:u w:val="single"/>
                    </w:rPr>
                    <w:t>东北面</w:t>
                  </w:r>
                </w:p>
              </w:tc>
              <w:tc>
                <w:tcPr>
                  <w:tcW w:w="1182" w:type="dxa"/>
                  <w:vAlign w:val="center"/>
                </w:tcPr>
                <w:p>
                  <w:pPr>
                    <w:spacing w:line="0" w:lineRule="atLeast"/>
                    <w:jc w:val="center"/>
                    <w:rPr>
                      <w:sz w:val="21"/>
                      <w:szCs w:val="21"/>
                      <w:u w:val="single"/>
                    </w:rPr>
                  </w:pPr>
                  <w:r>
                    <w:rPr>
                      <w:sz w:val="21"/>
                      <w:szCs w:val="21"/>
                      <w:u w:val="single"/>
                    </w:rPr>
                    <w:t>60m</w:t>
                  </w:r>
                </w:p>
              </w:tc>
              <w:tc>
                <w:tcPr>
                  <w:tcW w:w="972" w:type="dxa"/>
                  <w:vAlign w:val="center"/>
                </w:tcPr>
                <w:p>
                  <w:pPr>
                    <w:spacing w:line="0" w:lineRule="atLeast"/>
                    <w:jc w:val="center"/>
                    <w:rPr>
                      <w:sz w:val="21"/>
                      <w:szCs w:val="21"/>
                      <w:u w:val="single"/>
                    </w:rPr>
                  </w:pPr>
                  <w:r>
                    <w:rPr>
                      <w:rFonts w:hint="eastAsia"/>
                      <w:sz w:val="21"/>
                      <w:szCs w:val="21"/>
                      <w:u w:val="single"/>
                    </w:rPr>
                    <w:t>5</w:t>
                  </w:r>
                  <w:r>
                    <w:rPr>
                      <w:sz w:val="21"/>
                      <w:szCs w:val="21"/>
                      <w:u w:val="single"/>
                    </w:rPr>
                    <w:t>0</w:t>
                  </w:r>
                  <w:r>
                    <w:rPr>
                      <w:rFonts w:hint="eastAsia"/>
                      <w:sz w:val="21"/>
                      <w:szCs w:val="21"/>
                      <w:u w:val="single"/>
                    </w:rPr>
                    <w:t>人</w:t>
                  </w:r>
                </w:p>
              </w:tc>
              <w:tc>
                <w:tcPr>
                  <w:tcW w:w="2316" w:type="dxa"/>
                  <w:vMerge w:val="restart"/>
                  <w:vAlign w:val="center"/>
                </w:tcPr>
                <w:p>
                  <w:pPr>
                    <w:spacing w:line="0" w:lineRule="atLeast"/>
                    <w:jc w:val="center"/>
                    <w:rPr>
                      <w:sz w:val="21"/>
                      <w:szCs w:val="21"/>
                      <w:u w:val="single"/>
                    </w:rPr>
                  </w:pPr>
                  <w:r>
                    <w:rPr>
                      <w:sz w:val="21"/>
                      <w:szCs w:val="21"/>
                      <w:u w:val="single"/>
                    </w:rPr>
                    <w:t>《环境空气质量标准》GB3095-2012</w:t>
                  </w:r>
                </w:p>
                <w:p>
                  <w:pPr>
                    <w:spacing w:line="0" w:lineRule="atLeast"/>
                    <w:jc w:val="center"/>
                    <w:rPr>
                      <w:sz w:val="21"/>
                      <w:szCs w:val="21"/>
                      <w:u w:val="single"/>
                    </w:rPr>
                  </w:pPr>
                  <w:r>
                    <w:rPr>
                      <w:sz w:val="21"/>
                      <w:szCs w:val="21"/>
                      <w:u w:val="single"/>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18" w:type="dxa"/>
                  <w:vMerge w:val="continue"/>
                  <w:vAlign w:val="center"/>
                </w:tcPr>
                <w:p>
                  <w:pPr>
                    <w:spacing w:line="0" w:lineRule="atLeast"/>
                    <w:jc w:val="center"/>
                    <w:rPr>
                      <w:sz w:val="21"/>
                      <w:szCs w:val="21"/>
                      <w:u w:val="single"/>
                    </w:rPr>
                  </w:pPr>
                </w:p>
              </w:tc>
              <w:tc>
                <w:tcPr>
                  <w:tcW w:w="866" w:type="dxa"/>
                  <w:vAlign w:val="center"/>
                </w:tcPr>
                <w:p>
                  <w:pPr>
                    <w:spacing w:line="0" w:lineRule="atLeast"/>
                    <w:jc w:val="center"/>
                    <w:rPr>
                      <w:sz w:val="21"/>
                      <w:szCs w:val="21"/>
                      <w:u w:val="single"/>
                    </w:rPr>
                  </w:pPr>
                  <w:r>
                    <w:rPr>
                      <w:rFonts w:hint="eastAsia"/>
                      <w:sz w:val="21"/>
                      <w:szCs w:val="21"/>
                      <w:u w:val="single"/>
                    </w:rPr>
                    <w:t>居民点</w:t>
                  </w:r>
                </w:p>
              </w:tc>
              <w:tc>
                <w:tcPr>
                  <w:tcW w:w="829" w:type="dxa"/>
                  <w:gridSpan w:val="2"/>
                  <w:vAlign w:val="center"/>
                </w:tcPr>
                <w:p>
                  <w:pPr>
                    <w:spacing w:line="0" w:lineRule="atLeast"/>
                    <w:jc w:val="center"/>
                    <w:rPr>
                      <w:sz w:val="21"/>
                      <w:szCs w:val="21"/>
                      <w:u w:val="single"/>
                    </w:rPr>
                  </w:pPr>
                  <w:r>
                    <w:rPr>
                      <w:sz w:val="21"/>
                      <w:szCs w:val="21"/>
                      <w:u w:val="single"/>
                    </w:rPr>
                    <w:t>80</w:t>
                  </w:r>
                </w:p>
              </w:tc>
              <w:tc>
                <w:tcPr>
                  <w:tcW w:w="724" w:type="dxa"/>
                  <w:vAlign w:val="center"/>
                </w:tcPr>
                <w:p>
                  <w:pPr>
                    <w:spacing w:line="0" w:lineRule="atLeast"/>
                    <w:jc w:val="center"/>
                    <w:rPr>
                      <w:sz w:val="21"/>
                      <w:szCs w:val="21"/>
                      <w:u w:val="single"/>
                    </w:rPr>
                  </w:pPr>
                  <w:r>
                    <w:rPr>
                      <w:sz w:val="21"/>
                      <w:szCs w:val="21"/>
                      <w:u w:val="single"/>
                    </w:rPr>
                    <w:t>150</w:t>
                  </w:r>
                </w:p>
              </w:tc>
              <w:tc>
                <w:tcPr>
                  <w:tcW w:w="789" w:type="dxa"/>
                  <w:vAlign w:val="center"/>
                </w:tcPr>
                <w:p>
                  <w:pPr>
                    <w:spacing w:line="0" w:lineRule="atLeast"/>
                    <w:jc w:val="center"/>
                    <w:rPr>
                      <w:sz w:val="21"/>
                      <w:szCs w:val="21"/>
                      <w:u w:val="single"/>
                    </w:rPr>
                  </w:pPr>
                  <w:r>
                    <w:rPr>
                      <w:sz w:val="21"/>
                      <w:szCs w:val="21"/>
                      <w:u w:val="single"/>
                    </w:rPr>
                    <w:t>东</w:t>
                  </w:r>
                  <w:r>
                    <w:rPr>
                      <w:rFonts w:hint="eastAsia"/>
                      <w:sz w:val="21"/>
                      <w:szCs w:val="21"/>
                      <w:u w:val="single"/>
                    </w:rPr>
                    <w:t>北</w:t>
                  </w:r>
                  <w:r>
                    <w:rPr>
                      <w:sz w:val="21"/>
                      <w:szCs w:val="21"/>
                      <w:u w:val="single"/>
                    </w:rPr>
                    <w:t>面</w:t>
                  </w:r>
                </w:p>
              </w:tc>
              <w:tc>
                <w:tcPr>
                  <w:tcW w:w="1182" w:type="dxa"/>
                  <w:vAlign w:val="center"/>
                </w:tcPr>
                <w:p>
                  <w:pPr>
                    <w:spacing w:line="0" w:lineRule="atLeast"/>
                    <w:jc w:val="center"/>
                    <w:rPr>
                      <w:sz w:val="21"/>
                      <w:szCs w:val="21"/>
                      <w:u w:val="single"/>
                    </w:rPr>
                  </w:pPr>
                  <w:r>
                    <w:rPr>
                      <w:sz w:val="21"/>
                      <w:szCs w:val="21"/>
                      <w:u w:val="single"/>
                    </w:rPr>
                    <w:t>80</w:t>
                  </w:r>
                  <w:r>
                    <w:rPr>
                      <w:rFonts w:hint="eastAsia"/>
                      <w:sz w:val="21"/>
                      <w:szCs w:val="21"/>
                      <w:u w:val="single"/>
                    </w:rPr>
                    <w:t>-</w:t>
                  </w:r>
                  <w:r>
                    <w:rPr>
                      <w:sz w:val="21"/>
                      <w:szCs w:val="21"/>
                      <w:u w:val="single"/>
                    </w:rPr>
                    <w:t>200m</w:t>
                  </w:r>
                </w:p>
              </w:tc>
              <w:tc>
                <w:tcPr>
                  <w:tcW w:w="972" w:type="dxa"/>
                  <w:vAlign w:val="center"/>
                </w:tcPr>
                <w:p>
                  <w:pPr>
                    <w:spacing w:line="0" w:lineRule="atLeast"/>
                    <w:jc w:val="center"/>
                    <w:rPr>
                      <w:sz w:val="21"/>
                      <w:szCs w:val="21"/>
                      <w:u w:val="single"/>
                    </w:rPr>
                  </w:pPr>
                  <w:r>
                    <w:rPr>
                      <w:sz w:val="21"/>
                      <w:szCs w:val="21"/>
                      <w:u w:val="single"/>
                    </w:rPr>
                    <w:t>200人左右</w:t>
                  </w:r>
                </w:p>
              </w:tc>
              <w:tc>
                <w:tcPr>
                  <w:tcW w:w="2316" w:type="dxa"/>
                  <w:vMerge w:val="continue"/>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618" w:type="dxa"/>
                  <w:vMerge w:val="continue"/>
                  <w:vAlign w:val="center"/>
                </w:tcPr>
                <w:p>
                  <w:pPr>
                    <w:spacing w:line="0" w:lineRule="atLeast"/>
                    <w:jc w:val="center"/>
                    <w:rPr>
                      <w:sz w:val="21"/>
                      <w:szCs w:val="21"/>
                      <w:u w:val="single"/>
                    </w:rPr>
                  </w:pPr>
                </w:p>
              </w:tc>
              <w:tc>
                <w:tcPr>
                  <w:tcW w:w="866" w:type="dxa"/>
                  <w:vAlign w:val="center"/>
                </w:tcPr>
                <w:p>
                  <w:pPr>
                    <w:spacing w:line="0" w:lineRule="atLeast"/>
                    <w:jc w:val="center"/>
                    <w:rPr>
                      <w:sz w:val="21"/>
                      <w:szCs w:val="21"/>
                      <w:u w:val="single"/>
                    </w:rPr>
                  </w:pPr>
                  <w:r>
                    <w:rPr>
                      <w:rFonts w:hint="eastAsia"/>
                      <w:sz w:val="21"/>
                      <w:szCs w:val="21"/>
                      <w:u w:val="single"/>
                    </w:rPr>
                    <w:t>居民点</w:t>
                  </w:r>
                </w:p>
              </w:tc>
              <w:tc>
                <w:tcPr>
                  <w:tcW w:w="829" w:type="dxa"/>
                  <w:gridSpan w:val="2"/>
                  <w:vAlign w:val="center"/>
                </w:tcPr>
                <w:p>
                  <w:pPr>
                    <w:spacing w:line="0" w:lineRule="atLeast"/>
                    <w:jc w:val="center"/>
                    <w:rPr>
                      <w:sz w:val="21"/>
                      <w:szCs w:val="21"/>
                      <w:u w:val="single"/>
                    </w:rPr>
                  </w:pPr>
                  <w:r>
                    <w:rPr>
                      <w:rFonts w:hint="eastAsia"/>
                      <w:sz w:val="21"/>
                      <w:szCs w:val="21"/>
                      <w:u w:val="single"/>
                    </w:rPr>
                    <w:t>-</w:t>
                  </w:r>
                  <w:r>
                    <w:rPr>
                      <w:sz w:val="21"/>
                      <w:szCs w:val="21"/>
                      <w:u w:val="single"/>
                    </w:rPr>
                    <w:t>20</w:t>
                  </w:r>
                </w:p>
              </w:tc>
              <w:tc>
                <w:tcPr>
                  <w:tcW w:w="724" w:type="dxa"/>
                  <w:vAlign w:val="center"/>
                </w:tcPr>
                <w:p>
                  <w:pPr>
                    <w:spacing w:line="0" w:lineRule="atLeast"/>
                    <w:jc w:val="center"/>
                    <w:rPr>
                      <w:sz w:val="21"/>
                      <w:szCs w:val="21"/>
                      <w:u w:val="single"/>
                    </w:rPr>
                  </w:pPr>
                  <w:r>
                    <w:rPr>
                      <w:sz w:val="21"/>
                      <w:szCs w:val="21"/>
                      <w:u w:val="single"/>
                    </w:rPr>
                    <w:t>130</w:t>
                  </w:r>
                </w:p>
              </w:tc>
              <w:tc>
                <w:tcPr>
                  <w:tcW w:w="789" w:type="dxa"/>
                  <w:vAlign w:val="center"/>
                </w:tcPr>
                <w:p>
                  <w:pPr>
                    <w:spacing w:line="0" w:lineRule="atLeast"/>
                    <w:jc w:val="center"/>
                    <w:rPr>
                      <w:sz w:val="21"/>
                      <w:szCs w:val="21"/>
                      <w:u w:val="single"/>
                    </w:rPr>
                  </w:pPr>
                  <w:r>
                    <w:rPr>
                      <w:rFonts w:hint="eastAsia"/>
                      <w:sz w:val="21"/>
                      <w:szCs w:val="21"/>
                      <w:u w:val="single"/>
                    </w:rPr>
                    <w:t>北</w:t>
                  </w:r>
                  <w:r>
                    <w:rPr>
                      <w:sz w:val="21"/>
                      <w:szCs w:val="21"/>
                      <w:u w:val="single"/>
                    </w:rPr>
                    <w:t>面</w:t>
                  </w:r>
                </w:p>
              </w:tc>
              <w:tc>
                <w:tcPr>
                  <w:tcW w:w="1182" w:type="dxa"/>
                  <w:vAlign w:val="center"/>
                </w:tcPr>
                <w:p>
                  <w:pPr>
                    <w:spacing w:line="0" w:lineRule="atLeast"/>
                    <w:jc w:val="center"/>
                    <w:rPr>
                      <w:sz w:val="21"/>
                      <w:szCs w:val="21"/>
                      <w:u w:val="single"/>
                    </w:rPr>
                  </w:pPr>
                  <w:r>
                    <w:rPr>
                      <w:sz w:val="21"/>
                      <w:szCs w:val="21"/>
                      <w:u w:val="single"/>
                    </w:rPr>
                    <w:t>140m</w:t>
                  </w:r>
                </w:p>
              </w:tc>
              <w:tc>
                <w:tcPr>
                  <w:tcW w:w="972" w:type="dxa"/>
                  <w:vAlign w:val="center"/>
                </w:tcPr>
                <w:p>
                  <w:pPr>
                    <w:spacing w:line="0" w:lineRule="atLeast"/>
                    <w:jc w:val="center"/>
                    <w:rPr>
                      <w:sz w:val="21"/>
                      <w:szCs w:val="21"/>
                      <w:u w:val="single"/>
                    </w:rPr>
                  </w:pPr>
                  <w:r>
                    <w:rPr>
                      <w:sz w:val="21"/>
                      <w:szCs w:val="21"/>
                      <w:u w:val="single"/>
                    </w:rPr>
                    <w:t>10人左右</w:t>
                  </w:r>
                </w:p>
              </w:tc>
              <w:tc>
                <w:tcPr>
                  <w:tcW w:w="2316" w:type="dxa"/>
                  <w:vMerge w:val="continue"/>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618" w:type="dxa"/>
                  <w:vMerge w:val="continue"/>
                  <w:vAlign w:val="center"/>
                </w:tcPr>
                <w:p>
                  <w:pPr>
                    <w:spacing w:line="0" w:lineRule="atLeast"/>
                    <w:jc w:val="center"/>
                    <w:rPr>
                      <w:sz w:val="21"/>
                      <w:szCs w:val="21"/>
                      <w:u w:val="single"/>
                    </w:rPr>
                  </w:pPr>
                </w:p>
              </w:tc>
              <w:tc>
                <w:tcPr>
                  <w:tcW w:w="866" w:type="dxa"/>
                  <w:vAlign w:val="center"/>
                </w:tcPr>
                <w:p>
                  <w:pPr>
                    <w:spacing w:line="0" w:lineRule="atLeast"/>
                    <w:jc w:val="center"/>
                    <w:rPr>
                      <w:sz w:val="21"/>
                      <w:szCs w:val="21"/>
                      <w:u w:val="single"/>
                    </w:rPr>
                  </w:pPr>
                  <w:r>
                    <w:rPr>
                      <w:rFonts w:hint="eastAsia"/>
                      <w:sz w:val="21"/>
                      <w:szCs w:val="21"/>
                      <w:u w:val="single"/>
                    </w:rPr>
                    <w:t>居民点</w:t>
                  </w:r>
                </w:p>
              </w:tc>
              <w:tc>
                <w:tcPr>
                  <w:tcW w:w="829" w:type="dxa"/>
                  <w:gridSpan w:val="2"/>
                  <w:vAlign w:val="center"/>
                </w:tcPr>
                <w:p>
                  <w:pPr>
                    <w:spacing w:line="0" w:lineRule="atLeast"/>
                    <w:jc w:val="center"/>
                    <w:rPr>
                      <w:sz w:val="21"/>
                      <w:szCs w:val="21"/>
                      <w:u w:val="single"/>
                    </w:rPr>
                  </w:pPr>
                  <w:r>
                    <w:rPr>
                      <w:rFonts w:hint="eastAsia"/>
                      <w:sz w:val="21"/>
                      <w:szCs w:val="21"/>
                      <w:u w:val="single"/>
                    </w:rPr>
                    <w:t>-</w:t>
                  </w:r>
                  <w:r>
                    <w:rPr>
                      <w:sz w:val="21"/>
                      <w:szCs w:val="21"/>
                      <w:u w:val="single"/>
                    </w:rPr>
                    <w:t>230</w:t>
                  </w:r>
                </w:p>
              </w:tc>
              <w:tc>
                <w:tcPr>
                  <w:tcW w:w="724" w:type="dxa"/>
                  <w:vAlign w:val="center"/>
                </w:tcPr>
                <w:p>
                  <w:pPr>
                    <w:spacing w:line="0" w:lineRule="atLeast"/>
                    <w:jc w:val="center"/>
                    <w:rPr>
                      <w:sz w:val="21"/>
                      <w:szCs w:val="21"/>
                      <w:u w:val="single"/>
                    </w:rPr>
                  </w:pPr>
                  <w:r>
                    <w:rPr>
                      <w:rFonts w:hint="eastAsia"/>
                      <w:sz w:val="21"/>
                      <w:szCs w:val="21"/>
                      <w:u w:val="single"/>
                    </w:rPr>
                    <w:t>-</w:t>
                  </w:r>
                  <w:r>
                    <w:rPr>
                      <w:sz w:val="21"/>
                      <w:szCs w:val="21"/>
                      <w:u w:val="single"/>
                    </w:rPr>
                    <w:t>50</w:t>
                  </w:r>
                </w:p>
              </w:tc>
              <w:tc>
                <w:tcPr>
                  <w:tcW w:w="789" w:type="dxa"/>
                  <w:vAlign w:val="center"/>
                </w:tcPr>
                <w:p>
                  <w:pPr>
                    <w:spacing w:line="0" w:lineRule="atLeast"/>
                    <w:jc w:val="center"/>
                    <w:rPr>
                      <w:sz w:val="21"/>
                      <w:szCs w:val="21"/>
                      <w:u w:val="single"/>
                    </w:rPr>
                  </w:pPr>
                  <w:r>
                    <w:rPr>
                      <w:rFonts w:hint="eastAsia"/>
                      <w:sz w:val="21"/>
                      <w:szCs w:val="21"/>
                      <w:u w:val="single"/>
                    </w:rPr>
                    <w:t>西</w:t>
                  </w:r>
                  <w:r>
                    <w:rPr>
                      <w:sz w:val="21"/>
                      <w:szCs w:val="21"/>
                      <w:u w:val="single"/>
                    </w:rPr>
                    <w:t>南面</w:t>
                  </w:r>
                </w:p>
              </w:tc>
              <w:tc>
                <w:tcPr>
                  <w:tcW w:w="1182" w:type="dxa"/>
                  <w:vAlign w:val="center"/>
                </w:tcPr>
                <w:p>
                  <w:pPr>
                    <w:spacing w:line="0" w:lineRule="atLeast"/>
                    <w:jc w:val="center"/>
                    <w:rPr>
                      <w:sz w:val="21"/>
                      <w:szCs w:val="21"/>
                      <w:u w:val="single"/>
                    </w:rPr>
                  </w:pPr>
                  <w:r>
                    <w:rPr>
                      <w:sz w:val="21"/>
                      <w:szCs w:val="21"/>
                      <w:u w:val="single"/>
                    </w:rPr>
                    <w:t>260m</w:t>
                  </w:r>
                </w:p>
              </w:tc>
              <w:tc>
                <w:tcPr>
                  <w:tcW w:w="972" w:type="dxa"/>
                  <w:vAlign w:val="center"/>
                </w:tcPr>
                <w:p>
                  <w:pPr>
                    <w:spacing w:line="0" w:lineRule="atLeast"/>
                    <w:jc w:val="center"/>
                    <w:rPr>
                      <w:sz w:val="21"/>
                      <w:szCs w:val="21"/>
                      <w:u w:val="single"/>
                    </w:rPr>
                  </w:pPr>
                  <w:r>
                    <w:rPr>
                      <w:sz w:val="21"/>
                      <w:szCs w:val="21"/>
                      <w:u w:val="single"/>
                    </w:rPr>
                    <w:t>5人左右</w:t>
                  </w:r>
                </w:p>
              </w:tc>
              <w:tc>
                <w:tcPr>
                  <w:tcW w:w="2316" w:type="dxa"/>
                  <w:vMerge w:val="continue"/>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618" w:type="dxa"/>
                  <w:vMerge w:val="continue"/>
                  <w:vAlign w:val="center"/>
                </w:tcPr>
                <w:p>
                  <w:pPr>
                    <w:spacing w:line="0" w:lineRule="atLeast"/>
                    <w:jc w:val="center"/>
                    <w:rPr>
                      <w:sz w:val="21"/>
                      <w:szCs w:val="21"/>
                      <w:u w:val="single"/>
                    </w:rPr>
                  </w:pPr>
                </w:p>
              </w:tc>
              <w:tc>
                <w:tcPr>
                  <w:tcW w:w="866" w:type="dxa"/>
                  <w:vAlign w:val="center"/>
                </w:tcPr>
                <w:p>
                  <w:pPr>
                    <w:spacing w:line="0" w:lineRule="atLeast"/>
                    <w:jc w:val="center"/>
                    <w:rPr>
                      <w:sz w:val="21"/>
                      <w:szCs w:val="21"/>
                      <w:u w:val="single"/>
                    </w:rPr>
                  </w:pPr>
                  <w:r>
                    <w:rPr>
                      <w:rFonts w:hint="eastAsia"/>
                      <w:sz w:val="21"/>
                      <w:szCs w:val="21"/>
                      <w:u w:val="single"/>
                    </w:rPr>
                    <w:t>居民点</w:t>
                  </w:r>
                </w:p>
              </w:tc>
              <w:tc>
                <w:tcPr>
                  <w:tcW w:w="829" w:type="dxa"/>
                  <w:gridSpan w:val="2"/>
                  <w:vAlign w:val="center"/>
                </w:tcPr>
                <w:p>
                  <w:pPr>
                    <w:spacing w:line="0" w:lineRule="atLeast"/>
                    <w:jc w:val="center"/>
                    <w:rPr>
                      <w:sz w:val="21"/>
                      <w:szCs w:val="21"/>
                      <w:u w:val="single"/>
                    </w:rPr>
                  </w:pPr>
                  <w:r>
                    <w:rPr>
                      <w:rFonts w:hint="eastAsia"/>
                      <w:sz w:val="21"/>
                      <w:szCs w:val="21"/>
                      <w:u w:val="single"/>
                    </w:rPr>
                    <w:t>-</w:t>
                  </w:r>
                  <w:r>
                    <w:rPr>
                      <w:sz w:val="21"/>
                      <w:szCs w:val="21"/>
                      <w:u w:val="single"/>
                    </w:rPr>
                    <w:t>230</w:t>
                  </w:r>
                </w:p>
              </w:tc>
              <w:tc>
                <w:tcPr>
                  <w:tcW w:w="724" w:type="dxa"/>
                  <w:vAlign w:val="center"/>
                </w:tcPr>
                <w:p>
                  <w:pPr>
                    <w:spacing w:line="0" w:lineRule="atLeast"/>
                    <w:jc w:val="center"/>
                    <w:rPr>
                      <w:sz w:val="21"/>
                      <w:szCs w:val="21"/>
                      <w:u w:val="single"/>
                    </w:rPr>
                  </w:pPr>
                  <w:r>
                    <w:rPr>
                      <w:rFonts w:hint="eastAsia"/>
                      <w:sz w:val="21"/>
                      <w:szCs w:val="21"/>
                      <w:u w:val="single"/>
                    </w:rPr>
                    <w:t>1</w:t>
                  </w:r>
                  <w:r>
                    <w:rPr>
                      <w:sz w:val="21"/>
                      <w:szCs w:val="21"/>
                      <w:u w:val="single"/>
                    </w:rPr>
                    <w:t>60</w:t>
                  </w:r>
                </w:p>
              </w:tc>
              <w:tc>
                <w:tcPr>
                  <w:tcW w:w="789" w:type="dxa"/>
                  <w:vAlign w:val="center"/>
                </w:tcPr>
                <w:p>
                  <w:pPr>
                    <w:spacing w:line="0" w:lineRule="atLeast"/>
                    <w:jc w:val="center"/>
                    <w:rPr>
                      <w:sz w:val="21"/>
                      <w:szCs w:val="21"/>
                      <w:u w:val="single"/>
                    </w:rPr>
                  </w:pPr>
                  <w:r>
                    <w:rPr>
                      <w:rFonts w:hint="eastAsia"/>
                      <w:sz w:val="21"/>
                      <w:szCs w:val="21"/>
                      <w:u w:val="single"/>
                    </w:rPr>
                    <w:t>西北面</w:t>
                  </w:r>
                </w:p>
              </w:tc>
              <w:tc>
                <w:tcPr>
                  <w:tcW w:w="1182" w:type="dxa"/>
                  <w:vAlign w:val="center"/>
                </w:tcPr>
                <w:p>
                  <w:pPr>
                    <w:spacing w:line="0" w:lineRule="atLeast"/>
                    <w:jc w:val="center"/>
                    <w:rPr>
                      <w:sz w:val="21"/>
                      <w:szCs w:val="21"/>
                      <w:u w:val="single"/>
                    </w:rPr>
                  </w:pPr>
                  <w:r>
                    <w:rPr>
                      <w:sz w:val="21"/>
                      <w:szCs w:val="21"/>
                      <w:u w:val="single"/>
                    </w:rPr>
                    <w:t>180</w:t>
                  </w:r>
                  <w:r>
                    <w:rPr>
                      <w:rFonts w:hint="eastAsia"/>
                      <w:sz w:val="21"/>
                      <w:szCs w:val="21"/>
                      <w:u w:val="single"/>
                    </w:rPr>
                    <w:t>m</w:t>
                  </w:r>
                </w:p>
              </w:tc>
              <w:tc>
                <w:tcPr>
                  <w:tcW w:w="972" w:type="dxa"/>
                  <w:vAlign w:val="center"/>
                </w:tcPr>
                <w:p>
                  <w:pPr>
                    <w:spacing w:line="0" w:lineRule="atLeast"/>
                    <w:jc w:val="center"/>
                    <w:rPr>
                      <w:sz w:val="21"/>
                      <w:szCs w:val="21"/>
                      <w:u w:val="single"/>
                    </w:rPr>
                  </w:pPr>
                  <w:r>
                    <w:rPr>
                      <w:rFonts w:hint="eastAsia"/>
                      <w:sz w:val="21"/>
                      <w:szCs w:val="21"/>
                      <w:u w:val="single"/>
                    </w:rPr>
                    <w:t>1</w:t>
                  </w:r>
                  <w:r>
                    <w:rPr>
                      <w:sz w:val="21"/>
                      <w:szCs w:val="21"/>
                      <w:u w:val="single"/>
                    </w:rPr>
                    <w:t>0</w:t>
                  </w:r>
                  <w:r>
                    <w:rPr>
                      <w:rFonts w:hint="eastAsia"/>
                      <w:sz w:val="21"/>
                      <w:szCs w:val="21"/>
                      <w:u w:val="single"/>
                    </w:rPr>
                    <w:t>人左右</w:t>
                  </w:r>
                </w:p>
              </w:tc>
              <w:tc>
                <w:tcPr>
                  <w:tcW w:w="2316" w:type="dxa"/>
                  <w:vMerge w:val="continue"/>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618" w:type="dxa"/>
                  <w:vAlign w:val="center"/>
                </w:tcPr>
                <w:p>
                  <w:pPr>
                    <w:spacing w:line="0" w:lineRule="atLeast"/>
                    <w:jc w:val="center"/>
                    <w:rPr>
                      <w:sz w:val="21"/>
                      <w:szCs w:val="21"/>
                      <w:u w:val="single"/>
                    </w:rPr>
                  </w:pPr>
                  <w:r>
                    <w:rPr>
                      <w:sz w:val="21"/>
                      <w:szCs w:val="21"/>
                      <w:u w:val="single"/>
                    </w:rPr>
                    <w:t>地表水环境</w:t>
                  </w:r>
                </w:p>
              </w:tc>
              <w:tc>
                <w:tcPr>
                  <w:tcW w:w="866" w:type="dxa"/>
                  <w:vAlign w:val="center"/>
                </w:tcPr>
                <w:p>
                  <w:pPr>
                    <w:spacing w:line="0" w:lineRule="atLeast"/>
                    <w:jc w:val="center"/>
                    <w:rPr>
                      <w:sz w:val="21"/>
                      <w:szCs w:val="21"/>
                      <w:u w:val="single"/>
                    </w:rPr>
                  </w:pPr>
                  <w:r>
                    <w:rPr>
                      <w:rFonts w:hint="eastAsia"/>
                      <w:sz w:val="21"/>
                      <w:szCs w:val="21"/>
                      <w:u w:val="single"/>
                    </w:rPr>
                    <w:t>湘江湘阴段</w:t>
                  </w:r>
                </w:p>
              </w:tc>
              <w:tc>
                <w:tcPr>
                  <w:tcW w:w="1553" w:type="dxa"/>
                  <w:gridSpan w:val="3"/>
                  <w:vAlign w:val="center"/>
                </w:tcPr>
                <w:p>
                  <w:pPr>
                    <w:spacing w:line="0" w:lineRule="atLeast"/>
                    <w:jc w:val="center"/>
                    <w:rPr>
                      <w:sz w:val="21"/>
                      <w:szCs w:val="21"/>
                      <w:u w:val="single"/>
                    </w:rPr>
                  </w:pPr>
                  <w:r>
                    <w:rPr>
                      <w:rFonts w:hint="eastAsia"/>
                      <w:sz w:val="21"/>
                      <w:szCs w:val="21"/>
                      <w:u w:val="single"/>
                    </w:rPr>
                    <w:t>/</w:t>
                  </w:r>
                </w:p>
              </w:tc>
              <w:tc>
                <w:tcPr>
                  <w:tcW w:w="789" w:type="dxa"/>
                  <w:vAlign w:val="center"/>
                </w:tcPr>
                <w:p>
                  <w:pPr>
                    <w:spacing w:line="0" w:lineRule="atLeast"/>
                    <w:jc w:val="center"/>
                    <w:rPr>
                      <w:sz w:val="21"/>
                      <w:szCs w:val="21"/>
                      <w:u w:val="single"/>
                    </w:rPr>
                  </w:pPr>
                  <w:r>
                    <w:rPr>
                      <w:rFonts w:hint="eastAsia"/>
                      <w:sz w:val="21"/>
                      <w:szCs w:val="21"/>
                      <w:u w:val="single"/>
                    </w:rPr>
                    <w:t>西</w:t>
                  </w:r>
                  <w:r>
                    <w:rPr>
                      <w:sz w:val="21"/>
                      <w:szCs w:val="21"/>
                      <w:u w:val="single"/>
                    </w:rPr>
                    <w:t>面</w:t>
                  </w:r>
                </w:p>
              </w:tc>
              <w:tc>
                <w:tcPr>
                  <w:tcW w:w="1182" w:type="dxa"/>
                  <w:vAlign w:val="center"/>
                </w:tcPr>
                <w:p>
                  <w:pPr>
                    <w:spacing w:line="0" w:lineRule="atLeast"/>
                    <w:jc w:val="center"/>
                    <w:rPr>
                      <w:sz w:val="21"/>
                      <w:szCs w:val="21"/>
                      <w:u w:val="single"/>
                    </w:rPr>
                  </w:pPr>
                  <w:r>
                    <w:rPr>
                      <w:sz w:val="21"/>
                      <w:szCs w:val="21"/>
                      <w:u w:val="single"/>
                    </w:rPr>
                    <w:t>6000m</w:t>
                  </w:r>
                </w:p>
              </w:tc>
              <w:tc>
                <w:tcPr>
                  <w:tcW w:w="972" w:type="dxa"/>
                  <w:vAlign w:val="center"/>
                </w:tcPr>
                <w:p>
                  <w:pPr>
                    <w:spacing w:line="0" w:lineRule="atLeast"/>
                    <w:jc w:val="center"/>
                    <w:rPr>
                      <w:bCs/>
                      <w:spacing w:val="6"/>
                      <w:sz w:val="21"/>
                      <w:szCs w:val="21"/>
                      <w:u w:val="single"/>
                    </w:rPr>
                  </w:pPr>
                  <w:r>
                    <w:rPr>
                      <w:bCs/>
                      <w:spacing w:val="6"/>
                      <w:sz w:val="21"/>
                      <w:szCs w:val="21"/>
                      <w:u w:val="single"/>
                    </w:rPr>
                    <w:t>渔业用水，大河</w:t>
                  </w:r>
                </w:p>
              </w:tc>
              <w:tc>
                <w:tcPr>
                  <w:tcW w:w="2316" w:type="dxa"/>
                  <w:vAlign w:val="center"/>
                </w:tcPr>
                <w:p>
                  <w:pPr>
                    <w:pStyle w:val="6"/>
                    <w:snapToGrid w:val="0"/>
                    <w:spacing w:line="0" w:lineRule="atLeast"/>
                    <w:jc w:val="center"/>
                    <w:rPr>
                      <w:sz w:val="21"/>
                      <w:szCs w:val="21"/>
                      <w:u w:val="single"/>
                    </w:rPr>
                  </w:pPr>
                  <w:r>
                    <w:rPr>
                      <w:sz w:val="21"/>
                      <w:szCs w:val="21"/>
                      <w:u w:val="single"/>
                    </w:rPr>
                    <w:t>《地表水环境质量标准》GB3838-2002</w:t>
                  </w:r>
                </w:p>
                <w:p>
                  <w:pPr>
                    <w:spacing w:line="0" w:lineRule="atLeast"/>
                    <w:jc w:val="center"/>
                    <w:rPr>
                      <w:sz w:val="21"/>
                      <w:szCs w:val="21"/>
                      <w:u w:val="single"/>
                    </w:rPr>
                  </w:pPr>
                  <w:r>
                    <w:rPr>
                      <w:rFonts w:hint="eastAsia"/>
                      <w:sz w:val="21"/>
                      <w:szCs w:val="21"/>
                      <w:u w:val="single"/>
                    </w:rPr>
                    <w:t>Ⅲ</w:t>
                  </w:r>
                  <w:r>
                    <w:rPr>
                      <w:sz w:val="21"/>
                      <w:szCs w:val="21"/>
                      <w:u w:val="singl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618" w:type="dxa"/>
                  <w:vMerge w:val="restart"/>
                  <w:vAlign w:val="center"/>
                </w:tcPr>
                <w:p>
                  <w:pPr>
                    <w:spacing w:line="0" w:lineRule="atLeast"/>
                    <w:jc w:val="center"/>
                    <w:rPr>
                      <w:sz w:val="21"/>
                      <w:szCs w:val="21"/>
                      <w:u w:val="single"/>
                    </w:rPr>
                  </w:pPr>
                  <w:r>
                    <w:rPr>
                      <w:sz w:val="21"/>
                      <w:szCs w:val="21"/>
                      <w:u w:val="single"/>
                    </w:rPr>
                    <w:t>声环境</w:t>
                  </w:r>
                </w:p>
              </w:tc>
              <w:tc>
                <w:tcPr>
                  <w:tcW w:w="866" w:type="dxa"/>
                  <w:vAlign w:val="center"/>
                </w:tcPr>
                <w:p>
                  <w:pPr>
                    <w:spacing w:line="0" w:lineRule="atLeast"/>
                    <w:jc w:val="center"/>
                    <w:rPr>
                      <w:sz w:val="21"/>
                      <w:szCs w:val="21"/>
                      <w:u w:val="single"/>
                    </w:rPr>
                  </w:pPr>
                  <w:r>
                    <w:rPr>
                      <w:rFonts w:hint="eastAsia"/>
                      <w:sz w:val="21"/>
                      <w:szCs w:val="21"/>
                      <w:u w:val="single"/>
                    </w:rPr>
                    <w:t>清政老年公寓</w:t>
                  </w:r>
                </w:p>
              </w:tc>
              <w:tc>
                <w:tcPr>
                  <w:tcW w:w="816" w:type="dxa"/>
                  <w:vAlign w:val="center"/>
                </w:tcPr>
                <w:p>
                  <w:pPr>
                    <w:spacing w:line="0" w:lineRule="atLeast"/>
                    <w:jc w:val="center"/>
                    <w:rPr>
                      <w:sz w:val="21"/>
                      <w:szCs w:val="21"/>
                      <w:u w:val="single"/>
                    </w:rPr>
                  </w:pPr>
                  <w:r>
                    <w:rPr>
                      <w:sz w:val="21"/>
                      <w:szCs w:val="21"/>
                      <w:u w:val="single"/>
                    </w:rPr>
                    <w:t>50</w:t>
                  </w:r>
                </w:p>
              </w:tc>
              <w:tc>
                <w:tcPr>
                  <w:tcW w:w="737" w:type="dxa"/>
                  <w:gridSpan w:val="2"/>
                  <w:vAlign w:val="center"/>
                </w:tcPr>
                <w:p>
                  <w:pPr>
                    <w:spacing w:line="0" w:lineRule="atLeast"/>
                    <w:jc w:val="center"/>
                    <w:rPr>
                      <w:sz w:val="21"/>
                      <w:szCs w:val="21"/>
                      <w:u w:val="single"/>
                    </w:rPr>
                  </w:pPr>
                  <w:r>
                    <w:rPr>
                      <w:sz w:val="21"/>
                      <w:szCs w:val="21"/>
                      <w:u w:val="single"/>
                    </w:rPr>
                    <w:t>50</w:t>
                  </w:r>
                </w:p>
              </w:tc>
              <w:tc>
                <w:tcPr>
                  <w:tcW w:w="789" w:type="dxa"/>
                  <w:vAlign w:val="center"/>
                </w:tcPr>
                <w:p>
                  <w:pPr>
                    <w:spacing w:line="0" w:lineRule="atLeast"/>
                    <w:jc w:val="center"/>
                    <w:rPr>
                      <w:sz w:val="21"/>
                      <w:szCs w:val="21"/>
                      <w:u w:val="single"/>
                    </w:rPr>
                  </w:pPr>
                  <w:r>
                    <w:rPr>
                      <w:sz w:val="21"/>
                      <w:szCs w:val="21"/>
                      <w:u w:val="single"/>
                    </w:rPr>
                    <w:t>东北面</w:t>
                  </w:r>
                </w:p>
              </w:tc>
              <w:tc>
                <w:tcPr>
                  <w:tcW w:w="1182" w:type="dxa"/>
                  <w:vAlign w:val="center"/>
                </w:tcPr>
                <w:p>
                  <w:pPr>
                    <w:spacing w:line="0" w:lineRule="atLeast"/>
                    <w:jc w:val="center"/>
                    <w:rPr>
                      <w:sz w:val="21"/>
                      <w:szCs w:val="21"/>
                      <w:u w:val="single"/>
                    </w:rPr>
                  </w:pPr>
                  <w:r>
                    <w:rPr>
                      <w:sz w:val="21"/>
                      <w:szCs w:val="21"/>
                      <w:u w:val="single"/>
                    </w:rPr>
                    <w:t>60m</w:t>
                  </w:r>
                </w:p>
              </w:tc>
              <w:tc>
                <w:tcPr>
                  <w:tcW w:w="972" w:type="dxa"/>
                  <w:vAlign w:val="center"/>
                </w:tcPr>
                <w:p>
                  <w:pPr>
                    <w:spacing w:line="0" w:lineRule="atLeast"/>
                    <w:jc w:val="center"/>
                    <w:rPr>
                      <w:sz w:val="21"/>
                      <w:szCs w:val="21"/>
                      <w:u w:val="single"/>
                    </w:rPr>
                  </w:pPr>
                  <w:r>
                    <w:rPr>
                      <w:sz w:val="21"/>
                      <w:szCs w:val="21"/>
                      <w:u w:val="single"/>
                    </w:rPr>
                    <w:t>50</w:t>
                  </w:r>
                  <w:r>
                    <w:rPr>
                      <w:rFonts w:hint="eastAsia"/>
                      <w:sz w:val="21"/>
                      <w:szCs w:val="21"/>
                      <w:u w:val="single"/>
                    </w:rPr>
                    <w:t>人</w:t>
                  </w:r>
                </w:p>
              </w:tc>
              <w:tc>
                <w:tcPr>
                  <w:tcW w:w="2316" w:type="dxa"/>
                  <w:vMerge w:val="restart"/>
                  <w:vAlign w:val="center"/>
                </w:tcPr>
                <w:p>
                  <w:pPr>
                    <w:spacing w:line="0" w:lineRule="atLeast"/>
                    <w:jc w:val="center"/>
                    <w:rPr>
                      <w:sz w:val="21"/>
                      <w:szCs w:val="21"/>
                      <w:u w:val="single"/>
                    </w:rPr>
                  </w:pPr>
                  <w:r>
                    <w:rPr>
                      <w:sz w:val="21"/>
                      <w:szCs w:val="21"/>
                      <w:u w:val="single"/>
                    </w:rPr>
                    <w:t>《声环境质量标准》(GB3096-2008)2类标准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618" w:type="dxa"/>
                  <w:vMerge w:val="continue"/>
                  <w:vAlign w:val="center"/>
                </w:tcPr>
                <w:p>
                  <w:pPr>
                    <w:spacing w:line="0" w:lineRule="atLeast"/>
                    <w:jc w:val="center"/>
                    <w:rPr>
                      <w:sz w:val="21"/>
                      <w:szCs w:val="21"/>
                      <w:u w:val="single"/>
                    </w:rPr>
                  </w:pPr>
                </w:p>
              </w:tc>
              <w:tc>
                <w:tcPr>
                  <w:tcW w:w="866" w:type="dxa"/>
                  <w:vAlign w:val="center"/>
                </w:tcPr>
                <w:p>
                  <w:pPr>
                    <w:spacing w:line="0" w:lineRule="atLeast"/>
                    <w:jc w:val="center"/>
                    <w:rPr>
                      <w:sz w:val="21"/>
                      <w:szCs w:val="21"/>
                      <w:u w:val="single"/>
                    </w:rPr>
                  </w:pPr>
                  <w:r>
                    <w:rPr>
                      <w:rFonts w:hint="eastAsia"/>
                      <w:sz w:val="21"/>
                      <w:szCs w:val="21"/>
                      <w:u w:val="single"/>
                    </w:rPr>
                    <w:t>居民点</w:t>
                  </w:r>
                </w:p>
              </w:tc>
              <w:tc>
                <w:tcPr>
                  <w:tcW w:w="816" w:type="dxa"/>
                  <w:vAlign w:val="center"/>
                </w:tcPr>
                <w:p>
                  <w:pPr>
                    <w:spacing w:line="0" w:lineRule="atLeast"/>
                    <w:jc w:val="center"/>
                    <w:rPr>
                      <w:sz w:val="21"/>
                      <w:szCs w:val="21"/>
                      <w:u w:val="single"/>
                    </w:rPr>
                  </w:pPr>
                  <w:r>
                    <w:rPr>
                      <w:sz w:val="21"/>
                      <w:szCs w:val="21"/>
                      <w:u w:val="single"/>
                    </w:rPr>
                    <w:t>80</w:t>
                  </w:r>
                </w:p>
              </w:tc>
              <w:tc>
                <w:tcPr>
                  <w:tcW w:w="737" w:type="dxa"/>
                  <w:gridSpan w:val="2"/>
                  <w:vAlign w:val="center"/>
                </w:tcPr>
                <w:p>
                  <w:pPr>
                    <w:spacing w:line="0" w:lineRule="atLeast"/>
                    <w:jc w:val="center"/>
                    <w:rPr>
                      <w:sz w:val="21"/>
                      <w:szCs w:val="21"/>
                      <w:u w:val="single"/>
                    </w:rPr>
                  </w:pPr>
                  <w:r>
                    <w:rPr>
                      <w:sz w:val="21"/>
                      <w:szCs w:val="21"/>
                      <w:u w:val="single"/>
                    </w:rPr>
                    <w:t>150</w:t>
                  </w:r>
                </w:p>
              </w:tc>
              <w:tc>
                <w:tcPr>
                  <w:tcW w:w="789" w:type="dxa"/>
                  <w:vAlign w:val="center"/>
                </w:tcPr>
                <w:p>
                  <w:pPr>
                    <w:spacing w:line="0" w:lineRule="atLeast"/>
                    <w:jc w:val="center"/>
                    <w:rPr>
                      <w:sz w:val="21"/>
                      <w:szCs w:val="21"/>
                      <w:u w:val="single"/>
                    </w:rPr>
                  </w:pPr>
                  <w:r>
                    <w:rPr>
                      <w:sz w:val="21"/>
                      <w:szCs w:val="21"/>
                      <w:u w:val="single"/>
                    </w:rPr>
                    <w:t>东北面</w:t>
                  </w:r>
                </w:p>
              </w:tc>
              <w:tc>
                <w:tcPr>
                  <w:tcW w:w="1182" w:type="dxa"/>
                  <w:vAlign w:val="center"/>
                </w:tcPr>
                <w:p>
                  <w:pPr>
                    <w:spacing w:line="0" w:lineRule="atLeast"/>
                    <w:jc w:val="center"/>
                    <w:rPr>
                      <w:sz w:val="21"/>
                      <w:szCs w:val="21"/>
                      <w:u w:val="single"/>
                    </w:rPr>
                  </w:pPr>
                  <w:r>
                    <w:rPr>
                      <w:sz w:val="21"/>
                      <w:szCs w:val="21"/>
                      <w:u w:val="single"/>
                    </w:rPr>
                    <w:t>80</w:t>
                  </w:r>
                  <w:r>
                    <w:rPr>
                      <w:rFonts w:hint="eastAsia"/>
                      <w:sz w:val="21"/>
                      <w:szCs w:val="21"/>
                      <w:u w:val="single"/>
                    </w:rPr>
                    <w:t>-</w:t>
                  </w:r>
                  <w:r>
                    <w:rPr>
                      <w:sz w:val="21"/>
                      <w:szCs w:val="21"/>
                      <w:u w:val="single"/>
                    </w:rPr>
                    <w:t>200m</w:t>
                  </w:r>
                </w:p>
              </w:tc>
              <w:tc>
                <w:tcPr>
                  <w:tcW w:w="972" w:type="dxa"/>
                  <w:vAlign w:val="center"/>
                </w:tcPr>
                <w:p>
                  <w:pPr>
                    <w:spacing w:line="0" w:lineRule="atLeast"/>
                    <w:jc w:val="center"/>
                    <w:rPr>
                      <w:sz w:val="21"/>
                      <w:szCs w:val="21"/>
                      <w:u w:val="single"/>
                    </w:rPr>
                  </w:pPr>
                  <w:r>
                    <w:rPr>
                      <w:sz w:val="21"/>
                      <w:szCs w:val="21"/>
                      <w:u w:val="single"/>
                    </w:rPr>
                    <w:t>200人右</w:t>
                  </w:r>
                </w:p>
              </w:tc>
              <w:tc>
                <w:tcPr>
                  <w:tcW w:w="2316" w:type="dxa"/>
                  <w:vMerge w:val="continue"/>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618" w:type="dxa"/>
                  <w:vMerge w:val="continue"/>
                  <w:vAlign w:val="center"/>
                </w:tcPr>
                <w:p>
                  <w:pPr>
                    <w:spacing w:line="0" w:lineRule="atLeast"/>
                    <w:jc w:val="center"/>
                    <w:rPr>
                      <w:sz w:val="21"/>
                      <w:szCs w:val="21"/>
                      <w:u w:val="single"/>
                    </w:rPr>
                  </w:pPr>
                </w:p>
              </w:tc>
              <w:tc>
                <w:tcPr>
                  <w:tcW w:w="866" w:type="dxa"/>
                  <w:vAlign w:val="center"/>
                </w:tcPr>
                <w:p>
                  <w:pPr>
                    <w:spacing w:line="0" w:lineRule="atLeast"/>
                    <w:jc w:val="center"/>
                    <w:rPr>
                      <w:sz w:val="21"/>
                      <w:szCs w:val="21"/>
                      <w:u w:val="single"/>
                    </w:rPr>
                  </w:pPr>
                  <w:r>
                    <w:rPr>
                      <w:rFonts w:hint="eastAsia"/>
                      <w:sz w:val="21"/>
                      <w:szCs w:val="21"/>
                      <w:u w:val="single"/>
                    </w:rPr>
                    <w:t>居民点</w:t>
                  </w:r>
                </w:p>
              </w:tc>
              <w:tc>
                <w:tcPr>
                  <w:tcW w:w="816" w:type="dxa"/>
                  <w:vAlign w:val="center"/>
                </w:tcPr>
                <w:p>
                  <w:pPr>
                    <w:spacing w:line="0" w:lineRule="atLeast"/>
                    <w:jc w:val="center"/>
                    <w:rPr>
                      <w:sz w:val="21"/>
                      <w:szCs w:val="21"/>
                      <w:u w:val="single"/>
                    </w:rPr>
                  </w:pPr>
                  <w:r>
                    <w:rPr>
                      <w:rFonts w:hint="eastAsia"/>
                      <w:sz w:val="21"/>
                      <w:szCs w:val="21"/>
                      <w:u w:val="single"/>
                    </w:rPr>
                    <w:t>-</w:t>
                  </w:r>
                  <w:r>
                    <w:rPr>
                      <w:sz w:val="21"/>
                      <w:szCs w:val="21"/>
                      <w:u w:val="single"/>
                    </w:rPr>
                    <w:t>20</w:t>
                  </w:r>
                </w:p>
              </w:tc>
              <w:tc>
                <w:tcPr>
                  <w:tcW w:w="737" w:type="dxa"/>
                  <w:gridSpan w:val="2"/>
                  <w:vAlign w:val="center"/>
                </w:tcPr>
                <w:p>
                  <w:pPr>
                    <w:spacing w:line="0" w:lineRule="atLeast"/>
                    <w:jc w:val="center"/>
                    <w:rPr>
                      <w:sz w:val="21"/>
                      <w:szCs w:val="21"/>
                      <w:u w:val="single"/>
                    </w:rPr>
                  </w:pPr>
                  <w:r>
                    <w:rPr>
                      <w:sz w:val="21"/>
                      <w:szCs w:val="21"/>
                      <w:u w:val="single"/>
                    </w:rPr>
                    <w:t>130</w:t>
                  </w:r>
                </w:p>
              </w:tc>
              <w:tc>
                <w:tcPr>
                  <w:tcW w:w="789" w:type="dxa"/>
                  <w:vAlign w:val="center"/>
                </w:tcPr>
                <w:p>
                  <w:pPr>
                    <w:spacing w:line="0" w:lineRule="atLeast"/>
                    <w:jc w:val="center"/>
                    <w:rPr>
                      <w:sz w:val="21"/>
                      <w:szCs w:val="21"/>
                      <w:u w:val="single"/>
                    </w:rPr>
                  </w:pPr>
                  <w:r>
                    <w:rPr>
                      <w:rFonts w:hint="eastAsia"/>
                      <w:sz w:val="21"/>
                      <w:szCs w:val="21"/>
                      <w:u w:val="single"/>
                    </w:rPr>
                    <w:t>北</w:t>
                  </w:r>
                  <w:r>
                    <w:rPr>
                      <w:sz w:val="21"/>
                      <w:szCs w:val="21"/>
                      <w:u w:val="single"/>
                    </w:rPr>
                    <w:t>面</w:t>
                  </w:r>
                </w:p>
              </w:tc>
              <w:tc>
                <w:tcPr>
                  <w:tcW w:w="1182" w:type="dxa"/>
                  <w:vAlign w:val="center"/>
                </w:tcPr>
                <w:p>
                  <w:pPr>
                    <w:spacing w:line="0" w:lineRule="atLeast"/>
                    <w:jc w:val="center"/>
                    <w:rPr>
                      <w:sz w:val="21"/>
                      <w:szCs w:val="21"/>
                      <w:u w:val="single"/>
                    </w:rPr>
                  </w:pPr>
                  <w:r>
                    <w:rPr>
                      <w:sz w:val="21"/>
                      <w:szCs w:val="21"/>
                      <w:u w:val="single"/>
                    </w:rPr>
                    <w:t>140m</w:t>
                  </w:r>
                </w:p>
              </w:tc>
              <w:tc>
                <w:tcPr>
                  <w:tcW w:w="972" w:type="dxa"/>
                  <w:vAlign w:val="center"/>
                </w:tcPr>
                <w:p>
                  <w:pPr>
                    <w:spacing w:line="0" w:lineRule="atLeast"/>
                    <w:jc w:val="center"/>
                    <w:rPr>
                      <w:sz w:val="21"/>
                      <w:szCs w:val="21"/>
                      <w:u w:val="single"/>
                    </w:rPr>
                  </w:pPr>
                  <w:r>
                    <w:rPr>
                      <w:sz w:val="21"/>
                      <w:szCs w:val="21"/>
                      <w:u w:val="single"/>
                    </w:rPr>
                    <w:t>10户人右</w:t>
                  </w:r>
                </w:p>
              </w:tc>
              <w:tc>
                <w:tcPr>
                  <w:tcW w:w="2316" w:type="dxa"/>
                  <w:vMerge w:val="continue"/>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618" w:type="dxa"/>
                  <w:vMerge w:val="continue"/>
                  <w:vAlign w:val="center"/>
                </w:tcPr>
                <w:p>
                  <w:pPr>
                    <w:spacing w:line="0" w:lineRule="atLeast"/>
                    <w:jc w:val="center"/>
                    <w:rPr>
                      <w:sz w:val="21"/>
                      <w:szCs w:val="21"/>
                      <w:u w:val="single"/>
                    </w:rPr>
                  </w:pPr>
                </w:p>
              </w:tc>
              <w:tc>
                <w:tcPr>
                  <w:tcW w:w="866" w:type="dxa"/>
                  <w:vAlign w:val="center"/>
                </w:tcPr>
                <w:p>
                  <w:pPr>
                    <w:spacing w:line="0" w:lineRule="atLeast"/>
                    <w:jc w:val="center"/>
                    <w:rPr>
                      <w:sz w:val="21"/>
                      <w:szCs w:val="21"/>
                      <w:u w:val="single"/>
                    </w:rPr>
                  </w:pPr>
                  <w:r>
                    <w:rPr>
                      <w:rFonts w:hint="eastAsia"/>
                      <w:sz w:val="21"/>
                      <w:szCs w:val="21"/>
                      <w:u w:val="single"/>
                    </w:rPr>
                    <w:t>居民点</w:t>
                  </w:r>
                </w:p>
              </w:tc>
              <w:tc>
                <w:tcPr>
                  <w:tcW w:w="816" w:type="dxa"/>
                  <w:vAlign w:val="center"/>
                </w:tcPr>
                <w:p>
                  <w:pPr>
                    <w:spacing w:line="0" w:lineRule="atLeast"/>
                    <w:jc w:val="center"/>
                    <w:rPr>
                      <w:sz w:val="21"/>
                      <w:szCs w:val="21"/>
                      <w:u w:val="single"/>
                    </w:rPr>
                  </w:pPr>
                  <w:r>
                    <w:rPr>
                      <w:rFonts w:hint="eastAsia"/>
                      <w:sz w:val="21"/>
                      <w:szCs w:val="21"/>
                      <w:u w:val="single"/>
                    </w:rPr>
                    <w:t>-</w:t>
                  </w:r>
                  <w:r>
                    <w:rPr>
                      <w:sz w:val="21"/>
                      <w:szCs w:val="21"/>
                      <w:u w:val="single"/>
                    </w:rPr>
                    <w:t>230</w:t>
                  </w:r>
                </w:p>
              </w:tc>
              <w:tc>
                <w:tcPr>
                  <w:tcW w:w="737" w:type="dxa"/>
                  <w:gridSpan w:val="2"/>
                  <w:vAlign w:val="center"/>
                </w:tcPr>
                <w:p>
                  <w:pPr>
                    <w:spacing w:line="0" w:lineRule="atLeast"/>
                    <w:jc w:val="center"/>
                    <w:rPr>
                      <w:sz w:val="21"/>
                      <w:szCs w:val="21"/>
                      <w:u w:val="single"/>
                    </w:rPr>
                  </w:pPr>
                  <w:r>
                    <w:rPr>
                      <w:rFonts w:hint="eastAsia"/>
                      <w:sz w:val="21"/>
                      <w:szCs w:val="21"/>
                      <w:u w:val="single"/>
                    </w:rPr>
                    <w:t>-</w:t>
                  </w:r>
                  <w:r>
                    <w:rPr>
                      <w:sz w:val="21"/>
                      <w:szCs w:val="21"/>
                      <w:u w:val="single"/>
                    </w:rPr>
                    <w:t>50</w:t>
                  </w:r>
                </w:p>
              </w:tc>
              <w:tc>
                <w:tcPr>
                  <w:tcW w:w="789" w:type="dxa"/>
                  <w:vAlign w:val="center"/>
                </w:tcPr>
                <w:p>
                  <w:pPr>
                    <w:spacing w:line="0" w:lineRule="atLeast"/>
                    <w:jc w:val="center"/>
                    <w:rPr>
                      <w:sz w:val="21"/>
                      <w:szCs w:val="21"/>
                      <w:u w:val="single"/>
                    </w:rPr>
                  </w:pPr>
                  <w:r>
                    <w:rPr>
                      <w:rFonts w:hint="eastAsia"/>
                      <w:sz w:val="21"/>
                      <w:szCs w:val="21"/>
                      <w:u w:val="single"/>
                    </w:rPr>
                    <w:t>西</w:t>
                  </w:r>
                  <w:r>
                    <w:rPr>
                      <w:sz w:val="21"/>
                      <w:szCs w:val="21"/>
                      <w:u w:val="single"/>
                    </w:rPr>
                    <w:t>南面</w:t>
                  </w:r>
                </w:p>
              </w:tc>
              <w:tc>
                <w:tcPr>
                  <w:tcW w:w="1182" w:type="dxa"/>
                  <w:vAlign w:val="center"/>
                </w:tcPr>
                <w:p>
                  <w:pPr>
                    <w:spacing w:line="0" w:lineRule="atLeast"/>
                    <w:jc w:val="center"/>
                    <w:rPr>
                      <w:sz w:val="21"/>
                      <w:szCs w:val="21"/>
                      <w:u w:val="single"/>
                    </w:rPr>
                  </w:pPr>
                  <w:r>
                    <w:rPr>
                      <w:sz w:val="21"/>
                      <w:szCs w:val="21"/>
                      <w:u w:val="single"/>
                    </w:rPr>
                    <w:t>260m</w:t>
                  </w:r>
                </w:p>
              </w:tc>
              <w:tc>
                <w:tcPr>
                  <w:tcW w:w="972" w:type="dxa"/>
                  <w:vAlign w:val="center"/>
                </w:tcPr>
                <w:p>
                  <w:pPr>
                    <w:spacing w:line="0" w:lineRule="atLeast"/>
                    <w:jc w:val="center"/>
                    <w:rPr>
                      <w:sz w:val="21"/>
                      <w:szCs w:val="21"/>
                      <w:u w:val="single"/>
                    </w:rPr>
                  </w:pPr>
                  <w:r>
                    <w:rPr>
                      <w:sz w:val="21"/>
                      <w:szCs w:val="21"/>
                      <w:u w:val="single"/>
                    </w:rPr>
                    <w:t>5人左右</w:t>
                  </w:r>
                </w:p>
              </w:tc>
              <w:tc>
                <w:tcPr>
                  <w:tcW w:w="2316" w:type="dxa"/>
                  <w:vMerge w:val="continue"/>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618" w:type="dxa"/>
                  <w:vMerge w:val="continue"/>
                  <w:vAlign w:val="center"/>
                </w:tcPr>
                <w:p>
                  <w:pPr>
                    <w:spacing w:line="0" w:lineRule="atLeast"/>
                    <w:jc w:val="center"/>
                    <w:rPr>
                      <w:sz w:val="21"/>
                      <w:szCs w:val="21"/>
                    </w:rPr>
                  </w:pPr>
                </w:p>
              </w:tc>
              <w:tc>
                <w:tcPr>
                  <w:tcW w:w="866" w:type="dxa"/>
                  <w:vAlign w:val="center"/>
                </w:tcPr>
                <w:p>
                  <w:pPr>
                    <w:spacing w:line="0" w:lineRule="atLeast"/>
                    <w:jc w:val="center"/>
                    <w:rPr>
                      <w:sz w:val="21"/>
                      <w:szCs w:val="21"/>
                      <w:u w:val="single"/>
                    </w:rPr>
                  </w:pPr>
                  <w:r>
                    <w:rPr>
                      <w:rFonts w:hint="eastAsia"/>
                      <w:sz w:val="21"/>
                      <w:szCs w:val="21"/>
                      <w:u w:val="single"/>
                    </w:rPr>
                    <w:t>居民点</w:t>
                  </w:r>
                </w:p>
              </w:tc>
              <w:tc>
                <w:tcPr>
                  <w:tcW w:w="816" w:type="dxa"/>
                  <w:vAlign w:val="center"/>
                </w:tcPr>
                <w:p>
                  <w:pPr>
                    <w:spacing w:line="0" w:lineRule="atLeast"/>
                    <w:jc w:val="center"/>
                    <w:rPr>
                      <w:sz w:val="21"/>
                      <w:szCs w:val="21"/>
                      <w:u w:val="single"/>
                    </w:rPr>
                  </w:pPr>
                  <w:r>
                    <w:rPr>
                      <w:rFonts w:hint="eastAsia"/>
                      <w:sz w:val="21"/>
                      <w:szCs w:val="21"/>
                      <w:u w:val="single"/>
                    </w:rPr>
                    <w:t>-</w:t>
                  </w:r>
                  <w:r>
                    <w:rPr>
                      <w:sz w:val="21"/>
                      <w:szCs w:val="21"/>
                      <w:u w:val="single"/>
                    </w:rPr>
                    <w:t>230</w:t>
                  </w:r>
                </w:p>
              </w:tc>
              <w:tc>
                <w:tcPr>
                  <w:tcW w:w="737" w:type="dxa"/>
                  <w:gridSpan w:val="2"/>
                  <w:vAlign w:val="center"/>
                </w:tcPr>
                <w:p>
                  <w:pPr>
                    <w:spacing w:line="0" w:lineRule="atLeast"/>
                    <w:jc w:val="center"/>
                    <w:rPr>
                      <w:sz w:val="21"/>
                      <w:szCs w:val="21"/>
                      <w:u w:val="single"/>
                    </w:rPr>
                  </w:pPr>
                  <w:r>
                    <w:rPr>
                      <w:rFonts w:hint="eastAsia"/>
                      <w:sz w:val="21"/>
                      <w:szCs w:val="21"/>
                      <w:u w:val="single"/>
                    </w:rPr>
                    <w:t>1</w:t>
                  </w:r>
                  <w:r>
                    <w:rPr>
                      <w:sz w:val="21"/>
                      <w:szCs w:val="21"/>
                      <w:u w:val="single"/>
                    </w:rPr>
                    <w:t>60</w:t>
                  </w:r>
                </w:p>
              </w:tc>
              <w:tc>
                <w:tcPr>
                  <w:tcW w:w="789" w:type="dxa"/>
                  <w:vAlign w:val="center"/>
                </w:tcPr>
                <w:p>
                  <w:pPr>
                    <w:spacing w:line="0" w:lineRule="atLeast"/>
                    <w:jc w:val="center"/>
                    <w:rPr>
                      <w:sz w:val="21"/>
                      <w:szCs w:val="21"/>
                      <w:u w:val="single"/>
                    </w:rPr>
                  </w:pPr>
                  <w:r>
                    <w:rPr>
                      <w:rFonts w:hint="eastAsia"/>
                      <w:sz w:val="21"/>
                      <w:szCs w:val="21"/>
                      <w:u w:val="single"/>
                    </w:rPr>
                    <w:t>西北面</w:t>
                  </w:r>
                </w:p>
              </w:tc>
              <w:tc>
                <w:tcPr>
                  <w:tcW w:w="1182" w:type="dxa"/>
                  <w:vAlign w:val="center"/>
                </w:tcPr>
                <w:p>
                  <w:pPr>
                    <w:spacing w:line="0" w:lineRule="atLeast"/>
                    <w:jc w:val="center"/>
                    <w:rPr>
                      <w:sz w:val="21"/>
                      <w:szCs w:val="21"/>
                      <w:u w:val="single"/>
                    </w:rPr>
                  </w:pPr>
                  <w:r>
                    <w:rPr>
                      <w:rFonts w:hint="eastAsia"/>
                      <w:sz w:val="21"/>
                      <w:szCs w:val="21"/>
                      <w:u w:val="single"/>
                    </w:rPr>
                    <w:t>1</w:t>
                  </w:r>
                  <w:r>
                    <w:rPr>
                      <w:sz w:val="21"/>
                      <w:szCs w:val="21"/>
                      <w:u w:val="single"/>
                    </w:rPr>
                    <w:t>80</w:t>
                  </w:r>
                  <w:r>
                    <w:rPr>
                      <w:rFonts w:hint="eastAsia"/>
                      <w:sz w:val="21"/>
                      <w:szCs w:val="21"/>
                      <w:u w:val="single"/>
                    </w:rPr>
                    <w:t>m</w:t>
                  </w:r>
                </w:p>
              </w:tc>
              <w:tc>
                <w:tcPr>
                  <w:tcW w:w="972" w:type="dxa"/>
                  <w:vAlign w:val="center"/>
                </w:tcPr>
                <w:p>
                  <w:pPr>
                    <w:spacing w:line="0" w:lineRule="atLeast"/>
                    <w:jc w:val="center"/>
                    <w:rPr>
                      <w:sz w:val="21"/>
                      <w:szCs w:val="21"/>
                      <w:u w:val="single"/>
                    </w:rPr>
                  </w:pPr>
                  <w:r>
                    <w:rPr>
                      <w:rFonts w:hint="eastAsia"/>
                      <w:sz w:val="21"/>
                      <w:szCs w:val="21"/>
                      <w:u w:val="single"/>
                    </w:rPr>
                    <w:t>1</w:t>
                  </w:r>
                  <w:r>
                    <w:rPr>
                      <w:sz w:val="21"/>
                      <w:szCs w:val="21"/>
                      <w:u w:val="single"/>
                    </w:rPr>
                    <w:t>0</w:t>
                  </w:r>
                  <w:r>
                    <w:rPr>
                      <w:rFonts w:hint="eastAsia"/>
                      <w:sz w:val="21"/>
                      <w:szCs w:val="21"/>
                      <w:u w:val="single"/>
                    </w:rPr>
                    <w:t>人左右</w:t>
                  </w:r>
                </w:p>
              </w:tc>
              <w:tc>
                <w:tcPr>
                  <w:tcW w:w="2316" w:type="dxa"/>
                  <w:vMerge w:val="continue"/>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618" w:type="dxa"/>
                  <w:vAlign w:val="center"/>
                </w:tcPr>
                <w:p>
                  <w:pPr>
                    <w:spacing w:line="0" w:lineRule="atLeast"/>
                    <w:jc w:val="center"/>
                    <w:rPr>
                      <w:sz w:val="21"/>
                      <w:szCs w:val="21"/>
                      <w:u w:val="single"/>
                    </w:rPr>
                  </w:pPr>
                  <w:r>
                    <w:rPr>
                      <w:sz w:val="21"/>
                      <w:szCs w:val="21"/>
                      <w:u w:val="single"/>
                    </w:rPr>
                    <w:t>生态环境</w:t>
                  </w:r>
                </w:p>
              </w:tc>
              <w:tc>
                <w:tcPr>
                  <w:tcW w:w="866" w:type="dxa"/>
                  <w:vAlign w:val="center"/>
                </w:tcPr>
                <w:p>
                  <w:pPr>
                    <w:spacing w:line="0" w:lineRule="atLeast"/>
                    <w:jc w:val="center"/>
                    <w:rPr>
                      <w:sz w:val="21"/>
                      <w:szCs w:val="21"/>
                      <w:u w:val="single"/>
                    </w:rPr>
                  </w:pPr>
                  <w:r>
                    <w:rPr>
                      <w:sz w:val="21"/>
                      <w:szCs w:val="21"/>
                      <w:u w:val="single"/>
                    </w:rPr>
                    <w:t>自然植被绿地</w:t>
                  </w:r>
                </w:p>
              </w:tc>
              <w:tc>
                <w:tcPr>
                  <w:tcW w:w="1553" w:type="dxa"/>
                  <w:gridSpan w:val="3"/>
                  <w:vAlign w:val="center"/>
                </w:tcPr>
                <w:p>
                  <w:pPr>
                    <w:spacing w:line="0" w:lineRule="atLeast"/>
                    <w:jc w:val="center"/>
                    <w:rPr>
                      <w:sz w:val="21"/>
                      <w:szCs w:val="21"/>
                      <w:u w:val="single"/>
                    </w:rPr>
                  </w:pPr>
                  <w:r>
                    <w:rPr>
                      <w:rFonts w:hint="eastAsia"/>
                      <w:sz w:val="21"/>
                      <w:szCs w:val="21"/>
                      <w:u w:val="single"/>
                    </w:rPr>
                    <w:t>/</w:t>
                  </w:r>
                </w:p>
              </w:tc>
              <w:tc>
                <w:tcPr>
                  <w:tcW w:w="789" w:type="dxa"/>
                  <w:vAlign w:val="center"/>
                </w:tcPr>
                <w:p>
                  <w:pPr>
                    <w:spacing w:line="0" w:lineRule="atLeast"/>
                    <w:jc w:val="center"/>
                    <w:rPr>
                      <w:sz w:val="21"/>
                      <w:szCs w:val="21"/>
                      <w:u w:val="single"/>
                    </w:rPr>
                  </w:pPr>
                  <w:r>
                    <w:rPr>
                      <w:sz w:val="21"/>
                      <w:szCs w:val="21"/>
                      <w:u w:val="single"/>
                    </w:rPr>
                    <w:t>项目区</w:t>
                  </w:r>
                </w:p>
              </w:tc>
              <w:tc>
                <w:tcPr>
                  <w:tcW w:w="1182" w:type="dxa"/>
                  <w:vAlign w:val="center"/>
                </w:tcPr>
                <w:p>
                  <w:pPr>
                    <w:spacing w:line="0" w:lineRule="atLeast"/>
                    <w:jc w:val="center"/>
                    <w:rPr>
                      <w:sz w:val="21"/>
                      <w:szCs w:val="21"/>
                      <w:u w:val="single"/>
                    </w:rPr>
                  </w:pPr>
                  <w:r>
                    <w:rPr>
                      <w:sz w:val="21"/>
                      <w:szCs w:val="21"/>
                      <w:u w:val="single"/>
                    </w:rPr>
                    <w:t>/</w:t>
                  </w:r>
                </w:p>
              </w:tc>
              <w:tc>
                <w:tcPr>
                  <w:tcW w:w="972" w:type="dxa"/>
                  <w:vAlign w:val="center"/>
                </w:tcPr>
                <w:p>
                  <w:pPr>
                    <w:spacing w:line="0" w:lineRule="atLeast"/>
                    <w:jc w:val="center"/>
                    <w:rPr>
                      <w:sz w:val="21"/>
                      <w:szCs w:val="21"/>
                      <w:u w:val="single"/>
                    </w:rPr>
                  </w:pPr>
                  <w:r>
                    <w:rPr>
                      <w:sz w:val="21"/>
                      <w:szCs w:val="21"/>
                      <w:u w:val="single"/>
                    </w:rPr>
                    <w:t>/</w:t>
                  </w:r>
                </w:p>
              </w:tc>
              <w:tc>
                <w:tcPr>
                  <w:tcW w:w="2316" w:type="dxa"/>
                  <w:vAlign w:val="center"/>
                </w:tcPr>
                <w:p>
                  <w:pPr>
                    <w:spacing w:line="0" w:lineRule="atLeast"/>
                    <w:jc w:val="center"/>
                    <w:rPr>
                      <w:sz w:val="21"/>
                      <w:szCs w:val="21"/>
                      <w:u w:val="single"/>
                    </w:rPr>
                  </w:pPr>
                  <w:r>
                    <w:rPr>
                      <w:sz w:val="21"/>
                      <w:szCs w:val="21"/>
                      <w:u w:val="single"/>
                    </w:rPr>
                    <w:t>项目区生态环境不受较大影响</w:t>
                  </w:r>
                </w:p>
              </w:tc>
            </w:tr>
          </w:tbl>
          <w:p>
            <w:pPr>
              <w:pStyle w:val="43"/>
              <w:spacing w:line="440" w:lineRule="exact"/>
              <w:jc w:val="left"/>
              <w:rPr>
                <w:rFonts w:hint="eastAsia"/>
                <w:sz w:val="24"/>
              </w:rPr>
            </w:pPr>
          </w:p>
        </w:tc>
      </w:tr>
    </w:tbl>
    <w:p>
      <w:pPr>
        <w:snapToGrid w:val="0"/>
        <w:spacing w:line="440" w:lineRule="exact"/>
        <w:outlineLvl w:val="0"/>
        <w:rPr>
          <w:b/>
          <w:szCs w:val="32"/>
        </w:rPr>
      </w:pPr>
      <w:bookmarkStart w:id="11" w:name="_Toc3906329"/>
      <w:r>
        <w:rPr>
          <w:b/>
          <w:szCs w:val="32"/>
        </w:rPr>
        <w:t>评价适用标准</w:t>
      </w:r>
      <w:bookmarkEnd w:id="11"/>
    </w:p>
    <w:tbl>
      <w:tblPr>
        <w:tblStyle w:val="18"/>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jc w:val="center"/>
        </w:trPr>
        <w:tc>
          <w:tcPr>
            <w:tcW w:w="679" w:type="dxa"/>
            <w:vAlign w:val="center"/>
          </w:tcPr>
          <w:p>
            <w:pPr>
              <w:spacing w:line="520" w:lineRule="exact"/>
              <w:jc w:val="center"/>
              <w:rPr>
                <w:b/>
                <w:sz w:val="24"/>
              </w:rPr>
            </w:pPr>
            <w:r>
              <w:rPr>
                <w:b/>
                <w:sz w:val="24"/>
              </w:rPr>
              <w:t>环</w:t>
            </w:r>
          </w:p>
          <w:p>
            <w:pPr>
              <w:spacing w:line="520" w:lineRule="exact"/>
              <w:jc w:val="center"/>
              <w:rPr>
                <w:b/>
                <w:sz w:val="24"/>
              </w:rPr>
            </w:pPr>
            <w:r>
              <w:rPr>
                <w:b/>
                <w:sz w:val="24"/>
              </w:rPr>
              <w:t>境</w:t>
            </w:r>
          </w:p>
          <w:p>
            <w:pPr>
              <w:spacing w:line="520" w:lineRule="exact"/>
              <w:jc w:val="center"/>
              <w:rPr>
                <w:b/>
                <w:sz w:val="24"/>
              </w:rPr>
            </w:pPr>
            <w:r>
              <w:rPr>
                <w:b/>
                <w:sz w:val="24"/>
              </w:rPr>
              <w:t>质</w:t>
            </w:r>
          </w:p>
          <w:p>
            <w:pPr>
              <w:spacing w:line="520" w:lineRule="exact"/>
              <w:jc w:val="center"/>
              <w:rPr>
                <w:b/>
                <w:sz w:val="24"/>
              </w:rPr>
            </w:pPr>
            <w:r>
              <w:rPr>
                <w:b/>
                <w:sz w:val="24"/>
              </w:rPr>
              <w:t>量</w:t>
            </w:r>
          </w:p>
          <w:p>
            <w:pPr>
              <w:spacing w:line="520" w:lineRule="exact"/>
              <w:jc w:val="center"/>
              <w:rPr>
                <w:b/>
                <w:sz w:val="24"/>
              </w:rPr>
            </w:pPr>
            <w:r>
              <w:rPr>
                <w:b/>
                <w:sz w:val="24"/>
              </w:rPr>
              <w:t>标</w:t>
            </w:r>
          </w:p>
          <w:p>
            <w:pPr>
              <w:spacing w:line="520" w:lineRule="exact"/>
              <w:jc w:val="center"/>
              <w:rPr>
                <w:b/>
                <w:sz w:val="24"/>
              </w:rPr>
            </w:pPr>
            <w:r>
              <w:rPr>
                <w:b/>
                <w:sz w:val="24"/>
              </w:rPr>
              <w:t>准</w:t>
            </w:r>
          </w:p>
        </w:tc>
        <w:tc>
          <w:tcPr>
            <w:tcW w:w="7850" w:type="dxa"/>
            <w:vAlign w:val="center"/>
          </w:tcPr>
          <w:p>
            <w:pPr>
              <w:spacing w:line="360" w:lineRule="auto"/>
              <w:ind w:firstLine="480" w:firstLineChars="200"/>
              <w:rPr>
                <w:sz w:val="24"/>
              </w:rPr>
            </w:pPr>
            <w:r>
              <w:rPr>
                <w:sz w:val="24"/>
              </w:rPr>
              <w:t>（1）大气：项目所在区域空气质量执行《环境空气质量标准》（GB3095-2012）中的二级标准；</w:t>
            </w:r>
          </w:p>
          <w:p>
            <w:pPr>
              <w:snapToGrid w:val="0"/>
              <w:spacing w:line="360" w:lineRule="auto"/>
              <w:ind w:firstLine="480" w:firstLineChars="200"/>
              <w:rPr>
                <w:sz w:val="24"/>
              </w:rPr>
            </w:pPr>
            <w:r>
              <w:rPr>
                <w:sz w:val="24"/>
              </w:rPr>
              <w:t>（2）地表水：执行《地表水环境质量标准》（GB3838－2002）</w:t>
            </w:r>
            <w:r>
              <w:rPr>
                <w:rFonts w:hint="eastAsia"/>
                <w:sz w:val="24"/>
              </w:rPr>
              <w:t>Ⅲ</w:t>
            </w:r>
            <w:r>
              <w:rPr>
                <w:sz w:val="24"/>
              </w:rPr>
              <w:t>类标准</w:t>
            </w:r>
            <w:r>
              <w:rPr>
                <w:rFonts w:hint="eastAsia"/>
                <w:sz w:val="24"/>
              </w:rPr>
              <w:t>。</w:t>
            </w:r>
          </w:p>
          <w:p>
            <w:pPr>
              <w:snapToGrid w:val="0"/>
              <w:spacing w:line="360" w:lineRule="auto"/>
              <w:ind w:firstLine="480" w:firstLineChars="200"/>
              <w:rPr>
                <w:sz w:val="24"/>
              </w:rPr>
            </w:pPr>
            <w:r>
              <w:rPr>
                <w:sz w:val="24"/>
              </w:rPr>
              <w:t>（3）噪声：执行《声环境质量标准》（GB3096-2008）中的2类标准</w:t>
            </w:r>
            <w:r>
              <w:rPr>
                <w:rFonts w:hint="eastAsia"/>
                <w:sz w:val="24"/>
              </w:rPr>
              <w:t>。</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4" w:hRule="atLeast"/>
          <w:jc w:val="center"/>
        </w:trPr>
        <w:tc>
          <w:tcPr>
            <w:tcW w:w="679" w:type="dxa"/>
            <w:vAlign w:val="center"/>
          </w:tcPr>
          <w:p>
            <w:pPr>
              <w:spacing w:line="520" w:lineRule="exact"/>
              <w:jc w:val="center"/>
              <w:rPr>
                <w:b/>
                <w:sz w:val="24"/>
              </w:rPr>
            </w:pPr>
            <w:r>
              <w:rPr>
                <w:b/>
                <w:sz w:val="24"/>
              </w:rPr>
              <w:t>污</w:t>
            </w:r>
          </w:p>
          <w:p>
            <w:pPr>
              <w:spacing w:line="520" w:lineRule="exact"/>
              <w:jc w:val="center"/>
              <w:rPr>
                <w:b/>
                <w:sz w:val="24"/>
              </w:rPr>
            </w:pPr>
            <w:r>
              <w:rPr>
                <w:b/>
                <w:sz w:val="24"/>
              </w:rPr>
              <w:t>染</w:t>
            </w:r>
          </w:p>
          <w:p>
            <w:pPr>
              <w:spacing w:line="520" w:lineRule="exact"/>
              <w:jc w:val="center"/>
              <w:rPr>
                <w:b/>
                <w:sz w:val="24"/>
              </w:rPr>
            </w:pPr>
            <w:r>
              <w:rPr>
                <w:b/>
                <w:sz w:val="24"/>
              </w:rPr>
              <w:t>物</w:t>
            </w:r>
          </w:p>
          <w:p>
            <w:pPr>
              <w:spacing w:line="520" w:lineRule="exact"/>
              <w:jc w:val="center"/>
              <w:rPr>
                <w:b/>
                <w:sz w:val="24"/>
              </w:rPr>
            </w:pPr>
            <w:r>
              <w:rPr>
                <w:b/>
                <w:sz w:val="24"/>
              </w:rPr>
              <w:t>排</w:t>
            </w:r>
          </w:p>
          <w:p>
            <w:pPr>
              <w:spacing w:line="520" w:lineRule="exact"/>
              <w:jc w:val="center"/>
              <w:rPr>
                <w:b/>
                <w:sz w:val="24"/>
              </w:rPr>
            </w:pPr>
            <w:r>
              <w:rPr>
                <w:b/>
                <w:sz w:val="24"/>
              </w:rPr>
              <w:t>放</w:t>
            </w:r>
          </w:p>
          <w:p>
            <w:pPr>
              <w:spacing w:line="520" w:lineRule="exact"/>
              <w:jc w:val="center"/>
              <w:rPr>
                <w:b/>
                <w:sz w:val="24"/>
              </w:rPr>
            </w:pPr>
            <w:r>
              <w:rPr>
                <w:b/>
                <w:sz w:val="24"/>
              </w:rPr>
              <w:t>标</w:t>
            </w:r>
          </w:p>
          <w:p>
            <w:pPr>
              <w:spacing w:line="520" w:lineRule="exact"/>
              <w:jc w:val="center"/>
              <w:rPr>
                <w:b/>
                <w:sz w:val="24"/>
              </w:rPr>
            </w:pPr>
            <w:r>
              <w:rPr>
                <w:b/>
                <w:sz w:val="24"/>
              </w:rPr>
              <w:t>准</w:t>
            </w:r>
          </w:p>
        </w:tc>
        <w:tc>
          <w:tcPr>
            <w:tcW w:w="7850" w:type="dxa"/>
            <w:vAlign w:val="center"/>
          </w:tcPr>
          <w:p>
            <w:pPr>
              <w:snapToGrid w:val="0"/>
              <w:spacing w:line="360" w:lineRule="auto"/>
              <w:ind w:firstLine="480" w:firstLineChars="200"/>
              <w:rPr>
                <w:sz w:val="24"/>
              </w:rPr>
            </w:pPr>
            <w:r>
              <w:rPr>
                <w:sz w:val="24"/>
              </w:rPr>
              <w:t>（1）废水：</w:t>
            </w:r>
            <w:r>
              <w:rPr>
                <w:rFonts w:hint="eastAsia"/>
                <w:sz w:val="24"/>
              </w:rPr>
              <w:t>本项目生产废水、清洗废水等排入沉淀池后循环利用均不外排；生活废水经化粪池处理后用于周围农田灌溉，厨房废水经隔油池处理后回用于地面冲洗。</w:t>
            </w:r>
          </w:p>
          <w:p>
            <w:pPr>
              <w:snapToGrid w:val="0"/>
              <w:spacing w:line="360" w:lineRule="auto"/>
              <w:ind w:firstLine="480" w:firstLineChars="200"/>
              <w:rPr>
                <w:bCs/>
                <w:sz w:val="24"/>
              </w:rPr>
            </w:pPr>
            <w:r>
              <w:rPr>
                <w:sz w:val="24"/>
              </w:rPr>
              <w:t>（2）废气：</w:t>
            </w:r>
            <w:r>
              <w:rPr>
                <w:sz w:val="24"/>
                <w:u w:val="single"/>
              </w:rPr>
              <w:t>项目生产废气执行</w:t>
            </w:r>
            <w:r>
              <w:rPr>
                <w:rFonts w:hint="eastAsia"/>
                <w:sz w:val="24"/>
                <w:u w:val="single"/>
              </w:rPr>
              <w:t>《水泥工业大气污染物排放标准（GB 4915-2013）》中表2大气污染物特别排放限值</w:t>
            </w:r>
            <w:r>
              <w:rPr>
                <w:sz w:val="24"/>
                <w:u w:val="single"/>
              </w:rPr>
              <w:t>和无组织排放限值，</w:t>
            </w:r>
            <w:r>
              <w:rPr>
                <w:rFonts w:cs="Calibri"/>
                <w:sz w:val="24"/>
                <w:u w:val="single"/>
              </w:rPr>
              <w:t>食堂油烟执行《饮食业油烟排放标准》（GB18483-2001）中的排放限值</w:t>
            </w:r>
            <w:r>
              <w:rPr>
                <w:rFonts w:hint="eastAsia" w:cs="Calibri"/>
                <w:sz w:val="24"/>
                <w:u w:val="single"/>
              </w:rPr>
              <w:t>，</w:t>
            </w:r>
            <w:r>
              <w:rPr>
                <w:sz w:val="24"/>
              </w:rPr>
              <w:t>见下表</w:t>
            </w:r>
            <w:r>
              <w:rPr>
                <w:rFonts w:hint="eastAsia"/>
                <w:bCs/>
                <w:sz w:val="24"/>
              </w:rPr>
              <w:t>：</w:t>
            </w:r>
          </w:p>
          <w:p>
            <w:pPr>
              <w:snapToGrid w:val="0"/>
              <w:spacing w:line="360" w:lineRule="auto"/>
              <w:ind w:firstLine="2108" w:firstLineChars="1000"/>
              <w:rPr>
                <w:b/>
                <w:bCs/>
                <w:sz w:val="21"/>
                <w:szCs w:val="21"/>
              </w:rPr>
            </w:pPr>
            <w:r>
              <w:rPr>
                <w:rFonts w:hint="eastAsia"/>
                <w:b/>
                <w:bCs/>
                <w:sz w:val="21"/>
                <w:szCs w:val="21"/>
              </w:rPr>
              <w:t>表</w:t>
            </w:r>
            <w:r>
              <w:rPr>
                <w:b/>
                <w:bCs/>
                <w:sz w:val="21"/>
                <w:szCs w:val="21"/>
              </w:rPr>
              <w:t xml:space="preserve">10   </w:t>
            </w:r>
            <w:r>
              <w:rPr>
                <w:rFonts w:hint="eastAsia"/>
                <w:b/>
                <w:bCs/>
                <w:sz w:val="21"/>
                <w:szCs w:val="21"/>
              </w:rPr>
              <w:t>大气污染物执行标准</w:t>
            </w:r>
            <w:r>
              <w:rPr>
                <w:b/>
                <w:bCs/>
                <w:sz w:val="21"/>
                <w:szCs w:val="21"/>
              </w:rPr>
              <w:tab/>
            </w:r>
          </w:p>
          <w:tbl>
            <w:tblPr>
              <w:tblStyle w:val="18"/>
              <w:tblW w:w="7604"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78"/>
              <w:gridCol w:w="1436"/>
              <w:gridCol w:w="1553"/>
              <w:gridCol w:w="2261"/>
              <w:gridCol w:w="147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jc w:val="center"/>
              </w:trPr>
              <w:tc>
                <w:tcPr>
                  <w:tcW w:w="878" w:type="dxa"/>
                  <w:vMerge w:val="restart"/>
                  <w:vAlign w:val="center"/>
                </w:tcPr>
                <w:p>
                  <w:pPr>
                    <w:pStyle w:val="68"/>
                    <w:rPr>
                      <w:rFonts w:eastAsia="宋体" w:cs="Times New Roman"/>
                    </w:rPr>
                  </w:pPr>
                  <w:r>
                    <w:rPr>
                      <w:rFonts w:hint="eastAsia" w:cs="Times New Roman"/>
                    </w:rPr>
                    <w:t>序号</w:t>
                  </w:r>
                </w:p>
              </w:tc>
              <w:tc>
                <w:tcPr>
                  <w:tcW w:w="1436" w:type="dxa"/>
                  <w:vMerge w:val="restart"/>
                  <w:vAlign w:val="center"/>
                </w:tcPr>
                <w:p>
                  <w:pPr>
                    <w:pStyle w:val="68"/>
                    <w:rPr>
                      <w:rFonts w:cs="Times New Roman"/>
                    </w:rPr>
                  </w:pPr>
                  <w:r>
                    <w:rPr>
                      <w:rFonts w:cs="Times New Roman"/>
                    </w:rPr>
                    <w:t>污染物</w:t>
                  </w:r>
                </w:p>
              </w:tc>
              <w:tc>
                <w:tcPr>
                  <w:tcW w:w="1553" w:type="dxa"/>
                  <w:vMerge w:val="restart"/>
                  <w:vAlign w:val="center"/>
                </w:tcPr>
                <w:p>
                  <w:pPr>
                    <w:pStyle w:val="68"/>
                    <w:rPr>
                      <w:rFonts w:cs="Times New Roman"/>
                    </w:rPr>
                  </w:pPr>
                  <w:r>
                    <w:rPr>
                      <w:rFonts w:cs="Times New Roman"/>
                    </w:rPr>
                    <w:t>最高允许排放浓度(mg/m</w:t>
                  </w:r>
                  <w:r>
                    <w:rPr>
                      <w:rFonts w:cs="Times New Roman"/>
                      <w:vertAlign w:val="superscript"/>
                    </w:rPr>
                    <w:t>3</w:t>
                  </w:r>
                  <w:r>
                    <w:rPr>
                      <w:rFonts w:cs="Times New Roman"/>
                    </w:rPr>
                    <w:t>)</w:t>
                  </w:r>
                </w:p>
              </w:tc>
              <w:tc>
                <w:tcPr>
                  <w:tcW w:w="3737" w:type="dxa"/>
                  <w:gridSpan w:val="2"/>
                  <w:vAlign w:val="center"/>
                </w:tcPr>
                <w:p>
                  <w:pPr>
                    <w:pStyle w:val="68"/>
                    <w:rPr>
                      <w:rFonts w:cs="Times New Roman"/>
                    </w:rPr>
                  </w:pPr>
                  <w:r>
                    <w:rPr>
                      <w:rFonts w:cs="Times New Roman"/>
                    </w:rPr>
                    <w:t>无组织排放监控浓度限值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jc w:val="center"/>
              </w:trPr>
              <w:tc>
                <w:tcPr>
                  <w:tcW w:w="878" w:type="dxa"/>
                  <w:vMerge w:val="continue"/>
                  <w:vAlign w:val="center"/>
                </w:tcPr>
                <w:p>
                  <w:pPr>
                    <w:pStyle w:val="68"/>
                    <w:rPr>
                      <w:rFonts w:cs="Times New Roman"/>
                    </w:rPr>
                  </w:pPr>
                </w:p>
              </w:tc>
              <w:tc>
                <w:tcPr>
                  <w:tcW w:w="1436" w:type="dxa"/>
                  <w:vMerge w:val="continue"/>
                  <w:vAlign w:val="center"/>
                </w:tcPr>
                <w:p>
                  <w:pPr>
                    <w:pStyle w:val="68"/>
                    <w:rPr>
                      <w:rFonts w:cs="Times New Roman"/>
                    </w:rPr>
                  </w:pPr>
                </w:p>
              </w:tc>
              <w:tc>
                <w:tcPr>
                  <w:tcW w:w="1553" w:type="dxa"/>
                  <w:vMerge w:val="continue"/>
                  <w:vAlign w:val="center"/>
                </w:tcPr>
                <w:p>
                  <w:pPr>
                    <w:pStyle w:val="68"/>
                    <w:rPr>
                      <w:rFonts w:cs="Times New Roman"/>
                    </w:rPr>
                  </w:pPr>
                </w:p>
              </w:tc>
              <w:tc>
                <w:tcPr>
                  <w:tcW w:w="2261" w:type="dxa"/>
                  <w:vAlign w:val="center"/>
                </w:tcPr>
                <w:p>
                  <w:pPr>
                    <w:pStyle w:val="68"/>
                    <w:rPr>
                      <w:rFonts w:eastAsia="宋体" w:cs="Times New Roman"/>
                    </w:rPr>
                  </w:pPr>
                  <w:r>
                    <w:rPr>
                      <w:rFonts w:cs="Times New Roman"/>
                    </w:rPr>
                    <w:t>监控点</w:t>
                  </w:r>
                  <w:r>
                    <w:rPr>
                      <w:rFonts w:hint="eastAsia" w:cs="Times New Roman"/>
                    </w:rPr>
                    <w:t>与参照点的差值</w:t>
                  </w:r>
                </w:p>
              </w:tc>
              <w:tc>
                <w:tcPr>
                  <w:tcW w:w="1476" w:type="dxa"/>
                  <w:vAlign w:val="center"/>
                </w:tcPr>
                <w:p>
                  <w:pPr>
                    <w:pStyle w:val="68"/>
                    <w:rPr>
                      <w:rFonts w:cs="Times New Roman"/>
                    </w:rPr>
                  </w:pPr>
                  <w:r>
                    <w:rPr>
                      <w:rFonts w:cs="Times New Roman"/>
                    </w:rPr>
                    <w:t>浓度mg/m</w:t>
                  </w:r>
                  <w:r>
                    <w:rPr>
                      <w:rFonts w:cs="Times New Roman"/>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jc w:val="center"/>
              </w:trPr>
              <w:tc>
                <w:tcPr>
                  <w:tcW w:w="878" w:type="dxa"/>
                  <w:vAlign w:val="center"/>
                </w:tcPr>
                <w:p>
                  <w:pPr>
                    <w:pStyle w:val="68"/>
                    <w:rPr>
                      <w:rFonts w:eastAsia="宋体" w:cs="Times New Roman"/>
                      <w:u w:val="single"/>
                    </w:rPr>
                  </w:pPr>
                  <w:r>
                    <w:rPr>
                      <w:rFonts w:hint="eastAsia" w:cs="Times New Roman"/>
                      <w:u w:val="single"/>
                    </w:rPr>
                    <w:t>1</w:t>
                  </w:r>
                </w:p>
              </w:tc>
              <w:tc>
                <w:tcPr>
                  <w:tcW w:w="1436" w:type="dxa"/>
                  <w:vAlign w:val="center"/>
                </w:tcPr>
                <w:p>
                  <w:pPr>
                    <w:pStyle w:val="68"/>
                    <w:rPr>
                      <w:rFonts w:cs="Times New Roman"/>
                      <w:u w:val="single"/>
                    </w:rPr>
                  </w:pPr>
                  <w:r>
                    <w:rPr>
                      <w:rFonts w:cs="Times New Roman"/>
                      <w:u w:val="single"/>
                    </w:rPr>
                    <w:t>颗粒物</w:t>
                  </w:r>
                </w:p>
              </w:tc>
              <w:tc>
                <w:tcPr>
                  <w:tcW w:w="1553" w:type="dxa"/>
                  <w:vAlign w:val="center"/>
                </w:tcPr>
                <w:p>
                  <w:pPr>
                    <w:pStyle w:val="68"/>
                    <w:rPr>
                      <w:rFonts w:eastAsia="宋体" w:cs="Times New Roman"/>
                      <w:u w:val="single"/>
                    </w:rPr>
                  </w:pPr>
                  <w:r>
                    <w:rPr>
                      <w:rFonts w:cs="Times New Roman"/>
                      <w:u w:val="single"/>
                    </w:rPr>
                    <w:t>10</w:t>
                  </w:r>
                </w:p>
              </w:tc>
              <w:tc>
                <w:tcPr>
                  <w:tcW w:w="2261" w:type="dxa"/>
                  <w:vAlign w:val="center"/>
                </w:tcPr>
                <w:p>
                  <w:pPr>
                    <w:pStyle w:val="68"/>
                    <w:rPr>
                      <w:rFonts w:eastAsia="宋体" w:cs="Times New Roman"/>
                      <w:u w:val="single"/>
                    </w:rPr>
                  </w:pPr>
                  <w:r>
                    <w:rPr>
                      <w:rFonts w:cs="Times New Roman"/>
                      <w:u w:val="single"/>
                    </w:rPr>
                    <w:t>厂界外20m处</w:t>
                  </w:r>
                </w:p>
              </w:tc>
              <w:tc>
                <w:tcPr>
                  <w:tcW w:w="1476" w:type="dxa"/>
                  <w:vAlign w:val="center"/>
                </w:tcPr>
                <w:p>
                  <w:pPr>
                    <w:pStyle w:val="68"/>
                    <w:rPr>
                      <w:rFonts w:eastAsia="宋体" w:cs="Times New Roman"/>
                      <w:u w:val="single"/>
                    </w:rPr>
                  </w:pPr>
                  <w:r>
                    <w:rPr>
                      <w:rFonts w:hint="eastAsia" w:cs="Times New Roman"/>
                      <w:u w:val="single"/>
                    </w:rPr>
                    <w:t>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40" w:hRule="atLeast"/>
                <w:jc w:val="center"/>
              </w:trPr>
              <w:tc>
                <w:tcPr>
                  <w:tcW w:w="878" w:type="dxa"/>
                  <w:vAlign w:val="center"/>
                </w:tcPr>
                <w:p>
                  <w:pPr>
                    <w:pStyle w:val="68"/>
                    <w:rPr>
                      <w:rFonts w:cs="Times New Roman"/>
                    </w:rPr>
                  </w:pPr>
                  <w:r>
                    <w:rPr>
                      <w:rFonts w:hint="eastAsia" w:cs="Times New Roman"/>
                    </w:rPr>
                    <w:t>2</w:t>
                  </w:r>
                </w:p>
              </w:tc>
              <w:tc>
                <w:tcPr>
                  <w:tcW w:w="1436" w:type="dxa"/>
                  <w:vAlign w:val="center"/>
                </w:tcPr>
                <w:p>
                  <w:pPr>
                    <w:pStyle w:val="68"/>
                    <w:rPr>
                      <w:rFonts w:cs="Times New Roman"/>
                    </w:rPr>
                  </w:pPr>
                  <w:r>
                    <w:rPr>
                      <w:rFonts w:hint="eastAsia"/>
                    </w:rPr>
                    <w:t>食堂油烟</w:t>
                  </w:r>
                </w:p>
              </w:tc>
              <w:tc>
                <w:tcPr>
                  <w:tcW w:w="1553" w:type="dxa"/>
                  <w:vAlign w:val="center"/>
                </w:tcPr>
                <w:p>
                  <w:pPr>
                    <w:pStyle w:val="68"/>
                    <w:rPr>
                      <w:rFonts w:cs="Times New Roman"/>
                    </w:rPr>
                  </w:pPr>
                  <w:r>
                    <w:rPr>
                      <w:rFonts w:hint="eastAsia"/>
                    </w:rPr>
                    <w:t>2.0</w:t>
                  </w:r>
                </w:p>
              </w:tc>
              <w:tc>
                <w:tcPr>
                  <w:tcW w:w="2261" w:type="dxa"/>
                  <w:vAlign w:val="center"/>
                </w:tcPr>
                <w:p>
                  <w:pPr>
                    <w:pStyle w:val="68"/>
                    <w:rPr>
                      <w:rFonts w:cs="Times New Roman"/>
                    </w:rPr>
                  </w:pPr>
                  <w:r>
                    <w:rPr>
                      <w:rFonts w:hint="eastAsia" w:cs="Times New Roman"/>
                    </w:rPr>
                    <w:t>/</w:t>
                  </w:r>
                </w:p>
              </w:tc>
              <w:tc>
                <w:tcPr>
                  <w:tcW w:w="1476" w:type="dxa"/>
                  <w:vAlign w:val="center"/>
                </w:tcPr>
                <w:p>
                  <w:pPr>
                    <w:pStyle w:val="68"/>
                    <w:rPr>
                      <w:rFonts w:cs="Times New Roman"/>
                    </w:rPr>
                  </w:pPr>
                  <w:r>
                    <w:rPr>
                      <w:rFonts w:hint="eastAsia" w:cs="Times New Roman"/>
                    </w:rPr>
                    <w:t>/</w:t>
                  </w:r>
                </w:p>
              </w:tc>
            </w:tr>
          </w:tbl>
          <w:p>
            <w:pPr>
              <w:snapToGrid w:val="0"/>
              <w:spacing w:line="360" w:lineRule="auto"/>
              <w:ind w:firstLine="480" w:firstLineChars="200"/>
              <w:rPr>
                <w:sz w:val="24"/>
              </w:rPr>
            </w:pPr>
          </w:p>
          <w:p>
            <w:pPr>
              <w:snapToGrid w:val="0"/>
              <w:spacing w:line="360" w:lineRule="auto"/>
              <w:ind w:firstLine="480" w:firstLineChars="200"/>
              <w:rPr>
                <w:sz w:val="24"/>
              </w:rPr>
            </w:pPr>
            <w:r>
              <w:rPr>
                <w:sz w:val="24"/>
              </w:rPr>
              <w:t>（3）噪声：施工期噪声执行《建筑施工厂界环境噪声排放标准》（GB12523-2011）表 1 中标准</w:t>
            </w:r>
            <w:r>
              <w:rPr>
                <w:rFonts w:hint="eastAsia"/>
                <w:sz w:val="24"/>
              </w:rPr>
              <w:t>；运营期</w:t>
            </w:r>
            <w:r>
              <w:rPr>
                <w:sz w:val="24"/>
              </w:rPr>
              <w:t>厂界噪声执行《工业企业厂界环境噪声排放标准》（GB12348-2008）2类标准；</w:t>
            </w:r>
          </w:p>
          <w:p>
            <w:pPr>
              <w:snapToGrid w:val="0"/>
              <w:spacing w:line="360" w:lineRule="auto"/>
              <w:ind w:firstLine="480" w:firstLineChars="200"/>
              <w:rPr>
                <w:sz w:val="24"/>
              </w:rPr>
            </w:pPr>
            <w:r>
              <w:rPr>
                <w:sz w:val="24"/>
              </w:rPr>
              <w:t>（4）固体废物：</w:t>
            </w:r>
            <w:r>
              <w:rPr>
                <w:bCs/>
                <w:sz w:val="24"/>
              </w:rPr>
              <w:t>危险废物执行《危险废物贮存污染控制标准》（GB18597-2001）及其2013年修改单</w:t>
            </w:r>
            <w:r>
              <w:rPr>
                <w:rFonts w:hint="eastAsia"/>
                <w:bCs/>
                <w:sz w:val="24"/>
              </w:rPr>
              <w:t>；</w:t>
            </w:r>
            <w:r>
              <w:rPr>
                <w:sz w:val="24"/>
              </w:rPr>
              <w:t>一般固废执行《一般工业固体废物贮存、处置场污染控制标准》（GB18599-2001）及2013年修改单标准；生活垃圾执行《生活垃圾填埋场污染控制标准》（GB16889-2008）。</w:t>
            </w:r>
          </w:p>
          <w:p>
            <w:pPr>
              <w:snapToGrid w:val="0"/>
              <w:spacing w:line="360" w:lineRule="auto"/>
              <w:ind w:firstLine="480" w:firstLineChars="200"/>
              <w:rPr>
                <w:sz w:val="24"/>
              </w:rPr>
            </w:pPr>
          </w:p>
          <w:p>
            <w:pPr>
              <w:snapToGrid w:val="0"/>
              <w:spacing w:line="360" w:lineRule="auto"/>
              <w:ind w:firstLine="480" w:firstLineChars="200"/>
              <w:rPr>
                <w:sz w:val="24"/>
              </w:rPr>
            </w:pPr>
          </w:p>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2" w:hRule="atLeast"/>
          <w:jc w:val="center"/>
        </w:trPr>
        <w:tc>
          <w:tcPr>
            <w:tcW w:w="679" w:type="dxa"/>
            <w:tcBorders>
              <w:bottom w:val="single" w:color="auto" w:sz="4" w:space="0"/>
            </w:tcBorders>
            <w:vAlign w:val="center"/>
          </w:tcPr>
          <w:p>
            <w:pPr>
              <w:spacing w:line="520" w:lineRule="exact"/>
              <w:jc w:val="center"/>
              <w:rPr>
                <w:b/>
                <w:sz w:val="24"/>
              </w:rPr>
            </w:pPr>
            <w:r>
              <w:rPr>
                <w:b/>
                <w:sz w:val="24"/>
              </w:rPr>
              <w:t>总</w:t>
            </w:r>
          </w:p>
          <w:p>
            <w:pPr>
              <w:spacing w:line="520" w:lineRule="exact"/>
              <w:jc w:val="center"/>
              <w:rPr>
                <w:b/>
                <w:sz w:val="24"/>
              </w:rPr>
            </w:pPr>
            <w:r>
              <w:rPr>
                <w:b/>
                <w:sz w:val="24"/>
              </w:rPr>
              <w:t>量</w:t>
            </w:r>
          </w:p>
          <w:p>
            <w:pPr>
              <w:spacing w:line="520" w:lineRule="exact"/>
              <w:jc w:val="center"/>
              <w:rPr>
                <w:b/>
                <w:sz w:val="24"/>
              </w:rPr>
            </w:pPr>
            <w:r>
              <w:rPr>
                <w:b/>
                <w:sz w:val="24"/>
              </w:rPr>
              <w:t>控</w:t>
            </w:r>
          </w:p>
          <w:p>
            <w:pPr>
              <w:spacing w:line="520" w:lineRule="exact"/>
              <w:jc w:val="center"/>
              <w:rPr>
                <w:b/>
                <w:sz w:val="24"/>
              </w:rPr>
            </w:pPr>
            <w:r>
              <w:rPr>
                <w:b/>
                <w:sz w:val="24"/>
              </w:rPr>
              <w:t>制</w:t>
            </w:r>
          </w:p>
          <w:p>
            <w:pPr>
              <w:spacing w:line="520" w:lineRule="exact"/>
              <w:jc w:val="center"/>
              <w:rPr>
                <w:b/>
                <w:sz w:val="24"/>
              </w:rPr>
            </w:pPr>
            <w:r>
              <w:rPr>
                <w:b/>
                <w:sz w:val="24"/>
              </w:rPr>
              <w:t>指</w:t>
            </w:r>
          </w:p>
          <w:p>
            <w:pPr>
              <w:spacing w:line="520" w:lineRule="exact"/>
              <w:jc w:val="center"/>
              <w:rPr>
                <w:b/>
                <w:sz w:val="24"/>
              </w:rPr>
            </w:pPr>
            <w:r>
              <w:rPr>
                <w:b/>
                <w:sz w:val="24"/>
              </w:rPr>
              <w:t>标</w:t>
            </w:r>
          </w:p>
        </w:tc>
        <w:tc>
          <w:tcPr>
            <w:tcW w:w="7850" w:type="dxa"/>
            <w:tcBorders>
              <w:bottom w:val="single" w:color="auto" w:sz="4" w:space="0"/>
            </w:tcBorders>
            <w:vAlign w:val="center"/>
          </w:tcPr>
          <w:p>
            <w:pPr>
              <w:spacing w:line="360" w:lineRule="auto"/>
              <w:ind w:firstLine="480" w:firstLineChars="200"/>
              <w:rPr>
                <w:sz w:val="24"/>
              </w:rPr>
            </w:pPr>
            <w:r>
              <w:rPr>
                <w:sz w:val="24"/>
              </w:rPr>
              <w:t>根据国家主要污染物排放总量控制技术规范要求、《国家环境保护“十三五”规划基本思路》以及本项目污染物排放特点，项目生产废水不外排至外环境，同时生活污水经化粪池处理后用于周边的农田灌溉</w:t>
            </w:r>
            <w:r>
              <w:rPr>
                <w:rFonts w:hint="eastAsia"/>
                <w:sz w:val="24"/>
              </w:rPr>
              <w:t>。</w:t>
            </w:r>
            <w:r>
              <w:rPr>
                <w:sz w:val="24"/>
              </w:rPr>
              <w:t xml:space="preserve"> </w:t>
            </w:r>
          </w:p>
          <w:tbl>
            <w:tblPr>
              <w:tblStyle w:val="18"/>
              <w:tblW w:w="760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2718"/>
              <w:gridCol w:w="28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jc w:val="center"/>
              </w:trPr>
              <w:tc>
                <w:tcPr>
                  <w:tcW w:w="2063" w:type="dxa"/>
                  <w:vAlign w:val="center"/>
                </w:tcPr>
                <w:p>
                  <w:pPr>
                    <w:pStyle w:val="68"/>
                  </w:pPr>
                  <w:r>
                    <w:t>污染物</w:t>
                  </w:r>
                </w:p>
              </w:tc>
              <w:tc>
                <w:tcPr>
                  <w:tcW w:w="2718" w:type="dxa"/>
                  <w:vAlign w:val="center"/>
                </w:tcPr>
                <w:p>
                  <w:pPr>
                    <w:pStyle w:val="68"/>
                  </w:pPr>
                  <w:r>
                    <w:t>本项目排放量（t/a）</w:t>
                  </w:r>
                </w:p>
              </w:tc>
              <w:tc>
                <w:tcPr>
                  <w:tcW w:w="2823" w:type="dxa"/>
                  <w:vAlign w:val="center"/>
                </w:tcPr>
                <w:p>
                  <w:pPr>
                    <w:pStyle w:val="68"/>
                  </w:pPr>
                  <w:r>
                    <w:t>总量控制指标建议（t/a）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jc w:val="center"/>
              </w:trPr>
              <w:tc>
                <w:tcPr>
                  <w:tcW w:w="2063" w:type="dxa"/>
                  <w:vAlign w:val="center"/>
                </w:tcPr>
                <w:p>
                  <w:pPr>
                    <w:pStyle w:val="68"/>
                  </w:pPr>
                  <w:r>
                    <w:rPr>
                      <w:rFonts w:hint="eastAsia"/>
                    </w:rPr>
                    <w:t>粉尘</w:t>
                  </w:r>
                </w:p>
              </w:tc>
              <w:tc>
                <w:tcPr>
                  <w:tcW w:w="2718" w:type="dxa"/>
                  <w:vAlign w:val="center"/>
                </w:tcPr>
                <w:p>
                  <w:pPr>
                    <w:pStyle w:val="68"/>
                  </w:pPr>
                  <w:r>
                    <w:rPr>
                      <w:rFonts w:hint="eastAsia"/>
                    </w:rPr>
                    <w:t>3.31009</w:t>
                  </w:r>
                </w:p>
              </w:tc>
              <w:tc>
                <w:tcPr>
                  <w:tcW w:w="2823" w:type="dxa"/>
                  <w:vAlign w:val="center"/>
                </w:tcPr>
                <w:p>
                  <w:pPr>
                    <w:pStyle w:val="68"/>
                  </w:pPr>
                  <w:r>
                    <w:rPr>
                      <w:rFonts w:hint="eastAsia"/>
                    </w:rPr>
                    <w:t>--</w:t>
                  </w:r>
                </w:p>
              </w:tc>
            </w:tr>
          </w:tbl>
          <w:p>
            <w:pPr>
              <w:adjustRightInd w:val="0"/>
              <w:snapToGrid w:val="0"/>
              <w:spacing w:line="520" w:lineRule="exact"/>
              <w:ind w:firstLine="504" w:firstLineChars="200"/>
              <w:rPr>
                <w:bCs/>
                <w:spacing w:val="6"/>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ind w:firstLine="480" w:firstLineChars="200"/>
              <w:rPr>
                <w:sz w:val="24"/>
              </w:rPr>
            </w:pPr>
          </w:p>
          <w:p>
            <w:pPr>
              <w:adjustRightInd w:val="0"/>
              <w:snapToGrid w:val="0"/>
              <w:spacing w:line="520" w:lineRule="exact"/>
              <w:rPr>
                <w:sz w:val="24"/>
              </w:rPr>
            </w:pPr>
          </w:p>
          <w:p>
            <w:pPr>
              <w:adjustRightInd w:val="0"/>
              <w:snapToGrid w:val="0"/>
              <w:spacing w:line="520" w:lineRule="exact"/>
              <w:rPr>
                <w:sz w:val="24"/>
              </w:rPr>
            </w:pPr>
          </w:p>
          <w:p>
            <w:pPr>
              <w:adjustRightInd w:val="0"/>
              <w:snapToGrid w:val="0"/>
              <w:spacing w:line="520" w:lineRule="exact"/>
              <w:rPr>
                <w:sz w:val="24"/>
              </w:rPr>
            </w:pPr>
          </w:p>
        </w:tc>
      </w:tr>
    </w:tbl>
    <w:p>
      <w:pPr>
        <w:spacing w:line="520" w:lineRule="exact"/>
        <w:jc w:val="left"/>
        <w:outlineLvl w:val="0"/>
        <w:rPr>
          <w:b/>
          <w:szCs w:val="28"/>
        </w:rPr>
      </w:pPr>
      <w:bookmarkStart w:id="12" w:name="_Toc3906330"/>
      <w:r>
        <w:rPr>
          <w:b/>
          <w:szCs w:val="28"/>
        </w:rPr>
        <w:t>建设项目工程分析</w:t>
      </w:r>
      <w:bookmarkEnd w:id="12"/>
    </w:p>
    <w:tbl>
      <w:tblPr>
        <w:tblStyle w:val="18"/>
        <w:tblW w:w="90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2" w:hRule="atLeast"/>
          <w:jc w:val="center"/>
        </w:trPr>
        <w:tc>
          <w:tcPr>
            <w:tcW w:w="9015" w:type="dxa"/>
          </w:tcPr>
          <w:p>
            <w:pPr>
              <w:spacing w:line="440" w:lineRule="exact"/>
              <w:jc w:val="left"/>
              <w:rPr>
                <w:b/>
                <w:sz w:val="24"/>
              </w:rPr>
            </w:pPr>
            <w:r>
              <w:rPr>
                <w:b/>
                <w:sz w:val="24"/>
              </w:rPr>
              <w:t>工艺流程简述（图示）：</w:t>
            </w:r>
          </w:p>
          <w:p>
            <w:pPr>
              <w:adjustRightInd w:val="0"/>
              <w:snapToGrid w:val="0"/>
              <w:spacing w:line="440" w:lineRule="exact"/>
              <w:rPr>
                <w:b/>
                <w:kern w:val="0"/>
                <w:sz w:val="24"/>
              </w:rPr>
            </w:pPr>
            <w:r>
              <w:rPr>
                <w:rFonts w:hint="eastAsia"/>
                <w:b/>
                <w:kern w:val="0"/>
                <w:sz w:val="24"/>
              </w:rPr>
              <w:t>一</w:t>
            </w:r>
            <w:r>
              <w:rPr>
                <w:b/>
                <w:kern w:val="0"/>
                <w:sz w:val="24"/>
              </w:rPr>
              <w:t>、施工期</w:t>
            </w:r>
          </w:p>
          <w:p>
            <w:pPr>
              <w:spacing w:line="360" w:lineRule="auto"/>
              <w:rPr>
                <w:spacing w:val="6"/>
                <w:sz w:val="24"/>
              </w:rPr>
            </w:pPr>
            <w:r>
              <w:rPr>
                <w:rFonts w:hint="eastAsia"/>
                <w:b/>
                <w:spacing w:val="6"/>
                <w:sz w:val="24"/>
              </w:rPr>
              <w:t xml:space="preserve">  1、废气</w:t>
            </w:r>
          </w:p>
          <w:p>
            <w:pPr>
              <w:spacing w:line="360" w:lineRule="auto"/>
              <w:ind w:firstLine="504" w:firstLineChars="200"/>
              <w:rPr>
                <w:spacing w:val="6"/>
                <w:sz w:val="24"/>
              </w:rPr>
            </w:pPr>
            <w:r>
              <w:rPr>
                <w:rFonts w:hint="eastAsia"/>
                <w:spacing w:val="6"/>
                <w:sz w:val="24"/>
              </w:rPr>
              <w:t>施工期主要大气污染物是施工废气、扬尘。施工废气主要是扬尘施工机械驱动设备及施工车辆所排放的废气，扬尘主要是项目地下</w:t>
            </w:r>
            <w:r>
              <w:rPr>
                <w:rFonts w:hint="eastAsia"/>
                <w:color w:val="FF0000"/>
                <w:spacing w:val="6"/>
                <w:sz w:val="24"/>
              </w:rPr>
              <w:t>储油罐区</w:t>
            </w:r>
            <w:r>
              <w:rPr>
                <w:rFonts w:hint="eastAsia"/>
                <w:spacing w:val="6"/>
                <w:sz w:val="24"/>
              </w:rPr>
              <w:t>挖掘过程中，易产生粉土、扬尘。</w:t>
            </w:r>
          </w:p>
          <w:p>
            <w:pPr>
              <w:spacing w:line="360" w:lineRule="auto"/>
              <w:ind w:firstLine="504" w:firstLineChars="200"/>
              <w:rPr>
                <w:spacing w:val="6"/>
                <w:sz w:val="24"/>
              </w:rPr>
            </w:pPr>
            <w:r>
              <w:rPr>
                <w:rFonts w:hint="eastAsia"/>
                <w:spacing w:val="6"/>
                <w:sz w:val="24"/>
              </w:rPr>
              <w:t>① 车辆尾气</w:t>
            </w:r>
          </w:p>
          <w:p>
            <w:pPr>
              <w:spacing w:line="360" w:lineRule="auto"/>
              <w:ind w:firstLine="504" w:firstLineChars="200"/>
              <w:rPr>
                <w:spacing w:val="6"/>
                <w:sz w:val="24"/>
              </w:rPr>
            </w:pPr>
            <w:r>
              <w:rPr>
                <w:spacing w:val="6"/>
                <w:sz w:val="24"/>
              </w:rPr>
              <w:t>各类燃油动力机械进行场地清理平整、挖、填土石方、运输、建筑结构等施工作业时产生的废气，主要含有CO、N</w:t>
            </w:r>
            <w:r>
              <w:rPr>
                <w:rFonts w:hint="eastAsia"/>
                <w:spacing w:val="6"/>
                <w:sz w:val="24"/>
              </w:rPr>
              <w:t>O</w:t>
            </w:r>
            <w:r>
              <w:rPr>
                <w:spacing w:val="6"/>
                <w:sz w:val="24"/>
              </w:rPr>
              <w:t>x</w:t>
            </w:r>
            <w:r>
              <w:rPr>
                <w:rFonts w:hint="eastAsia"/>
                <w:spacing w:val="6"/>
                <w:sz w:val="24"/>
              </w:rPr>
              <w:t>。施工期间对于燃柴油的大型运输车辆禁止超载，不得使用劣质燃料。对车辆的尾气排放进行监督管理，严格施工期管理可以使车辆尾气的影响较低。</w:t>
            </w:r>
          </w:p>
          <w:p>
            <w:pPr>
              <w:spacing w:line="360" w:lineRule="auto"/>
              <w:ind w:firstLine="504" w:firstLineChars="200"/>
              <w:rPr>
                <w:spacing w:val="6"/>
                <w:sz w:val="24"/>
              </w:rPr>
            </w:pPr>
            <w:r>
              <w:rPr>
                <w:rFonts w:hint="eastAsia"/>
                <w:spacing w:val="6"/>
                <w:sz w:val="24"/>
              </w:rPr>
              <w:t>② 扬尘</w:t>
            </w:r>
          </w:p>
          <w:p>
            <w:pPr>
              <w:spacing w:line="360" w:lineRule="auto"/>
              <w:ind w:firstLine="504" w:firstLineChars="200"/>
              <w:rPr>
                <w:spacing w:val="6"/>
                <w:sz w:val="24"/>
              </w:rPr>
            </w:pPr>
            <w:r>
              <w:rPr>
                <w:rFonts w:hint="eastAsia"/>
                <w:spacing w:val="6"/>
                <w:sz w:val="24"/>
              </w:rPr>
              <w:t>本项目</w:t>
            </w:r>
            <w:r>
              <w:rPr>
                <w:spacing w:val="6"/>
                <w:sz w:val="24"/>
              </w:rPr>
              <w:t>施工过程产生</w:t>
            </w:r>
            <w:r>
              <w:rPr>
                <w:rFonts w:hint="eastAsia"/>
                <w:spacing w:val="6"/>
                <w:sz w:val="24"/>
              </w:rPr>
              <w:t>的</w:t>
            </w:r>
            <w:r>
              <w:rPr>
                <w:spacing w:val="6"/>
                <w:sz w:val="24"/>
              </w:rPr>
              <w:t>扬尘主要</w:t>
            </w:r>
            <w:r>
              <w:rPr>
                <w:rFonts w:hint="eastAsia"/>
                <w:spacing w:val="6"/>
                <w:sz w:val="24"/>
              </w:rPr>
              <w:t>有</w:t>
            </w:r>
            <w:r>
              <w:rPr>
                <w:spacing w:val="6"/>
                <w:sz w:val="24"/>
              </w:rPr>
              <w:t>建材运输车辆产生的交通扬尘、建材堆置和施工过程产生的扬尘等。</w:t>
            </w:r>
          </w:p>
          <w:p>
            <w:pPr>
              <w:spacing w:line="360" w:lineRule="auto"/>
              <w:ind w:firstLine="504" w:firstLineChars="200"/>
              <w:rPr>
                <w:spacing w:val="6"/>
                <w:sz w:val="24"/>
              </w:rPr>
            </w:pPr>
            <w:r>
              <w:rPr>
                <w:spacing w:val="6"/>
                <w:sz w:val="24"/>
              </w:rPr>
              <w:t>施工过程粉尘污染的危害不容忽视。在施工现场的工作人员长期吸入大量的微细尘埃，有可能患各种呼吸道疾病；此外，粉尘还携带大量的病原菌，以及传染其它疾病，严重威胁施工人员和附近人员的健康。粉尘飘落在各种建筑物上，也会影响景观。通过同类项目的施工场地实测资料的类比分析，施工场地的TSP浓度在0.4</w:t>
            </w:r>
            <w:r>
              <w:rPr>
                <w:rFonts w:hint="eastAsia"/>
                <w:spacing w:val="6"/>
                <w:sz w:val="24"/>
              </w:rPr>
              <w:t>~</w:t>
            </w:r>
            <w:r>
              <w:rPr>
                <w:spacing w:val="6"/>
                <w:sz w:val="24"/>
              </w:rPr>
              <w:t>0.55mg/m</w:t>
            </w:r>
            <w:r>
              <w:rPr>
                <w:spacing w:val="6"/>
                <w:sz w:val="24"/>
                <w:vertAlign w:val="superscript"/>
              </w:rPr>
              <w:t>3</w:t>
            </w:r>
            <w:r>
              <w:rPr>
                <w:spacing w:val="6"/>
                <w:sz w:val="24"/>
              </w:rPr>
              <w:t>，其影响范围为其下风向</w:t>
            </w:r>
            <w:r>
              <w:rPr>
                <w:rFonts w:hint="eastAsia"/>
                <w:spacing w:val="6"/>
                <w:sz w:val="24"/>
              </w:rPr>
              <w:t>30</w:t>
            </w:r>
            <w:r>
              <w:rPr>
                <w:spacing w:val="6"/>
                <w:sz w:val="24"/>
              </w:rPr>
              <w:t>0m范围内，被影响地区的TSP浓度均超过《环境空气质量标准》</w:t>
            </w:r>
            <w:r>
              <w:rPr>
                <w:rFonts w:hint="eastAsia"/>
                <w:spacing w:val="6"/>
                <w:sz w:val="24"/>
              </w:rPr>
              <w:t>（</w:t>
            </w:r>
            <w:r>
              <w:rPr>
                <w:spacing w:val="6"/>
                <w:sz w:val="24"/>
              </w:rPr>
              <w:t>GB3095-</w:t>
            </w:r>
            <w:r>
              <w:rPr>
                <w:rFonts w:hint="eastAsia"/>
                <w:spacing w:val="6"/>
                <w:sz w:val="24"/>
              </w:rPr>
              <w:t>2012）</w:t>
            </w:r>
            <w:r>
              <w:rPr>
                <w:spacing w:val="6"/>
                <w:sz w:val="24"/>
              </w:rPr>
              <w:t>二级标准，对项目建设地</w:t>
            </w:r>
            <w:r>
              <w:rPr>
                <w:rFonts w:hint="eastAsia"/>
                <w:spacing w:val="6"/>
                <w:sz w:val="24"/>
              </w:rPr>
              <w:t>周边的</w:t>
            </w:r>
            <w:r>
              <w:rPr>
                <w:spacing w:val="6"/>
                <w:sz w:val="24"/>
              </w:rPr>
              <w:t>环境空气质量产生一定影响。为减少施工废气对周围环境的影响，建设方应采取以下防治措施：</w:t>
            </w:r>
          </w:p>
          <w:p>
            <w:pPr>
              <w:spacing w:line="360" w:lineRule="auto"/>
              <w:ind w:firstLine="504" w:firstLineChars="200"/>
              <w:rPr>
                <w:spacing w:val="6"/>
                <w:sz w:val="24"/>
              </w:rPr>
            </w:pPr>
            <w:r>
              <w:rPr>
                <w:rFonts w:hint="eastAsia"/>
                <w:spacing w:val="6"/>
                <w:sz w:val="24"/>
              </w:rPr>
              <w:t>1）</w:t>
            </w:r>
            <w:r>
              <w:rPr>
                <w:spacing w:val="6"/>
                <w:sz w:val="24"/>
              </w:rPr>
              <w:t>业主在施工期间应设置施工标志牌、现场平面布置图和安全生产、消防保卫、文明施工制度板。施工标志牌应当表明工程项目名称，建设单位、设计单位、施工单位、监理单位名称，项目经理姓名、联系电话，开工和计划竣工日期，施工许可证批准文号以及当地环境保护主管部门的污染举报电话；</w:t>
            </w:r>
          </w:p>
          <w:p>
            <w:pPr>
              <w:spacing w:line="360" w:lineRule="auto"/>
              <w:ind w:firstLine="504" w:firstLineChars="200"/>
              <w:rPr>
                <w:spacing w:val="6"/>
                <w:sz w:val="24"/>
              </w:rPr>
            </w:pPr>
            <w:r>
              <w:rPr>
                <w:rFonts w:hint="eastAsia"/>
                <w:spacing w:val="6"/>
                <w:sz w:val="24"/>
              </w:rPr>
              <w:t>2）</w:t>
            </w:r>
            <w:r>
              <w:rPr>
                <w:spacing w:val="6"/>
                <w:sz w:val="24"/>
              </w:rPr>
              <w:t>工程在建设期间，应在场地四周的边界设置1.8m以上的围挡；作业场地采取防尘</w:t>
            </w:r>
            <w:r>
              <w:rPr>
                <w:rFonts w:hint="eastAsia"/>
                <w:spacing w:val="6"/>
                <w:sz w:val="24"/>
              </w:rPr>
              <w:t>布、网</w:t>
            </w:r>
            <w:r>
              <w:rPr>
                <w:spacing w:val="6"/>
                <w:sz w:val="24"/>
              </w:rPr>
              <w:t>进行封闭施工，以减少扬尘扩散；</w:t>
            </w:r>
          </w:p>
          <w:p>
            <w:pPr>
              <w:spacing w:line="360" w:lineRule="auto"/>
              <w:ind w:firstLine="504" w:firstLineChars="200"/>
              <w:rPr>
                <w:spacing w:val="6"/>
                <w:sz w:val="24"/>
              </w:rPr>
            </w:pPr>
            <w:r>
              <w:rPr>
                <w:rFonts w:hint="eastAsia"/>
                <w:spacing w:val="6"/>
                <w:sz w:val="24"/>
              </w:rPr>
              <w:t>3）</w:t>
            </w:r>
            <w:r>
              <w:rPr>
                <w:spacing w:val="6"/>
                <w:sz w:val="24"/>
              </w:rPr>
              <w:t xml:space="preserve">施工期间应配置洒水车定期进行洒水降尘，特别是大风干燥天气，应加大洒水量及洒水频次； </w:t>
            </w:r>
          </w:p>
          <w:p>
            <w:pPr>
              <w:spacing w:line="360" w:lineRule="auto"/>
              <w:ind w:firstLine="504" w:firstLineChars="200"/>
              <w:rPr>
                <w:spacing w:val="6"/>
                <w:sz w:val="24"/>
              </w:rPr>
            </w:pPr>
            <w:r>
              <w:rPr>
                <w:rFonts w:hint="eastAsia"/>
                <w:spacing w:val="6"/>
                <w:sz w:val="24"/>
              </w:rPr>
              <w:t>4）</w:t>
            </w:r>
            <w:r>
              <w:rPr>
                <w:spacing w:val="6"/>
                <w:sz w:val="24"/>
              </w:rPr>
              <w:t xml:space="preserve">工程建设期间，其所使用的具有粉尘溢散性的工程材料，砂石、土方或废弃物应当密闭处理，并及时清运，工地内临时堆置渣土应采取覆盖防尘布、覆盖防尘网、配合定期喷洒粉尘抑制剂等措施，防止风蚀扬尘； </w:t>
            </w:r>
          </w:p>
          <w:p>
            <w:pPr>
              <w:spacing w:line="360" w:lineRule="auto"/>
              <w:ind w:firstLine="504" w:firstLineChars="200"/>
              <w:rPr>
                <w:spacing w:val="6"/>
                <w:sz w:val="24"/>
              </w:rPr>
            </w:pPr>
            <w:r>
              <w:rPr>
                <w:spacing w:val="6"/>
                <w:sz w:val="24"/>
              </w:rPr>
              <w:t>5）为</w:t>
            </w:r>
            <w:r>
              <w:rPr>
                <w:rFonts w:hint="eastAsia"/>
                <w:spacing w:val="6"/>
                <w:sz w:val="24"/>
              </w:rPr>
              <w:t>减少</w:t>
            </w:r>
            <w:r>
              <w:rPr>
                <w:spacing w:val="6"/>
                <w:sz w:val="24"/>
              </w:rPr>
              <w:t>项目施工期粉尘和噪声对场地四周居民的影响，项目使用商品混凝土；</w:t>
            </w:r>
          </w:p>
          <w:p>
            <w:pPr>
              <w:spacing w:line="360" w:lineRule="auto"/>
              <w:ind w:firstLine="504" w:firstLineChars="200"/>
              <w:rPr>
                <w:spacing w:val="6"/>
                <w:sz w:val="24"/>
              </w:rPr>
            </w:pPr>
            <w:r>
              <w:rPr>
                <w:spacing w:val="6"/>
                <w:sz w:val="24"/>
              </w:rPr>
              <w:t xml:space="preserve">6）工程建设期间物料、渣土运输车辆的出入口内侧设置洗车平台，车辆驶离工地前，应在洗车平台冲洗轮胎及车身，其表面不得附着污泥，物料、渣土运输车辆装载的物料、渣土高度不得超过车辆槽帮上沿，车斗用苫布遮盖或者采用密闭车斗；施工场地内运输通道应及时清扫和平整，运输车辆进入施工场地应限速行驶 40km/h； </w:t>
            </w:r>
          </w:p>
          <w:p>
            <w:pPr>
              <w:spacing w:line="360" w:lineRule="auto"/>
              <w:ind w:firstLine="504" w:firstLineChars="200"/>
              <w:rPr>
                <w:spacing w:val="6"/>
                <w:sz w:val="24"/>
              </w:rPr>
            </w:pPr>
            <w:r>
              <w:rPr>
                <w:spacing w:val="6"/>
                <w:sz w:val="24"/>
              </w:rPr>
              <w:t xml:space="preserve">7）工程建设期间，施工工地内车行路径应采取铺设钢板、铺设混凝土、铺设礁渣、细石或其他功能相当的材料等措施之一，防止机动车扬尘； </w:t>
            </w:r>
          </w:p>
          <w:p>
            <w:pPr>
              <w:spacing w:line="360" w:lineRule="auto"/>
              <w:ind w:firstLine="504" w:firstLineChars="200"/>
              <w:rPr>
                <w:spacing w:val="6"/>
                <w:sz w:val="24"/>
              </w:rPr>
            </w:pPr>
            <w:r>
              <w:rPr>
                <w:spacing w:val="6"/>
                <w:sz w:val="24"/>
              </w:rPr>
              <w:t xml:space="preserve">8）尽量避免在大风天气下进行施工作业。北京市目前规定大于四级风禁止土石方施工，本项目也可借鉴。 </w:t>
            </w:r>
          </w:p>
          <w:p>
            <w:pPr>
              <w:spacing w:line="360" w:lineRule="auto"/>
              <w:ind w:firstLine="504" w:firstLineChars="200"/>
              <w:rPr>
                <w:spacing w:val="6"/>
                <w:sz w:val="24"/>
              </w:rPr>
            </w:pPr>
            <w:r>
              <w:rPr>
                <w:rFonts w:hint="eastAsia"/>
                <w:spacing w:val="6"/>
                <w:sz w:val="24"/>
              </w:rPr>
              <w:t>③装修废气</w:t>
            </w:r>
          </w:p>
          <w:p>
            <w:pPr>
              <w:spacing w:line="360" w:lineRule="auto"/>
              <w:ind w:firstLine="504" w:firstLineChars="200"/>
              <w:rPr>
                <w:spacing w:val="6"/>
                <w:sz w:val="24"/>
              </w:rPr>
            </w:pPr>
            <w:r>
              <w:rPr>
                <w:spacing w:val="6"/>
                <w:sz w:val="24"/>
              </w:rPr>
              <w:t>在对构筑物的室内外进行装修时（如表面粉刷、油漆、喷涂、裱糊、镶贴装饰等）</w:t>
            </w:r>
            <w:r>
              <w:rPr>
                <w:rFonts w:hint="eastAsia"/>
                <w:spacing w:val="6"/>
                <w:sz w:val="24"/>
              </w:rPr>
              <w:t>将</w:t>
            </w:r>
            <w:r>
              <w:rPr>
                <w:spacing w:val="6"/>
                <w:sz w:val="24"/>
              </w:rPr>
              <w:t>产生挥发性废气（如苯系物、甲苯）会对人的身体健康造成危害，应予以重点控制。</w:t>
            </w:r>
          </w:p>
          <w:p>
            <w:pPr>
              <w:spacing w:line="360" w:lineRule="auto"/>
              <w:ind w:firstLine="504" w:firstLineChars="200"/>
              <w:rPr>
                <w:spacing w:val="6"/>
                <w:sz w:val="24"/>
              </w:rPr>
            </w:pPr>
            <w:r>
              <w:rPr>
                <w:spacing w:val="6"/>
                <w:sz w:val="24"/>
              </w:rPr>
              <w:t>在施工装修期，涂料及装修材料的选取应按照国家质检总局颁布的《室内装修材料10项有害物质限量》规定进行，严格控制室内甲醛、苯系物等挥发性有机物及放射性元素氡，使各项污染指标达到《室内空气质量标准》</w:t>
            </w:r>
            <w:r>
              <w:rPr>
                <w:rFonts w:hint="eastAsia"/>
                <w:spacing w:val="6"/>
                <w:sz w:val="24"/>
              </w:rPr>
              <w:t>（</w:t>
            </w:r>
            <w:r>
              <w:rPr>
                <w:spacing w:val="6"/>
                <w:sz w:val="24"/>
              </w:rPr>
              <w:t>GB／T18883－2002</w:t>
            </w:r>
            <w:r>
              <w:rPr>
                <w:rFonts w:hint="eastAsia"/>
                <w:spacing w:val="6"/>
                <w:sz w:val="24"/>
              </w:rPr>
              <w:t>）</w:t>
            </w:r>
            <w:r>
              <w:rPr>
                <w:spacing w:val="6"/>
                <w:sz w:val="24"/>
              </w:rPr>
              <w:t>、2001年制定的《室内空气质量卫生规范》及《民用建筑工程室内环境污染控制规范》的限值要求，对室内环境造成</w:t>
            </w:r>
            <w:r>
              <w:rPr>
                <w:rFonts w:hint="eastAsia"/>
                <w:spacing w:val="6"/>
                <w:sz w:val="24"/>
              </w:rPr>
              <w:t>的</w:t>
            </w:r>
            <w:r>
              <w:rPr>
                <w:spacing w:val="6"/>
                <w:sz w:val="24"/>
              </w:rPr>
              <w:t>污染</w:t>
            </w:r>
            <w:r>
              <w:rPr>
                <w:rFonts w:hint="eastAsia"/>
                <w:spacing w:val="6"/>
                <w:sz w:val="24"/>
              </w:rPr>
              <w:t>较小</w:t>
            </w:r>
            <w:r>
              <w:rPr>
                <w:spacing w:val="6"/>
                <w:sz w:val="24"/>
              </w:rPr>
              <w:t>。</w:t>
            </w:r>
          </w:p>
          <w:p>
            <w:pPr>
              <w:spacing w:line="360" w:lineRule="auto"/>
              <w:ind w:firstLine="504" w:firstLineChars="200"/>
              <w:rPr>
                <w:spacing w:val="6"/>
                <w:sz w:val="24"/>
              </w:rPr>
            </w:pPr>
            <w:r>
              <w:rPr>
                <w:spacing w:val="6"/>
                <w:sz w:val="24"/>
              </w:rPr>
              <w:t>综上所述，通过加强施工管理，采取以上一系列措施，可大幅度降低施工造成的大气污染。施工期间，建设方应特别注意噪声及粉尘对</w:t>
            </w:r>
            <w:r>
              <w:rPr>
                <w:rFonts w:hint="eastAsia"/>
                <w:spacing w:val="6"/>
                <w:sz w:val="24"/>
              </w:rPr>
              <w:t>周边居民</w:t>
            </w:r>
            <w:r>
              <w:rPr>
                <w:spacing w:val="6"/>
                <w:sz w:val="24"/>
              </w:rPr>
              <w:t>的影响，认真落实以上各项措施，将影响降至最低。</w:t>
            </w:r>
          </w:p>
          <w:p>
            <w:pPr>
              <w:spacing w:line="360" w:lineRule="auto"/>
              <w:rPr>
                <w:spacing w:val="6"/>
                <w:sz w:val="24"/>
              </w:rPr>
            </w:pPr>
            <w:r>
              <w:rPr>
                <w:rFonts w:hint="eastAsia"/>
                <w:b/>
                <w:bCs/>
                <w:spacing w:val="6"/>
                <w:sz w:val="24"/>
              </w:rPr>
              <w:t xml:space="preserve">   2、废水</w:t>
            </w:r>
          </w:p>
          <w:p>
            <w:pPr>
              <w:spacing w:line="360" w:lineRule="auto"/>
              <w:ind w:firstLine="504" w:firstLineChars="200"/>
              <w:rPr>
                <w:spacing w:val="6"/>
                <w:sz w:val="24"/>
              </w:rPr>
            </w:pPr>
            <w:r>
              <w:rPr>
                <w:rFonts w:hint="eastAsia"/>
                <w:spacing w:val="6"/>
                <w:sz w:val="24"/>
              </w:rPr>
              <w:t>项目施工过程中，水污染影响主要来自施工废水以及施工人员的施工污水。施工废水来源于工地开挖、钻孔等产生的泥浆水和各种施工机械设备的冷却和洗涤用水，以及施工现场的清洗、混凝土养护等产生的废水，主要污染因子为SS、石油类等。工地生活用水按50 L/（人•天），施工人员20人计，总用水量约为1.0m³/d，以排放系数0.8计，排放量约为0.8m³/d。生活污水中主要污染物为COD、氨氮。</w:t>
            </w:r>
          </w:p>
          <w:p>
            <w:pPr>
              <w:spacing w:line="360" w:lineRule="auto"/>
              <w:rPr>
                <w:spacing w:val="6"/>
                <w:sz w:val="24"/>
              </w:rPr>
            </w:pPr>
            <w:r>
              <w:rPr>
                <w:rFonts w:hint="eastAsia"/>
                <w:b/>
                <w:bCs/>
                <w:spacing w:val="6"/>
                <w:sz w:val="24"/>
              </w:rPr>
              <w:t xml:space="preserve">   3、噪声</w:t>
            </w:r>
          </w:p>
          <w:p>
            <w:pPr>
              <w:spacing w:line="360" w:lineRule="auto"/>
              <w:ind w:firstLine="378" w:firstLineChars="150"/>
              <w:rPr>
                <w:spacing w:val="6"/>
                <w:sz w:val="24"/>
              </w:rPr>
            </w:pPr>
            <w:r>
              <w:rPr>
                <w:rFonts w:hint="eastAsia"/>
                <w:spacing w:val="6"/>
                <w:sz w:val="24"/>
              </w:rPr>
              <w:t>施工中用到的主要施工机械为推土机和挖土机，其噪声值在87-104dB（A）。</w:t>
            </w:r>
          </w:p>
          <w:p>
            <w:pPr>
              <w:spacing w:line="360" w:lineRule="auto"/>
              <w:ind w:firstLine="379" w:firstLineChars="150"/>
              <w:rPr>
                <w:b/>
                <w:bCs/>
                <w:spacing w:val="6"/>
                <w:sz w:val="24"/>
              </w:rPr>
            </w:pPr>
            <w:r>
              <w:rPr>
                <w:rFonts w:hint="eastAsia"/>
                <w:b/>
                <w:bCs/>
                <w:spacing w:val="6"/>
                <w:sz w:val="24"/>
              </w:rPr>
              <w:t>4、固体废物</w:t>
            </w:r>
          </w:p>
          <w:p>
            <w:pPr>
              <w:spacing w:line="360" w:lineRule="auto"/>
              <w:ind w:firstLine="378" w:firstLineChars="150"/>
              <w:rPr>
                <w:spacing w:val="6"/>
                <w:sz w:val="24"/>
              </w:rPr>
            </w:pPr>
            <w:r>
              <w:rPr>
                <w:rFonts w:hint="eastAsia"/>
                <w:spacing w:val="6"/>
                <w:sz w:val="24"/>
              </w:rPr>
              <w:t>施工期固体废物主要来源于建筑垃圾、施工人员的生活垃圾、施工期的土石方。</w:t>
            </w:r>
          </w:p>
          <w:p>
            <w:pPr>
              <w:spacing w:line="360" w:lineRule="auto"/>
              <w:ind w:firstLine="378" w:firstLineChars="150"/>
              <w:rPr>
                <w:spacing w:val="6"/>
                <w:sz w:val="24"/>
              </w:rPr>
            </w:pPr>
            <w:r>
              <w:rPr>
                <w:rFonts w:hint="eastAsia"/>
                <w:spacing w:val="6"/>
                <w:sz w:val="24"/>
              </w:rPr>
              <w:t>（1）建筑垃圾量约为</w:t>
            </w:r>
            <w:r>
              <w:rPr>
                <w:spacing w:val="6"/>
                <w:sz w:val="24"/>
              </w:rPr>
              <w:t>59.43</w:t>
            </w:r>
            <w:r>
              <w:rPr>
                <w:rFonts w:hint="eastAsia"/>
                <w:spacing w:val="6"/>
                <w:sz w:val="24"/>
              </w:rPr>
              <w:t>t/㎡，该站总建筑面积为</w:t>
            </w:r>
            <w:r>
              <w:rPr>
                <w:spacing w:val="6"/>
                <w:sz w:val="24"/>
              </w:rPr>
              <w:t>5943</w:t>
            </w:r>
            <w:r>
              <w:rPr>
                <w:rFonts w:hint="eastAsia"/>
                <w:spacing w:val="6"/>
                <w:sz w:val="24"/>
              </w:rPr>
              <w:t>㎡，则建筑垃圾产生量为</w:t>
            </w:r>
            <w:r>
              <w:rPr>
                <w:spacing w:val="6"/>
                <w:sz w:val="24"/>
              </w:rPr>
              <w:t>59.43</w:t>
            </w:r>
            <w:r>
              <w:rPr>
                <w:rFonts w:hint="eastAsia"/>
                <w:spacing w:val="6"/>
                <w:sz w:val="24"/>
              </w:rPr>
              <w:t>t；本项目施工人员约有20人，施工人员生活垃圾产生量约为0.5kg/（人•天），产生生活垃圾量为10kg/d。</w:t>
            </w:r>
          </w:p>
          <w:p>
            <w:pPr>
              <w:spacing w:line="360" w:lineRule="auto"/>
              <w:ind w:firstLine="378" w:firstLineChars="150"/>
              <w:rPr>
                <w:spacing w:val="6"/>
                <w:sz w:val="24"/>
              </w:rPr>
            </w:pPr>
            <w:r>
              <w:rPr>
                <w:rFonts w:hint="eastAsia"/>
                <w:spacing w:val="6"/>
                <w:sz w:val="24"/>
              </w:rPr>
              <w:t>（2）土石方：项目施工期存在部分场地修整，开挖量不大。根据施工、运输条件，填筑方尽量利用开挖的土石方，多余的弃方交由岳阳市经开区渣土部门统一处置，项目不设置弃土场。</w:t>
            </w:r>
          </w:p>
          <w:p>
            <w:pPr>
              <w:spacing w:line="360" w:lineRule="auto"/>
              <w:ind w:firstLine="378" w:firstLineChars="150"/>
              <w:rPr>
                <w:spacing w:val="6"/>
                <w:sz w:val="24"/>
              </w:rPr>
            </w:pPr>
            <w:r>
              <w:rPr>
                <w:spacing w:val="6"/>
                <w:sz w:val="24"/>
              </w:rPr>
              <w:t>施工单位应严格执行《建设工程施工场地文明施工及环境管理暂行规定》，对排水进行组织设计，严禁乱排、污染环境</w:t>
            </w:r>
            <w:r>
              <w:rPr>
                <w:rFonts w:hint="eastAsia"/>
                <w:spacing w:val="6"/>
                <w:sz w:val="24"/>
              </w:rPr>
              <w:t>，环评建议采取以下措施</w:t>
            </w:r>
            <w:r>
              <w:rPr>
                <w:spacing w:val="6"/>
                <w:sz w:val="24"/>
              </w:rPr>
              <w:t>：</w:t>
            </w:r>
          </w:p>
          <w:p>
            <w:pPr>
              <w:spacing w:line="360" w:lineRule="auto"/>
              <w:ind w:firstLine="378" w:firstLineChars="150"/>
              <w:rPr>
                <w:spacing w:val="6"/>
                <w:sz w:val="24"/>
              </w:rPr>
            </w:pPr>
            <w:r>
              <w:rPr>
                <w:spacing w:val="6"/>
                <w:sz w:val="24"/>
              </w:rPr>
              <w:t>（</w:t>
            </w:r>
            <w:r>
              <w:rPr>
                <w:rFonts w:hint="eastAsia"/>
                <w:spacing w:val="6"/>
                <w:sz w:val="24"/>
              </w:rPr>
              <w:t>1</w:t>
            </w:r>
            <w:r>
              <w:rPr>
                <w:spacing w:val="6"/>
                <w:sz w:val="24"/>
              </w:rPr>
              <w:t>）车辆</w:t>
            </w:r>
            <w:r>
              <w:rPr>
                <w:rFonts w:hint="eastAsia"/>
                <w:spacing w:val="6"/>
                <w:sz w:val="24"/>
              </w:rPr>
              <w:t>、设备</w:t>
            </w:r>
            <w:r>
              <w:rPr>
                <w:spacing w:val="6"/>
                <w:sz w:val="24"/>
              </w:rPr>
              <w:t>进行集中清洗，对冲洗产生大量含泥沙的洗车水应建沉淀池，经初级隔油和沉淀处理后</w:t>
            </w:r>
            <w:r>
              <w:rPr>
                <w:rFonts w:hint="eastAsia"/>
                <w:spacing w:val="6"/>
                <w:sz w:val="24"/>
              </w:rPr>
              <w:t>用于结构或混凝土养护</w:t>
            </w:r>
            <w:r>
              <w:rPr>
                <w:spacing w:val="6"/>
                <w:sz w:val="24"/>
              </w:rPr>
              <w:t>。</w:t>
            </w:r>
          </w:p>
          <w:p>
            <w:pPr>
              <w:spacing w:line="360" w:lineRule="auto"/>
              <w:ind w:firstLine="378" w:firstLineChars="150"/>
              <w:rPr>
                <w:spacing w:val="6"/>
                <w:sz w:val="24"/>
              </w:rPr>
            </w:pPr>
            <w:r>
              <w:rPr>
                <w:spacing w:val="6"/>
                <w:sz w:val="24"/>
              </w:rPr>
              <w:t>（</w:t>
            </w:r>
            <w:r>
              <w:rPr>
                <w:rFonts w:hint="eastAsia"/>
                <w:spacing w:val="6"/>
                <w:sz w:val="24"/>
              </w:rPr>
              <w:t>2</w:t>
            </w:r>
            <w:r>
              <w:rPr>
                <w:spacing w:val="6"/>
                <w:sz w:val="24"/>
              </w:rPr>
              <w:t>）设置</w:t>
            </w:r>
            <w:r>
              <w:rPr>
                <w:rFonts w:hint="eastAsia"/>
                <w:spacing w:val="6"/>
                <w:sz w:val="24"/>
              </w:rPr>
              <w:t>挡土墙或挡土坡</w:t>
            </w:r>
            <w:r>
              <w:rPr>
                <w:spacing w:val="6"/>
                <w:sz w:val="24"/>
              </w:rPr>
              <w:t>，防止含泥沙废水直接排入城市管网</w:t>
            </w:r>
            <w:r>
              <w:rPr>
                <w:rFonts w:hint="eastAsia"/>
                <w:spacing w:val="6"/>
                <w:sz w:val="24"/>
              </w:rPr>
              <w:t>或周边雨水沟渠</w:t>
            </w:r>
            <w:r>
              <w:rPr>
                <w:spacing w:val="6"/>
                <w:sz w:val="24"/>
              </w:rPr>
              <w:t>。</w:t>
            </w:r>
          </w:p>
          <w:p>
            <w:pPr>
              <w:spacing w:line="360" w:lineRule="auto"/>
              <w:ind w:firstLine="378" w:firstLineChars="150"/>
              <w:rPr>
                <w:bCs/>
                <w:spacing w:val="6"/>
                <w:sz w:val="24"/>
              </w:rPr>
            </w:pPr>
            <w:r>
              <w:rPr>
                <w:spacing w:val="6"/>
                <w:sz w:val="24"/>
              </w:rPr>
              <w:t>（</w:t>
            </w:r>
            <w:r>
              <w:rPr>
                <w:rFonts w:hint="eastAsia"/>
                <w:spacing w:val="6"/>
                <w:sz w:val="24"/>
              </w:rPr>
              <w:t>3</w:t>
            </w:r>
            <w:r>
              <w:rPr>
                <w:spacing w:val="6"/>
                <w:sz w:val="24"/>
              </w:rPr>
              <w:t>）</w:t>
            </w:r>
            <w:r>
              <w:rPr>
                <w:bCs/>
                <w:spacing w:val="6"/>
                <w:sz w:val="24"/>
              </w:rPr>
              <w:t>施工人员生活污水：主要是施工人员日常排放的污水，污水中主要污染物为COD，因在厂区内施工，可设临时厕所，生活废水经化粪池处理后排入市政管网，因此施工期产生的生活污水不会对周围环境产生大的影响。</w:t>
            </w:r>
          </w:p>
          <w:p>
            <w:pPr>
              <w:spacing w:line="360" w:lineRule="auto"/>
              <w:ind w:firstLine="378" w:firstLineChars="150"/>
              <w:rPr>
                <w:spacing w:val="6"/>
                <w:sz w:val="24"/>
              </w:rPr>
            </w:pPr>
            <w:r>
              <w:rPr>
                <w:spacing w:val="6"/>
                <w:sz w:val="24"/>
              </w:rPr>
              <w:t>通过上述措施，施工期施工废水</w:t>
            </w:r>
            <w:r>
              <w:rPr>
                <w:rFonts w:hint="eastAsia"/>
                <w:spacing w:val="6"/>
                <w:sz w:val="24"/>
              </w:rPr>
              <w:t>均能得到妥善处理</w:t>
            </w:r>
            <w:r>
              <w:rPr>
                <w:spacing w:val="6"/>
                <w:sz w:val="24"/>
              </w:rPr>
              <w:t>，对周围环境影响较小。</w:t>
            </w:r>
          </w:p>
          <w:p>
            <w:pPr>
              <w:spacing w:line="360" w:lineRule="auto"/>
              <w:ind w:firstLine="378" w:firstLineChars="150"/>
              <w:rPr>
                <w:spacing w:val="6"/>
                <w:sz w:val="24"/>
              </w:rPr>
            </w:pPr>
          </w:p>
          <w:p>
            <w:pPr>
              <w:spacing w:line="360" w:lineRule="auto"/>
              <w:ind w:firstLine="378" w:firstLineChars="150"/>
              <w:rPr>
                <w:spacing w:val="6"/>
                <w:sz w:val="24"/>
              </w:rPr>
            </w:pPr>
          </w:p>
          <w:p>
            <w:pPr>
              <w:tabs>
                <w:tab w:val="center" w:pos="5076"/>
                <w:tab w:val="left" w:pos="7800"/>
              </w:tabs>
              <w:spacing w:line="520" w:lineRule="exact"/>
              <w:jc w:val="left"/>
              <w:rPr>
                <w:b/>
                <w:bCs/>
                <w:kern w:val="0"/>
                <w:sz w:val="24"/>
              </w:rPr>
            </w:pPr>
            <w:r>
              <w:rPr>
                <w:rFonts w:hint="eastAsia"/>
                <w:b/>
                <w:bCs/>
                <w:kern w:val="0"/>
                <w:sz w:val="24"/>
              </w:rPr>
              <w:t>二</w:t>
            </w:r>
            <w:r>
              <w:rPr>
                <w:b/>
                <w:bCs/>
                <w:kern w:val="0"/>
                <w:sz w:val="24"/>
              </w:rPr>
              <w:t>、营运期</w:t>
            </w:r>
          </w:p>
          <w:p>
            <w:pPr>
              <w:spacing w:line="360" w:lineRule="auto"/>
              <w:ind w:firstLine="480" w:firstLineChars="200"/>
              <w:rPr>
                <w:rFonts w:cs="Calibri"/>
                <w:sz w:val="24"/>
                <w:u w:val="single"/>
              </w:rPr>
            </w:pPr>
            <w:r>
              <w:rPr>
                <w:rFonts w:cs="Calibri"/>
                <w:bCs/>
                <w:sz w:val="24"/>
                <w:u w:val="single"/>
              </w:rPr>
              <w:t>本项目营运期工艺流程及产污环节见下图1。</w:t>
            </w:r>
          </w:p>
          <w:p>
            <w:pPr>
              <w:adjustRightInd w:val="0"/>
              <w:snapToGrid w:val="0"/>
              <w:spacing w:line="440" w:lineRule="exact"/>
              <w:ind w:firstLine="482" w:firstLineChars="200"/>
              <w:rPr>
                <w:b/>
                <w:sz w:val="24"/>
                <w:u w:val="single"/>
              </w:rPr>
            </w:pPr>
          </w:p>
          <w:p>
            <w:pPr>
              <w:adjustRightInd w:val="0"/>
              <w:snapToGrid w:val="0"/>
              <w:spacing w:line="0" w:lineRule="atLeast"/>
              <w:ind w:firstLine="420" w:firstLineChars="200"/>
              <w:rPr>
                <w:rFonts w:ascii="Calibri" w:hAnsi="Calibri" w:cs="Calibri"/>
                <w:sz w:val="21"/>
                <w:u w:val="single"/>
              </w:rPr>
            </w:pPr>
            <w:r>
              <w:rPr>
                <w:rFonts w:ascii="Calibri" w:hAnsi="Calibri" w:cs="Calibri"/>
                <w:sz w:val="21"/>
                <w:u w:val="single"/>
              </w:rPr>
              <w:object>
                <v:shape id="_x0000_i1025" o:spt="75" type="#_x0000_t75" style="height:391.5pt;width:430.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o:LockedField>false</o:LockedField>
                </o:OLEObject>
              </w:object>
            </w:r>
          </w:p>
          <w:p>
            <w:pPr>
              <w:adjustRightInd w:val="0"/>
              <w:snapToGrid w:val="0"/>
              <w:spacing w:line="440" w:lineRule="exact"/>
              <w:ind w:firstLine="482" w:firstLineChars="200"/>
              <w:rPr>
                <w:b/>
                <w:sz w:val="24"/>
              </w:rPr>
            </w:pPr>
            <w:r>
              <w:rPr>
                <w:b/>
                <w:sz w:val="24"/>
              </w:rPr>
              <w:t>工艺流程简述：</w:t>
            </w:r>
          </w:p>
          <w:p>
            <w:pPr>
              <w:spacing w:line="360" w:lineRule="auto"/>
              <w:ind w:firstLine="480" w:firstLineChars="200"/>
              <w:rPr>
                <w:rFonts w:cs="Calibri"/>
                <w:sz w:val="24"/>
              </w:rPr>
            </w:pPr>
            <w:r>
              <w:rPr>
                <w:rFonts w:hint="eastAsia" w:cs="Calibri"/>
                <w:sz w:val="24"/>
              </w:rPr>
              <w:t>项目主要原辅材料分别为：粉煤灰、砂、水泥、外加剂。</w:t>
            </w:r>
          </w:p>
          <w:p>
            <w:pPr>
              <w:numPr>
                <w:ilvl w:val="0"/>
                <w:numId w:val="1"/>
              </w:numPr>
              <w:spacing w:line="360" w:lineRule="auto"/>
              <w:ind w:firstLine="480" w:firstLineChars="200"/>
              <w:rPr>
                <w:rFonts w:cs="Calibri"/>
                <w:sz w:val="24"/>
              </w:rPr>
            </w:pPr>
            <w:r>
              <w:rPr>
                <w:rFonts w:hint="eastAsia" w:cs="Calibri"/>
                <w:sz w:val="24"/>
              </w:rPr>
              <w:t>粉煤灰流程</w:t>
            </w:r>
          </w:p>
          <w:p>
            <w:pPr>
              <w:spacing w:line="360" w:lineRule="auto"/>
              <w:ind w:firstLine="480" w:firstLineChars="200"/>
              <w:rPr>
                <w:rFonts w:cs="Calibri"/>
                <w:sz w:val="24"/>
              </w:rPr>
            </w:pPr>
            <w:r>
              <w:rPr>
                <w:rFonts w:hint="eastAsia" w:cs="Calibri"/>
                <w:sz w:val="24"/>
              </w:rPr>
              <w:t>粉煤灰经气体输送设备进入粉煤灰料。由电脑控制的计量系统在计量螺旋的配合下，根据原料配比的要求，把料仓中的粉煤灰导入计量仓，通过传感器的数据反馈，实现原料计量。料仓的原料使用状况由筒料位计来监视，同时控制上料。</w:t>
            </w:r>
          </w:p>
          <w:p>
            <w:pPr>
              <w:numPr>
                <w:ilvl w:val="0"/>
                <w:numId w:val="1"/>
              </w:numPr>
              <w:spacing w:line="360" w:lineRule="auto"/>
              <w:ind w:firstLine="480" w:firstLineChars="200"/>
              <w:rPr>
                <w:rFonts w:cs="Calibri"/>
                <w:sz w:val="24"/>
              </w:rPr>
            </w:pPr>
            <w:r>
              <w:rPr>
                <w:rFonts w:hint="eastAsia" w:cs="Calibri"/>
                <w:sz w:val="24"/>
              </w:rPr>
              <w:t>砂流程</w:t>
            </w:r>
          </w:p>
          <w:p>
            <w:pPr>
              <w:spacing w:line="360" w:lineRule="auto"/>
              <w:ind w:firstLine="480" w:firstLineChars="200"/>
              <w:rPr>
                <w:rFonts w:cs="Calibri"/>
                <w:sz w:val="24"/>
              </w:rPr>
            </w:pPr>
            <w:r>
              <w:rPr>
                <w:rFonts w:hint="eastAsia" w:cs="Calibri"/>
                <w:sz w:val="24"/>
              </w:rPr>
              <w:t>原料进料：原料通过运输车辆运至厂区原料堆放区后卸载。此过程中产生的污染物：车辆运输扬尘及废气；卸料扬尘；噪声。</w:t>
            </w:r>
          </w:p>
          <w:p>
            <w:pPr>
              <w:spacing w:line="360" w:lineRule="auto"/>
              <w:ind w:firstLine="480" w:firstLineChars="200"/>
              <w:rPr>
                <w:rFonts w:cs="Calibri"/>
                <w:sz w:val="24"/>
              </w:rPr>
            </w:pPr>
            <w:r>
              <w:rPr>
                <w:rFonts w:hint="eastAsia" w:cs="Calibri"/>
                <w:sz w:val="24"/>
              </w:rPr>
              <w:t>砂的破碎筛分整形：砂石、混凝土块进入锤式破碎机进行破碎。破碎后经输送带进入分选筛筛分，粒径大于30mm的碎石通过输送带运回破碎机再次破碎；粒径小于25mm的碎石经输送带进入制砂机，粒径小于25mm 的碎石经输送带进入制砂机，制砂机开始工作后，待破碎物料由进料口给入破碎腔，经粉料器分流成2部分，一部分进入高速旋转的叶轮中，被其带动迅速加速运动，然后从叶轮三个均布的流道内被抛射出去，先同粉料器自由落下的物料冲击破碎，然后一起冲击到涡支腔内物料衬层上，被物料层反弹，斜向上冲击到涡动腔的顶端，被改变方向，斜向下运动，和叶轮流道抛射出的物料一起形成物料幕。这样，每块物料在破碎腔内都至少受到2次甚至多次几率碰撞、摩擦和研磨作用而破碎。被破碎至适宜粒度的物料，从下部的排料口排出制砂机。由于项目采用洒水降尘、原料增湿等措施抑尘的措施，导致砂的含水量较高，制砂后经输送带送至脱水筛，经过振动脱水至含水率达标后，进入下一工序。在制砂筛分过程中均为封闭式。此过程中产生的污染物：破碎机、制砂机、输送带运输以及分选筛筛分过程中的噪声和粉尘。</w:t>
            </w:r>
          </w:p>
          <w:p>
            <w:pPr>
              <w:numPr>
                <w:ilvl w:val="0"/>
                <w:numId w:val="1"/>
              </w:numPr>
              <w:spacing w:line="360" w:lineRule="auto"/>
              <w:ind w:firstLine="480" w:firstLineChars="200"/>
              <w:rPr>
                <w:rFonts w:cs="Calibri"/>
                <w:sz w:val="24"/>
              </w:rPr>
            </w:pPr>
            <w:r>
              <w:rPr>
                <w:rFonts w:hint="eastAsia" w:cs="Calibri"/>
                <w:sz w:val="24"/>
              </w:rPr>
              <w:t>水泥流程</w:t>
            </w:r>
          </w:p>
          <w:p>
            <w:pPr>
              <w:spacing w:line="360" w:lineRule="auto"/>
              <w:ind w:firstLine="480" w:firstLineChars="200"/>
              <w:rPr>
                <w:rFonts w:cs="Calibri"/>
                <w:sz w:val="24"/>
              </w:rPr>
            </w:pPr>
            <w:r>
              <w:rPr>
                <w:rFonts w:hint="eastAsia" w:cs="Calibri"/>
                <w:sz w:val="24"/>
              </w:rPr>
              <w:t>水泥经气体输送设备进入水泥料仓。由电脑控制的计量系统在计量螺旋的配合下，根据原料配比的要求，把料仓中的水泥导入计量仓，通过传感器的数据反馈，实现原料计量。料仓的原料使用状况由筒料位计来监视，同时控制上料。</w:t>
            </w:r>
          </w:p>
          <w:p>
            <w:pPr>
              <w:numPr>
                <w:ilvl w:val="0"/>
                <w:numId w:val="1"/>
              </w:numPr>
              <w:spacing w:line="360" w:lineRule="auto"/>
              <w:ind w:firstLine="480" w:firstLineChars="200"/>
              <w:rPr>
                <w:rFonts w:cs="Calibri"/>
                <w:sz w:val="24"/>
              </w:rPr>
            </w:pPr>
            <w:r>
              <w:rPr>
                <w:rFonts w:hint="eastAsia" w:cs="Calibri"/>
                <w:sz w:val="24"/>
              </w:rPr>
              <w:t>外加剂流程</w:t>
            </w:r>
          </w:p>
          <w:p>
            <w:pPr>
              <w:spacing w:line="360" w:lineRule="auto"/>
              <w:ind w:firstLine="480" w:firstLineChars="200"/>
              <w:rPr>
                <w:rFonts w:cs="Calibri"/>
                <w:sz w:val="24"/>
              </w:rPr>
            </w:pPr>
            <w:r>
              <w:rPr>
                <w:rFonts w:hint="eastAsia" w:cs="Calibri"/>
                <w:sz w:val="24"/>
              </w:rPr>
              <w:t>外加剂经气体输送设备进入外加剂料仓。由电脑控制的计量系统在计量螺旋的配合下，根据原料配比的要求，把料仓中的外加剂导入计量仓，通过传感器的数据反馈，实现原料计量。料仓的原料使用状况由筒料位计来监视，同时控制上料。</w:t>
            </w:r>
          </w:p>
          <w:p>
            <w:pPr>
              <w:numPr>
                <w:ilvl w:val="0"/>
                <w:numId w:val="1"/>
              </w:numPr>
              <w:spacing w:line="360" w:lineRule="auto"/>
              <w:ind w:firstLine="480" w:firstLineChars="200"/>
              <w:rPr>
                <w:rFonts w:cs="Calibri"/>
                <w:sz w:val="24"/>
              </w:rPr>
            </w:pPr>
            <w:r>
              <w:rPr>
                <w:rFonts w:hint="eastAsia" w:cs="Calibri"/>
                <w:sz w:val="24"/>
              </w:rPr>
              <w:t>混合流程</w:t>
            </w:r>
          </w:p>
          <w:p>
            <w:pPr>
              <w:spacing w:line="360" w:lineRule="auto"/>
              <w:ind w:firstLine="480" w:firstLineChars="200"/>
              <w:rPr>
                <w:rFonts w:cs="Calibri"/>
                <w:sz w:val="24"/>
              </w:rPr>
            </w:pPr>
            <w:r>
              <w:rPr>
                <w:rFonts w:hint="eastAsia" w:cs="Calibri"/>
                <w:sz w:val="24"/>
              </w:rPr>
              <w:t>计量好后的砂、水泥、粉煤灰、外加剂分别通过螺旋输送机导进主斗提机，提升到混合机上部待混料仓中。利用气体输送系统可以控制待混仓仓门，可以迅速将待混物料放入无重力混合机。无重力混合机的混合速度相当快，物料在其中不断更叠、扩散，一般情况下7~8分钟即混合均匀，然后卸入成品仓中。卸料口采用无残余卸料设计，借助于两个卸料阀门，混合料被卸入与搅拌机等长的底斗仓中。混合机为全封闭混料。</w:t>
            </w:r>
          </w:p>
          <w:p>
            <w:pPr>
              <w:numPr>
                <w:ilvl w:val="0"/>
                <w:numId w:val="1"/>
              </w:numPr>
              <w:spacing w:line="360" w:lineRule="auto"/>
              <w:ind w:firstLine="480" w:firstLineChars="200"/>
              <w:rPr>
                <w:rFonts w:cs="Calibri"/>
                <w:sz w:val="24"/>
              </w:rPr>
            </w:pPr>
            <w:r>
              <w:rPr>
                <w:rFonts w:hint="eastAsia" w:cs="Calibri"/>
                <w:sz w:val="24"/>
              </w:rPr>
              <w:t>成品</w:t>
            </w:r>
          </w:p>
          <w:p>
            <w:pPr>
              <w:spacing w:line="360" w:lineRule="auto"/>
              <w:ind w:firstLine="480" w:firstLineChars="200"/>
              <w:rPr>
                <w:rFonts w:cs="Calibri"/>
                <w:sz w:val="24"/>
              </w:rPr>
            </w:pPr>
            <w:r>
              <w:rPr>
                <w:rFonts w:hint="eastAsia" w:cs="Calibri"/>
                <w:sz w:val="24"/>
              </w:rPr>
              <w:t>搅拌好的成品进行包装，包装分为散装、袋装，项目服务范围为湘阴县及长沙市等周边城市。</w:t>
            </w:r>
          </w:p>
          <w:p>
            <w:pPr>
              <w:spacing w:line="360" w:lineRule="auto"/>
              <w:ind w:firstLine="480" w:firstLineChars="200"/>
              <w:rPr>
                <w:rFonts w:cs="Calibri"/>
                <w:sz w:val="24"/>
              </w:rPr>
            </w:pPr>
            <w:r>
              <w:rPr>
                <w:rFonts w:hint="eastAsia" w:cs="Calibri"/>
                <w:sz w:val="24"/>
              </w:rPr>
              <w:t>注：项目无烘干加热工艺。</w:t>
            </w:r>
          </w:p>
          <w:p>
            <w:pPr>
              <w:adjustRightInd w:val="0"/>
              <w:snapToGrid w:val="0"/>
              <w:spacing w:line="440" w:lineRule="exact"/>
              <w:ind w:firstLine="482" w:firstLineChars="200"/>
              <w:rPr>
                <w:b/>
                <w:sz w:val="24"/>
              </w:rPr>
            </w:pPr>
            <w:r>
              <w:rPr>
                <w:b/>
                <w:sz w:val="24"/>
              </w:rPr>
              <w:t>营运期污染源强分析</w:t>
            </w:r>
          </w:p>
          <w:p>
            <w:pPr>
              <w:spacing w:line="360" w:lineRule="auto"/>
              <w:ind w:firstLine="480" w:firstLineChars="200"/>
              <w:rPr>
                <w:rFonts w:cs="Calibri"/>
                <w:sz w:val="24"/>
              </w:rPr>
            </w:pPr>
            <w:r>
              <w:rPr>
                <w:rFonts w:cs="Calibri"/>
                <w:sz w:val="24"/>
              </w:rPr>
              <w:t>本项目运营期主要污染工序包括废气、废水、噪声和固废。污染环节如下表：</w:t>
            </w:r>
          </w:p>
          <w:p>
            <w:pPr>
              <w:jc w:val="center"/>
              <w:rPr>
                <w:rFonts w:cs="Calibri"/>
                <w:b/>
                <w:sz w:val="21"/>
              </w:rPr>
            </w:pPr>
            <w:r>
              <w:rPr>
                <w:rFonts w:cs="Calibri"/>
                <w:b/>
                <w:sz w:val="21"/>
              </w:rPr>
              <w:t>表11本项目营运期污染环节</w:t>
            </w:r>
          </w:p>
          <w:tbl>
            <w:tblPr>
              <w:tblStyle w:val="18"/>
              <w:tblW w:w="850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654"/>
              <w:gridCol w:w="2041"/>
              <w:gridCol w:w="37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tcBorders>
                    <w:tl2br w:val="nil"/>
                    <w:tr2bl w:val="nil"/>
                  </w:tcBorders>
                  <w:vAlign w:val="center"/>
                </w:tcPr>
                <w:p>
                  <w:pPr>
                    <w:jc w:val="center"/>
                    <w:rPr>
                      <w:rFonts w:cs="Calibri"/>
                      <w:sz w:val="21"/>
                    </w:rPr>
                  </w:pPr>
                  <w:r>
                    <w:rPr>
                      <w:rFonts w:cs="Calibri"/>
                      <w:sz w:val="21"/>
                    </w:rPr>
                    <w:t>污染因素</w:t>
                  </w:r>
                </w:p>
              </w:tc>
              <w:tc>
                <w:tcPr>
                  <w:tcW w:w="1654" w:type="dxa"/>
                  <w:tcBorders>
                    <w:tl2br w:val="nil"/>
                    <w:tr2bl w:val="nil"/>
                  </w:tcBorders>
                  <w:vAlign w:val="center"/>
                </w:tcPr>
                <w:p>
                  <w:pPr>
                    <w:jc w:val="center"/>
                    <w:rPr>
                      <w:rFonts w:cs="Calibri"/>
                      <w:sz w:val="21"/>
                    </w:rPr>
                  </w:pPr>
                  <w:r>
                    <w:rPr>
                      <w:rFonts w:cs="Calibri"/>
                      <w:sz w:val="21"/>
                    </w:rPr>
                    <w:t>污染工序</w:t>
                  </w:r>
                </w:p>
              </w:tc>
              <w:tc>
                <w:tcPr>
                  <w:tcW w:w="2041" w:type="dxa"/>
                  <w:tcBorders>
                    <w:tl2br w:val="nil"/>
                    <w:tr2bl w:val="nil"/>
                  </w:tcBorders>
                  <w:vAlign w:val="center"/>
                </w:tcPr>
                <w:p>
                  <w:pPr>
                    <w:jc w:val="center"/>
                    <w:rPr>
                      <w:rFonts w:cs="Calibri"/>
                      <w:sz w:val="21"/>
                    </w:rPr>
                  </w:pPr>
                  <w:r>
                    <w:rPr>
                      <w:rFonts w:cs="Calibri"/>
                      <w:sz w:val="21"/>
                    </w:rPr>
                    <w:t>污染物</w:t>
                  </w:r>
                </w:p>
              </w:tc>
              <w:tc>
                <w:tcPr>
                  <w:tcW w:w="3749" w:type="dxa"/>
                  <w:tcBorders>
                    <w:tl2br w:val="nil"/>
                    <w:tr2bl w:val="nil"/>
                  </w:tcBorders>
                  <w:vAlign w:val="center"/>
                </w:tcPr>
                <w:p>
                  <w:pPr>
                    <w:jc w:val="center"/>
                    <w:rPr>
                      <w:rFonts w:cs="Calibri"/>
                      <w:sz w:val="21"/>
                    </w:rPr>
                  </w:pPr>
                  <w:r>
                    <w:rPr>
                      <w:rFonts w:cs="Calibri"/>
                      <w:sz w:val="21"/>
                    </w:rPr>
                    <w:t>处理措施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restart"/>
                  <w:tcBorders>
                    <w:tl2br w:val="nil"/>
                    <w:tr2bl w:val="nil"/>
                  </w:tcBorders>
                  <w:vAlign w:val="center"/>
                </w:tcPr>
                <w:p>
                  <w:pPr>
                    <w:jc w:val="center"/>
                    <w:rPr>
                      <w:rFonts w:cs="Calibri"/>
                      <w:sz w:val="21"/>
                    </w:rPr>
                  </w:pPr>
                  <w:r>
                    <w:rPr>
                      <w:rFonts w:cs="Calibri"/>
                      <w:sz w:val="21"/>
                    </w:rPr>
                    <w:t>废 气</w:t>
                  </w:r>
                </w:p>
              </w:tc>
              <w:tc>
                <w:tcPr>
                  <w:tcW w:w="1654" w:type="dxa"/>
                  <w:tcBorders>
                    <w:tl2br w:val="nil"/>
                    <w:tr2bl w:val="nil"/>
                  </w:tcBorders>
                  <w:vAlign w:val="center"/>
                </w:tcPr>
                <w:p>
                  <w:pPr>
                    <w:jc w:val="center"/>
                    <w:rPr>
                      <w:rFonts w:cs="Calibri"/>
                      <w:sz w:val="21"/>
                    </w:rPr>
                  </w:pPr>
                  <w:r>
                    <w:rPr>
                      <w:rFonts w:hint="eastAsia" w:cs="Calibri"/>
                      <w:sz w:val="21"/>
                    </w:rPr>
                    <w:t>破碎加工粉尘</w:t>
                  </w:r>
                </w:p>
              </w:tc>
              <w:tc>
                <w:tcPr>
                  <w:tcW w:w="2041" w:type="dxa"/>
                  <w:tcBorders>
                    <w:tl2br w:val="nil"/>
                    <w:tr2bl w:val="nil"/>
                  </w:tcBorders>
                  <w:vAlign w:val="center"/>
                </w:tcPr>
                <w:p>
                  <w:pPr>
                    <w:jc w:val="center"/>
                    <w:rPr>
                      <w:rFonts w:cs="Calibri"/>
                      <w:sz w:val="21"/>
                    </w:rPr>
                  </w:pPr>
                  <w:r>
                    <w:rPr>
                      <w:rFonts w:cs="Calibri"/>
                      <w:sz w:val="21"/>
                    </w:rPr>
                    <w:t>粉尘</w:t>
                  </w:r>
                </w:p>
              </w:tc>
              <w:tc>
                <w:tcPr>
                  <w:tcW w:w="3749" w:type="dxa"/>
                  <w:tcBorders>
                    <w:tl2br w:val="nil"/>
                    <w:tr2bl w:val="nil"/>
                  </w:tcBorders>
                  <w:vAlign w:val="center"/>
                </w:tcPr>
                <w:p>
                  <w:pPr>
                    <w:jc w:val="center"/>
                    <w:rPr>
                      <w:rFonts w:cs="Calibri"/>
                      <w:sz w:val="21"/>
                    </w:rPr>
                  </w:pPr>
                  <w:r>
                    <w:rPr>
                      <w:rFonts w:cs="Calibri"/>
                      <w:sz w:val="21"/>
                    </w:rPr>
                    <w:t>洒水降尘、原料增湿</w:t>
                  </w:r>
                  <w:r>
                    <w:rPr>
                      <w:rFonts w:hint="eastAsia" w:cs="Calibri"/>
                      <w:sz w:val="21"/>
                    </w:rPr>
                    <w:t>、</w:t>
                  </w:r>
                  <w:r>
                    <w:rPr>
                      <w:rFonts w:cs="Calibri"/>
                      <w:sz w:val="21"/>
                    </w:rPr>
                    <w:t>封闭车间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continue"/>
                  <w:tcBorders>
                    <w:tl2br w:val="nil"/>
                    <w:tr2bl w:val="nil"/>
                  </w:tcBorders>
                  <w:vAlign w:val="center"/>
                </w:tcPr>
                <w:p>
                  <w:pPr>
                    <w:jc w:val="center"/>
                    <w:rPr>
                      <w:rFonts w:cs="Calibri"/>
                      <w:sz w:val="21"/>
                    </w:rPr>
                  </w:pPr>
                </w:p>
              </w:tc>
              <w:tc>
                <w:tcPr>
                  <w:tcW w:w="1654" w:type="dxa"/>
                  <w:tcBorders>
                    <w:tl2br w:val="nil"/>
                    <w:tr2bl w:val="nil"/>
                  </w:tcBorders>
                  <w:vAlign w:val="center"/>
                </w:tcPr>
                <w:p>
                  <w:pPr>
                    <w:jc w:val="center"/>
                    <w:rPr>
                      <w:rFonts w:cs="Calibri"/>
                      <w:sz w:val="21"/>
                    </w:rPr>
                  </w:pPr>
                  <w:r>
                    <w:rPr>
                      <w:rFonts w:cs="Calibri"/>
                      <w:sz w:val="21"/>
                    </w:rPr>
                    <w:t>物料装卸粉尘</w:t>
                  </w:r>
                </w:p>
              </w:tc>
              <w:tc>
                <w:tcPr>
                  <w:tcW w:w="2041" w:type="dxa"/>
                  <w:tcBorders>
                    <w:tl2br w:val="nil"/>
                    <w:tr2bl w:val="nil"/>
                  </w:tcBorders>
                  <w:vAlign w:val="center"/>
                </w:tcPr>
                <w:p>
                  <w:pPr>
                    <w:jc w:val="center"/>
                    <w:rPr>
                      <w:rFonts w:cs="Calibri"/>
                      <w:sz w:val="21"/>
                    </w:rPr>
                  </w:pPr>
                  <w:r>
                    <w:rPr>
                      <w:rFonts w:cs="Calibri"/>
                      <w:sz w:val="21"/>
                    </w:rPr>
                    <w:t>粉尘</w:t>
                  </w:r>
                </w:p>
              </w:tc>
              <w:tc>
                <w:tcPr>
                  <w:tcW w:w="3749" w:type="dxa"/>
                  <w:tcBorders>
                    <w:tl2br w:val="nil"/>
                    <w:tr2bl w:val="nil"/>
                  </w:tcBorders>
                  <w:vAlign w:val="center"/>
                </w:tcPr>
                <w:p>
                  <w:pPr>
                    <w:jc w:val="center"/>
                    <w:rPr>
                      <w:rFonts w:cs="Calibri"/>
                      <w:sz w:val="21"/>
                    </w:rPr>
                  </w:pPr>
                  <w:r>
                    <w:rPr>
                      <w:rFonts w:cs="Calibri"/>
                      <w:sz w:val="21"/>
                    </w:rPr>
                    <w:t>篷布遮盖、传送带安装透明遮挡盖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continue"/>
                  <w:tcBorders>
                    <w:tl2br w:val="nil"/>
                    <w:tr2bl w:val="nil"/>
                  </w:tcBorders>
                  <w:vAlign w:val="center"/>
                </w:tcPr>
                <w:p>
                  <w:pPr>
                    <w:jc w:val="center"/>
                    <w:rPr>
                      <w:rFonts w:cs="Calibri"/>
                      <w:sz w:val="21"/>
                    </w:rPr>
                  </w:pPr>
                </w:p>
              </w:tc>
              <w:tc>
                <w:tcPr>
                  <w:tcW w:w="1654" w:type="dxa"/>
                  <w:tcBorders>
                    <w:tl2br w:val="nil"/>
                    <w:tr2bl w:val="nil"/>
                  </w:tcBorders>
                  <w:vAlign w:val="center"/>
                </w:tcPr>
                <w:p>
                  <w:pPr>
                    <w:jc w:val="center"/>
                    <w:rPr>
                      <w:rFonts w:cs="Calibri"/>
                      <w:sz w:val="21"/>
                    </w:rPr>
                  </w:pPr>
                  <w:r>
                    <w:rPr>
                      <w:rFonts w:cs="Calibri"/>
                      <w:sz w:val="21"/>
                    </w:rPr>
                    <w:t>混合搅拌粉尘</w:t>
                  </w:r>
                </w:p>
              </w:tc>
              <w:tc>
                <w:tcPr>
                  <w:tcW w:w="2041" w:type="dxa"/>
                  <w:tcBorders>
                    <w:tl2br w:val="nil"/>
                    <w:tr2bl w:val="nil"/>
                  </w:tcBorders>
                  <w:vAlign w:val="center"/>
                </w:tcPr>
                <w:p>
                  <w:pPr>
                    <w:jc w:val="center"/>
                    <w:rPr>
                      <w:rFonts w:cs="Calibri"/>
                      <w:sz w:val="21"/>
                    </w:rPr>
                  </w:pPr>
                  <w:r>
                    <w:rPr>
                      <w:rFonts w:cs="Calibri"/>
                      <w:sz w:val="21"/>
                    </w:rPr>
                    <w:t>粉尘</w:t>
                  </w:r>
                </w:p>
              </w:tc>
              <w:tc>
                <w:tcPr>
                  <w:tcW w:w="3749" w:type="dxa"/>
                  <w:tcBorders>
                    <w:tl2br w:val="nil"/>
                    <w:tr2bl w:val="nil"/>
                  </w:tcBorders>
                  <w:vAlign w:val="center"/>
                </w:tcPr>
                <w:p>
                  <w:pPr>
                    <w:jc w:val="center"/>
                    <w:rPr>
                      <w:rFonts w:cs="Calibri"/>
                      <w:sz w:val="21"/>
                    </w:rPr>
                  </w:pPr>
                  <w:r>
                    <w:rPr>
                      <w:rFonts w:hint="eastAsia" w:cs="Calibri"/>
                      <w:sz w:val="21"/>
                    </w:rPr>
                    <w:t>设备自带</w:t>
                  </w:r>
                  <w:r>
                    <w:rPr>
                      <w:rFonts w:cs="Calibri"/>
                      <w:sz w:val="21"/>
                    </w:rPr>
                    <w:t>脉冲式布袋除尘器+封闭车间+15m高排气筒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continue"/>
                  <w:tcBorders>
                    <w:tl2br w:val="nil"/>
                    <w:tr2bl w:val="nil"/>
                  </w:tcBorders>
                  <w:vAlign w:val="center"/>
                </w:tcPr>
                <w:p>
                  <w:pPr>
                    <w:jc w:val="center"/>
                    <w:rPr>
                      <w:rFonts w:cs="Calibri"/>
                      <w:sz w:val="21"/>
                    </w:rPr>
                  </w:pPr>
                </w:p>
              </w:tc>
              <w:tc>
                <w:tcPr>
                  <w:tcW w:w="1654" w:type="dxa"/>
                  <w:tcBorders>
                    <w:tl2br w:val="nil"/>
                    <w:tr2bl w:val="nil"/>
                  </w:tcBorders>
                  <w:vAlign w:val="center"/>
                </w:tcPr>
                <w:p>
                  <w:pPr>
                    <w:jc w:val="center"/>
                    <w:rPr>
                      <w:rFonts w:cs="Calibri"/>
                      <w:sz w:val="21"/>
                    </w:rPr>
                  </w:pPr>
                  <w:r>
                    <w:rPr>
                      <w:rFonts w:cs="Calibri"/>
                      <w:sz w:val="21"/>
                    </w:rPr>
                    <w:t>筒库粉尘</w:t>
                  </w:r>
                </w:p>
              </w:tc>
              <w:tc>
                <w:tcPr>
                  <w:tcW w:w="2041" w:type="dxa"/>
                  <w:tcBorders>
                    <w:tl2br w:val="nil"/>
                    <w:tr2bl w:val="nil"/>
                  </w:tcBorders>
                  <w:vAlign w:val="center"/>
                </w:tcPr>
                <w:p>
                  <w:pPr>
                    <w:jc w:val="center"/>
                    <w:rPr>
                      <w:rFonts w:cs="Calibri"/>
                      <w:sz w:val="21"/>
                    </w:rPr>
                  </w:pPr>
                  <w:r>
                    <w:rPr>
                      <w:rFonts w:cs="Calibri"/>
                      <w:sz w:val="21"/>
                    </w:rPr>
                    <w:t>粉尘</w:t>
                  </w:r>
                </w:p>
              </w:tc>
              <w:tc>
                <w:tcPr>
                  <w:tcW w:w="3749" w:type="dxa"/>
                  <w:tcBorders>
                    <w:tl2br w:val="nil"/>
                    <w:tr2bl w:val="nil"/>
                  </w:tcBorders>
                  <w:vAlign w:val="center"/>
                </w:tcPr>
                <w:p>
                  <w:pPr>
                    <w:jc w:val="center"/>
                    <w:rPr>
                      <w:rFonts w:cs="Calibri"/>
                      <w:sz w:val="21"/>
                    </w:rPr>
                  </w:pPr>
                  <w:r>
                    <w:rPr>
                      <w:rFonts w:hint="eastAsia" w:cs="Calibri"/>
                      <w:sz w:val="21"/>
                    </w:rPr>
                    <w:t>设备自带</w:t>
                  </w:r>
                  <w:r>
                    <w:rPr>
                      <w:rFonts w:cs="Calibri"/>
                      <w:sz w:val="21"/>
                    </w:rPr>
                    <w:t>脉冲式布袋除尘器</w:t>
                  </w:r>
                  <w:r>
                    <w:rPr>
                      <w:rFonts w:hint="eastAsia" w:cs="Calibri"/>
                      <w:sz w:val="21"/>
                    </w:rPr>
                    <w:t>+呼吸阀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continue"/>
                  <w:tcBorders>
                    <w:tl2br w:val="nil"/>
                    <w:tr2bl w:val="nil"/>
                  </w:tcBorders>
                  <w:vAlign w:val="center"/>
                </w:tcPr>
                <w:p>
                  <w:pPr>
                    <w:jc w:val="center"/>
                    <w:rPr>
                      <w:rFonts w:cs="Calibri"/>
                      <w:sz w:val="21"/>
                    </w:rPr>
                  </w:pPr>
                </w:p>
              </w:tc>
              <w:tc>
                <w:tcPr>
                  <w:tcW w:w="1654" w:type="dxa"/>
                  <w:tcBorders>
                    <w:tl2br w:val="nil"/>
                    <w:tr2bl w:val="nil"/>
                  </w:tcBorders>
                  <w:vAlign w:val="center"/>
                </w:tcPr>
                <w:p>
                  <w:pPr>
                    <w:jc w:val="center"/>
                    <w:rPr>
                      <w:rFonts w:cs="Calibri"/>
                      <w:sz w:val="21"/>
                    </w:rPr>
                  </w:pPr>
                  <w:r>
                    <w:rPr>
                      <w:rFonts w:cs="Calibri"/>
                      <w:sz w:val="21"/>
                    </w:rPr>
                    <w:t>原料堆存、厂内运输等</w:t>
                  </w:r>
                </w:p>
              </w:tc>
              <w:tc>
                <w:tcPr>
                  <w:tcW w:w="2041" w:type="dxa"/>
                  <w:tcBorders>
                    <w:tl2br w:val="nil"/>
                    <w:tr2bl w:val="nil"/>
                  </w:tcBorders>
                  <w:vAlign w:val="center"/>
                </w:tcPr>
                <w:p>
                  <w:pPr>
                    <w:jc w:val="center"/>
                    <w:rPr>
                      <w:rFonts w:cs="Calibri"/>
                      <w:sz w:val="21"/>
                    </w:rPr>
                  </w:pPr>
                  <w:r>
                    <w:rPr>
                      <w:rFonts w:cs="Calibri"/>
                      <w:sz w:val="21"/>
                    </w:rPr>
                    <w:t>无组织粉尘</w:t>
                  </w:r>
                </w:p>
              </w:tc>
              <w:tc>
                <w:tcPr>
                  <w:tcW w:w="3749" w:type="dxa"/>
                  <w:tcBorders>
                    <w:tl2br w:val="nil"/>
                    <w:tr2bl w:val="nil"/>
                  </w:tcBorders>
                  <w:vAlign w:val="center"/>
                </w:tcPr>
                <w:p>
                  <w:pPr>
                    <w:jc w:val="center"/>
                    <w:rPr>
                      <w:rFonts w:cs="Calibri"/>
                      <w:sz w:val="21"/>
                    </w:rPr>
                  </w:pPr>
                  <w:r>
                    <w:rPr>
                      <w:rFonts w:cs="Calibri"/>
                      <w:sz w:val="21"/>
                    </w:rPr>
                    <w:t>入厂原料需搭建顶棚以及围挡，禁止露天堆存。加强车辆的管理，确保治污设施的正常运行，对厂区内外道路路面进行洒水保湿，加强厂界绿化等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restart"/>
                  <w:tcBorders>
                    <w:tl2br w:val="nil"/>
                    <w:tr2bl w:val="nil"/>
                  </w:tcBorders>
                  <w:vAlign w:val="center"/>
                </w:tcPr>
                <w:p>
                  <w:pPr>
                    <w:jc w:val="center"/>
                    <w:rPr>
                      <w:rFonts w:cs="Calibri"/>
                      <w:sz w:val="21"/>
                    </w:rPr>
                  </w:pPr>
                  <w:r>
                    <w:rPr>
                      <w:rFonts w:cs="Calibri"/>
                      <w:sz w:val="21"/>
                    </w:rPr>
                    <w:t>废 水</w:t>
                  </w:r>
                </w:p>
              </w:tc>
              <w:tc>
                <w:tcPr>
                  <w:tcW w:w="1654" w:type="dxa"/>
                  <w:tcBorders>
                    <w:tl2br w:val="nil"/>
                    <w:tr2bl w:val="nil"/>
                  </w:tcBorders>
                  <w:vAlign w:val="center"/>
                </w:tcPr>
                <w:p>
                  <w:pPr>
                    <w:jc w:val="center"/>
                    <w:rPr>
                      <w:rFonts w:cs="Calibri"/>
                      <w:sz w:val="21"/>
                      <w:u w:val="single"/>
                    </w:rPr>
                  </w:pPr>
                  <w:r>
                    <w:rPr>
                      <w:rFonts w:hint="eastAsia" w:cs="Calibri"/>
                      <w:sz w:val="21"/>
                      <w:u w:val="single"/>
                    </w:rPr>
                    <w:t>清洗原材料废水</w:t>
                  </w:r>
                </w:p>
              </w:tc>
              <w:tc>
                <w:tcPr>
                  <w:tcW w:w="2041" w:type="dxa"/>
                  <w:tcBorders>
                    <w:tl2br w:val="nil"/>
                    <w:tr2bl w:val="nil"/>
                  </w:tcBorders>
                  <w:vAlign w:val="center"/>
                </w:tcPr>
                <w:p>
                  <w:pPr>
                    <w:jc w:val="center"/>
                    <w:rPr>
                      <w:rFonts w:cs="Calibri"/>
                      <w:sz w:val="21"/>
                      <w:u w:val="single"/>
                    </w:rPr>
                  </w:pPr>
                  <w:r>
                    <w:rPr>
                      <w:rFonts w:hint="eastAsia" w:cs="Calibri"/>
                      <w:sz w:val="21"/>
                      <w:u w:val="single"/>
                    </w:rPr>
                    <w:t>S</w:t>
                  </w:r>
                  <w:r>
                    <w:rPr>
                      <w:rFonts w:cs="Calibri"/>
                      <w:sz w:val="21"/>
                      <w:u w:val="single"/>
                    </w:rPr>
                    <w:t>S</w:t>
                  </w:r>
                  <w:r>
                    <w:rPr>
                      <w:rFonts w:hint="eastAsia" w:cs="Calibri"/>
                      <w:sz w:val="21"/>
                      <w:u w:val="single"/>
                    </w:rPr>
                    <w:t>等</w:t>
                  </w:r>
                </w:p>
              </w:tc>
              <w:tc>
                <w:tcPr>
                  <w:tcW w:w="3749" w:type="dxa"/>
                  <w:tcBorders>
                    <w:tl2br w:val="nil"/>
                    <w:tr2bl w:val="nil"/>
                  </w:tcBorders>
                  <w:vAlign w:val="center"/>
                </w:tcPr>
                <w:p>
                  <w:pPr>
                    <w:jc w:val="center"/>
                    <w:rPr>
                      <w:rFonts w:cs="Calibri"/>
                      <w:sz w:val="21"/>
                      <w:u w:val="single"/>
                    </w:rPr>
                  </w:pPr>
                  <w:bookmarkStart w:id="21" w:name="_GoBack"/>
                  <w:r>
                    <w:rPr>
                      <w:rFonts w:hint="eastAsia" w:cs="Calibri"/>
                      <w:sz w:val="21"/>
                      <w:u w:val="single"/>
                    </w:rPr>
                    <w:t>经沉淀池沉淀后回用</w:t>
                  </w:r>
                  <w:bookmarkEnd w:id="2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continue"/>
                  <w:tcBorders>
                    <w:tl2br w:val="nil"/>
                    <w:tr2bl w:val="nil"/>
                  </w:tcBorders>
                  <w:vAlign w:val="center"/>
                </w:tcPr>
                <w:p>
                  <w:pPr>
                    <w:jc w:val="center"/>
                    <w:rPr>
                      <w:rFonts w:cs="Calibri"/>
                      <w:sz w:val="21"/>
                    </w:rPr>
                  </w:pPr>
                </w:p>
              </w:tc>
              <w:tc>
                <w:tcPr>
                  <w:tcW w:w="1654" w:type="dxa"/>
                  <w:tcBorders>
                    <w:tl2br w:val="nil"/>
                    <w:tr2bl w:val="nil"/>
                  </w:tcBorders>
                  <w:vAlign w:val="center"/>
                </w:tcPr>
                <w:p>
                  <w:pPr>
                    <w:jc w:val="center"/>
                    <w:rPr>
                      <w:rFonts w:cs="Calibri"/>
                      <w:sz w:val="21"/>
                    </w:rPr>
                  </w:pPr>
                  <w:r>
                    <w:rPr>
                      <w:rFonts w:hint="eastAsia" w:cs="Calibri"/>
                      <w:sz w:val="21"/>
                    </w:rPr>
                    <w:t>冲洗</w:t>
                  </w:r>
                  <w:r>
                    <w:rPr>
                      <w:rFonts w:cs="Calibri"/>
                      <w:sz w:val="21"/>
                    </w:rPr>
                    <w:t>废水</w:t>
                  </w:r>
                  <w:r>
                    <w:rPr>
                      <w:rFonts w:hint="eastAsia" w:cs="Calibri"/>
                      <w:sz w:val="21"/>
                    </w:rPr>
                    <w:t>、初期雨水</w:t>
                  </w:r>
                </w:p>
              </w:tc>
              <w:tc>
                <w:tcPr>
                  <w:tcW w:w="2041" w:type="dxa"/>
                  <w:tcBorders>
                    <w:tl2br w:val="nil"/>
                    <w:tr2bl w:val="nil"/>
                  </w:tcBorders>
                  <w:vAlign w:val="center"/>
                </w:tcPr>
                <w:p>
                  <w:pPr>
                    <w:jc w:val="center"/>
                    <w:rPr>
                      <w:rFonts w:cs="Calibri"/>
                      <w:sz w:val="21"/>
                    </w:rPr>
                  </w:pPr>
                  <w:r>
                    <w:rPr>
                      <w:rFonts w:cs="Calibri"/>
                      <w:sz w:val="21"/>
                    </w:rPr>
                    <w:t>SS等</w:t>
                  </w:r>
                </w:p>
              </w:tc>
              <w:tc>
                <w:tcPr>
                  <w:tcW w:w="3749" w:type="dxa"/>
                  <w:tcBorders>
                    <w:tl2br w:val="nil"/>
                    <w:tr2bl w:val="nil"/>
                  </w:tcBorders>
                  <w:vAlign w:val="center"/>
                </w:tcPr>
                <w:p>
                  <w:pPr>
                    <w:jc w:val="center"/>
                    <w:rPr>
                      <w:rFonts w:cs="Calibri"/>
                      <w:sz w:val="21"/>
                    </w:rPr>
                  </w:pPr>
                  <w:r>
                    <w:rPr>
                      <w:rFonts w:cs="Calibri"/>
                      <w:sz w:val="21"/>
                    </w:rPr>
                    <w:t>沉淀池沉淀处理后回用于</w:t>
                  </w:r>
                  <w:r>
                    <w:rPr>
                      <w:rFonts w:hint="eastAsia" w:cs="Calibri"/>
                      <w:sz w:val="21"/>
                    </w:rPr>
                    <w:t>洒水降尘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60" w:type="dxa"/>
                  <w:vMerge w:val="continue"/>
                  <w:tcBorders>
                    <w:tl2br w:val="nil"/>
                    <w:tr2bl w:val="nil"/>
                  </w:tcBorders>
                  <w:vAlign w:val="center"/>
                </w:tcPr>
                <w:p>
                  <w:pPr>
                    <w:jc w:val="center"/>
                    <w:rPr>
                      <w:rFonts w:cs="Calibri"/>
                      <w:sz w:val="21"/>
                    </w:rPr>
                  </w:pPr>
                </w:p>
              </w:tc>
              <w:tc>
                <w:tcPr>
                  <w:tcW w:w="1654" w:type="dxa"/>
                  <w:tcBorders>
                    <w:tl2br w:val="nil"/>
                    <w:tr2bl w:val="nil"/>
                  </w:tcBorders>
                  <w:vAlign w:val="center"/>
                </w:tcPr>
                <w:p>
                  <w:pPr>
                    <w:jc w:val="center"/>
                    <w:rPr>
                      <w:rFonts w:cs="Calibri"/>
                      <w:sz w:val="21"/>
                    </w:rPr>
                  </w:pPr>
                  <w:r>
                    <w:rPr>
                      <w:rFonts w:cs="Calibri"/>
                      <w:sz w:val="21"/>
                    </w:rPr>
                    <w:t>员工生活</w:t>
                  </w:r>
                </w:p>
              </w:tc>
              <w:tc>
                <w:tcPr>
                  <w:tcW w:w="2041" w:type="dxa"/>
                  <w:tcBorders>
                    <w:tl2br w:val="nil"/>
                    <w:tr2bl w:val="nil"/>
                  </w:tcBorders>
                  <w:vAlign w:val="center"/>
                </w:tcPr>
                <w:p>
                  <w:pPr>
                    <w:jc w:val="center"/>
                    <w:rPr>
                      <w:rFonts w:cs="Calibri"/>
                      <w:sz w:val="21"/>
                    </w:rPr>
                  </w:pPr>
                  <w:r>
                    <w:rPr>
                      <w:rFonts w:cs="Calibri"/>
                      <w:sz w:val="21"/>
                    </w:rPr>
                    <w:t>COD、SS、NH</w:t>
                  </w:r>
                  <w:r>
                    <w:rPr>
                      <w:rFonts w:cs="Calibri"/>
                      <w:sz w:val="21"/>
                      <w:vertAlign w:val="subscript"/>
                    </w:rPr>
                    <w:t>3</w:t>
                  </w:r>
                  <w:r>
                    <w:rPr>
                      <w:rFonts w:cs="Calibri"/>
                      <w:sz w:val="21"/>
                    </w:rPr>
                    <w:t>-N</w:t>
                  </w:r>
                </w:p>
              </w:tc>
              <w:tc>
                <w:tcPr>
                  <w:tcW w:w="3749" w:type="dxa"/>
                  <w:tcBorders>
                    <w:tl2br w:val="nil"/>
                    <w:tr2bl w:val="nil"/>
                  </w:tcBorders>
                  <w:vAlign w:val="center"/>
                </w:tcPr>
                <w:p>
                  <w:pPr>
                    <w:jc w:val="center"/>
                    <w:rPr>
                      <w:rFonts w:cs="Calibri"/>
                      <w:sz w:val="21"/>
                    </w:rPr>
                  </w:pPr>
                  <w:r>
                    <w:rPr>
                      <w:rFonts w:cs="Calibri"/>
                      <w:sz w:val="21"/>
                    </w:rPr>
                    <w:t>化粪池+</w:t>
                  </w:r>
                  <w:r>
                    <w:rPr>
                      <w:rFonts w:hint="eastAsia" w:cs="Calibri"/>
                      <w:sz w:val="21"/>
                    </w:rPr>
                    <w:t>菜地施肥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tcBorders>
                    <w:tl2br w:val="nil"/>
                    <w:tr2bl w:val="nil"/>
                  </w:tcBorders>
                  <w:vAlign w:val="center"/>
                </w:tcPr>
                <w:p>
                  <w:pPr>
                    <w:jc w:val="center"/>
                    <w:rPr>
                      <w:rFonts w:cs="Calibri"/>
                      <w:sz w:val="21"/>
                    </w:rPr>
                  </w:pPr>
                  <w:r>
                    <w:rPr>
                      <w:rFonts w:cs="Calibri"/>
                      <w:sz w:val="21"/>
                    </w:rPr>
                    <w:t>噪 声</w:t>
                  </w:r>
                </w:p>
              </w:tc>
              <w:tc>
                <w:tcPr>
                  <w:tcW w:w="1654" w:type="dxa"/>
                  <w:tcBorders>
                    <w:tl2br w:val="nil"/>
                    <w:tr2bl w:val="nil"/>
                  </w:tcBorders>
                  <w:vAlign w:val="center"/>
                </w:tcPr>
                <w:p>
                  <w:pPr>
                    <w:jc w:val="center"/>
                    <w:rPr>
                      <w:rFonts w:cs="Calibri"/>
                      <w:sz w:val="21"/>
                    </w:rPr>
                  </w:pPr>
                  <w:r>
                    <w:rPr>
                      <w:rFonts w:cs="Calibri"/>
                      <w:sz w:val="21"/>
                    </w:rPr>
                    <w:t>生产设备</w:t>
                  </w:r>
                </w:p>
              </w:tc>
              <w:tc>
                <w:tcPr>
                  <w:tcW w:w="2041" w:type="dxa"/>
                  <w:tcBorders>
                    <w:tl2br w:val="nil"/>
                    <w:tr2bl w:val="nil"/>
                  </w:tcBorders>
                  <w:vAlign w:val="center"/>
                </w:tcPr>
                <w:p>
                  <w:pPr>
                    <w:jc w:val="center"/>
                    <w:rPr>
                      <w:rFonts w:cs="Calibri"/>
                      <w:sz w:val="21"/>
                    </w:rPr>
                  </w:pPr>
                  <w:r>
                    <w:rPr>
                      <w:rFonts w:cs="Calibri"/>
                      <w:sz w:val="21"/>
                    </w:rPr>
                    <w:t>机械噪声</w:t>
                  </w:r>
                </w:p>
              </w:tc>
              <w:tc>
                <w:tcPr>
                  <w:tcW w:w="3749" w:type="dxa"/>
                  <w:tcBorders>
                    <w:tl2br w:val="nil"/>
                    <w:tr2bl w:val="nil"/>
                  </w:tcBorders>
                  <w:vAlign w:val="center"/>
                </w:tcPr>
                <w:p>
                  <w:pPr>
                    <w:jc w:val="center"/>
                    <w:rPr>
                      <w:rFonts w:cs="Calibri"/>
                      <w:sz w:val="21"/>
                    </w:rPr>
                  </w:pPr>
                  <w:r>
                    <w:rPr>
                      <w:rFonts w:cs="Calibri"/>
                      <w:sz w:val="21"/>
                    </w:rPr>
                    <w:t>减振、隔声、距离衰减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restart"/>
                  <w:tcBorders>
                    <w:tl2br w:val="nil"/>
                    <w:tr2bl w:val="nil"/>
                  </w:tcBorders>
                  <w:vAlign w:val="center"/>
                </w:tcPr>
                <w:p>
                  <w:pPr>
                    <w:jc w:val="center"/>
                    <w:rPr>
                      <w:rFonts w:cs="Calibri"/>
                      <w:sz w:val="21"/>
                    </w:rPr>
                  </w:pPr>
                  <w:r>
                    <w:rPr>
                      <w:rFonts w:cs="Calibri"/>
                      <w:sz w:val="21"/>
                    </w:rPr>
                    <w:t>固 废</w:t>
                  </w:r>
                </w:p>
              </w:tc>
              <w:tc>
                <w:tcPr>
                  <w:tcW w:w="1654" w:type="dxa"/>
                  <w:vMerge w:val="restart"/>
                  <w:tcBorders>
                    <w:tl2br w:val="nil"/>
                    <w:tr2bl w:val="nil"/>
                  </w:tcBorders>
                  <w:vAlign w:val="center"/>
                </w:tcPr>
                <w:p>
                  <w:pPr>
                    <w:jc w:val="center"/>
                    <w:rPr>
                      <w:rFonts w:cs="Calibri"/>
                      <w:sz w:val="21"/>
                    </w:rPr>
                  </w:pPr>
                  <w:r>
                    <w:rPr>
                      <w:rFonts w:cs="Calibri"/>
                      <w:sz w:val="21"/>
                    </w:rPr>
                    <w:t>生产过程</w:t>
                  </w:r>
                </w:p>
              </w:tc>
              <w:tc>
                <w:tcPr>
                  <w:tcW w:w="2041" w:type="dxa"/>
                  <w:tcBorders>
                    <w:tl2br w:val="nil"/>
                    <w:tr2bl w:val="nil"/>
                  </w:tcBorders>
                  <w:vAlign w:val="center"/>
                </w:tcPr>
                <w:p>
                  <w:pPr>
                    <w:jc w:val="center"/>
                    <w:rPr>
                      <w:rFonts w:cs="Calibri"/>
                      <w:sz w:val="21"/>
                    </w:rPr>
                  </w:pPr>
                  <w:r>
                    <w:rPr>
                      <w:rFonts w:hint="eastAsia" w:cs="Calibri"/>
                      <w:sz w:val="21"/>
                    </w:rPr>
                    <w:t>收集到的</w:t>
                  </w:r>
                  <w:r>
                    <w:rPr>
                      <w:rFonts w:cs="Calibri"/>
                      <w:sz w:val="21"/>
                    </w:rPr>
                    <w:t>粉尘</w:t>
                  </w:r>
                </w:p>
              </w:tc>
              <w:tc>
                <w:tcPr>
                  <w:tcW w:w="3749" w:type="dxa"/>
                  <w:tcBorders>
                    <w:tl2br w:val="nil"/>
                    <w:tr2bl w:val="nil"/>
                  </w:tcBorders>
                  <w:vAlign w:val="center"/>
                </w:tcPr>
                <w:p>
                  <w:pPr>
                    <w:jc w:val="center"/>
                    <w:rPr>
                      <w:rFonts w:cs="Calibri"/>
                      <w:sz w:val="21"/>
                    </w:rPr>
                  </w:pPr>
                  <w:r>
                    <w:rPr>
                      <w:rFonts w:cs="Calibri"/>
                      <w:sz w:val="21"/>
                    </w:rPr>
                    <w:t>作为物料回用于产品生产过程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continue"/>
                  <w:tcBorders>
                    <w:tl2br w:val="nil"/>
                    <w:tr2bl w:val="nil"/>
                  </w:tcBorders>
                  <w:vAlign w:val="center"/>
                </w:tcPr>
                <w:p>
                  <w:pPr>
                    <w:jc w:val="center"/>
                    <w:rPr>
                      <w:rFonts w:cs="Calibri"/>
                      <w:sz w:val="21"/>
                    </w:rPr>
                  </w:pPr>
                </w:p>
              </w:tc>
              <w:tc>
                <w:tcPr>
                  <w:tcW w:w="1654" w:type="dxa"/>
                  <w:vMerge w:val="continue"/>
                  <w:tcBorders>
                    <w:tl2br w:val="nil"/>
                    <w:tr2bl w:val="nil"/>
                  </w:tcBorders>
                  <w:vAlign w:val="center"/>
                </w:tcPr>
                <w:p>
                  <w:pPr>
                    <w:jc w:val="center"/>
                    <w:rPr>
                      <w:rFonts w:cs="Calibri"/>
                      <w:sz w:val="21"/>
                    </w:rPr>
                  </w:pPr>
                </w:p>
              </w:tc>
              <w:tc>
                <w:tcPr>
                  <w:tcW w:w="2041" w:type="dxa"/>
                  <w:tcBorders>
                    <w:tl2br w:val="nil"/>
                    <w:tr2bl w:val="nil"/>
                  </w:tcBorders>
                  <w:vAlign w:val="center"/>
                </w:tcPr>
                <w:p>
                  <w:pPr>
                    <w:jc w:val="center"/>
                    <w:rPr>
                      <w:rFonts w:cs="Calibri"/>
                      <w:sz w:val="21"/>
                    </w:rPr>
                  </w:pPr>
                  <w:r>
                    <w:rPr>
                      <w:rFonts w:cs="Calibri"/>
                      <w:sz w:val="21"/>
                    </w:rPr>
                    <w:t>沉淀池沉渣</w:t>
                  </w:r>
                </w:p>
              </w:tc>
              <w:tc>
                <w:tcPr>
                  <w:tcW w:w="3749" w:type="dxa"/>
                  <w:tcBorders>
                    <w:tl2br w:val="nil"/>
                    <w:tr2bl w:val="nil"/>
                  </w:tcBorders>
                  <w:vAlign w:val="center"/>
                </w:tcPr>
                <w:p>
                  <w:pPr>
                    <w:jc w:val="center"/>
                    <w:rPr>
                      <w:rFonts w:cs="Calibri"/>
                      <w:sz w:val="21"/>
                      <w:u w:val="single"/>
                    </w:rPr>
                  </w:pPr>
                  <w:r>
                    <w:rPr>
                      <w:rFonts w:cs="Calibri"/>
                      <w:sz w:val="21"/>
                      <w:u w:val="single"/>
                    </w:rPr>
                    <w:t>作为</w:t>
                  </w:r>
                  <w:r>
                    <w:rPr>
                      <w:rFonts w:hint="eastAsia" w:cs="Calibri"/>
                      <w:sz w:val="21"/>
                      <w:u w:val="single"/>
                    </w:rPr>
                    <w:t>建筑材料外售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continue"/>
                  <w:tcBorders>
                    <w:tl2br w:val="nil"/>
                    <w:tr2bl w:val="nil"/>
                  </w:tcBorders>
                  <w:vAlign w:val="center"/>
                </w:tcPr>
                <w:p>
                  <w:pPr>
                    <w:jc w:val="center"/>
                    <w:rPr>
                      <w:rFonts w:cs="Calibri"/>
                      <w:sz w:val="21"/>
                    </w:rPr>
                  </w:pPr>
                </w:p>
              </w:tc>
              <w:tc>
                <w:tcPr>
                  <w:tcW w:w="1654" w:type="dxa"/>
                  <w:vMerge w:val="continue"/>
                  <w:tcBorders>
                    <w:tl2br w:val="nil"/>
                    <w:tr2bl w:val="nil"/>
                  </w:tcBorders>
                  <w:vAlign w:val="center"/>
                </w:tcPr>
                <w:p>
                  <w:pPr>
                    <w:jc w:val="center"/>
                    <w:rPr>
                      <w:rFonts w:cs="Calibri"/>
                      <w:sz w:val="21"/>
                    </w:rPr>
                  </w:pPr>
                </w:p>
              </w:tc>
              <w:tc>
                <w:tcPr>
                  <w:tcW w:w="2041" w:type="dxa"/>
                  <w:tcBorders>
                    <w:tl2br w:val="nil"/>
                    <w:tr2bl w:val="nil"/>
                  </w:tcBorders>
                  <w:vAlign w:val="center"/>
                </w:tcPr>
                <w:p>
                  <w:pPr>
                    <w:jc w:val="center"/>
                    <w:rPr>
                      <w:rFonts w:cs="Calibri"/>
                      <w:sz w:val="21"/>
                    </w:rPr>
                  </w:pPr>
                  <w:r>
                    <w:rPr>
                      <w:rFonts w:cs="Calibri"/>
                      <w:sz w:val="21"/>
                    </w:rPr>
                    <w:t>废矿物油</w:t>
                  </w:r>
                </w:p>
              </w:tc>
              <w:tc>
                <w:tcPr>
                  <w:tcW w:w="3749" w:type="dxa"/>
                  <w:tcBorders>
                    <w:tl2br w:val="nil"/>
                    <w:tr2bl w:val="nil"/>
                  </w:tcBorders>
                  <w:vAlign w:val="center"/>
                </w:tcPr>
                <w:p>
                  <w:pPr>
                    <w:jc w:val="center"/>
                    <w:rPr>
                      <w:rFonts w:cs="Calibri"/>
                      <w:sz w:val="21"/>
                    </w:rPr>
                  </w:pPr>
                  <w:r>
                    <w:rPr>
                      <w:rFonts w:hint="eastAsia" w:cs="Calibri"/>
                      <w:sz w:val="21"/>
                    </w:rPr>
                    <w:t>危废暂存间暂存后，交由有资质的单位处理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0" w:type="dxa"/>
                  <w:vMerge w:val="continue"/>
                  <w:tcBorders>
                    <w:tl2br w:val="nil"/>
                    <w:tr2bl w:val="nil"/>
                  </w:tcBorders>
                  <w:vAlign w:val="center"/>
                </w:tcPr>
                <w:p>
                  <w:pPr>
                    <w:jc w:val="center"/>
                    <w:rPr>
                      <w:rFonts w:cs="Calibri"/>
                      <w:sz w:val="21"/>
                    </w:rPr>
                  </w:pPr>
                </w:p>
              </w:tc>
              <w:tc>
                <w:tcPr>
                  <w:tcW w:w="1654" w:type="dxa"/>
                  <w:tcBorders>
                    <w:tl2br w:val="nil"/>
                    <w:tr2bl w:val="nil"/>
                  </w:tcBorders>
                  <w:vAlign w:val="center"/>
                </w:tcPr>
                <w:p>
                  <w:pPr>
                    <w:jc w:val="center"/>
                    <w:rPr>
                      <w:rFonts w:cs="Calibri"/>
                      <w:sz w:val="21"/>
                    </w:rPr>
                  </w:pPr>
                  <w:r>
                    <w:rPr>
                      <w:rFonts w:cs="Calibri"/>
                      <w:sz w:val="21"/>
                    </w:rPr>
                    <w:t>生活过程</w:t>
                  </w:r>
                </w:p>
              </w:tc>
              <w:tc>
                <w:tcPr>
                  <w:tcW w:w="2041" w:type="dxa"/>
                  <w:tcBorders>
                    <w:tl2br w:val="nil"/>
                    <w:tr2bl w:val="nil"/>
                  </w:tcBorders>
                  <w:vAlign w:val="center"/>
                </w:tcPr>
                <w:p>
                  <w:pPr>
                    <w:jc w:val="center"/>
                    <w:rPr>
                      <w:rFonts w:cs="Calibri"/>
                      <w:sz w:val="21"/>
                    </w:rPr>
                  </w:pPr>
                  <w:r>
                    <w:rPr>
                      <w:rFonts w:cs="Calibri"/>
                      <w:sz w:val="21"/>
                    </w:rPr>
                    <w:t>生活垃圾</w:t>
                  </w:r>
                </w:p>
              </w:tc>
              <w:tc>
                <w:tcPr>
                  <w:tcW w:w="3749" w:type="dxa"/>
                  <w:tcBorders>
                    <w:tl2br w:val="nil"/>
                    <w:tr2bl w:val="nil"/>
                  </w:tcBorders>
                  <w:vAlign w:val="center"/>
                </w:tcPr>
                <w:p>
                  <w:pPr>
                    <w:jc w:val="center"/>
                    <w:rPr>
                      <w:rFonts w:cs="Calibri"/>
                      <w:sz w:val="21"/>
                    </w:rPr>
                  </w:pPr>
                  <w:r>
                    <w:rPr>
                      <w:rFonts w:cs="Calibri"/>
                      <w:sz w:val="21"/>
                    </w:rPr>
                    <w:t>由环卫部门回收处理</w:t>
                  </w:r>
                </w:p>
              </w:tc>
            </w:tr>
          </w:tbl>
          <w:p>
            <w:pPr>
              <w:spacing w:line="360" w:lineRule="auto"/>
              <w:ind w:firstLine="482" w:firstLineChars="200"/>
              <w:rPr>
                <w:rFonts w:cs="Calibri"/>
                <w:b/>
                <w:sz w:val="24"/>
              </w:rPr>
            </w:pPr>
            <w:r>
              <w:rPr>
                <w:rFonts w:cs="Calibri"/>
                <w:b/>
                <w:sz w:val="24"/>
              </w:rPr>
              <w:t>1、水污染物</w:t>
            </w:r>
          </w:p>
          <w:p>
            <w:pPr>
              <w:spacing w:line="360" w:lineRule="auto"/>
              <w:ind w:firstLine="480" w:firstLineChars="200"/>
              <w:rPr>
                <w:rFonts w:cs="Calibri"/>
                <w:sz w:val="24"/>
              </w:rPr>
            </w:pPr>
            <w:r>
              <w:rPr>
                <w:rFonts w:cs="Calibri"/>
                <w:sz w:val="24"/>
              </w:rPr>
              <w:t>项目营运期主要</w:t>
            </w:r>
            <w:r>
              <w:rPr>
                <w:rFonts w:hint="eastAsia" w:cs="Calibri"/>
                <w:sz w:val="24"/>
              </w:rPr>
              <w:t>用水</w:t>
            </w:r>
            <w:r>
              <w:rPr>
                <w:rFonts w:cs="Calibri"/>
                <w:sz w:val="24"/>
              </w:rPr>
              <w:t>为</w:t>
            </w:r>
            <w:r>
              <w:rPr>
                <w:rFonts w:hint="eastAsia" w:cs="Calibri"/>
                <w:sz w:val="24"/>
              </w:rPr>
              <w:t>清洗原材料用水、</w:t>
            </w:r>
            <w:r>
              <w:rPr>
                <w:rFonts w:hint="eastAsia"/>
                <w:kern w:val="0"/>
                <w:sz w:val="24"/>
              </w:rPr>
              <w:t>车辆</w:t>
            </w:r>
            <w:r>
              <w:rPr>
                <w:kern w:val="0"/>
                <w:sz w:val="24"/>
              </w:rPr>
              <w:t>清洗用水</w:t>
            </w:r>
            <w:r>
              <w:rPr>
                <w:rFonts w:hint="eastAsia" w:cs="Calibri"/>
                <w:bCs/>
                <w:sz w:val="24"/>
              </w:rPr>
              <w:t>、</w:t>
            </w:r>
            <w:r>
              <w:rPr>
                <w:rFonts w:cs="Calibri"/>
                <w:sz w:val="24"/>
              </w:rPr>
              <w:t>生活</w:t>
            </w:r>
            <w:r>
              <w:rPr>
                <w:rFonts w:hint="eastAsia" w:cs="Calibri"/>
                <w:sz w:val="24"/>
              </w:rPr>
              <w:t>用水、降尘喷淋用水，其中降尘喷淋用水经自然蒸发后自然消散，故不计入废水源强。</w:t>
            </w:r>
          </w:p>
          <w:p>
            <w:pPr>
              <w:spacing w:line="360" w:lineRule="auto"/>
              <w:ind w:firstLine="480" w:firstLineChars="200"/>
              <w:rPr>
                <w:kern w:val="0"/>
                <w:sz w:val="24"/>
              </w:rPr>
            </w:pPr>
            <w:r>
              <w:rPr>
                <w:rFonts w:hint="eastAsia"/>
                <w:kern w:val="0"/>
                <w:sz w:val="24"/>
              </w:rPr>
              <w:t>（1）车辆</w:t>
            </w:r>
            <w:r>
              <w:rPr>
                <w:kern w:val="0"/>
                <w:sz w:val="24"/>
              </w:rPr>
              <w:t>清洗用水及排水</w:t>
            </w:r>
          </w:p>
          <w:p>
            <w:pPr>
              <w:spacing w:line="360" w:lineRule="auto"/>
              <w:ind w:firstLine="480" w:firstLineChars="200"/>
              <w:rPr>
                <w:rFonts w:cs="Calibri"/>
                <w:sz w:val="24"/>
              </w:rPr>
            </w:pPr>
            <w:r>
              <w:rPr>
                <w:rFonts w:cs="Calibri"/>
                <w:sz w:val="24"/>
              </w:rPr>
              <w:t>本项目年产量为</w:t>
            </w:r>
            <w:r>
              <w:rPr>
                <w:rFonts w:hint="eastAsia" w:cs="Calibri"/>
                <w:sz w:val="24"/>
              </w:rPr>
              <w:t>30</w:t>
            </w:r>
            <w:r>
              <w:rPr>
                <w:rFonts w:cs="Calibri"/>
                <w:sz w:val="24"/>
              </w:rPr>
              <w:t>万吨，</w:t>
            </w:r>
            <w:r>
              <w:rPr>
                <w:rFonts w:hint="eastAsia" w:cs="Calibri"/>
                <w:sz w:val="24"/>
              </w:rPr>
              <w:t>年运输量60</w:t>
            </w:r>
            <w:r>
              <w:rPr>
                <w:rFonts w:cs="Calibri"/>
                <w:sz w:val="24"/>
              </w:rPr>
              <w:t>万吨</w:t>
            </w:r>
            <w:r>
              <w:rPr>
                <w:rFonts w:hint="eastAsia" w:cs="Calibri"/>
                <w:sz w:val="24"/>
              </w:rPr>
              <w:t>，</w:t>
            </w:r>
            <w:r>
              <w:rPr>
                <w:rFonts w:cs="Calibri"/>
                <w:sz w:val="24"/>
              </w:rPr>
              <w:t>单车一次运输量最大为40吨，约需运输</w:t>
            </w:r>
            <w:r>
              <w:rPr>
                <w:rFonts w:hint="eastAsia" w:cs="Calibri"/>
                <w:sz w:val="24"/>
              </w:rPr>
              <w:t>15000</w:t>
            </w:r>
            <w:r>
              <w:rPr>
                <w:rFonts w:cs="Calibri"/>
                <w:sz w:val="24"/>
              </w:rPr>
              <w:t>次，每</w:t>
            </w:r>
            <w:r>
              <w:rPr>
                <w:rFonts w:hint="eastAsia" w:cs="Calibri"/>
                <w:sz w:val="24"/>
              </w:rPr>
              <w:t>两</w:t>
            </w:r>
            <w:r>
              <w:rPr>
                <w:rFonts w:cs="Calibri"/>
                <w:sz w:val="24"/>
              </w:rPr>
              <w:t>次需清洗</w:t>
            </w:r>
            <w:r>
              <w:rPr>
                <w:rFonts w:hint="eastAsia" w:cs="Calibri"/>
                <w:sz w:val="24"/>
              </w:rPr>
              <w:t>一次</w:t>
            </w:r>
            <w:r>
              <w:rPr>
                <w:rFonts w:cs="Calibri"/>
                <w:sz w:val="24"/>
              </w:rPr>
              <w:t>。车辆冲洗水量大致为0.05m</w:t>
            </w:r>
            <w:r>
              <w:rPr>
                <w:rFonts w:cs="Calibri"/>
                <w:sz w:val="24"/>
                <w:vertAlign w:val="superscript"/>
              </w:rPr>
              <w:t>3</w:t>
            </w:r>
            <w:r>
              <w:rPr>
                <w:rFonts w:cs="Calibri"/>
                <w:sz w:val="24"/>
              </w:rPr>
              <w:t>/辆·次，故每天产生的冲洗废水约为</w:t>
            </w:r>
            <w:r>
              <w:rPr>
                <w:rFonts w:hint="eastAsia" w:cs="Calibri"/>
                <w:sz w:val="24"/>
              </w:rPr>
              <w:t>1.25</w:t>
            </w:r>
            <w:r>
              <w:rPr>
                <w:rFonts w:cs="Calibri"/>
                <w:sz w:val="24"/>
              </w:rPr>
              <w:t>m</w:t>
            </w:r>
            <w:r>
              <w:rPr>
                <w:rFonts w:cs="Calibri"/>
                <w:sz w:val="24"/>
                <w:vertAlign w:val="superscript"/>
              </w:rPr>
              <w:t>3</w:t>
            </w:r>
            <w:r>
              <w:rPr>
                <w:rFonts w:cs="Calibri"/>
                <w:sz w:val="24"/>
              </w:rPr>
              <w:t>，年产生量约为</w:t>
            </w:r>
            <w:r>
              <w:rPr>
                <w:rFonts w:hint="eastAsia" w:cs="Calibri"/>
                <w:sz w:val="24"/>
              </w:rPr>
              <w:t>375</w:t>
            </w:r>
            <w:r>
              <w:rPr>
                <w:rFonts w:cs="Calibri"/>
                <w:sz w:val="24"/>
              </w:rPr>
              <w:t>m</w:t>
            </w:r>
            <w:r>
              <w:rPr>
                <w:rFonts w:cs="Calibri"/>
                <w:sz w:val="24"/>
                <w:vertAlign w:val="superscript"/>
              </w:rPr>
              <w:t>3</w:t>
            </w:r>
            <w:r>
              <w:rPr>
                <w:rFonts w:cs="Calibri"/>
                <w:sz w:val="24"/>
              </w:rPr>
              <w:t>，该废水的主要水质污染因子为SS，其浓度大致为2000mg/L。</w:t>
            </w:r>
          </w:p>
          <w:p>
            <w:pPr>
              <w:spacing w:line="360" w:lineRule="auto"/>
              <w:ind w:firstLine="480" w:firstLineChars="200"/>
              <w:rPr>
                <w:kern w:val="0"/>
                <w:sz w:val="24"/>
              </w:rPr>
            </w:pPr>
            <w:r>
              <w:rPr>
                <w:kern w:val="0"/>
                <w:sz w:val="24"/>
              </w:rPr>
              <w:t>（</w:t>
            </w:r>
            <w:r>
              <w:rPr>
                <w:rFonts w:hint="eastAsia"/>
                <w:kern w:val="0"/>
                <w:sz w:val="24"/>
              </w:rPr>
              <w:t>2</w:t>
            </w:r>
            <w:r>
              <w:rPr>
                <w:kern w:val="0"/>
                <w:sz w:val="24"/>
              </w:rPr>
              <w:t>）降尘用水</w:t>
            </w:r>
          </w:p>
          <w:p>
            <w:pPr>
              <w:spacing w:line="360" w:lineRule="auto"/>
              <w:ind w:firstLine="505"/>
              <w:rPr>
                <w:rFonts w:ascii="Calibri" w:hAnsi="Calibri" w:cs="Calibri"/>
                <w:sz w:val="21"/>
              </w:rPr>
            </w:pPr>
            <w:r>
              <w:rPr>
                <w:sz w:val="24"/>
              </w:rPr>
              <w:t>物料堆存区设置洒水喷头、砂石骨料配料下料口处设置洒水喷头。经查阅相关资料，洒水喷头流量一般在10~15m</w:t>
            </w:r>
            <w:r>
              <w:rPr>
                <w:sz w:val="24"/>
                <w:vertAlign w:val="superscript"/>
              </w:rPr>
              <w:t>3</w:t>
            </w:r>
            <w:r>
              <w:rPr>
                <w:sz w:val="24"/>
              </w:rPr>
              <w:t>/h（根据同类料堆场运行经验，本评价取</w:t>
            </w:r>
            <w:r>
              <w:rPr>
                <w:rFonts w:hint="eastAsia"/>
                <w:sz w:val="24"/>
              </w:rPr>
              <w:t>6</w:t>
            </w:r>
            <w:r>
              <w:rPr>
                <w:sz w:val="24"/>
              </w:rPr>
              <w:t>m</w:t>
            </w:r>
            <w:r>
              <w:rPr>
                <w:sz w:val="24"/>
                <w:vertAlign w:val="superscript"/>
              </w:rPr>
              <w:t>3</w:t>
            </w:r>
            <w:r>
              <w:rPr>
                <w:sz w:val="24"/>
              </w:rPr>
              <w:t>/h 进行计算），一般情况下，每天开启约5min，装卸物料时亦开启，大风天气时，加大喷洒时间及洒水次数，每天平均开启10min（大风天气按50d/a 计），根据计算，用水量约</w:t>
            </w:r>
            <w:r>
              <w:rPr>
                <w:rFonts w:hint="eastAsia"/>
                <w:sz w:val="24"/>
              </w:rPr>
              <w:t>3.55</w:t>
            </w:r>
            <w:r>
              <w:rPr>
                <w:sz w:val="24"/>
              </w:rPr>
              <w:t>m</w:t>
            </w:r>
            <w:r>
              <w:rPr>
                <w:sz w:val="24"/>
                <w:vertAlign w:val="superscript"/>
              </w:rPr>
              <w:t>3</w:t>
            </w:r>
            <w:r>
              <w:rPr>
                <w:sz w:val="24"/>
              </w:rPr>
              <w:t>/d（</w:t>
            </w:r>
            <w:r>
              <w:rPr>
                <w:rFonts w:hint="eastAsia"/>
                <w:sz w:val="24"/>
              </w:rPr>
              <w:t>1065</w:t>
            </w:r>
            <w:r>
              <w:rPr>
                <w:sz w:val="24"/>
              </w:rPr>
              <w:t>m</w:t>
            </w:r>
            <w:r>
              <w:rPr>
                <w:sz w:val="24"/>
                <w:vertAlign w:val="superscript"/>
              </w:rPr>
              <w:t>3</w:t>
            </w:r>
            <w:r>
              <w:rPr>
                <w:sz w:val="24"/>
              </w:rPr>
              <w:t>/a）。该部分用水蒸发消耗，不外排。</w:t>
            </w:r>
          </w:p>
          <w:p>
            <w:pPr>
              <w:spacing w:line="360" w:lineRule="auto"/>
              <w:ind w:firstLine="480" w:firstLineChars="200"/>
              <w:rPr>
                <w:rFonts w:cs="Calibri"/>
                <w:sz w:val="24"/>
              </w:rPr>
            </w:pPr>
            <w:r>
              <w:rPr>
                <w:rFonts w:hint="eastAsia" w:cs="Calibri"/>
                <w:sz w:val="24"/>
              </w:rPr>
              <w:t>（3）生活污水</w:t>
            </w:r>
          </w:p>
          <w:p>
            <w:pPr>
              <w:spacing w:line="360" w:lineRule="auto"/>
              <w:ind w:firstLine="480" w:firstLineChars="200"/>
              <w:rPr>
                <w:rFonts w:cs="Calibri"/>
                <w:sz w:val="24"/>
              </w:rPr>
            </w:pPr>
            <w:r>
              <w:rPr>
                <w:rFonts w:cs="Calibri"/>
                <w:sz w:val="24"/>
              </w:rPr>
              <w:t>项目职工</w:t>
            </w:r>
            <w:r>
              <w:rPr>
                <w:rFonts w:hint="eastAsia" w:cs="Calibri"/>
                <w:sz w:val="24"/>
              </w:rPr>
              <w:t>40</w:t>
            </w:r>
            <w:r>
              <w:rPr>
                <w:rFonts w:cs="Calibri"/>
                <w:sz w:val="24"/>
              </w:rPr>
              <w:t>人</w:t>
            </w:r>
            <w:r>
              <w:rPr>
                <w:rFonts w:hint="eastAsia" w:cs="Calibri"/>
                <w:sz w:val="24"/>
              </w:rPr>
              <w:t>，提供伙食住宿</w:t>
            </w:r>
            <w:r>
              <w:rPr>
                <w:rFonts w:cs="Calibri"/>
                <w:sz w:val="24"/>
              </w:rPr>
              <w:t>，年工作300天。按照《湖南省用水定额》(DB43/T388-2014)中的指标计算，用水量按</w:t>
            </w:r>
            <w:r>
              <w:rPr>
                <w:rFonts w:hint="eastAsia" w:cs="Calibri"/>
                <w:sz w:val="24"/>
              </w:rPr>
              <w:t>145</w:t>
            </w:r>
            <w:r>
              <w:rPr>
                <w:rFonts w:cs="Calibri"/>
                <w:sz w:val="24"/>
              </w:rPr>
              <w:t>L/d•人计，则本项目生活用水量为</w:t>
            </w:r>
            <w:r>
              <w:rPr>
                <w:rFonts w:hint="eastAsia" w:cs="Calibri"/>
                <w:sz w:val="24"/>
              </w:rPr>
              <w:t>5.8</w:t>
            </w:r>
            <w:r>
              <w:rPr>
                <w:rFonts w:cs="Calibri"/>
                <w:sz w:val="24"/>
              </w:rPr>
              <w:t>m</w:t>
            </w:r>
            <w:r>
              <w:rPr>
                <w:rFonts w:cs="Calibri"/>
                <w:sz w:val="24"/>
                <w:vertAlign w:val="superscript"/>
              </w:rPr>
              <w:t>3</w:t>
            </w:r>
            <w:r>
              <w:rPr>
                <w:rFonts w:cs="Calibri"/>
                <w:sz w:val="24"/>
              </w:rPr>
              <w:t>/d（</w:t>
            </w:r>
            <w:r>
              <w:rPr>
                <w:rFonts w:hint="eastAsia" w:cs="Calibri"/>
                <w:sz w:val="24"/>
              </w:rPr>
              <w:t>1740</w:t>
            </w:r>
            <w:r>
              <w:rPr>
                <w:rFonts w:cs="Calibri"/>
                <w:sz w:val="24"/>
              </w:rPr>
              <w:t>m</w:t>
            </w:r>
            <w:r>
              <w:rPr>
                <w:rFonts w:cs="Calibri"/>
                <w:sz w:val="24"/>
                <w:vertAlign w:val="superscript"/>
              </w:rPr>
              <w:t>3</w:t>
            </w:r>
            <w:r>
              <w:rPr>
                <w:rFonts w:cs="Calibri"/>
                <w:sz w:val="24"/>
              </w:rPr>
              <w:t>/a），污水排放系数取0.8，则生活污水排放量约为</w:t>
            </w:r>
            <w:r>
              <w:rPr>
                <w:rFonts w:hint="eastAsia" w:cs="Calibri"/>
                <w:sz w:val="24"/>
              </w:rPr>
              <w:t>4.64</w:t>
            </w:r>
            <w:r>
              <w:rPr>
                <w:rFonts w:cs="Calibri"/>
                <w:sz w:val="24"/>
              </w:rPr>
              <w:t>m</w:t>
            </w:r>
            <w:r>
              <w:rPr>
                <w:rFonts w:cs="Calibri"/>
                <w:sz w:val="24"/>
                <w:vertAlign w:val="superscript"/>
              </w:rPr>
              <w:t>3</w:t>
            </w:r>
            <w:r>
              <w:rPr>
                <w:rFonts w:cs="Calibri"/>
                <w:sz w:val="24"/>
              </w:rPr>
              <w:t>/d（</w:t>
            </w:r>
            <w:r>
              <w:rPr>
                <w:rFonts w:hint="eastAsia" w:cs="Calibri"/>
                <w:sz w:val="24"/>
              </w:rPr>
              <w:t>1392</w:t>
            </w:r>
            <w:r>
              <w:rPr>
                <w:rFonts w:cs="Calibri"/>
                <w:sz w:val="24"/>
              </w:rPr>
              <w:t>m</w:t>
            </w:r>
            <w:r>
              <w:rPr>
                <w:rFonts w:cs="Calibri"/>
                <w:sz w:val="24"/>
                <w:vertAlign w:val="superscript"/>
              </w:rPr>
              <w:t>3</w:t>
            </w:r>
            <w:r>
              <w:rPr>
                <w:rFonts w:cs="Calibri"/>
                <w:sz w:val="24"/>
              </w:rPr>
              <w:t>/a）。生活污水经化粪池预处理后</w:t>
            </w:r>
            <w:r>
              <w:rPr>
                <w:rFonts w:hint="eastAsia" w:cs="Calibri"/>
                <w:sz w:val="24"/>
              </w:rPr>
              <w:t>用于菜地施肥，绿化浇灌，不外排</w:t>
            </w:r>
            <w:r>
              <w:rPr>
                <w:rFonts w:cs="Calibri"/>
                <w:sz w:val="24"/>
              </w:rPr>
              <w:t>。</w:t>
            </w:r>
          </w:p>
          <w:p>
            <w:pPr>
              <w:spacing w:line="360" w:lineRule="auto"/>
              <w:ind w:firstLine="480" w:firstLineChars="200"/>
              <w:rPr>
                <w:rFonts w:cs="Calibri"/>
                <w:sz w:val="24"/>
              </w:rPr>
            </w:pPr>
            <w:r>
              <w:rPr>
                <w:rFonts w:hint="eastAsia" w:cs="Calibri"/>
                <w:sz w:val="24"/>
              </w:rPr>
              <w:t>（4）初期雨水</w:t>
            </w:r>
          </w:p>
          <w:p>
            <w:pPr>
              <w:spacing w:line="360" w:lineRule="auto"/>
              <w:ind w:firstLine="480" w:firstLineChars="200"/>
              <w:rPr>
                <w:rFonts w:cs="Calibri"/>
                <w:sz w:val="24"/>
              </w:rPr>
            </w:pPr>
            <w:r>
              <w:rPr>
                <w:rFonts w:hint="eastAsia"/>
                <w:sz w:val="24"/>
              </w:rPr>
              <w:t>通过阀门控制，</w:t>
            </w:r>
            <w:r>
              <w:rPr>
                <w:sz w:val="24"/>
              </w:rPr>
              <w:t>项目初期雨水汇入项目</w:t>
            </w:r>
            <w:r>
              <w:rPr>
                <w:rFonts w:hint="eastAsia"/>
                <w:sz w:val="24"/>
              </w:rPr>
              <w:t>沉淀</w:t>
            </w:r>
            <w:r>
              <w:rPr>
                <w:sz w:val="24"/>
              </w:rPr>
              <w:t>池中用于生产，不外排。</w:t>
            </w:r>
          </w:p>
          <w:p>
            <w:pPr>
              <w:spacing w:line="360" w:lineRule="auto"/>
              <w:ind w:firstLine="480" w:firstLineChars="200"/>
              <w:rPr>
                <w:rFonts w:cs="Calibri"/>
                <w:sz w:val="24"/>
              </w:rPr>
            </w:pPr>
            <w:r>
              <w:rPr>
                <w:rFonts w:hint="eastAsia" w:cs="Calibri"/>
                <w:sz w:val="24"/>
              </w:rPr>
              <w:t>项目厂区内由于雨水的冲刷，使初期雨水中含有一定量的SS和COD污染物，对于本项目的初期雨水可直接导入项目区沉淀池，其有效容积根据项目所在区域的降雨特征和初期雨水每次量确定，初期雨水每次量根据以下公式计算：</w:t>
            </w:r>
          </w:p>
          <w:p>
            <w:pPr>
              <w:spacing w:line="360" w:lineRule="auto"/>
              <w:ind w:firstLine="480" w:firstLineChars="200"/>
              <w:rPr>
                <w:rFonts w:cs="Calibri"/>
                <w:sz w:val="24"/>
              </w:rPr>
            </w:pPr>
            <w:r>
              <w:rPr>
                <w:rFonts w:hint="eastAsia" w:cs="Calibri"/>
                <w:sz w:val="24"/>
              </w:rPr>
              <w:t>初期雨水每次量Q=当地暴雨平均强度×集雨面积×15分钟</w:t>
            </w:r>
          </w:p>
          <w:p>
            <w:pPr>
              <w:spacing w:line="360" w:lineRule="auto"/>
              <w:ind w:firstLine="480" w:firstLineChars="200"/>
              <w:rPr>
                <w:rFonts w:cs="Calibri"/>
                <w:sz w:val="24"/>
                <w:u w:val="single"/>
              </w:rPr>
            </w:pPr>
            <w:r>
              <w:rPr>
                <w:rFonts w:hint="eastAsia" w:cs="Calibri"/>
                <w:sz w:val="24"/>
                <w:u w:val="single"/>
              </w:rPr>
              <w:t>根据相关资料，该区内暴雨平均强度按15mm/h计，15分钟产生雨水为初期雨水，项目集雨面积3</w:t>
            </w:r>
            <w:r>
              <w:rPr>
                <w:rFonts w:cs="Calibri"/>
                <w:sz w:val="24"/>
                <w:u w:val="single"/>
              </w:rPr>
              <w:t>3350</w:t>
            </w:r>
            <w:r>
              <w:rPr>
                <w:rFonts w:hint="eastAsia" w:cs="Calibri"/>
                <w:sz w:val="24"/>
                <w:u w:val="single"/>
              </w:rPr>
              <w:t>m</w:t>
            </w:r>
            <w:r>
              <w:rPr>
                <w:rFonts w:hint="eastAsia" w:cs="Calibri"/>
                <w:sz w:val="24"/>
                <w:u w:val="single"/>
                <w:vertAlign w:val="superscript"/>
              </w:rPr>
              <w:t>2</w:t>
            </w:r>
            <w:r>
              <w:rPr>
                <w:rFonts w:hint="eastAsia" w:cs="Calibri"/>
                <w:sz w:val="24"/>
                <w:u w:val="single"/>
              </w:rPr>
              <w:t>计算得到本项目初期雨水每次量为114.75m</w:t>
            </w:r>
            <w:r>
              <w:rPr>
                <w:rFonts w:hint="eastAsia" w:cs="Calibri"/>
                <w:sz w:val="24"/>
                <w:u w:val="single"/>
                <w:vertAlign w:val="superscript"/>
              </w:rPr>
              <w:t>3</w:t>
            </w:r>
            <w:r>
              <w:rPr>
                <w:rFonts w:hint="eastAsia" w:cs="Calibri"/>
                <w:sz w:val="24"/>
                <w:u w:val="single"/>
              </w:rPr>
              <w:t>。根据现场勘查可知，项目沉淀池容积约为1800立方米，本项目初期雨水占水塘容量的6.375%，可完全接纳项目产生的初期雨水。根据当地气象条件估算，湘阴县年平均降雨次数为65次，则取年降雨量829mm乘以建筑集雨面积，经计算大约可收集7458.75m</w:t>
            </w:r>
            <w:r>
              <w:rPr>
                <w:rFonts w:hint="eastAsia" w:cs="Calibri"/>
                <w:sz w:val="24"/>
                <w:u w:val="single"/>
                <w:vertAlign w:val="superscript"/>
              </w:rPr>
              <w:t>3</w:t>
            </w:r>
            <w:r>
              <w:rPr>
                <w:rFonts w:hint="eastAsia" w:cs="Calibri"/>
                <w:sz w:val="24"/>
                <w:u w:val="single"/>
              </w:rPr>
              <w:t>的雨水。本项目优先使用收集的初期雨水。在厂区周围设置排水沟。</w:t>
            </w:r>
          </w:p>
          <w:p>
            <w:pPr>
              <w:spacing w:line="360" w:lineRule="auto"/>
              <w:ind w:firstLine="480" w:firstLineChars="200"/>
              <w:rPr>
                <w:rFonts w:cs="Calibri"/>
                <w:sz w:val="24"/>
                <w:u w:val="single"/>
              </w:rPr>
            </w:pPr>
            <w:r>
              <w:rPr>
                <w:rFonts w:cs="Calibri"/>
                <w:sz w:val="24"/>
                <w:u w:val="single"/>
              </w:rPr>
              <w:t>（</w:t>
            </w:r>
            <w:r>
              <w:rPr>
                <w:rFonts w:hint="eastAsia" w:cs="Calibri"/>
                <w:sz w:val="24"/>
                <w:u w:val="single"/>
              </w:rPr>
              <w:t>5</w:t>
            </w:r>
            <w:r>
              <w:rPr>
                <w:rFonts w:cs="Calibri"/>
                <w:sz w:val="24"/>
                <w:u w:val="single"/>
              </w:rPr>
              <w:t>）</w:t>
            </w:r>
            <w:r>
              <w:rPr>
                <w:rFonts w:hint="eastAsia" w:cs="Calibri"/>
                <w:sz w:val="24"/>
                <w:u w:val="single"/>
              </w:rPr>
              <w:t>清洗原材料</w:t>
            </w:r>
            <w:r>
              <w:rPr>
                <w:rFonts w:cs="Calibri"/>
                <w:sz w:val="24"/>
                <w:u w:val="single"/>
              </w:rPr>
              <w:t>用水</w:t>
            </w:r>
          </w:p>
          <w:p>
            <w:pPr>
              <w:spacing w:line="360" w:lineRule="auto"/>
              <w:ind w:firstLine="480" w:firstLineChars="200"/>
              <w:rPr>
                <w:rFonts w:cs="Calibri"/>
                <w:sz w:val="24"/>
                <w:u w:val="single"/>
              </w:rPr>
            </w:pPr>
            <w:r>
              <w:rPr>
                <w:rFonts w:cs="Calibri"/>
                <w:sz w:val="24"/>
                <w:u w:val="single"/>
              </w:rPr>
              <w:t>本项目在</w:t>
            </w:r>
            <w:r>
              <w:rPr>
                <w:rFonts w:hint="eastAsia" w:cs="Calibri"/>
                <w:sz w:val="24"/>
                <w:u w:val="single"/>
              </w:rPr>
              <w:t>洗砂机</w:t>
            </w:r>
            <w:r>
              <w:rPr>
                <w:rFonts w:cs="Calibri"/>
                <w:sz w:val="24"/>
                <w:u w:val="single"/>
              </w:rPr>
              <w:t>中加水</w:t>
            </w:r>
            <w:r>
              <w:rPr>
                <w:rFonts w:hint="eastAsia" w:cs="Calibri"/>
                <w:sz w:val="24"/>
                <w:u w:val="single"/>
              </w:rPr>
              <w:t>清洗原材料</w:t>
            </w:r>
            <w:r>
              <w:rPr>
                <w:rFonts w:cs="Calibri"/>
                <w:sz w:val="24"/>
                <w:u w:val="single"/>
              </w:rPr>
              <w:t>，根据类比同类型项目数据和建设方提供的资料，用水量按</w:t>
            </w:r>
            <w:r>
              <w:rPr>
                <w:rFonts w:hint="eastAsia" w:cs="Calibri"/>
                <w:sz w:val="24"/>
                <w:u w:val="single"/>
              </w:rPr>
              <w:t>200</w:t>
            </w:r>
            <w:r>
              <w:rPr>
                <w:rFonts w:cs="Calibri"/>
                <w:sz w:val="24"/>
                <w:u w:val="single"/>
              </w:rPr>
              <w:t>m</w:t>
            </w:r>
            <w:r>
              <w:rPr>
                <w:rFonts w:cs="Calibri"/>
                <w:sz w:val="24"/>
                <w:u w:val="single"/>
                <w:vertAlign w:val="superscript"/>
              </w:rPr>
              <w:t>3</w:t>
            </w:r>
            <w:r>
              <w:rPr>
                <w:rFonts w:cs="Calibri"/>
                <w:sz w:val="24"/>
                <w:u w:val="single"/>
              </w:rPr>
              <w:t>/d计，清洗原材料用水</w:t>
            </w:r>
            <w:r>
              <w:rPr>
                <w:rFonts w:hint="eastAsia" w:cs="Calibri"/>
                <w:sz w:val="24"/>
                <w:u w:val="single"/>
              </w:rPr>
              <w:t>经沉淀池沉淀</w:t>
            </w:r>
            <w:r>
              <w:rPr>
                <w:rFonts w:cs="Calibri"/>
                <w:sz w:val="24"/>
                <w:u w:val="single"/>
              </w:rPr>
              <w:t>后回用于生产，不外排。由于自然蒸发会损耗一定用水，排放系数取0.8，沉淀池平均每天补充水量为</w:t>
            </w:r>
            <w:r>
              <w:rPr>
                <w:rFonts w:hint="eastAsia" w:cs="Calibri"/>
                <w:sz w:val="24"/>
                <w:u w:val="single"/>
              </w:rPr>
              <w:t>40</w:t>
            </w:r>
            <w:r>
              <w:rPr>
                <w:rFonts w:cs="Calibri"/>
                <w:sz w:val="24"/>
                <w:u w:val="single"/>
              </w:rPr>
              <w:t>m</w:t>
            </w:r>
            <w:r>
              <w:rPr>
                <w:rFonts w:cs="Calibri"/>
                <w:sz w:val="24"/>
                <w:u w:val="single"/>
                <w:vertAlign w:val="superscript"/>
              </w:rPr>
              <w:t>3</w:t>
            </w:r>
            <w:r>
              <w:rPr>
                <w:rFonts w:cs="Calibri"/>
                <w:sz w:val="24"/>
                <w:u w:val="single"/>
              </w:rPr>
              <w:t>(</w:t>
            </w:r>
            <w:r>
              <w:rPr>
                <w:rFonts w:hint="eastAsia" w:cs="Calibri"/>
                <w:sz w:val="24"/>
                <w:u w:val="single"/>
              </w:rPr>
              <w:t>12000</w:t>
            </w:r>
            <w:r>
              <w:rPr>
                <w:rFonts w:cs="Calibri"/>
                <w:sz w:val="24"/>
                <w:u w:val="single"/>
              </w:rPr>
              <w:t>m</w:t>
            </w:r>
            <w:r>
              <w:rPr>
                <w:rFonts w:cs="Calibri"/>
                <w:sz w:val="24"/>
                <w:u w:val="single"/>
                <w:vertAlign w:val="superscript"/>
              </w:rPr>
              <w:t>3</w:t>
            </w:r>
            <w:r>
              <w:rPr>
                <w:rFonts w:cs="Calibri"/>
                <w:sz w:val="24"/>
                <w:u w:val="single"/>
              </w:rPr>
              <w:t>/a)。</w:t>
            </w:r>
          </w:p>
          <w:p>
            <w:pPr>
              <w:spacing w:line="360" w:lineRule="auto"/>
              <w:rPr>
                <w:rFonts w:cs="Calibri"/>
                <w:sz w:val="24"/>
                <w:u w:val="single"/>
              </w:rPr>
            </w:pPr>
            <w:r>
              <w:rPr>
                <w:u w:val="single"/>
              </w:rPr>
              <w:object>
                <v:shape id="_x0000_i1026" o:spt="75" type="#_x0000_t75" style="height:316.5pt;width:440.25pt;" o:ole="t" filled="f" o:preferrelative="t" stroked="f" coordsize="21600,21600">
                  <v:path/>
                  <v:fill on="f" focussize="0,0"/>
                  <v:stroke on="f" joinstyle="miter"/>
                  <v:imagedata r:id="rId10" o:title=""/>
                  <o:lock v:ext="edit" aspectratio="t"/>
                  <w10:wrap type="none"/>
                  <w10:anchorlock/>
                </v:shape>
                <o:OLEObject Type="Embed" ProgID="Visio.Drawing.11" ShapeID="_x0000_i1026" DrawAspect="Content" ObjectID="_1468075726" r:id="rId9">
                  <o:LockedField>false</o:LockedField>
                </o:OLEObject>
              </w:object>
            </w:r>
          </w:p>
          <w:p>
            <w:pPr>
              <w:spacing w:line="360" w:lineRule="auto"/>
              <w:ind w:firstLine="1440" w:firstLineChars="600"/>
              <w:rPr>
                <w:rFonts w:cs="Calibri"/>
                <w:b/>
                <w:sz w:val="24"/>
                <w:u w:val="single"/>
              </w:rPr>
            </w:pPr>
            <w:r>
              <w:rPr>
                <w:sz w:val="24"/>
                <w:u w:val="single"/>
              </w:rPr>
              <w:t>图2 水平衡图（最大用水量，单位：m</w:t>
            </w:r>
            <w:r>
              <w:rPr>
                <w:sz w:val="24"/>
                <w:u w:val="single"/>
                <w:vertAlign w:val="superscript"/>
              </w:rPr>
              <w:t>3</w:t>
            </w:r>
            <w:r>
              <w:rPr>
                <w:sz w:val="24"/>
                <w:u w:val="single"/>
              </w:rPr>
              <w:t>/</w:t>
            </w:r>
            <w:r>
              <w:rPr>
                <w:rFonts w:hint="eastAsia"/>
                <w:sz w:val="24"/>
                <w:u w:val="single"/>
              </w:rPr>
              <w:t>a</w:t>
            </w:r>
            <w:r>
              <w:rPr>
                <w:sz w:val="24"/>
                <w:u w:val="single"/>
              </w:rPr>
              <w:t>）</w:t>
            </w:r>
          </w:p>
          <w:p>
            <w:pPr>
              <w:spacing w:line="360" w:lineRule="auto"/>
              <w:ind w:firstLine="482" w:firstLineChars="200"/>
              <w:rPr>
                <w:rFonts w:cs="Calibri"/>
                <w:b/>
                <w:sz w:val="24"/>
              </w:rPr>
            </w:pPr>
            <w:r>
              <w:rPr>
                <w:rFonts w:cs="Calibri"/>
                <w:b/>
                <w:sz w:val="24"/>
              </w:rPr>
              <w:t>2、大气污染物</w:t>
            </w:r>
          </w:p>
          <w:p>
            <w:pPr>
              <w:spacing w:line="360" w:lineRule="auto"/>
              <w:ind w:firstLine="480" w:firstLineChars="200"/>
              <w:rPr>
                <w:rFonts w:cs="Calibri"/>
                <w:sz w:val="24"/>
              </w:rPr>
            </w:pPr>
            <w:r>
              <w:rPr>
                <w:rFonts w:hint="eastAsia" w:cs="Calibri"/>
                <w:sz w:val="24"/>
              </w:rPr>
              <w:t>本项目运营期废气主要为产品生产过程中产生的粉尘、车辆运输扬尘、仓库扬尘、车辆尾气及食堂油烟。本项目砂石含水率低，可满足生产要求，不需进行烘干。</w:t>
            </w:r>
          </w:p>
          <w:p>
            <w:pPr>
              <w:numPr>
                <w:ilvl w:val="0"/>
                <w:numId w:val="2"/>
              </w:numPr>
              <w:spacing w:line="360" w:lineRule="auto"/>
              <w:ind w:firstLine="480" w:firstLineChars="200"/>
              <w:rPr>
                <w:rFonts w:cs="Calibri"/>
                <w:sz w:val="24"/>
              </w:rPr>
            </w:pPr>
            <w:r>
              <w:rPr>
                <w:rFonts w:hint="eastAsia" w:cs="Calibri"/>
                <w:sz w:val="24"/>
              </w:rPr>
              <w:t>粉尘</w:t>
            </w:r>
          </w:p>
          <w:p>
            <w:pPr>
              <w:spacing w:line="360" w:lineRule="auto"/>
              <w:ind w:firstLine="480" w:firstLineChars="200"/>
              <w:rPr>
                <w:rFonts w:cs="Calibri"/>
                <w:sz w:val="24"/>
                <w:u w:val="single"/>
              </w:rPr>
            </w:pPr>
            <w:r>
              <w:rPr>
                <w:rFonts w:cs="Calibri"/>
                <w:sz w:val="24"/>
                <w:u w:val="single"/>
              </w:rPr>
              <w:t>项目所使用的水泥等原料由密封的散装车运至站内，用气泵打入料仓，由于受气流冲击，料仓中的粉状原辅料可从仓顶气孔排至大气中，根据（参照）《第一次全国污染源普查工艺污染源产排污系数手册》中水泥制品制造业相关产排污系数如下表12。</w:t>
            </w:r>
          </w:p>
          <w:p>
            <w:pPr>
              <w:jc w:val="center"/>
              <w:rPr>
                <w:rFonts w:cs="Calibri"/>
                <w:b/>
                <w:sz w:val="21"/>
                <w:u w:val="single"/>
              </w:rPr>
            </w:pPr>
            <w:r>
              <w:rPr>
                <w:rFonts w:cs="Calibri"/>
                <w:b/>
                <w:sz w:val="21"/>
                <w:u w:val="single"/>
              </w:rPr>
              <w:t>表12  粉尘产排系数表</w:t>
            </w:r>
          </w:p>
          <w:tbl>
            <w:tblPr>
              <w:tblStyle w:val="18"/>
              <w:tblW w:w="850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665"/>
              <w:gridCol w:w="932"/>
              <w:gridCol w:w="667"/>
              <w:gridCol w:w="1059"/>
              <w:gridCol w:w="1163"/>
              <w:gridCol w:w="750"/>
              <w:gridCol w:w="1537"/>
              <w:gridCol w:w="8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30" w:type="dxa"/>
                  <w:tcBorders>
                    <w:tl2br w:val="nil"/>
                    <w:tr2bl w:val="nil"/>
                  </w:tcBorders>
                  <w:vAlign w:val="center"/>
                </w:tcPr>
                <w:p>
                  <w:pPr>
                    <w:jc w:val="center"/>
                    <w:rPr>
                      <w:rFonts w:cs="Calibri"/>
                      <w:sz w:val="21"/>
                      <w:u w:val="single"/>
                    </w:rPr>
                  </w:pPr>
                  <w:r>
                    <w:rPr>
                      <w:rFonts w:cs="Calibri"/>
                      <w:sz w:val="21"/>
                      <w:u w:val="single"/>
                    </w:rPr>
                    <w:t>产品</w:t>
                  </w:r>
                </w:p>
                <w:p>
                  <w:pPr>
                    <w:jc w:val="center"/>
                    <w:rPr>
                      <w:rFonts w:cs="Calibri"/>
                      <w:sz w:val="21"/>
                      <w:u w:val="single"/>
                    </w:rPr>
                  </w:pPr>
                  <w:r>
                    <w:rPr>
                      <w:rFonts w:cs="Calibri"/>
                      <w:sz w:val="21"/>
                      <w:u w:val="single"/>
                    </w:rPr>
                    <w:t>名称</w:t>
                  </w:r>
                </w:p>
              </w:tc>
              <w:tc>
                <w:tcPr>
                  <w:tcW w:w="665" w:type="dxa"/>
                  <w:tcBorders>
                    <w:tl2br w:val="nil"/>
                    <w:tr2bl w:val="nil"/>
                  </w:tcBorders>
                  <w:vAlign w:val="center"/>
                </w:tcPr>
                <w:p>
                  <w:pPr>
                    <w:jc w:val="center"/>
                    <w:rPr>
                      <w:rFonts w:cs="Calibri"/>
                      <w:sz w:val="21"/>
                      <w:u w:val="single"/>
                    </w:rPr>
                  </w:pPr>
                  <w:r>
                    <w:rPr>
                      <w:rFonts w:cs="Calibri"/>
                      <w:sz w:val="21"/>
                      <w:u w:val="single"/>
                    </w:rPr>
                    <w:t>原料名称</w:t>
                  </w:r>
                </w:p>
              </w:tc>
              <w:tc>
                <w:tcPr>
                  <w:tcW w:w="932" w:type="dxa"/>
                  <w:tcBorders>
                    <w:tl2br w:val="nil"/>
                    <w:tr2bl w:val="nil"/>
                  </w:tcBorders>
                  <w:vAlign w:val="center"/>
                </w:tcPr>
                <w:p>
                  <w:pPr>
                    <w:jc w:val="center"/>
                    <w:rPr>
                      <w:rFonts w:cs="Calibri"/>
                      <w:sz w:val="21"/>
                      <w:u w:val="single"/>
                    </w:rPr>
                  </w:pPr>
                  <w:r>
                    <w:rPr>
                      <w:rFonts w:cs="Calibri"/>
                      <w:sz w:val="21"/>
                      <w:u w:val="single"/>
                    </w:rPr>
                    <w:t>工艺</w:t>
                  </w:r>
                </w:p>
                <w:p>
                  <w:pPr>
                    <w:jc w:val="center"/>
                    <w:rPr>
                      <w:rFonts w:cs="Calibri"/>
                      <w:sz w:val="21"/>
                      <w:u w:val="single"/>
                    </w:rPr>
                  </w:pPr>
                  <w:r>
                    <w:rPr>
                      <w:rFonts w:cs="Calibri"/>
                      <w:sz w:val="21"/>
                      <w:u w:val="single"/>
                    </w:rPr>
                    <w:t>名称</w:t>
                  </w:r>
                </w:p>
              </w:tc>
              <w:tc>
                <w:tcPr>
                  <w:tcW w:w="667" w:type="dxa"/>
                  <w:tcBorders>
                    <w:tl2br w:val="nil"/>
                    <w:tr2bl w:val="nil"/>
                  </w:tcBorders>
                  <w:vAlign w:val="center"/>
                </w:tcPr>
                <w:p>
                  <w:pPr>
                    <w:jc w:val="center"/>
                    <w:rPr>
                      <w:rFonts w:cs="Calibri"/>
                      <w:sz w:val="21"/>
                      <w:u w:val="single"/>
                    </w:rPr>
                  </w:pPr>
                  <w:r>
                    <w:rPr>
                      <w:rFonts w:cs="Calibri"/>
                      <w:sz w:val="21"/>
                      <w:u w:val="single"/>
                    </w:rPr>
                    <w:t>规模等级</w:t>
                  </w:r>
                </w:p>
              </w:tc>
              <w:tc>
                <w:tcPr>
                  <w:tcW w:w="1059" w:type="dxa"/>
                  <w:tcBorders>
                    <w:tl2br w:val="nil"/>
                    <w:tr2bl w:val="nil"/>
                  </w:tcBorders>
                  <w:vAlign w:val="center"/>
                </w:tcPr>
                <w:p>
                  <w:pPr>
                    <w:jc w:val="center"/>
                    <w:rPr>
                      <w:rFonts w:cs="Calibri"/>
                      <w:sz w:val="21"/>
                      <w:u w:val="single"/>
                    </w:rPr>
                  </w:pPr>
                  <w:r>
                    <w:rPr>
                      <w:rFonts w:cs="Calibri"/>
                      <w:sz w:val="21"/>
                      <w:u w:val="single"/>
                    </w:rPr>
                    <w:t>污染物</w:t>
                  </w:r>
                </w:p>
                <w:p>
                  <w:pPr>
                    <w:jc w:val="center"/>
                    <w:rPr>
                      <w:rFonts w:cs="Calibri"/>
                      <w:sz w:val="21"/>
                      <w:u w:val="single"/>
                    </w:rPr>
                  </w:pPr>
                  <w:r>
                    <w:rPr>
                      <w:rFonts w:cs="Calibri"/>
                      <w:sz w:val="21"/>
                      <w:u w:val="single"/>
                    </w:rPr>
                    <w:t>指标</w:t>
                  </w:r>
                </w:p>
              </w:tc>
              <w:tc>
                <w:tcPr>
                  <w:tcW w:w="1163" w:type="dxa"/>
                  <w:tcBorders>
                    <w:tl2br w:val="nil"/>
                    <w:tr2bl w:val="nil"/>
                  </w:tcBorders>
                  <w:vAlign w:val="center"/>
                </w:tcPr>
                <w:p>
                  <w:pPr>
                    <w:jc w:val="center"/>
                    <w:rPr>
                      <w:rFonts w:cs="Calibri"/>
                      <w:sz w:val="21"/>
                      <w:u w:val="single"/>
                    </w:rPr>
                  </w:pPr>
                  <w:r>
                    <w:rPr>
                      <w:rFonts w:cs="Calibri"/>
                      <w:sz w:val="21"/>
                      <w:u w:val="single"/>
                    </w:rPr>
                    <w:t>单位</w:t>
                  </w:r>
                </w:p>
              </w:tc>
              <w:tc>
                <w:tcPr>
                  <w:tcW w:w="750" w:type="dxa"/>
                  <w:tcBorders>
                    <w:tl2br w:val="nil"/>
                    <w:tr2bl w:val="nil"/>
                  </w:tcBorders>
                  <w:vAlign w:val="center"/>
                </w:tcPr>
                <w:p>
                  <w:pPr>
                    <w:jc w:val="center"/>
                    <w:rPr>
                      <w:rFonts w:cs="Calibri"/>
                      <w:sz w:val="21"/>
                      <w:u w:val="single"/>
                    </w:rPr>
                  </w:pPr>
                  <w:r>
                    <w:rPr>
                      <w:rFonts w:cs="Calibri"/>
                      <w:sz w:val="21"/>
                      <w:u w:val="single"/>
                    </w:rPr>
                    <w:t>产污系数</w:t>
                  </w:r>
                </w:p>
              </w:tc>
              <w:tc>
                <w:tcPr>
                  <w:tcW w:w="1537" w:type="dxa"/>
                  <w:tcBorders>
                    <w:tl2br w:val="nil"/>
                    <w:tr2bl w:val="nil"/>
                  </w:tcBorders>
                  <w:vAlign w:val="center"/>
                </w:tcPr>
                <w:p>
                  <w:pPr>
                    <w:jc w:val="center"/>
                    <w:rPr>
                      <w:rFonts w:cs="Calibri"/>
                      <w:sz w:val="21"/>
                      <w:u w:val="single"/>
                    </w:rPr>
                  </w:pPr>
                  <w:r>
                    <w:rPr>
                      <w:rFonts w:cs="Calibri"/>
                      <w:sz w:val="21"/>
                      <w:u w:val="single"/>
                    </w:rPr>
                    <w:t>末端治理技术名称</w:t>
                  </w:r>
                </w:p>
              </w:tc>
              <w:tc>
                <w:tcPr>
                  <w:tcW w:w="801" w:type="dxa"/>
                  <w:tcBorders>
                    <w:tl2br w:val="nil"/>
                    <w:tr2bl w:val="nil"/>
                  </w:tcBorders>
                  <w:vAlign w:val="center"/>
                </w:tcPr>
                <w:p>
                  <w:pPr>
                    <w:jc w:val="center"/>
                    <w:rPr>
                      <w:rFonts w:cs="Calibri"/>
                      <w:sz w:val="21"/>
                      <w:u w:val="single"/>
                    </w:rPr>
                  </w:pPr>
                  <w:r>
                    <w:rPr>
                      <w:rFonts w:cs="Calibri"/>
                      <w:sz w:val="21"/>
                      <w:u w:val="single"/>
                    </w:rPr>
                    <w:t>排污系数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0" w:type="dxa"/>
                  <w:vMerge w:val="restart"/>
                  <w:tcBorders>
                    <w:tl2br w:val="nil"/>
                    <w:tr2bl w:val="nil"/>
                  </w:tcBorders>
                  <w:vAlign w:val="center"/>
                </w:tcPr>
                <w:p>
                  <w:pPr>
                    <w:jc w:val="center"/>
                    <w:rPr>
                      <w:rFonts w:cs="Calibri"/>
                      <w:sz w:val="21"/>
                      <w:u w:val="single"/>
                    </w:rPr>
                  </w:pPr>
                  <w:r>
                    <w:rPr>
                      <w:rFonts w:cs="Calibri"/>
                      <w:sz w:val="21"/>
                      <w:u w:val="single"/>
                    </w:rPr>
                    <w:t>各种水泥制品</w:t>
                  </w:r>
                </w:p>
              </w:tc>
              <w:tc>
                <w:tcPr>
                  <w:tcW w:w="665" w:type="dxa"/>
                  <w:vMerge w:val="restart"/>
                  <w:tcBorders>
                    <w:tl2br w:val="nil"/>
                    <w:tr2bl w:val="nil"/>
                  </w:tcBorders>
                  <w:vAlign w:val="center"/>
                </w:tcPr>
                <w:p>
                  <w:pPr>
                    <w:jc w:val="center"/>
                    <w:rPr>
                      <w:rFonts w:cs="Calibri"/>
                      <w:sz w:val="21"/>
                      <w:u w:val="single"/>
                    </w:rPr>
                  </w:pPr>
                  <w:r>
                    <w:rPr>
                      <w:rFonts w:cs="Calibri"/>
                      <w:sz w:val="21"/>
                      <w:u w:val="single"/>
                    </w:rPr>
                    <w:t>水泥砂子石子等</w:t>
                  </w:r>
                </w:p>
              </w:tc>
              <w:tc>
                <w:tcPr>
                  <w:tcW w:w="932" w:type="dxa"/>
                  <w:vMerge w:val="restart"/>
                  <w:tcBorders>
                    <w:tl2br w:val="nil"/>
                    <w:tr2bl w:val="nil"/>
                  </w:tcBorders>
                  <w:vAlign w:val="center"/>
                </w:tcPr>
                <w:p>
                  <w:pPr>
                    <w:jc w:val="center"/>
                    <w:rPr>
                      <w:rFonts w:cs="Calibri"/>
                      <w:sz w:val="21"/>
                      <w:u w:val="single"/>
                    </w:rPr>
                  </w:pPr>
                  <w:r>
                    <w:rPr>
                      <w:rFonts w:cs="Calibri"/>
                      <w:sz w:val="21"/>
                      <w:u w:val="single"/>
                    </w:rPr>
                    <w:t>物料</w:t>
                  </w:r>
                </w:p>
                <w:p>
                  <w:pPr>
                    <w:jc w:val="center"/>
                    <w:rPr>
                      <w:rFonts w:cs="Calibri"/>
                      <w:sz w:val="21"/>
                      <w:u w:val="single"/>
                    </w:rPr>
                  </w:pPr>
                  <w:r>
                    <w:rPr>
                      <w:rFonts w:cs="Calibri"/>
                      <w:sz w:val="21"/>
                      <w:u w:val="single"/>
                    </w:rPr>
                    <w:t>输送</w:t>
                  </w:r>
                </w:p>
                <w:p>
                  <w:pPr>
                    <w:jc w:val="center"/>
                    <w:rPr>
                      <w:rFonts w:cs="Calibri"/>
                      <w:sz w:val="21"/>
                      <w:u w:val="single"/>
                    </w:rPr>
                  </w:pPr>
                  <w:r>
                    <w:rPr>
                      <w:rFonts w:cs="Calibri"/>
                      <w:sz w:val="21"/>
                      <w:u w:val="single"/>
                    </w:rPr>
                    <w:t>储存</w:t>
                  </w:r>
                </w:p>
                <w:p>
                  <w:pPr>
                    <w:jc w:val="center"/>
                    <w:rPr>
                      <w:rFonts w:cs="Calibri"/>
                      <w:sz w:val="21"/>
                      <w:u w:val="single"/>
                    </w:rPr>
                  </w:pPr>
                  <w:r>
                    <w:rPr>
                      <w:rFonts w:cs="Calibri"/>
                      <w:sz w:val="21"/>
                      <w:u w:val="single"/>
                    </w:rPr>
                    <w:t>工序</w:t>
                  </w:r>
                </w:p>
              </w:tc>
              <w:tc>
                <w:tcPr>
                  <w:tcW w:w="667" w:type="dxa"/>
                  <w:vMerge w:val="restart"/>
                  <w:tcBorders>
                    <w:tl2br w:val="nil"/>
                    <w:tr2bl w:val="nil"/>
                  </w:tcBorders>
                  <w:vAlign w:val="center"/>
                </w:tcPr>
                <w:p>
                  <w:pPr>
                    <w:jc w:val="center"/>
                    <w:rPr>
                      <w:rFonts w:cs="Calibri"/>
                      <w:sz w:val="21"/>
                      <w:u w:val="single"/>
                    </w:rPr>
                  </w:pPr>
                  <w:r>
                    <w:rPr>
                      <w:rFonts w:cs="Calibri"/>
                      <w:sz w:val="21"/>
                      <w:u w:val="single"/>
                    </w:rPr>
                    <w:t>所有</w:t>
                  </w:r>
                </w:p>
                <w:p>
                  <w:pPr>
                    <w:jc w:val="center"/>
                    <w:rPr>
                      <w:rFonts w:cs="Calibri"/>
                      <w:sz w:val="21"/>
                      <w:u w:val="single"/>
                    </w:rPr>
                  </w:pPr>
                  <w:r>
                    <w:rPr>
                      <w:rFonts w:cs="Calibri"/>
                      <w:sz w:val="21"/>
                      <w:u w:val="single"/>
                    </w:rPr>
                    <w:t>规模</w:t>
                  </w:r>
                </w:p>
              </w:tc>
              <w:tc>
                <w:tcPr>
                  <w:tcW w:w="1059" w:type="dxa"/>
                  <w:vMerge w:val="restart"/>
                  <w:tcBorders>
                    <w:tl2br w:val="nil"/>
                    <w:tr2bl w:val="nil"/>
                  </w:tcBorders>
                  <w:vAlign w:val="center"/>
                </w:tcPr>
                <w:p>
                  <w:pPr>
                    <w:jc w:val="center"/>
                    <w:rPr>
                      <w:rFonts w:cs="Calibri"/>
                      <w:sz w:val="21"/>
                      <w:u w:val="single"/>
                    </w:rPr>
                  </w:pPr>
                  <w:r>
                    <w:rPr>
                      <w:rFonts w:cs="Calibri"/>
                      <w:sz w:val="21"/>
                      <w:u w:val="single"/>
                    </w:rPr>
                    <w:t>工业</w:t>
                  </w:r>
                </w:p>
                <w:p>
                  <w:pPr>
                    <w:jc w:val="center"/>
                    <w:rPr>
                      <w:rFonts w:cs="Calibri"/>
                      <w:sz w:val="21"/>
                      <w:u w:val="single"/>
                    </w:rPr>
                  </w:pPr>
                  <w:r>
                    <w:rPr>
                      <w:rFonts w:cs="Calibri"/>
                      <w:sz w:val="21"/>
                      <w:u w:val="single"/>
                    </w:rPr>
                    <w:t>废气量</w:t>
                  </w:r>
                </w:p>
              </w:tc>
              <w:tc>
                <w:tcPr>
                  <w:tcW w:w="1163" w:type="dxa"/>
                  <w:vMerge w:val="restart"/>
                  <w:tcBorders>
                    <w:tl2br w:val="nil"/>
                    <w:tr2bl w:val="nil"/>
                  </w:tcBorders>
                  <w:vAlign w:val="center"/>
                </w:tcPr>
                <w:p>
                  <w:pPr>
                    <w:jc w:val="center"/>
                    <w:rPr>
                      <w:rFonts w:cs="Calibri"/>
                      <w:sz w:val="21"/>
                      <w:u w:val="single"/>
                    </w:rPr>
                  </w:pPr>
                  <w:r>
                    <w:rPr>
                      <w:rFonts w:cs="Calibri"/>
                      <w:sz w:val="21"/>
                      <w:u w:val="single"/>
                    </w:rPr>
                    <w:t>标立方米/吨-水泥</w:t>
                  </w:r>
                </w:p>
              </w:tc>
              <w:tc>
                <w:tcPr>
                  <w:tcW w:w="750" w:type="dxa"/>
                  <w:vMerge w:val="restart"/>
                  <w:tcBorders>
                    <w:tl2br w:val="nil"/>
                    <w:tr2bl w:val="nil"/>
                  </w:tcBorders>
                  <w:vAlign w:val="center"/>
                </w:tcPr>
                <w:p>
                  <w:pPr>
                    <w:jc w:val="center"/>
                    <w:rPr>
                      <w:rFonts w:cs="Calibri"/>
                      <w:sz w:val="21"/>
                      <w:u w:val="single"/>
                    </w:rPr>
                  </w:pPr>
                  <w:r>
                    <w:rPr>
                      <w:rFonts w:cs="Calibri"/>
                      <w:sz w:val="21"/>
                      <w:u w:val="single"/>
                    </w:rPr>
                    <w:t>460</w:t>
                  </w:r>
                </w:p>
              </w:tc>
              <w:tc>
                <w:tcPr>
                  <w:tcW w:w="1537" w:type="dxa"/>
                  <w:tcBorders>
                    <w:tl2br w:val="nil"/>
                    <w:tr2bl w:val="nil"/>
                  </w:tcBorders>
                  <w:vAlign w:val="center"/>
                </w:tcPr>
                <w:p>
                  <w:pPr>
                    <w:jc w:val="center"/>
                    <w:rPr>
                      <w:rFonts w:cs="Calibri"/>
                      <w:sz w:val="21"/>
                      <w:u w:val="single"/>
                    </w:rPr>
                  </w:pPr>
                  <w:r>
                    <w:rPr>
                      <w:rFonts w:cs="Calibri"/>
                      <w:sz w:val="21"/>
                      <w:u w:val="single"/>
                    </w:rPr>
                    <w:t>直排</w:t>
                  </w:r>
                </w:p>
              </w:tc>
              <w:tc>
                <w:tcPr>
                  <w:tcW w:w="801" w:type="dxa"/>
                  <w:tcBorders>
                    <w:tl2br w:val="nil"/>
                    <w:tr2bl w:val="nil"/>
                  </w:tcBorders>
                  <w:vAlign w:val="center"/>
                </w:tcPr>
                <w:p>
                  <w:pPr>
                    <w:jc w:val="center"/>
                    <w:rPr>
                      <w:rFonts w:cs="Calibri"/>
                      <w:sz w:val="21"/>
                      <w:u w:val="single"/>
                    </w:rPr>
                  </w:pPr>
                  <w:r>
                    <w:rPr>
                      <w:rFonts w:cs="Calibri"/>
                      <w:sz w:val="21"/>
                      <w:u w:val="single"/>
                    </w:rPr>
                    <w:t>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0" w:type="dxa"/>
                  <w:vMerge w:val="continue"/>
                  <w:tcBorders>
                    <w:tl2br w:val="nil"/>
                    <w:tr2bl w:val="nil"/>
                  </w:tcBorders>
                  <w:vAlign w:val="center"/>
                </w:tcPr>
                <w:p>
                  <w:pPr>
                    <w:jc w:val="center"/>
                    <w:rPr>
                      <w:rFonts w:cs="Calibri"/>
                      <w:sz w:val="21"/>
                      <w:u w:val="single"/>
                    </w:rPr>
                    <w:pPrChange w:id="0" w:author="Administrator" w:date="2016-11-24T08:56:00Z">
                      <w:pPr>
                        <w:tabs>
                          <w:tab w:val="left" w:pos="-2848"/>
                        </w:tabs>
                      </w:pPr>
                    </w:pPrChange>
                  </w:pPr>
                </w:p>
              </w:tc>
              <w:tc>
                <w:tcPr>
                  <w:tcW w:w="665" w:type="dxa"/>
                  <w:vMerge w:val="continue"/>
                  <w:tcBorders>
                    <w:tl2br w:val="nil"/>
                    <w:tr2bl w:val="nil"/>
                  </w:tcBorders>
                  <w:vAlign w:val="center"/>
                </w:tcPr>
                <w:p>
                  <w:pPr>
                    <w:jc w:val="center"/>
                    <w:rPr>
                      <w:rFonts w:cs="Calibri"/>
                      <w:sz w:val="21"/>
                      <w:u w:val="single"/>
                    </w:rPr>
                    <w:pPrChange w:id="1" w:author="Administrator" w:date="2016-11-24T08:56:00Z">
                      <w:pPr>
                        <w:tabs>
                          <w:tab w:val="left" w:pos="-2848"/>
                        </w:tabs>
                      </w:pPr>
                    </w:pPrChange>
                  </w:pPr>
                </w:p>
              </w:tc>
              <w:tc>
                <w:tcPr>
                  <w:tcW w:w="932" w:type="dxa"/>
                  <w:vMerge w:val="continue"/>
                  <w:tcBorders>
                    <w:tl2br w:val="nil"/>
                    <w:tr2bl w:val="nil"/>
                  </w:tcBorders>
                  <w:vAlign w:val="center"/>
                </w:tcPr>
                <w:p>
                  <w:pPr>
                    <w:jc w:val="center"/>
                    <w:rPr>
                      <w:rFonts w:cs="Calibri"/>
                      <w:sz w:val="21"/>
                      <w:u w:val="single"/>
                    </w:rPr>
                    <w:pPrChange w:id="2" w:author="Administrator" w:date="2016-11-24T08:56:00Z">
                      <w:pPr>
                        <w:tabs>
                          <w:tab w:val="left" w:pos="-2848"/>
                        </w:tabs>
                      </w:pPr>
                    </w:pPrChange>
                  </w:pPr>
                </w:p>
              </w:tc>
              <w:tc>
                <w:tcPr>
                  <w:tcW w:w="667" w:type="dxa"/>
                  <w:vMerge w:val="continue"/>
                  <w:tcBorders>
                    <w:tl2br w:val="nil"/>
                    <w:tr2bl w:val="nil"/>
                  </w:tcBorders>
                  <w:vAlign w:val="center"/>
                </w:tcPr>
                <w:p>
                  <w:pPr>
                    <w:jc w:val="center"/>
                    <w:rPr>
                      <w:rFonts w:cs="Calibri"/>
                      <w:sz w:val="21"/>
                      <w:u w:val="single"/>
                    </w:rPr>
                    <w:pPrChange w:id="3" w:author="Administrator" w:date="2016-11-24T08:56:00Z">
                      <w:pPr>
                        <w:tabs>
                          <w:tab w:val="left" w:pos="-2848"/>
                        </w:tabs>
                      </w:pPr>
                    </w:pPrChange>
                  </w:pPr>
                </w:p>
              </w:tc>
              <w:tc>
                <w:tcPr>
                  <w:tcW w:w="1059" w:type="dxa"/>
                  <w:vMerge w:val="continue"/>
                  <w:tcBorders>
                    <w:tl2br w:val="nil"/>
                    <w:tr2bl w:val="nil"/>
                  </w:tcBorders>
                  <w:vAlign w:val="center"/>
                </w:tcPr>
                <w:p>
                  <w:pPr>
                    <w:jc w:val="center"/>
                    <w:rPr>
                      <w:rFonts w:cs="Calibri"/>
                      <w:sz w:val="21"/>
                      <w:u w:val="single"/>
                    </w:rPr>
                    <w:pPrChange w:id="4" w:author="Administrator" w:date="2016-11-24T08:56:00Z">
                      <w:pPr>
                        <w:tabs>
                          <w:tab w:val="left" w:pos="-2848"/>
                        </w:tabs>
                      </w:pPr>
                    </w:pPrChange>
                  </w:pPr>
                </w:p>
              </w:tc>
              <w:tc>
                <w:tcPr>
                  <w:tcW w:w="1163" w:type="dxa"/>
                  <w:vMerge w:val="continue"/>
                  <w:tcBorders>
                    <w:tl2br w:val="nil"/>
                    <w:tr2bl w:val="nil"/>
                  </w:tcBorders>
                  <w:vAlign w:val="center"/>
                </w:tcPr>
                <w:p>
                  <w:pPr>
                    <w:jc w:val="center"/>
                    <w:rPr>
                      <w:rFonts w:cs="Calibri"/>
                      <w:sz w:val="21"/>
                      <w:u w:val="single"/>
                    </w:rPr>
                    <w:pPrChange w:id="5" w:author="Administrator" w:date="2016-11-24T08:56:00Z">
                      <w:pPr>
                        <w:tabs>
                          <w:tab w:val="left" w:pos="-2848"/>
                        </w:tabs>
                      </w:pPr>
                    </w:pPrChange>
                  </w:pPr>
                </w:p>
              </w:tc>
              <w:tc>
                <w:tcPr>
                  <w:tcW w:w="750" w:type="dxa"/>
                  <w:vMerge w:val="continue"/>
                  <w:tcBorders>
                    <w:tl2br w:val="nil"/>
                    <w:tr2bl w:val="nil"/>
                  </w:tcBorders>
                  <w:vAlign w:val="center"/>
                </w:tcPr>
                <w:p>
                  <w:pPr>
                    <w:jc w:val="center"/>
                    <w:rPr>
                      <w:rFonts w:cs="Calibri"/>
                      <w:sz w:val="21"/>
                      <w:u w:val="single"/>
                    </w:rPr>
                    <w:pPrChange w:id="6" w:author="Administrator" w:date="2016-11-24T08:56:00Z">
                      <w:pPr>
                        <w:tabs>
                          <w:tab w:val="left" w:pos="-2848"/>
                        </w:tabs>
                      </w:pPr>
                    </w:pPrChange>
                  </w:pPr>
                </w:p>
              </w:tc>
              <w:tc>
                <w:tcPr>
                  <w:tcW w:w="1537" w:type="dxa"/>
                  <w:tcBorders>
                    <w:tl2br w:val="nil"/>
                    <w:tr2bl w:val="nil"/>
                  </w:tcBorders>
                  <w:vAlign w:val="center"/>
                </w:tcPr>
                <w:p>
                  <w:pPr>
                    <w:jc w:val="center"/>
                    <w:rPr>
                      <w:rFonts w:cs="Calibri"/>
                      <w:sz w:val="21"/>
                      <w:u w:val="single"/>
                    </w:rPr>
                    <w:pPrChange w:id="7" w:author="Administrator" w:date="2016-11-24T08:56:00Z">
                      <w:pPr>
                        <w:tabs>
                          <w:tab w:val="left" w:pos="-2848"/>
                        </w:tabs>
                      </w:pPr>
                    </w:pPrChange>
                  </w:pPr>
                  <w:r>
                    <w:rPr>
                      <w:rFonts w:cs="Calibri"/>
                      <w:sz w:val="21"/>
                      <w:u w:val="single"/>
                    </w:rPr>
                    <w:t>过滤式除尘法</w:t>
                  </w:r>
                </w:p>
              </w:tc>
              <w:tc>
                <w:tcPr>
                  <w:tcW w:w="801" w:type="dxa"/>
                  <w:tcBorders>
                    <w:tl2br w:val="nil"/>
                    <w:tr2bl w:val="nil"/>
                  </w:tcBorders>
                  <w:vAlign w:val="center"/>
                </w:tcPr>
                <w:p>
                  <w:pPr>
                    <w:jc w:val="center"/>
                    <w:rPr>
                      <w:rFonts w:cs="Calibri"/>
                      <w:sz w:val="21"/>
                      <w:u w:val="single"/>
                    </w:rPr>
                    <w:pPrChange w:id="8" w:author="Administrator" w:date="2016-11-24T08:56:00Z">
                      <w:pPr>
                        <w:tabs>
                          <w:tab w:val="left" w:pos="-2848"/>
                        </w:tabs>
                      </w:pPr>
                    </w:pPrChange>
                  </w:pPr>
                  <w:r>
                    <w:rPr>
                      <w:rFonts w:cs="Calibri"/>
                      <w:sz w:val="21"/>
                      <w:u w:val="single"/>
                    </w:rPr>
                    <w:t>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0" w:type="dxa"/>
                  <w:vMerge w:val="continue"/>
                  <w:tcBorders>
                    <w:tl2br w:val="nil"/>
                    <w:tr2bl w:val="nil"/>
                  </w:tcBorders>
                  <w:vAlign w:val="center"/>
                </w:tcPr>
                <w:p>
                  <w:pPr>
                    <w:jc w:val="center"/>
                    <w:rPr>
                      <w:rFonts w:cs="Calibri"/>
                      <w:sz w:val="21"/>
                      <w:u w:val="single"/>
                    </w:rPr>
                    <w:pPrChange w:id="9" w:author="Administrator" w:date="2016-11-24T08:56:00Z">
                      <w:pPr>
                        <w:tabs>
                          <w:tab w:val="left" w:pos="-2848"/>
                        </w:tabs>
                      </w:pPr>
                    </w:pPrChange>
                  </w:pPr>
                </w:p>
              </w:tc>
              <w:tc>
                <w:tcPr>
                  <w:tcW w:w="665" w:type="dxa"/>
                  <w:vMerge w:val="continue"/>
                  <w:tcBorders>
                    <w:tl2br w:val="nil"/>
                    <w:tr2bl w:val="nil"/>
                  </w:tcBorders>
                  <w:vAlign w:val="center"/>
                </w:tcPr>
                <w:p>
                  <w:pPr>
                    <w:jc w:val="center"/>
                    <w:rPr>
                      <w:rFonts w:cs="Calibri"/>
                      <w:sz w:val="21"/>
                      <w:u w:val="single"/>
                    </w:rPr>
                    <w:pPrChange w:id="10" w:author="Administrator" w:date="2016-11-24T08:56:00Z">
                      <w:pPr>
                        <w:tabs>
                          <w:tab w:val="left" w:pos="-2848"/>
                        </w:tabs>
                      </w:pPr>
                    </w:pPrChange>
                  </w:pPr>
                </w:p>
              </w:tc>
              <w:tc>
                <w:tcPr>
                  <w:tcW w:w="932" w:type="dxa"/>
                  <w:vMerge w:val="continue"/>
                  <w:tcBorders>
                    <w:tl2br w:val="nil"/>
                    <w:tr2bl w:val="nil"/>
                  </w:tcBorders>
                  <w:vAlign w:val="center"/>
                </w:tcPr>
                <w:p>
                  <w:pPr>
                    <w:jc w:val="center"/>
                    <w:rPr>
                      <w:rFonts w:cs="Calibri"/>
                      <w:sz w:val="21"/>
                      <w:u w:val="single"/>
                    </w:rPr>
                    <w:pPrChange w:id="11" w:author="Administrator" w:date="2016-11-24T08:56:00Z">
                      <w:pPr>
                        <w:tabs>
                          <w:tab w:val="left" w:pos="-2848"/>
                        </w:tabs>
                      </w:pPr>
                    </w:pPrChange>
                  </w:pPr>
                </w:p>
              </w:tc>
              <w:tc>
                <w:tcPr>
                  <w:tcW w:w="667" w:type="dxa"/>
                  <w:vMerge w:val="continue"/>
                  <w:tcBorders>
                    <w:tl2br w:val="nil"/>
                    <w:tr2bl w:val="nil"/>
                  </w:tcBorders>
                  <w:vAlign w:val="center"/>
                </w:tcPr>
                <w:p>
                  <w:pPr>
                    <w:jc w:val="center"/>
                    <w:rPr>
                      <w:rFonts w:cs="Calibri"/>
                      <w:sz w:val="21"/>
                      <w:u w:val="single"/>
                    </w:rPr>
                    <w:pPrChange w:id="12" w:author="Administrator" w:date="2016-11-24T08:56:00Z">
                      <w:pPr>
                        <w:tabs>
                          <w:tab w:val="left" w:pos="-2848"/>
                        </w:tabs>
                      </w:pPr>
                    </w:pPrChange>
                  </w:pPr>
                </w:p>
              </w:tc>
              <w:tc>
                <w:tcPr>
                  <w:tcW w:w="1059" w:type="dxa"/>
                  <w:vMerge w:val="restart"/>
                  <w:tcBorders>
                    <w:tl2br w:val="nil"/>
                    <w:tr2bl w:val="nil"/>
                  </w:tcBorders>
                  <w:vAlign w:val="center"/>
                </w:tcPr>
                <w:p>
                  <w:pPr>
                    <w:jc w:val="center"/>
                    <w:rPr>
                      <w:rFonts w:cs="Calibri"/>
                      <w:sz w:val="21"/>
                      <w:u w:val="single"/>
                    </w:rPr>
                    <w:pPrChange w:id="13" w:author="Administrator" w:date="2016-11-24T08:56:00Z">
                      <w:pPr>
                        <w:tabs>
                          <w:tab w:val="left" w:pos="-2848"/>
                        </w:tabs>
                      </w:pPr>
                    </w:pPrChange>
                  </w:pPr>
                  <w:r>
                    <w:rPr>
                      <w:rFonts w:cs="Calibri"/>
                      <w:sz w:val="21"/>
                      <w:u w:val="single"/>
                    </w:rPr>
                    <w:t>工业</w:t>
                  </w:r>
                </w:p>
                <w:p>
                  <w:pPr>
                    <w:jc w:val="center"/>
                    <w:rPr>
                      <w:rFonts w:cs="Calibri"/>
                      <w:sz w:val="21"/>
                      <w:u w:val="single"/>
                    </w:rPr>
                    <w:pPrChange w:id="14" w:author="Administrator" w:date="2016-11-24T08:56:00Z">
                      <w:pPr>
                        <w:tabs>
                          <w:tab w:val="left" w:pos="-2848"/>
                        </w:tabs>
                      </w:pPr>
                    </w:pPrChange>
                  </w:pPr>
                  <w:r>
                    <w:rPr>
                      <w:rFonts w:cs="Calibri"/>
                      <w:sz w:val="21"/>
                      <w:u w:val="single"/>
                    </w:rPr>
                    <w:t>粉尘</w:t>
                  </w:r>
                </w:p>
              </w:tc>
              <w:tc>
                <w:tcPr>
                  <w:tcW w:w="1163" w:type="dxa"/>
                  <w:vMerge w:val="restart"/>
                  <w:tcBorders>
                    <w:tl2br w:val="nil"/>
                    <w:tr2bl w:val="nil"/>
                  </w:tcBorders>
                  <w:vAlign w:val="center"/>
                </w:tcPr>
                <w:p>
                  <w:pPr>
                    <w:jc w:val="center"/>
                    <w:rPr>
                      <w:rFonts w:cs="Calibri"/>
                      <w:sz w:val="21"/>
                      <w:u w:val="single"/>
                    </w:rPr>
                    <w:pPrChange w:id="15" w:author="Administrator" w:date="2016-11-24T08:56:00Z">
                      <w:pPr>
                        <w:tabs>
                          <w:tab w:val="left" w:pos="-2848"/>
                        </w:tabs>
                      </w:pPr>
                    </w:pPrChange>
                  </w:pPr>
                  <w:r>
                    <w:rPr>
                      <w:rFonts w:cs="Calibri"/>
                      <w:sz w:val="21"/>
                      <w:u w:val="single"/>
                    </w:rPr>
                    <w:t>千克/吨-水泥</w:t>
                  </w:r>
                </w:p>
              </w:tc>
              <w:tc>
                <w:tcPr>
                  <w:tcW w:w="750" w:type="dxa"/>
                  <w:vMerge w:val="restart"/>
                  <w:tcBorders>
                    <w:tl2br w:val="nil"/>
                    <w:tr2bl w:val="nil"/>
                  </w:tcBorders>
                  <w:vAlign w:val="center"/>
                </w:tcPr>
                <w:p>
                  <w:pPr>
                    <w:jc w:val="center"/>
                    <w:rPr>
                      <w:rFonts w:cs="Calibri"/>
                      <w:sz w:val="21"/>
                      <w:u w:val="single"/>
                    </w:rPr>
                    <w:pPrChange w:id="16" w:author="Administrator" w:date="2016-11-24T08:56:00Z">
                      <w:pPr>
                        <w:tabs>
                          <w:tab w:val="left" w:pos="-2848"/>
                        </w:tabs>
                      </w:pPr>
                    </w:pPrChange>
                  </w:pPr>
                  <w:r>
                    <w:rPr>
                      <w:rFonts w:cs="Calibri"/>
                      <w:sz w:val="21"/>
                      <w:u w:val="single"/>
                    </w:rPr>
                    <w:t>2.09</w:t>
                  </w:r>
                </w:p>
              </w:tc>
              <w:tc>
                <w:tcPr>
                  <w:tcW w:w="1537" w:type="dxa"/>
                  <w:tcBorders>
                    <w:tl2br w:val="nil"/>
                    <w:tr2bl w:val="nil"/>
                  </w:tcBorders>
                  <w:vAlign w:val="center"/>
                </w:tcPr>
                <w:p>
                  <w:pPr>
                    <w:jc w:val="center"/>
                    <w:rPr>
                      <w:rFonts w:cs="Calibri"/>
                      <w:sz w:val="21"/>
                      <w:u w:val="single"/>
                    </w:rPr>
                    <w:pPrChange w:id="17" w:author="Administrator" w:date="2016-11-24T08:56:00Z">
                      <w:pPr>
                        <w:tabs>
                          <w:tab w:val="left" w:pos="-2848"/>
                        </w:tabs>
                      </w:pPr>
                    </w:pPrChange>
                  </w:pPr>
                  <w:r>
                    <w:rPr>
                      <w:rFonts w:cs="Calibri"/>
                      <w:sz w:val="21"/>
                      <w:u w:val="single"/>
                    </w:rPr>
                    <w:t>直排</w:t>
                  </w:r>
                </w:p>
              </w:tc>
              <w:tc>
                <w:tcPr>
                  <w:tcW w:w="801" w:type="dxa"/>
                  <w:tcBorders>
                    <w:tl2br w:val="nil"/>
                    <w:tr2bl w:val="nil"/>
                  </w:tcBorders>
                  <w:vAlign w:val="center"/>
                </w:tcPr>
                <w:p>
                  <w:pPr>
                    <w:jc w:val="center"/>
                    <w:rPr>
                      <w:rFonts w:cs="Calibri"/>
                      <w:sz w:val="21"/>
                      <w:u w:val="single"/>
                    </w:rPr>
                    <w:pPrChange w:id="18" w:author="Administrator" w:date="2016-11-24T08:56:00Z">
                      <w:pPr>
                        <w:tabs>
                          <w:tab w:val="left" w:pos="-2848"/>
                        </w:tabs>
                      </w:pPr>
                    </w:pPrChange>
                  </w:pPr>
                  <w:r>
                    <w:rPr>
                      <w:rFonts w:cs="Calibri"/>
                      <w:sz w:val="21"/>
                      <w:u w:val="single"/>
                    </w:rPr>
                    <w:t>2.09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0" w:type="dxa"/>
                  <w:vMerge w:val="continue"/>
                  <w:tcBorders>
                    <w:tl2br w:val="nil"/>
                    <w:tr2bl w:val="nil"/>
                  </w:tcBorders>
                  <w:vAlign w:val="center"/>
                </w:tcPr>
                <w:p>
                  <w:pPr>
                    <w:jc w:val="center"/>
                    <w:rPr>
                      <w:rFonts w:cs="Calibri"/>
                      <w:sz w:val="21"/>
                      <w:u w:val="single"/>
                    </w:rPr>
                    <w:pPrChange w:id="19" w:author="Administrator" w:date="2016-11-24T08:56:00Z">
                      <w:pPr>
                        <w:tabs>
                          <w:tab w:val="left" w:pos="-2848"/>
                        </w:tabs>
                      </w:pPr>
                    </w:pPrChange>
                  </w:pPr>
                </w:p>
              </w:tc>
              <w:tc>
                <w:tcPr>
                  <w:tcW w:w="665" w:type="dxa"/>
                  <w:vMerge w:val="continue"/>
                  <w:tcBorders>
                    <w:tl2br w:val="nil"/>
                    <w:tr2bl w:val="nil"/>
                  </w:tcBorders>
                  <w:vAlign w:val="center"/>
                </w:tcPr>
                <w:p>
                  <w:pPr>
                    <w:jc w:val="center"/>
                    <w:rPr>
                      <w:rFonts w:cs="Calibri"/>
                      <w:sz w:val="21"/>
                      <w:u w:val="single"/>
                    </w:rPr>
                    <w:pPrChange w:id="20" w:author="Administrator" w:date="2016-11-24T08:56:00Z">
                      <w:pPr>
                        <w:tabs>
                          <w:tab w:val="left" w:pos="-2848"/>
                        </w:tabs>
                      </w:pPr>
                    </w:pPrChange>
                  </w:pPr>
                </w:p>
              </w:tc>
              <w:tc>
                <w:tcPr>
                  <w:tcW w:w="932" w:type="dxa"/>
                  <w:vMerge w:val="continue"/>
                  <w:tcBorders>
                    <w:tl2br w:val="nil"/>
                    <w:tr2bl w:val="nil"/>
                  </w:tcBorders>
                  <w:vAlign w:val="center"/>
                </w:tcPr>
                <w:p>
                  <w:pPr>
                    <w:jc w:val="center"/>
                    <w:rPr>
                      <w:rFonts w:cs="Calibri"/>
                      <w:sz w:val="21"/>
                      <w:u w:val="single"/>
                    </w:rPr>
                    <w:pPrChange w:id="21" w:author="Administrator" w:date="2016-11-24T08:56:00Z">
                      <w:pPr>
                        <w:tabs>
                          <w:tab w:val="left" w:pos="-2848"/>
                        </w:tabs>
                      </w:pPr>
                    </w:pPrChange>
                  </w:pPr>
                </w:p>
              </w:tc>
              <w:tc>
                <w:tcPr>
                  <w:tcW w:w="667" w:type="dxa"/>
                  <w:vMerge w:val="continue"/>
                  <w:tcBorders>
                    <w:tl2br w:val="nil"/>
                    <w:tr2bl w:val="nil"/>
                  </w:tcBorders>
                  <w:vAlign w:val="center"/>
                </w:tcPr>
                <w:p>
                  <w:pPr>
                    <w:jc w:val="center"/>
                    <w:rPr>
                      <w:rFonts w:cs="Calibri"/>
                      <w:sz w:val="21"/>
                      <w:u w:val="single"/>
                    </w:rPr>
                    <w:pPrChange w:id="22" w:author="Administrator" w:date="2016-11-24T08:56:00Z">
                      <w:pPr>
                        <w:tabs>
                          <w:tab w:val="left" w:pos="-2848"/>
                        </w:tabs>
                      </w:pPr>
                    </w:pPrChange>
                  </w:pPr>
                </w:p>
              </w:tc>
              <w:tc>
                <w:tcPr>
                  <w:tcW w:w="1059" w:type="dxa"/>
                  <w:vMerge w:val="continue"/>
                  <w:tcBorders>
                    <w:tl2br w:val="nil"/>
                    <w:tr2bl w:val="nil"/>
                  </w:tcBorders>
                  <w:vAlign w:val="center"/>
                </w:tcPr>
                <w:p>
                  <w:pPr>
                    <w:jc w:val="center"/>
                    <w:rPr>
                      <w:rFonts w:cs="Calibri"/>
                      <w:sz w:val="21"/>
                      <w:u w:val="single"/>
                    </w:rPr>
                    <w:pPrChange w:id="23" w:author="Administrator" w:date="2016-11-24T08:56:00Z">
                      <w:pPr>
                        <w:tabs>
                          <w:tab w:val="left" w:pos="-2848"/>
                        </w:tabs>
                      </w:pPr>
                    </w:pPrChange>
                  </w:pPr>
                </w:p>
              </w:tc>
              <w:tc>
                <w:tcPr>
                  <w:tcW w:w="1163" w:type="dxa"/>
                  <w:vMerge w:val="continue"/>
                  <w:tcBorders>
                    <w:tl2br w:val="nil"/>
                    <w:tr2bl w:val="nil"/>
                  </w:tcBorders>
                  <w:vAlign w:val="center"/>
                </w:tcPr>
                <w:p>
                  <w:pPr>
                    <w:jc w:val="center"/>
                    <w:rPr>
                      <w:rFonts w:cs="Calibri"/>
                      <w:sz w:val="21"/>
                      <w:u w:val="single"/>
                    </w:rPr>
                    <w:pPrChange w:id="24" w:author="Administrator" w:date="2016-11-24T08:56:00Z">
                      <w:pPr>
                        <w:tabs>
                          <w:tab w:val="left" w:pos="-2848"/>
                        </w:tabs>
                      </w:pPr>
                    </w:pPrChange>
                  </w:pPr>
                </w:p>
              </w:tc>
              <w:tc>
                <w:tcPr>
                  <w:tcW w:w="750" w:type="dxa"/>
                  <w:vMerge w:val="continue"/>
                  <w:tcBorders>
                    <w:tl2br w:val="nil"/>
                    <w:tr2bl w:val="nil"/>
                  </w:tcBorders>
                  <w:vAlign w:val="center"/>
                </w:tcPr>
                <w:p>
                  <w:pPr>
                    <w:jc w:val="center"/>
                    <w:rPr>
                      <w:rFonts w:cs="Calibri"/>
                      <w:sz w:val="21"/>
                      <w:u w:val="single"/>
                    </w:rPr>
                    <w:pPrChange w:id="25" w:author="Administrator" w:date="2016-11-24T08:56:00Z">
                      <w:pPr>
                        <w:tabs>
                          <w:tab w:val="left" w:pos="-2848"/>
                        </w:tabs>
                      </w:pPr>
                    </w:pPrChange>
                  </w:pPr>
                </w:p>
              </w:tc>
              <w:tc>
                <w:tcPr>
                  <w:tcW w:w="1537" w:type="dxa"/>
                  <w:tcBorders>
                    <w:tl2br w:val="nil"/>
                    <w:tr2bl w:val="nil"/>
                  </w:tcBorders>
                  <w:vAlign w:val="center"/>
                </w:tcPr>
                <w:p>
                  <w:pPr>
                    <w:jc w:val="center"/>
                    <w:rPr>
                      <w:rFonts w:cs="Calibri"/>
                      <w:sz w:val="21"/>
                      <w:u w:val="single"/>
                    </w:rPr>
                    <w:pPrChange w:id="26" w:author="Administrator" w:date="2016-11-24T08:56:00Z">
                      <w:pPr>
                        <w:tabs>
                          <w:tab w:val="left" w:pos="-2848"/>
                        </w:tabs>
                      </w:pPr>
                    </w:pPrChange>
                  </w:pPr>
                  <w:r>
                    <w:rPr>
                      <w:rFonts w:cs="Calibri"/>
                      <w:sz w:val="21"/>
                      <w:u w:val="single"/>
                    </w:rPr>
                    <w:t>过滤式除尘法</w:t>
                  </w:r>
                </w:p>
              </w:tc>
              <w:tc>
                <w:tcPr>
                  <w:tcW w:w="801" w:type="dxa"/>
                  <w:tcBorders>
                    <w:tl2br w:val="nil"/>
                    <w:tr2bl w:val="nil"/>
                  </w:tcBorders>
                  <w:vAlign w:val="center"/>
                </w:tcPr>
                <w:p>
                  <w:pPr>
                    <w:jc w:val="center"/>
                    <w:rPr>
                      <w:rFonts w:cs="Calibri"/>
                      <w:sz w:val="21"/>
                      <w:u w:val="single"/>
                    </w:rPr>
                    <w:pPrChange w:id="27" w:author="Administrator" w:date="2016-11-24T08:56:00Z">
                      <w:pPr>
                        <w:tabs>
                          <w:tab w:val="left" w:pos="-2848"/>
                        </w:tabs>
                      </w:pPr>
                    </w:pPrChange>
                  </w:pPr>
                  <w:r>
                    <w:rPr>
                      <w:rFonts w:cs="Calibri"/>
                      <w:sz w:val="21"/>
                      <w:u w:val="single"/>
                    </w:rPr>
                    <w:t>0.023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0" w:type="dxa"/>
                  <w:vMerge w:val="continue"/>
                  <w:tcBorders>
                    <w:tl2br w:val="nil"/>
                    <w:tr2bl w:val="nil"/>
                  </w:tcBorders>
                  <w:vAlign w:val="center"/>
                </w:tcPr>
                <w:p>
                  <w:pPr>
                    <w:jc w:val="center"/>
                    <w:rPr>
                      <w:rFonts w:cs="Calibri"/>
                      <w:sz w:val="21"/>
                      <w:u w:val="single"/>
                    </w:rPr>
                    <w:pPrChange w:id="28" w:author="Administrator" w:date="2016-11-24T08:56:00Z">
                      <w:pPr>
                        <w:tabs>
                          <w:tab w:val="left" w:pos="-2848"/>
                        </w:tabs>
                      </w:pPr>
                    </w:pPrChange>
                  </w:pPr>
                </w:p>
              </w:tc>
              <w:tc>
                <w:tcPr>
                  <w:tcW w:w="665" w:type="dxa"/>
                  <w:vMerge w:val="continue"/>
                  <w:tcBorders>
                    <w:tl2br w:val="nil"/>
                    <w:tr2bl w:val="nil"/>
                  </w:tcBorders>
                  <w:vAlign w:val="center"/>
                </w:tcPr>
                <w:p>
                  <w:pPr>
                    <w:jc w:val="center"/>
                    <w:rPr>
                      <w:rFonts w:cs="Calibri"/>
                      <w:sz w:val="21"/>
                      <w:u w:val="single"/>
                    </w:rPr>
                    <w:pPrChange w:id="29" w:author="Administrator" w:date="2016-11-24T08:56:00Z">
                      <w:pPr>
                        <w:tabs>
                          <w:tab w:val="left" w:pos="-2848"/>
                        </w:tabs>
                      </w:pPr>
                    </w:pPrChange>
                  </w:pPr>
                </w:p>
              </w:tc>
              <w:tc>
                <w:tcPr>
                  <w:tcW w:w="932" w:type="dxa"/>
                  <w:vMerge w:val="restart"/>
                  <w:tcBorders>
                    <w:tl2br w:val="nil"/>
                    <w:tr2bl w:val="nil"/>
                  </w:tcBorders>
                  <w:vAlign w:val="center"/>
                </w:tcPr>
                <w:p>
                  <w:pPr>
                    <w:jc w:val="center"/>
                    <w:rPr>
                      <w:rFonts w:cs="Calibri"/>
                      <w:sz w:val="21"/>
                      <w:u w:val="single"/>
                    </w:rPr>
                    <w:pPrChange w:id="30" w:author="Administrator" w:date="2016-11-24T08:56:00Z">
                      <w:pPr>
                        <w:tabs>
                          <w:tab w:val="left" w:pos="-2848"/>
                        </w:tabs>
                      </w:pPr>
                    </w:pPrChange>
                  </w:pPr>
                  <w:r>
                    <w:rPr>
                      <w:rFonts w:cs="Calibri"/>
                      <w:sz w:val="21"/>
                      <w:u w:val="single"/>
                    </w:rPr>
                    <w:t>物料</w:t>
                  </w:r>
                </w:p>
                <w:p>
                  <w:pPr>
                    <w:jc w:val="center"/>
                    <w:rPr>
                      <w:rFonts w:cs="Calibri"/>
                      <w:sz w:val="21"/>
                      <w:u w:val="single"/>
                    </w:rPr>
                    <w:pPrChange w:id="31" w:author="Administrator" w:date="2016-11-24T08:56:00Z">
                      <w:pPr>
                        <w:tabs>
                          <w:tab w:val="left" w:pos="-2848"/>
                        </w:tabs>
                      </w:pPr>
                    </w:pPrChange>
                  </w:pPr>
                  <w:r>
                    <w:rPr>
                      <w:rFonts w:cs="Calibri"/>
                      <w:sz w:val="21"/>
                      <w:u w:val="single"/>
                    </w:rPr>
                    <w:t>混合</w:t>
                  </w:r>
                </w:p>
                <w:p>
                  <w:pPr>
                    <w:jc w:val="center"/>
                    <w:rPr>
                      <w:rFonts w:cs="Calibri"/>
                      <w:sz w:val="21"/>
                      <w:u w:val="single"/>
                    </w:rPr>
                    <w:pPrChange w:id="32" w:author="Administrator" w:date="2016-11-24T08:56:00Z">
                      <w:pPr>
                        <w:tabs>
                          <w:tab w:val="left" w:pos="-2848"/>
                        </w:tabs>
                      </w:pPr>
                    </w:pPrChange>
                  </w:pPr>
                  <w:r>
                    <w:rPr>
                      <w:rFonts w:cs="Calibri"/>
                      <w:sz w:val="21"/>
                      <w:u w:val="single"/>
                    </w:rPr>
                    <w:t>搅拌</w:t>
                  </w:r>
                </w:p>
                <w:p>
                  <w:pPr>
                    <w:jc w:val="center"/>
                    <w:rPr>
                      <w:rFonts w:cs="Calibri"/>
                      <w:sz w:val="21"/>
                      <w:u w:val="single"/>
                    </w:rPr>
                    <w:pPrChange w:id="33" w:author="Administrator" w:date="2016-11-24T08:56:00Z">
                      <w:pPr>
                        <w:tabs>
                          <w:tab w:val="left" w:pos="-2848"/>
                        </w:tabs>
                      </w:pPr>
                    </w:pPrChange>
                  </w:pPr>
                  <w:r>
                    <w:rPr>
                      <w:rFonts w:cs="Calibri"/>
                      <w:sz w:val="21"/>
                      <w:u w:val="single"/>
                    </w:rPr>
                    <w:t>工序</w:t>
                  </w:r>
                </w:p>
              </w:tc>
              <w:tc>
                <w:tcPr>
                  <w:tcW w:w="667" w:type="dxa"/>
                  <w:vMerge w:val="restart"/>
                  <w:tcBorders>
                    <w:tl2br w:val="nil"/>
                    <w:tr2bl w:val="nil"/>
                  </w:tcBorders>
                  <w:vAlign w:val="center"/>
                </w:tcPr>
                <w:p>
                  <w:pPr>
                    <w:jc w:val="center"/>
                    <w:rPr>
                      <w:rFonts w:cs="Calibri"/>
                      <w:sz w:val="21"/>
                      <w:u w:val="single"/>
                    </w:rPr>
                    <w:pPrChange w:id="34" w:author="Administrator" w:date="2016-11-24T08:56:00Z">
                      <w:pPr>
                        <w:tabs>
                          <w:tab w:val="left" w:pos="-2848"/>
                        </w:tabs>
                      </w:pPr>
                    </w:pPrChange>
                  </w:pPr>
                  <w:r>
                    <w:rPr>
                      <w:rFonts w:cs="Calibri"/>
                      <w:sz w:val="21"/>
                      <w:u w:val="single"/>
                    </w:rPr>
                    <w:t>所有</w:t>
                  </w:r>
                </w:p>
                <w:p>
                  <w:pPr>
                    <w:jc w:val="center"/>
                    <w:rPr>
                      <w:rFonts w:cs="Calibri"/>
                      <w:sz w:val="21"/>
                      <w:u w:val="single"/>
                    </w:rPr>
                    <w:pPrChange w:id="35" w:author="Administrator" w:date="2016-11-24T08:56:00Z">
                      <w:pPr>
                        <w:tabs>
                          <w:tab w:val="left" w:pos="-2848"/>
                        </w:tabs>
                      </w:pPr>
                    </w:pPrChange>
                  </w:pPr>
                  <w:r>
                    <w:rPr>
                      <w:rFonts w:cs="Calibri"/>
                      <w:sz w:val="21"/>
                      <w:u w:val="single"/>
                    </w:rPr>
                    <w:t>规模</w:t>
                  </w:r>
                </w:p>
              </w:tc>
              <w:tc>
                <w:tcPr>
                  <w:tcW w:w="1059" w:type="dxa"/>
                  <w:vMerge w:val="restart"/>
                  <w:tcBorders>
                    <w:tl2br w:val="nil"/>
                    <w:tr2bl w:val="nil"/>
                  </w:tcBorders>
                  <w:vAlign w:val="center"/>
                </w:tcPr>
                <w:p>
                  <w:pPr>
                    <w:jc w:val="center"/>
                    <w:rPr>
                      <w:rFonts w:cs="Calibri"/>
                      <w:sz w:val="21"/>
                      <w:u w:val="single"/>
                    </w:rPr>
                    <w:pPrChange w:id="36" w:author="Administrator" w:date="2016-11-24T08:56:00Z">
                      <w:pPr>
                        <w:tabs>
                          <w:tab w:val="left" w:pos="-2848"/>
                        </w:tabs>
                      </w:pPr>
                    </w:pPrChange>
                  </w:pPr>
                  <w:r>
                    <w:rPr>
                      <w:rFonts w:cs="Calibri"/>
                      <w:sz w:val="21"/>
                      <w:u w:val="single"/>
                    </w:rPr>
                    <w:t>工业</w:t>
                  </w:r>
                </w:p>
                <w:p>
                  <w:pPr>
                    <w:jc w:val="center"/>
                    <w:rPr>
                      <w:rFonts w:cs="Calibri"/>
                      <w:sz w:val="21"/>
                      <w:u w:val="single"/>
                    </w:rPr>
                    <w:pPrChange w:id="37" w:author="Administrator" w:date="2016-11-24T08:56:00Z">
                      <w:pPr>
                        <w:tabs>
                          <w:tab w:val="left" w:pos="-2848"/>
                        </w:tabs>
                      </w:pPr>
                    </w:pPrChange>
                  </w:pPr>
                  <w:r>
                    <w:rPr>
                      <w:rFonts w:cs="Calibri"/>
                      <w:sz w:val="21"/>
                      <w:u w:val="single"/>
                    </w:rPr>
                    <w:t>废气量</w:t>
                  </w:r>
                </w:p>
              </w:tc>
              <w:tc>
                <w:tcPr>
                  <w:tcW w:w="1163" w:type="dxa"/>
                  <w:vMerge w:val="restart"/>
                  <w:tcBorders>
                    <w:tl2br w:val="nil"/>
                    <w:tr2bl w:val="nil"/>
                  </w:tcBorders>
                  <w:vAlign w:val="center"/>
                </w:tcPr>
                <w:p>
                  <w:pPr>
                    <w:jc w:val="center"/>
                    <w:rPr>
                      <w:rFonts w:cs="Calibri"/>
                      <w:sz w:val="21"/>
                      <w:u w:val="single"/>
                    </w:rPr>
                    <w:pPrChange w:id="38" w:author="Administrator" w:date="2016-11-24T08:56:00Z">
                      <w:pPr>
                        <w:tabs>
                          <w:tab w:val="left" w:pos="-2848"/>
                        </w:tabs>
                      </w:pPr>
                    </w:pPrChange>
                  </w:pPr>
                  <w:r>
                    <w:rPr>
                      <w:rFonts w:cs="Calibri"/>
                      <w:sz w:val="21"/>
                      <w:u w:val="single"/>
                    </w:rPr>
                    <w:t>标立方米/吨-水泥</w:t>
                  </w:r>
                </w:p>
              </w:tc>
              <w:tc>
                <w:tcPr>
                  <w:tcW w:w="750" w:type="dxa"/>
                  <w:vMerge w:val="restart"/>
                  <w:tcBorders>
                    <w:tl2br w:val="nil"/>
                    <w:tr2bl w:val="nil"/>
                  </w:tcBorders>
                  <w:vAlign w:val="center"/>
                </w:tcPr>
                <w:p>
                  <w:pPr>
                    <w:jc w:val="center"/>
                    <w:rPr>
                      <w:rFonts w:cs="Calibri"/>
                      <w:sz w:val="21"/>
                      <w:u w:val="single"/>
                    </w:rPr>
                    <w:pPrChange w:id="39" w:author="Administrator" w:date="2016-11-24T08:56:00Z">
                      <w:pPr>
                        <w:tabs>
                          <w:tab w:val="left" w:pos="-2848"/>
                        </w:tabs>
                      </w:pPr>
                    </w:pPrChange>
                  </w:pPr>
                  <w:r>
                    <w:rPr>
                      <w:rFonts w:cs="Calibri"/>
                      <w:sz w:val="21"/>
                      <w:u w:val="single"/>
                    </w:rPr>
                    <w:t>1419</w:t>
                  </w:r>
                </w:p>
              </w:tc>
              <w:tc>
                <w:tcPr>
                  <w:tcW w:w="1537" w:type="dxa"/>
                  <w:tcBorders>
                    <w:tl2br w:val="nil"/>
                    <w:tr2bl w:val="nil"/>
                  </w:tcBorders>
                  <w:vAlign w:val="center"/>
                </w:tcPr>
                <w:p>
                  <w:pPr>
                    <w:jc w:val="center"/>
                    <w:rPr>
                      <w:rFonts w:cs="Calibri"/>
                      <w:sz w:val="21"/>
                      <w:u w:val="single"/>
                    </w:rPr>
                    <w:pPrChange w:id="40" w:author="Administrator" w:date="2016-11-24T08:56:00Z">
                      <w:pPr>
                        <w:tabs>
                          <w:tab w:val="left" w:pos="-2848"/>
                        </w:tabs>
                      </w:pPr>
                    </w:pPrChange>
                  </w:pPr>
                  <w:r>
                    <w:rPr>
                      <w:rFonts w:cs="Calibri"/>
                      <w:sz w:val="21"/>
                      <w:u w:val="single"/>
                    </w:rPr>
                    <w:t>直排</w:t>
                  </w:r>
                </w:p>
              </w:tc>
              <w:tc>
                <w:tcPr>
                  <w:tcW w:w="801" w:type="dxa"/>
                  <w:tcBorders>
                    <w:tl2br w:val="nil"/>
                    <w:tr2bl w:val="nil"/>
                  </w:tcBorders>
                  <w:vAlign w:val="center"/>
                </w:tcPr>
                <w:p>
                  <w:pPr>
                    <w:jc w:val="center"/>
                    <w:rPr>
                      <w:rFonts w:cs="Calibri"/>
                      <w:sz w:val="21"/>
                      <w:u w:val="single"/>
                    </w:rPr>
                    <w:pPrChange w:id="41" w:author="Administrator" w:date="2016-11-24T08:56:00Z">
                      <w:pPr>
                        <w:tabs>
                          <w:tab w:val="left" w:pos="-2848"/>
                        </w:tabs>
                      </w:pPr>
                    </w:pPrChange>
                  </w:pPr>
                  <w:r>
                    <w:rPr>
                      <w:rFonts w:cs="Calibri"/>
                      <w:sz w:val="21"/>
                      <w:u w:val="single"/>
                    </w:rPr>
                    <w:t>1419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0" w:type="dxa"/>
                  <w:vMerge w:val="continue"/>
                  <w:tcBorders>
                    <w:tl2br w:val="nil"/>
                    <w:tr2bl w:val="nil"/>
                  </w:tcBorders>
                  <w:vAlign w:val="center"/>
                </w:tcPr>
                <w:p>
                  <w:pPr>
                    <w:jc w:val="center"/>
                    <w:rPr>
                      <w:rFonts w:cs="Calibri"/>
                      <w:sz w:val="21"/>
                      <w:u w:val="single"/>
                    </w:rPr>
                    <w:pPrChange w:id="42" w:author="Administrator" w:date="2016-11-24T08:56:00Z">
                      <w:pPr>
                        <w:tabs>
                          <w:tab w:val="left" w:pos="-2848"/>
                        </w:tabs>
                      </w:pPr>
                    </w:pPrChange>
                  </w:pPr>
                </w:p>
              </w:tc>
              <w:tc>
                <w:tcPr>
                  <w:tcW w:w="665" w:type="dxa"/>
                  <w:vMerge w:val="continue"/>
                  <w:tcBorders>
                    <w:tl2br w:val="nil"/>
                    <w:tr2bl w:val="nil"/>
                  </w:tcBorders>
                  <w:vAlign w:val="center"/>
                </w:tcPr>
                <w:p>
                  <w:pPr>
                    <w:jc w:val="center"/>
                    <w:rPr>
                      <w:rFonts w:cs="Calibri"/>
                      <w:sz w:val="21"/>
                      <w:u w:val="single"/>
                    </w:rPr>
                    <w:pPrChange w:id="43" w:author="Administrator" w:date="2016-11-24T08:56:00Z">
                      <w:pPr>
                        <w:tabs>
                          <w:tab w:val="left" w:pos="-2848"/>
                        </w:tabs>
                      </w:pPr>
                    </w:pPrChange>
                  </w:pPr>
                </w:p>
              </w:tc>
              <w:tc>
                <w:tcPr>
                  <w:tcW w:w="932" w:type="dxa"/>
                  <w:vMerge w:val="continue"/>
                  <w:tcBorders>
                    <w:tl2br w:val="nil"/>
                    <w:tr2bl w:val="nil"/>
                  </w:tcBorders>
                  <w:vAlign w:val="center"/>
                </w:tcPr>
                <w:p>
                  <w:pPr>
                    <w:jc w:val="center"/>
                    <w:rPr>
                      <w:rFonts w:cs="Calibri"/>
                      <w:sz w:val="21"/>
                      <w:u w:val="single"/>
                    </w:rPr>
                    <w:pPrChange w:id="44" w:author="Administrator" w:date="2016-11-24T08:56:00Z">
                      <w:pPr>
                        <w:tabs>
                          <w:tab w:val="left" w:pos="-2848"/>
                        </w:tabs>
                      </w:pPr>
                    </w:pPrChange>
                  </w:pPr>
                </w:p>
              </w:tc>
              <w:tc>
                <w:tcPr>
                  <w:tcW w:w="667" w:type="dxa"/>
                  <w:vMerge w:val="continue"/>
                  <w:tcBorders>
                    <w:tl2br w:val="nil"/>
                    <w:tr2bl w:val="nil"/>
                  </w:tcBorders>
                  <w:vAlign w:val="center"/>
                </w:tcPr>
                <w:p>
                  <w:pPr>
                    <w:jc w:val="center"/>
                    <w:rPr>
                      <w:rFonts w:cs="Calibri"/>
                      <w:sz w:val="21"/>
                      <w:u w:val="single"/>
                    </w:rPr>
                    <w:pPrChange w:id="45" w:author="Administrator" w:date="2016-11-24T08:56:00Z">
                      <w:pPr>
                        <w:tabs>
                          <w:tab w:val="left" w:pos="-2848"/>
                        </w:tabs>
                      </w:pPr>
                    </w:pPrChange>
                  </w:pPr>
                </w:p>
              </w:tc>
              <w:tc>
                <w:tcPr>
                  <w:tcW w:w="1059" w:type="dxa"/>
                  <w:vMerge w:val="continue"/>
                  <w:tcBorders>
                    <w:tl2br w:val="nil"/>
                    <w:tr2bl w:val="nil"/>
                  </w:tcBorders>
                  <w:vAlign w:val="center"/>
                </w:tcPr>
                <w:p>
                  <w:pPr>
                    <w:jc w:val="center"/>
                    <w:rPr>
                      <w:rFonts w:cs="Calibri"/>
                      <w:sz w:val="21"/>
                      <w:u w:val="single"/>
                    </w:rPr>
                    <w:pPrChange w:id="46" w:author="Administrator" w:date="2016-11-24T08:56:00Z">
                      <w:pPr>
                        <w:tabs>
                          <w:tab w:val="left" w:pos="-2848"/>
                        </w:tabs>
                      </w:pPr>
                    </w:pPrChange>
                  </w:pPr>
                </w:p>
              </w:tc>
              <w:tc>
                <w:tcPr>
                  <w:tcW w:w="1163" w:type="dxa"/>
                  <w:vMerge w:val="continue"/>
                  <w:tcBorders>
                    <w:tl2br w:val="nil"/>
                    <w:tr2bl w:val="nil"/>
                  </w:tcBorders>
                  <w:vAlign w:val="center"/>
                </w:tcPr>
                <w:p>
                  <w:pPr>
                    <w:jc w:val="center"/>
                    <w:rPr>
                      <w:rFonts w:cs="Calibri"/>
                      <w:sz w:val="21"/>
                      <w:u w:val="single"/>
                    </w:rPr>
                    <w:pPrChange w:id="47" w:author="Administrator" w:date="2016-11-24T08:56:00Z">
                      <w:pPr>
                        <w:tabs>
                          <w:tab w:val="left" w:pos="-2848"/>
                        </w:tabs>
                      </w:pPr>
                    </w:pPrChange>
                  </w:pPr>
                </w:p>
              </w:tc>
              <w:tc>
                <w:tcPr>
                  <w:tcW w:w="750" w:type="dxa"/>
                  <w:vMerge w:val="continue"/>
                  <w:tcBorders>
                    <w:tl2br w:val="nil"/>
                    <w:tr2bl w:val="nil"/>
                  </w:tcBorders>
                  <w:vAlign w:val="center"/>
                </w:tcPr>
                <w:p>
                  <w:pPr>
                    <w:jc w:val="center"/>
                    <w:rPr>
                      <w:rFonts w:cs="Calibri"/>
                      <w:sz w:val="21"/>
                      <w:u w:val="single"/>
                    </w:rPr>
                    <w:pPrChange w:id="48" w:author="Administrator" w:date="2016-11-24T08:56:00Z">
                      <w:pPr>
                        <w:tabs>
                          <w:tab w:val="left" w:pos="-2848"/>
                        </w:tabs>
                      </w:pPr>
                    </w:pPrChange>
                  </w:pPr>
                </w:p>
              </w:tc>
              <w:tc>
                <w:tcPr>
                  <w:tcW w:w="1537" w:type="dxa"/>
                  <w:tcBorders>
                    <w:tl2br w:val="nil"/>
                    <w:tr2bl w:val="nil"/>
                  </w:tcBorders>
                  <w:vAlign w:val="center"/>
                </w:tcPr>
                <w:p>
                  <w:pPr>
                    <w:jc w:val="center"/>
                    <w:rPr>
                      <w:rFonts w:cs="Calibri"/>
                      <w:sz w:val="21"/>
                      <w:u w:val="single"/>
                    </w:rPr>
                    <w:pPrChange w:id="49" w:author="Administrator" w:date="2016-11-24T08:56:00Z">
                      <w:pPr>
                        <w:tabs>
                          <w:tab w:val="left" w:pos="-2848"/>
                        </w:tabs>
                      </w:pPr>
                    </w:pPrChange>
                  </w:pPr>
                  <w:r>
                    <w:rPr>
                      <w:rFonts w:cs="Calibri"/>
                      <w:sz w:val="21"/>
                      <w:u w:val="single"/>
                    </w:rPr>
                    <w:t>过滤式除尘法</w:t>
                  </w:r>
                </w:p>
              </w:tc>
              <w:tc>
                <w:tcPr>
                  <w:tcW w:w="801" w:type="dxa"/>
                  <w:tcBorders>
                    <w:tl2br w:val="nil"/>
                    <w:tr2bl w:val="nil"/>
                  </w:tcBorders>
                  <w:vAlign w:val="center"/>
                </w:tcPr>
                <w:p>
                  <w:pPr>
                    <w:jc w:val="center"/>
                    <w:rPr>
                      <w:rFonts w:cs="Calibri"/>
                      <w:sz w:val="21"/>
                      <w:u w:val="single"/>
                    </w:rPr>
                    <w:pPrChange w:id="50" w:author="Administrator" w:date="2016-11-24T08:56:00Z">
                      <w:pPr>
                        <w:tabs>
                          <w:tab w:val="left" w:pos="-2848"/>
                        </w:tabs>
                      </w:pPr>
                    </w:pPrChange>
                  </w:pPr>
                  <w:r>
                    <w:rPr>
                      <w:rFonts w:cs="Calibri"/>
                      <w:sz w:val="21"/>
                      <w:u w:val="single"/>
                    </w:rPr>
                    <w:t>1419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0" w:type="dxa"/>
                  <w:vMerge w:val="continue"/>
                  <w:tcBorders>
                    <w:tl2br w:val="nil"/>
                    <w:tr2bl w:val="nil"/>
                  </w:tcBorders>
                  <w:vAlign w:val="center"/>
                </w:tcPr>
                <w:p>
                  <w:pPr>
                    <w:jc w:val="center"/>
                    <w:rPr>
                      <w:rFonts w:cs="Calibri"/>
                      <w:sz w:val="21"/>
                      <w:u w:val="single"/>
                    </w:rPr>
                    <w:pPrChange w:id="51" w:author="Administrator" w:date="2016-11-24T08:56:00Z">
                      <w:pPr>
                        <w:tabs>
                          <w:tab w:val="left" w:pos="-2848"/>
                        </w:tabs>
                      </w:pPr>
                    </w:pPrChange>
                  </w:pPr>
                </w:p>
              </w:tc>
              <w:tc>
                <w:tcPr>
                  <w:tcW w:w="665" w:type="dxa"/>
                  <w:vMerge w:val="continue"/>
                  <w:tcBorders>
                    <w:tl2br w:val="nil"/>
                    <w:tr2bl w:val="nil"/>
                  </w:tcBorders>
                  <w:vAlign w:val="center"/>
                </w:tcPr>
                <w:p>
                  <w:pPr>
                    <w:jc w:val="center"/>
                    <w:rPr>
                      <w:rFonts w:cs="Calibri"/>
                      <w:sz w:val="21"/>
                      <w:u w:val="single"/>
                    </w:rPr>
                    <w:pPrChange w:id="52" w:author="Administrator" w:date="2016-11-24T08:56:00Z">
                      <w:pPr>
                        <w:tabs>
                          <w:tab w:val="left" w:pos="-2848"/>
                        </w:tabs>
                      </w:pPr>
                    </w:pPrChange>
                  </w:pPr>
                </w:p>
              </w:tc>
              <w:tc>
                <w:tcPr>
                  <w:tcW w:w="932" w:type="dxa"/>
                  <w:vMerge w:val="continue"/>
                  <w:tcBorders>
                    <w:tl2br w:val="nil"/>
                    <w:tr2bl w:val="nil"/>
                  </w:tcBorders>
                  <w:vAlign w:val="center"/>
                </w:tcPr>
                <w:p>
                  <w:pPr>
                    <w:jc w:val="center"/>
                    <w:rPr>
                      <w:rFonts w:cs="Calibri"/>
                      <w:sz w:val="21"/>
                      <w:u w:val="single"/>
                    </w:rPr>
                    <w:pPrChange w:id="53" w:author="Administrator" w:date="2016-11-24T08:56:00Z">
                      <w:pPr>
                        <w:tabs>
                          <w:tab w:val="left" w:pos="-2848"/>
                        </w:tabs>
                      </w:pPr>
                    </w:pPrChange>
                  </w:pPr>
                </w:p>
              </w:tc>
              <w:tc>
                <w:tcPr>
                  <w:tcW w:w="667" w:type="dxa"/>
                  <w:vMerge w:val="continue"/>
                  <w:tcBorders>
                    <w:tl2br w:val="nil"/>
                    <w:tr2bl w:val="nil"/>
                  </w:tcBorders>
                  <w:vAlign w:val="center"/>
                </w:tcPr>
                <w:p>
                  <w:pPr>
                    <w:jc w:val="center"/>
                    <w:rPr>
                      <w:rFonts w:cs="Calibri"/>
                      <w:sz w:val="21"/>
                      <w:u w:val="single"/>
                    </w:rPr>
                    <w:pPrChange w:id="54" w:author="Administrator" w:date="2016-11-24T08:56:00Z">
                      <w:pPr>
                        <w:tabs>
                          <w:tab w:val="left" w:pos="-2848"/>
                        </w:tabs>
                      </w:pPr>
                    </w:pPrChange>
                  </w:pPr>
                </w:p>
              </w:tc>
              <w:tc>
                <w:tcPr>
                  <w:tcW w:w="1059" w:type="dxa"/>
                  <w:vMerge w:val="restart"/>
                  <w:tcBorders>
                    <w:tl2br w:val="nil"/>
                    <w:tr2bl w:val="nil"/>
                  </w:tcBorders>
                  <w:vAlign w:val="center"/>
                </w:tcPr>
                <w:p>
                  <w:pPr>
                    <w:jc w:val="center"/>
                    <w:rPr>
                      <w:rFonts w:cs="Calibri"/>
                      <w:sz w:val="21"/>
                      <w:u w:val="single"/>
                    </w:rPr>
                    <w:pPrChange w:id="55" w:author="Administrator" w:date="2016-11-24T08:56:00Z">
                      <w:pPr>
                        <w:tabs>
                          <w:tab w:val="left" w:pos="-2848"/>
                        </w:tabs>
                      </w:pPr>
                    </w:pPrChange>
                  </w:pPr>
                  <w:r>
                    <w:rPr>
                      <w:rFonts w:cs="Calibri"/>
                      <w:sz w:val="21"/>
                      <w:u w:val="single"/>
                    </w:rPr>
                    <w:t>工业粉尘</w:t>
                  </w:r>
                </w:p>
              </w:tc>
              <w:tc>
                <w:tcPr>
                  <w:tcW w:w="1163" w:type="dxa"/>
                  <w:vMerge w:val="restart"/>
                  <w:tcBorders>
                    <w:tl2br w:val="nil"/>
                    <w:tr2bl w:val="nil"/>
                  </w:tcBorders>
                  <w:vAlign w:val="center"/>
                </w:tcPr>
                <w:p>
                  <w:pPr>
                    <w:jc w:val="center"/>
                    <w:rPr>
                      <w:rFonts w:cs="Calibri"/>
                      <w:sz w:val="21"/>
                      <w:u w:val="single"/>
                    </w:rPr>
                    <w:pPrChange w:id="56" w:author="Administrator" w:date="2016-11-24T08:56:00Z">
                      <w:pPr>
                        <w:tabs>
                          <w:tab w:val="left" w:pos="-2848"/>
                        </w:tabs>
                      </w:pPr>
                    </w:pPrChange>
                  </w:pPr>
                  <w:r>
                    <w:rPr>
                      <w:rFonts w:cs="Calibri"/>
                      <w:sz w:val="21"/>
                      <w:u w:val="single"/>
                    </w:rPr>
                    <w:t>千克/吨-水泥</w:t>
                  </w:r>
                </w:p>
              </w:tc>
              <w:tc>
                <w:tcPr>
                  <w:tcW w:w="750" w:type="dxa"/>
                  <w:vMerge w:val="restart"/>
                  <w:tcBorders>
                    <w:tl2br w:val="nil"/>
                    <w:tr2bl w:val="nil"/>
                  </w:tcBorders>
                  <w:vAlign w:val="center"/>
                </w:tcPr>
                <w:p>
                  <w:pPr>
                    <w:jc w:val="center"/>
                    <w:rPr>
                      <w:rFonts w:cs="Calibri"/>
                      <w:sz w:val="21"/>
                      <w:u w:val="single"/>
                    </w:rPr>
                    <w:pPrChange w:id="57" w:author="Administrator" w:date="2016-11-24T08:56:00Z">
                      <w:pPr>
                        <w:tabs>
                          <w:tab w:val="left" w:pos="-2848"/>
                        </w:tabs>
                      </w:pPr>
                    </w:pPrChange>
                  </w:pPr>
                  <w:r>
                    <w:rPr>
                      <w:rFonts w:cs="Calibri"/>
                      <w:sz w:val="21"/>
                      <w:u w:val="single"/>
                    </w:rPr>
                    <w:t>5.75</w:t>
                  </w:r>
                </w:p>
              </w:tc>
              <w:tc>
                <w:tcPr>
                  <w:tcW w:w="1537" w:type="dxa"/>
                  <w:tcBorders>
                    <w:tl2br w:val="nil"/>
                    <w:tr2bl w:val="nil"/>
                  </w:tcBorders>
                  <w:vAlign w:val="center"/>
                </w:tcPr>
                <w:p>
                  <w:pPr>
                    <w:jc w:val="center"/>
                    <w:rPr>
                      <w:rFonts w:cs="Calibri"/>
                      <w:sz w:val="21"/>
                      <w:u w:val="single"/>
                    </w:rPr>
                    <w:pPrChange w:id="58" w:author="Administrator" w:date="2016-11-24T08:56:00Z">
                      <w:pPr>
                        <w:tabs>
                          <w:tab w:val="left" w:pos="-2848"/>
                        </w:tabs>
                      </w:pPr>
                    </w:pPrChange>
                  </w:pPr>
                  <w:r>
                    <w:rPr>
                      <w:rFonts w:cs="Calibri"/>
                      <w:sz w:val="21"/>
                      <w:u w:val="single"/>
                    </w:rPr>
                    <w:t>直排</w:t>
                  </w:r>
                </w:p>
              </w:tc>
              <w:tc>
                <w:tcPr>
                  <w:tcW w:w="801" w:type="dxa"/>
                  <w:tcBorders>
                    <w:tl2br w:val="nil"/>
                    <w:tr2bl w:val="nil"/>
                  </w:tcBorders>
                  <w:vAlign w:val="center"/>
                </w:tcPr>
                <w:p>
                  <w:pPr>
                    <w:jc w:val="center"/>
                    <w:rPr>
                      <w:rFonts w:cs="Calibri"/>
                      <w:sz w:val="21"/>
                      <w:u w:val="single"/>
                    </w:rPr>
                    <w:pPrChange w:id="59" w:author="Administrator" w:date="2016-11-24T08:56:00Z">
                      <w:pPr>
                        <w:tabs>
                          <w:tab w:val="left" w:pos="-2848"/>
                        </w:tabs>
                      </w:pPr>
                    </w:pPrChange>
                  </w:pPr>
                  <w:r>
                    <w:rPr>
                      <w:rFonts w:cs="Calibri"/>
                      <w:sz w:val="21"/>
                      <w:u w:val="single"/>
                    </w:rPr>
                    <w:t>5.75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30" w:type="dxa"/>
                  <w:vMerge w:val="continue"/>
                  <w:tcBorders>
                    <w:tl2br w:val="nil"/>
                    <w:tr2bl w:val="nil"/>
                  </w:tcBorders>
                  <w:vAlign w:val="center"/>
                </w:tcPr>
                <w:p>
                  <w:pPr>
                    <w:jc w:val="center"/>
                    <w:rPr>
                      <w:rFonts w:cs="Calibri"/>
                      <w:sz w:val="21"/>
                      <w:u w:val="single"/>
                    </w:rPr>
                    <w:pPrChange w:id="60" w:author="Administrator" w:date="2016-11-24T08:56:00Z">
                      <w:pPr>
                        <w:tabs>
                          <w:tab w:val="left" w:pos="-2848"/>
                        </w:tabs>
                      </w:pPr>
                    </w:pPrChange>
                  </w:pPr>
                </w:p>
              </w:tc>
              <w:tc>
                <w:tcPr>
                  <w:tcW w:w="665" w:type="dxa"/>
                  <w:vMerge w:val="continue"/>
                  <w:tcBorders>
                    <w:tl2br w:val="nil"/>
                    <w:tr2bl w:val="nil"/>
                  </w:tcBorders>
                  <w:vAlign w:val="center"/>
                </w:tcPr>
                <w:p>
                  <w:pPr>
                    <w:jc w:val="center"/>
                    <w:rPr>
                      <w:rFonts w:cs="Calibri"/>
                      <w:sz w:val="21"/>
                      <w:u w:val="single"/>
                    </w:rPr>
                    <w:pPrChange w:id="61" w:author="Administrator" w:date="2016-11-24T08:56:00Z">
                      <w:pPr>
                        <w:tabs>
                          <w:tab w:val="left" w:pos="-2848"/>
                        </w:tabs>
                      </w:pPr>
                    </w:pPrChange>
                  </w:pPr>
                </w:p>
              </w:tc>
              <w:tc>
                <w:tcPr>
                  <w:tcW w:w="932" w:type="dxa"/>
                  <w:vMerge w:val="continue"/>
                  <w:tcBorders>
                    <w:tl2br w:val="nil"/>
                    <w:tr2bl w:val="nil"/>
                  </w:tcBorders>
                  <w:vAlign w:val="center"/>
                </w:tcPr>
                <w:p>
                  <w:pPr>
                    <w:jc w:val="center"/>
                    <w:rPr>
                      <w:rFonts w:cs="Calibri"/>
                      <w:sz w:val="21"/>
                      <w:u w:val="single"/>
                    </w:rPr>
                    <w:pPrChange w:id="62" w:author="Administrator" w:date="2016-11-24T08:56:00Z">
                      <w:pPr>
                        <w:tabs>
                          <w:tab w:val="left" w:pos="-2848"/>
                        </w:tabs>
                      </w:pPr>
                    </w:pPrChange>
                  </w:pPr>
                </w:p>
              </w:tc>
              <w:tc>
                <w:tcPr>
                  <w:tcW w:w="667" w:type="dxa"/>
                  <w:vMerge w:val="continue"/>
                  <w:tcBorders>
                    <w:tl2br w:val="nil"/>
                    <w:tr2bl w:val="nil"/>
                  </w:tcBorders>
                  <w:vAlign w:val="center"/>
                </w:tcPr>
                <w:p>
                  <w:pPr>
                    <w:jc w:val="center"/>
                    <w:rPr>
                      <w:rFonts w:cs="Calibri"/>
                      <w:sz w:val="21"/>
                      <w:u w:val="single"/>
                    </w:rPr>
                    <w:pPrChange w:id="63" w:author="Administrator" w:date="2016-11-24T08:56:00Z">
                      <w:pPr>
                        <w:tabs>
                          <w:tab w:val="left" w:pos="-2848"/>
                        </w:tabs>
                      </w:pPr>
                    </w:pPrChange>
                  </w:pPr>
                </w:p>
              </w:tc>
              <w:tc>
                <w:tcPr>
                  <w:tcW w:w="1059" w:type="dxa"/>
                  <w:vMerge w:val="continue"/>
                  <w:tcBorders>
                    <w:tl2br w:val="nil"/>
                    <w:tr2bl w:val="nil"/>
                  </w:tcBorders>
                  <w:vAlign w:val="center"/>
                </w:tcPr>
                <w:p>
                  <w:pPr>
                    <w:jc w:val="center"/>
                    <w:rPr>
                      <w:rFonts w:cs="Calibri"/>
                      <w:sz w:val="21"/>
                      <w:u w:val="single"/>
                    </w:rPr>
                    <w:pPrChange w:id="64" w:author="Administrator" w:date="2016-11-24T08:56:00Z">
                      <w:pPr>
                        <w:tabs>
                          <w:tab w:val="left" w:pos="-2848"/>
                        </w:tabs>
                      </w:pPr>
                    </w:pPrChange>
                  </w:pPr>
                </w:p>
              </w:tc>
              <w:tc>
                <w:tcPr>
                  <w:tcW w:w="1163" w:type="dxa"/>
                  <w:vMerge w:val="continue"/>
                  <w:tcBorders>
                    <w:tl2br w:val="nil"/>
                    <w:tr2bl w:val="nil"/>
                  </w:tcBorders>
                  <w:vAlign w:val="center"/>
                </w:tcPr>
                <w:p>
                  <w:pPr>
                    <w:jc w:val="center"/>
                    <w:rPr>
                      <w:rFonts w:cs="Calibri"/>
                      <w:sz w:val="21"/>
                      <w:u w:val="single"/>
                    </w:rPr>
                    <w:pPrChange w:id="65" w:author="Administrator" w:date="2016-11-24T08:56:00Z">
                      <w:pPr>
                        <w:tabs>
                          <w:tab w:val="left" w:pos="-2848"/>
                        </w:tabs>
                      </w:pPr>
                    </w:pPrChange>
                  </w:pPr>
                </w:p>
              </w:tc>
              <w:tc>
                <w:tcPr>
                  <w:tcW w:w="750" w:type="dxa"/>
                  <w:vMerge w:val="continue"/>
                  <w:tcBorders>
                    <w:tl2br w:val="nil"/>
                    <w:tr2bl w:val="nil"/>
                  </w:tcBorders>
                  <w:vAlign w:val="center"/>
                </w:tcPr>
                <w:p>
                  <w:pPr>
                    <w:jc w:val="center"/>
                    <w:rPr>
                      <w:rFonts w:cs="Calibri"/>
                      <w:sz w:val="21"/>
                      <w:u w:val="single"/>
                    </w:rPr>
                    <w:pPrChange w:id="66" w:author="Administrator" w:date="2016-11-24T08:56:00Z">
                      <w:pPr>
                        <w:tabs>
                          <w:tab w:val="left" w:pos="-2848"/>
                        </w:tabs>
                      </w:pPr>
                    </w:pPrChange>
                  </w:pPr>
                </w:p>
              </w:tc>
              <w:tc>
                <w:tcPr>
                  <w:tcW w:w="1537" w:type="dxa"/>
                  <w:tcBorders>
                    <w:tl2br w:val="nil"/>
                    <w:tr2bl w:val="nil"/>
                  </w:tcBorders>
                  <w:vAlign w:val="center"/>
                </w:tcPr>
                <w:p>
                  <w:pPr>
                    <w:jc w:val="center"/>
                    <w:rPr>
                      <w:rFonts w:cs="Calibri"/>
                      <w:sz w:val="21"/>
                      <w:u w:val="single"/>
                    </w:rPr>
                    <w:pPrChange w:id="67" w:author="Administrator" w:date="2016-11-24T08:56:00Z">
                      <w:pPr>
                        <w:tabs>
                          <w:tab w:val="left" w:pos="-2848"/>
                        </w:tabs>
                      </w:pPr>
                    </w:pPrChange>
                  </w:pPr>
                  <w:r>
                    <w:rPr>
                      <w:rFonts w:cs="Calibri"/>
                      <w:sz w:val="21"/>
                      <w:u w:val="single"/>
                    </w:rPr>
                    <w:t>过滤式除尘法</w:t>
                  </w:r>
                </w:p>
              </w:tc>
              <w:tc>
                <w:tcPr>
                  <w:tcW w:w="801" w:type="dxa"/>
                  <w:tcBorders>
                    <w:tl2br w:val="nil"/>
                    <w:tr2bl w:val="nil"/>
                  </w:tcBorders>
                  <w:vAlign w:val="center"/>
                </w:tcPr>
                <w:p>
                  <w:pPr>
                    <w:jc w:val="center"/>
                    <w:rPr>
                      <w:rFonts w:cs="Calibri"/>
                      <w:sz w:val="21"/>
                      <w:u w:val="single"/>
                    </w:rPr>
                    <w:pPrChange w:id="68" w:author="Administrator" w:date="2016-11-24T08:56:00Z">
                      <w:pPr>
                        <w:tabs>
                          <w:tab w:val="left" w:pos="-2848"/>
                        </w:tabs>
                      </w:pPr>
                    </w:pPrChange>
                  </w:pPr>
                  <w:r>
                    <w:rPr>
                      <w:rFonts w:cs="Calibri"/>
                      <w:sz w:val="21"/>
                      <w:u w:val="single"/>
                    </w:rPr>
                    <w:t>0.07</w:t>
                  </w:r>
                </w:p>
              </w:tc>
            </w:tr>
          </w:tbl>
          <w:p>
            <w:pPr>
              <w:spacing w:line="360" w:lineRule="auto"/>
              <w:ind w:firstLine="480" w:firstLineChars="200"/>
              <w:rPr>
                <w:rFonts w:cs="Calibri"/>
                <w:sz w:val="24"/>
                <w:u w:val="single"/>
              </w:rPr>
            </w:pPr>
            <w:r>
              <w:rPr>
                <w:rFonts w:cs="Calibri"/>
                <w:sz w:val="24"/>
                <w:u w:val="single"/>
              </w:rPr>
              <w:fldChar w:fldCharType="begin"/>
            </w:r>
            <w:r>
              <w:rPr>
                <w:rFonts w:cs="Calibri"/>
                <w:sz w:val="24"/>
                <w:u w:val="single"/>
              </w:rPr>
              <w:instrText xml:space="preserve"> = 1 \* GB3 \* MERGEFORMAT </w:instrText>
            </w:r>
            <w:r>
              <w:rPr>
                <w:rFonts w:cs="Calibri"/>
                <w:sz w:val="24"/>
                <w:u w:val="single"/>
              </w:rPr>
              <w:fldChar w:fldCharType="separate"/>
            </w:r>
            <w:r>
              <w:rPr>
                <w:rFonts w:hint="eastAsia" w:ascii="宋体" w:hAnsi="宋体" w:cs="宋体"/>
                <w:sz w:val="24"/>
                <w:u w:val="single"/>
              </w:rPr>
              <w:t>①</w:t>
            </w:r>
            <w:r>
              <w:rPr>
                <w:rFonts w:cs="Calibri"/>
                <w:sz w:val="24"/>
                <w:u w:val="single"/>
              </w:rPr>
              <w:fldChar w:fldCharType="end"/>
            </w:r>
            <w:r>
              <w:rPr>
                <w:rFonts w:cs="Calibri"/>
                <w:sz w:val="24"/>
                <w:u w:val="single"/>
              </w:rPr>
              <w:t>搅拌粉尘</w:t>
            </w:r>
          </w:p>
          <w:p>
            <w:pPr>
              <w:spacing w:line="360" w:lineRule="auto"/>
              <w:ind w:firstLine="480" w:firstLineChars="200"/>
              <w:rPr>
                <w:rFonts w:cs="Calibri"/>
                <w:sz w:val="24"/>
                <w:u w:val="single"/>
              </w:rPr>
            </w:pPr>
            <w:r>
              <w:rPr>
                <w:rFonts w:cs="Calibri"/>
                <w:sz w:val="24"/>
                <w:u w:val="single"/>
              </w:rPr>
              <w:t>本项目</w:t>
            </w:r>
            <w:r>
              <w:rPr>
                <w:rFonts w:hint="eastAsia" w:cs="Calibri"/>
                <w:sz w:val="24"/>
                <w:u w:val="single"/>
              </w:rPr>
              <w:t>湿拌</w:t>
            </w:r>
            <w:r>
              <w:rPr>
                <w:rFonts w:cs="Calibri"/>
                <w:sz w:val="24"/>
                <w:u w:val="single"/>
              </w:rPr>
              <w:t>砂浆生产线为封闭系统，生产线设备均安装在生产车间内，生产过程中设备逸散的粉尘量微乎其微，因此项目搅拌混合产生的主要为粉尘污染源。项目搅拌混合机</w:t>
            </w:r>
            <w:r>
              <w:rPr>
                <w:rFonts w:hint="eastAsia" w:cs="Calibri"/>
                <w:sz w:val="24"/>
                <w:u w:val="single"/>
              </w:rPr>
              <w:t>自带</w:t>
            </w:r>
            <w:r>
              <w:rPr>
                <w:rFonts w:cs="Calibri"/>
                <w:sz w:val="24"/>
                <w:u w:val="single"/>
              </w:rPr>
              <w:t>1台脉冲式除尘器，除尘效率为99.6%，则粉尘经处理后经负压抽风后由15m高排气筒高空排放（位于项目生产车间</w:t>
            </w:r>
            <w:r>
              <w:rPr>
                <w:rFonts w:hint="eastAsia" w:cs="Calibri"/>
                <w:sz w:val="24"/>
                <w:u w:val="single"/>
              </w:rPr>
              <w:t>西</w:t>
            </w:r>
            <w:r>
              <w:rPr>
                <w:rFonts w:cs="Calibri"/>
                <w:sz w:val="24"/>
                <w:u w:val="single"/>
              </w:rPr>
              <w:t>面），搅拌工序粉尘产生及排放情况见表13。</w:t>
            </w:r>
          </w:p>
          <w:p>
            <w:pPr>
              <w:spacing w:line="360" w:lineRule="auto"/>
              <w:ind w:firstLine="480" w:firstLineChars="200"/>
              <w:rPr>
                <w:rFonts w:cs="Calibri"/>
                <w:sz w:val="24"/>
                <w:u w:val="single"/>
              </w:rPr>
            </w:pPr>
            <w:r>
              <w:rPr>
                <w:rFonts w:hint="eastAsia" w:ascii="宋体" w:hAnsi="宋体" w:cs="宋体"/>
                <w:sz w:val="24"/>
                <w:u w:val="single"/>
              </w:rPr>
              <w:t>②</w:t>
            </w:r>
            <w:r>
              <w:rPr>
                <w:rFonts w:cs="Calibri"/>
                <w:sz w:val="24"/>
                <w:u w:val="single"/>
              </w:rPr>
              <w:t>原料筒仓粉尘</w:t>
            </w:r>
          </w:p>
          <w:p>
            <w:pPr>
              <w:spacing w:line="360" w:lineRule="auto"/>
              <w:ind w:firstLine="480" w:firstLineChars="200"/>
              <w:rPr>
                <w:rFonts w:cs="Calibri"/>
                <w:sz w:val="24"/>
                <w:u w:val="single"/>
              </w:rPr>
            </w:pPr>
            <w:r>
              <w:rPr>
                <w:rFonts w:cs="Calibri"/>
                <w:sz w:val="24"/>
                <w:u w:val="single"/>
              </w:rPr>
              <w:t>本项目</w:t>
            </w:r>
            <w:r>
              <w:rPr>
                <w:rFonts w:hint="eastAsia" w:cs="Calibri"/>
                <w:sz w:val="24"/>
                <w:u w:val="single"/>
              </w:rPr>
              <w:t>湿拌</w:t>
            </w:r>
            <w:r>
              <w:rPr>
                <w:rFonts w:cs="Calibri"/>
                <w:sz w:val="24"/>
                <w:u w:val="single"/>
              </w:rPr>
              <w:t>砂浆的生产过程中，进入水泥筒仓的物料为</w:t>
            </w:r>
            <w:r>
              <w:rPr>
                <w:rFonts w:hint="eastAsia" w:cs="Calibri"/>
                <w:sz w:val="24"/>
                <w:u w:val="single"/>
              </w:rPr>
              <w:t>2.95</w:t>
            </w:r>
            <w:r>
              <w:rPr>
                <w:rFonts w:cs="Calibri"/>
                <w:sz w:val="24"/>
                <w:u w:val="single"/>
              </w:rPr>
              <w:t>万t/a，进入粉煤灰筒仓的物料为1万t/a，进入外加剂筒仓的物料为800t/a，项目每个筒仓配套除尘器，采用的除尘方式如下：库底采用负压吸风收尘装置，与库顶呼吸孔共用一台脉冲式除尘器，该除尘器的除尘效率为99.6%，经除尘器处理后通过呼吸阀高空排放，各个原料筒仓粉尘产生及排放情况见表13。</w:t>
            </w:r>
          </w:p>
          <w:p>
            <w:pPr>
              <w:jc w:val="center"/>
              <w:rPr>
                <w:rFonts w:cs="Calibri"/>
                <w:b/>
                <w:sz w:val="21"/>
                <w:u w:val="single"/>
              </w:rPr>
            </w:pPr>
            <w:r>
              <w:rPr>
                <w:rFonts w:cs="Calibri"/>
                <w:b/>
                <w:sz w:val="21"/>
                <w:u w:val="single"/>
              </w:rPr>
              <w:t>表13 各原料筒仓和混合搅拌粉尘产生及排放情况一览表</w:t>
            </w:r>
          </w:p>
          <w:tbl>
            <w:tblPr>
              <w:tblStyle w:val="18"/>
              <w:tblW w:w="850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070"/>
              <w:gridCol w:w="1168"/>
              <w:gridCol w:w="1018"/>
              <w:gridCol w:w="809"/>
              <w:gridCol w:w="1006"/>
              <w:gridCol w:w="1005"/>
              <w:gridCol w:w="9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470" w:type="dxa"/>
                  <w:vMerge w:val="restart"/>
                  <w:tcBorders>
                    <w:tl2br w:val="nil"/>
                    <w:tr2bl w:val="nil"/>
                  </w:tcBorders>
                  <w:vAlign w:val="center"/>
                </w:tcPr>
                <w:p>
                  <w:pPr>
                    <w:jc w:val="center"/>
                    <w:rPr>
                      <w:rFonts w:cs="Calibri"/>
                      <w:sz w:val="21"/>
                      <w:u w:val="single"/>
                    </w:rPr>
                  </w:pPr>
                  <w:r>
                    <w:rPr>
                      <w:rFonts w:cs="Calibri"/>
                      <w:sz w:val="21"/>
                      <w:u w:val="single"/>
                    </w:rPr>
                    <w:t>污染源</w:t>
                  </w:r>
                </w:p>
              </w:tc>
              <w:tc>
                <w:tcPr>
                  <w:tcW w:w="1070" w:type="dxa"/>
                  <w:vMerge w:val="restart"/>
                  <w:tcBorders>
                    <w:tl2br w:val="nil"/>
                    <w:tr2bl w:val="nil"/>
                  </w:tcBorders>
                  <w:vAlign w:val="center"/>
                </w:tcPr>
                <w:p>
                  <w:pPr>
                    <w:jc w:val="center"/>
                    <w:rPr>
                      <w:rFonts w:cs="Calibri"/>
                      <w:sz w:val="21"/>
                      <w:u w:val="single"/>
                    </w:rPr>
                  </w:pPr>
                  <w:r>
                    <w:rPr>
                      <w:rFonts w:cs="Calibri"/>
                      <w:sz w:val="21"/>
                      <w:u w:val="single"/>
                    </w:rPr>
                    <w:t>粉料量</w:t>
                  </w:r>
                </w:p>
                <w:p>
                  <w:pPr>
                    <w:jc w:val="center"/>
                    <w:rPr>
                      <w:rFonts w:cs="Calibri"/>
                      <w:sz w:val="21"/>
                      <w:u w:val="single"/>
                    </w:rPr>
                  </w:pPr>
                  <w:r>
                    <w:rPr>
                      <w:rFonts w:cs="Calibri"/>
                      <w:sz w:val="21"/>
                      <w:u w:val="single"/>
                    </w:rPr>
                    <w:t>（万t）</w:t>
                  </w:r>
                </w:p>
              </w:tc>
              <w:tc>
                <w:tcPr>
                  <w:tcW w:w="1168" w:type="dxa"/>
                  <w:vMerge w:val="restart"/>
                  <w:tcBorders>
                    <w:tl2br w:val="nil"/>
                    <w:tr2bl w:val="nil"/>
                  </w:tcBorders>
                  <w:vAlign w:val="center"/>
                </w:tcPr>
                <w:p>
                  <w:pPr>
                    <w:jc w:val="center"/>
                    <w:rPr>
                      <w:rFonts w:cs="Calibri"/>
                      <w:sz w:val="21"/>
                      <w:u w:val="single"/>
                    </w:rPr>
                  </w:pPr>
                  <w:r>
                    <w:rPr>
                      <w:rFonts w:cs="Calibri"/>
                      <w:sz w:val="21"/>
                      <w:u w:val="single"/>
                    </w:rPr>
                    <w:t>废气量</w:t>
                  </w:r>
                </w:p>
                <w:p>
                  <w:pPr>
                    <w:jc w:val="center"/>
                    <w:rPr>
                      <w:rFonts w:cs="Calibri"/>
                      <w:sz w:val="21"/>
                      <w:u w:val="single"/>
                    </w:rPr>
                  </w:pPr>
                  <w:r>
                    <w:rPr>
                      <w:rFonts w:cs="Calibri"/>
                      <w:sz w:val="21"/>
                      <w:u w:val="single"/>
                    </w:rPr>
                    <w:t>(万m</w:t>
                  </w:r>
                  <w:r>
                    <w:rPr>
                      <w:rFonts w:cs="Calibri"/>
                      <w:sz w:val="21"/>
                      <w:u w:val="single"/>
                      <w:vertAlign w:val="superscript"/>
                    </w:rPr>
                    <w:t>3</w:t>
                  </w:r>
                  <w:r>
                    <w:rPr>
                      <w:rFonts w:cs="Calibri"/>
                      <w:sz w:val="21"/>
                      <w:u w:val="single"/>
                    </w:rPr>
                    <w:t>/a)</w:t>
                  </w:r>
                </w:p>
              </w:tc>
              <w:tc>
                <w:tcPr>
                  <w:tcW w:w="1827" w:type="dxa"/>
                  <w:gridSpan w:val="2"/>
                  <w:tcBorders>
                    <w:tl2br w:val="nil"/>
                    <w:tr2bl w:val="nil"/>
                  </w:tcBorders>
                  <w:vAlign w:val="center"/>
                </w:tcPr>
                <w:p>
                  <w:pPr>
                    <w:jc w:val="center"/>
                    <w:rPr>
                      <w:rFonts w:cs="Calibri"/>
                      <w:sz w:val="21"/>
                      <w:u w:val="single"/>
                    </w:rPr>
                  </w:pPr>
                  <w:r>
                    <w:rPr>
                      <w:rFonts w:cs="Calibri"/>
                      <w:sz w:val="21"/>
                      <w:u w:val="single"/>
                    </w:rPr>
                    <w:t>产生量</w:t>
                  </w:r>
                </w:p>
              </w:tc>
              <w:tc>
                <w:tcPr>
                  <w:tcW w:w="1006" w:type="dxa"/>
                  <w:vMerge w:val="restart"/>
                  <w:tcBorders>
                    <w:tl2br w:val="nil"/>
                    <w:tr2bl w:val="nil"/>
                  </w:tcBorders>
                  <w:vAlign w:val="center"/>
                </w:tcPr>
                <w:p>
                  <w:pPr>
                    <w:jc w:val="center"/>
                    <w:rPr>
                      <w:rFonts w:cs="Calibri"/>
                      <w:sz w:val="21"/>
                      <w:u w:val="single"/>
                    </w:rPr>
                  </w:pPr>
                  <w:r>
                    <w:rPr>
                      <w:rFonts w:cs="Calibri"/>
                      <w:sz w:val="21"/>
                      <w:u w:val="single"/>
                    </w:rPr>
                    <w:t>除尘效率(%)</w:t>
                  </w:r>
                </w:p>
              </w:tc>
              <w:tc>
                <w:tcPr>
                  <w:tcW w:w="1963" w:type="dxa"/>
                  <w:gridSpan w:val="2"/>
                  <w:tcBorders>
                    <w:tl2br w:val="nil"/>
                    <w:tr2bl w:val="nil"/>
                  </w:tcBorders>
                  <w:vAlign w:val="center"/>
                </w:tcPr>
                <w:p>
                  <w:pPr>
                    <w:jc w:val="center"/>
                    <w:rPr>
                      <w:rFonts w:cs="Calibri"/>
                      <w:sz w:val="21"/>
                      <w:u w:val="single"/>
                    </w:rPr>
                  </w:pPr>
                  <w:r>
                    <w:rPr>
                      <w:rFonts w:cs="Calibri"/>
                      <w:sz w:val="21"/>
                      <w:u w:val="single"/>
                    </w:rPr>
                    <w:t>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470" w:type="dxa"/>
                  <w:vMerge w:val="continue"/>
                  <w:tcBorders>
                    <w:tl2br w:val="nil"/>
                    <w:tr2bl w:val="nil"/>
                  </w:tcBorders>
                  <w:vAlign w:val="center"/>
                </w:tcPr>
                <w:p>
                  <w:pPr>
                    <w:jc w:val="center"/>
                    <w:rPr>
                      <w:rFonts w:cs="Calibri"/>
                      <w:sz w:val="21"/>
                      <w:u w:val="single"/>
                    </w:rPr>
                    <w:pPrChange w:id="69" w:author="Administrator" w:date="2016-11-24T08:57:00Z">
                      <w:pPr>
                        <w:tabs>
                          <w:tab w:val="left" w:pos="-2848"/>
                        </w:tabs>
                      </w:pPr>
                    </w:pPrChange>
                  </w:pPr>
                </w:p>
              </w:tc>
              <w:tc>
                <w:tcPr>
                  <w:tcW w:w="1070" w:type="dxa"/>
                  <w:vMerge w:val="continue"/>
                  <w:tcBorders>
                    <w:tl2br w:val="nil"/>
                    <w:tr2bl w:val="nil"/>
                  </w:tcBorders>
                  <w:vAlign w:val="center"/>
                </w:tcPr>
                <w:p>
                  <w:pPr>
                    <w:jc w:val="center"/>
                    <w:rPr>
                      <w:rFonts w:cs="Calibri"/>
                      <w:sz w:val="21"/>
                      <w:u w:val="single"/>
                    </w:rPr>
                    <w:pPrChange w:id="70" w:author="Administrator" w:date="2016-11-24T08:57:00Z">
                      <w:pPr>
                        <w:tabs>
                          <w:tab w:val="left" w:pos="-2848"/>
                        </w:tabs>
                      </w:pPr>
                    </w:pPrChange>
                  </w:pPr>
                </w:p>
              </w:tc>
              <w:tc>
                <w:tcPr>
                  <w:tcW w:w="1168" w:type="dxa"/>
                  <w:vMerge w:val="continue"/>
                  <w:tcBorders>
                    <w:tl2br w:val="nil"/>
                    <w:tr2bl w:val="nil"/>
                  </w:tcBorders>
                  <w:vAlign w:val="center"/>
                </w:tcPr>
                <w:p>
                  <w:pPr>
                    <w:jc w:val="center"/>
                    <w:rPr>
                      <w:rFonts w:cs="Calibri"/>
                      <w:sz w:val="21"/>
                      <w:u w:val="single"/>
                    </w:rPr>
                    <w:pPrChange w:id="71" w:author="Administrator" w:date="2016-11-24T08:57:00Z">
                      <w:pPr>
                        <w:tabs>
                          <w:tab w:val="left" w:pos="-2848"/>
                        </w:tabs>
                      </w:pPr>
                    </w:pPrChange>
                  </w:pPr>
                </w:p>
              </w:tc>
              <w:tc>
                <w:tcPr>
                  <w:tcW w:w="1018" w:type="dxa"/>
                  <w:tcBorders>
                    <w:tl2br w:val="nil"/>
                    <w:tr2bl w:val="nil"/>
                  </w:tcBorders>
                  <w:vAlign w:val="center"/>
                </w:tcPr>
                <w:p>
                  <w:pPr>
                    <w:jc w:val="center"/>
                    <w:rPr>
                      <w:rFonts w:cs="Calibri"/>
                      <w:sz w:val="21"/>
                      <w:u w:val="single"/>
                    </w:rPr>
                    <w:pPrChange w:id="72" w:author="Administrator" w:date="2016-11-24T08:57:00Z">
                      <w:pPr>
                        <w:tabs>
                          <w:tab w:val="left" w:pos="-2848"/>
                        </w:tabs>
                      </w:pPr>
                    </w:pPrChange>
                  </w:pPr>
                  <w:r>
                    <w:rPr>
                      <w:rFonts w:cs="Calibri"/>
                      <w:sz w:val="21"/>
                      <w:u w:val="single"/>
                    </w:rPr>
                    <w:t>mg/m</w:t>
                  </w:r>
                  <w:r>
                    <w:rPr>
                      <w:rFonts w:cs="Calibri"/>
                      <w:sz w:val="21"/>
                      <w:u w:val="single"/>
                      <w:vertAlign w:val="superscript"/>
                    </w:rPr>
                    <w:t>3</w:t>
                  </w:r>
                </w:p>
              </w:tc>
              <w:tc>
                <w:tcPr>
                  <w:tcW w:w="809" w:type="dxa"/>
                  <w:tcBorders>
                    <w:tl2br w:val="nil"/>
                    <w:tr2bl w:val="nil"/>
                  </w:tcBorders>
                  <w:vAlign w:val="center"/>
                </w:tcPr>
                <w:p>
                  <w:pPr>
                    <w:jc w:val="center"/>
                    <w:rPr>
                      <w:rFonts w:cs="Calibri"/>
                      <w:sz w:val="21"/>
                      <w:u w:val="single"/>
                    </w:rPr>
                    <w:pPrChange w:id="73" w:author="Administrator" w:date="2016-11-24T08:57:00Z">
                      <w:pPr>
                        <w:tabs>
                          <w:tab w:val="left" w:pos="-2848"/>
                        </w:tabs>
                      </w:pPr>
                    </w:pPrChange>
                  </w:pPr>
                  <w:r>
                    <w:rPr>
                      <w:rFonts w:cs="Calibri"/>
                      <w:sz w:val="21"/>
                      <w:u w:val="single"/>
                    </w:rPr>
                    <w:t>t/a</w:t>
                  </w:r>
                </w:p>
              </w:tc>
              <w:tc>
                <w:tcPr>
                  <w:tcW w:w="1006" w:type="dxa"/>
                  <w:vMerge w:val="continue"/>
                  <w:tcBorders>
                    <w:tl2br w:val="nil"/>
                    <w:tr2bl w:val="nil"/>
                  </w:tcBorders>
                  <w:vAlign w:val="center"/>
                </w:tcPr>
                <w:p>
                  <w:pPr>
                    <w:jc w:val="center"/>
                    <w:rPr>
                      <w:rFonts w:cs="Calibri"/>
                      <w:sz w:val="21"/>
                      <w:u w:val="single"/>
                    </w:rPr>
                    <w:pPrChange w:id="74" w:author="Administrator" w:date="2016-11-24T08:57:00Z">
                      <w:pPr>
                        <w:tabs>
                          <w:tab w:val="left" w:pos="-2848"/>
                        </w:tabs>
                      </w:pPr>
                    </w:pPrChange>
                  </w:pPr>
                </w:p>
              </w:tc>
              <w:tc>
                <w:tcPr>
                  <w:tcW w:w="1005" w:type="dxa"/>
                  <w:tcBorders>
                    <w:tl2br w:val="nil"/>
                    <w:tr2bl w:val="nil"/>
                  </w:tcBorders>
                  <w:vAlign w:val="center"/>
                </w:tcPr>
                <w:p>
                  <w:pPr>
                    <w:jc w:val="center"/>
                    <w:rPr>
                      <w:rFonts w:cs="Calibri"/>
                      <w:sz w:val="21"/>
                      <w:u w:val="single"/>
                    </w:rPr>
                    <w:pPrChange w:id="75" w:author="Administrator" w:date="2016-11-24T08:57:00Z">
                      <w:pPr>
                        <w:tabs>
                          <w:tab w:val="left" w:pos="-2848"/>
                        </w:tabs>
                      </w:pPr>
                    </w:pPrChange>
                  </w:pPr>
                  <w:r>
                    <w:rPr>
                      <w:rFonts w:cs="Calibri"/>
                      <w:sz w:val="21"/>
                      <w:u w:val="single"/>
                    </w:rPr>
                    <w:t>mg/m</w:t>
                  </w:r>
                  <w:r>
                    <w:rPr>
                      <w:rFonts w:cs="Calibri"/>
                      <w:sz w:val="21"/>
                      <w:u w:val="single"/>
                      <w:vertAlign w:val="superscript"/>
                    </w:rPr>
                    <w:t>3</w:t>
                  </w:r>
                </w:p>
              </w:tc>
              <w:tc>
                <w:tcPr>
                  <w:tcW w:w="958" w:type="dxa"/>
                  <w:tcBorders>
                    <w:tl2br w:val="nil"/>
                    <w:tr2bl w:val="nil"/>
                  </w:tcBorders>
                  <w:vAlign w:val="center"/>
                </w:tcPr>
                <w:p>
                  <w:pPr>
                    <w:jc w:val="center"/>
                    <w:rPr>
                      <w:rFonts w:cs="Calibri"/>
                      <w:sz w:val="21"/>
                      <w:u w:val="single"/>
                    </w:rPr>
                    <w:pPrChange w:id="76" w:author="Administrator" w:date="2016-11-24T08:57:00Z">
                      <w:pPr>
                        <w:tabs>
                          <w:tab w:val="left" w:pos="-2848"/>
                        </w:tabs>
                      </w:pPr>
                    </w:pPrChange>
                  </w:pPr>
                  <w:r>
                    <w:rPr>
                      <w:rFonts w:cs="Calibri"/>
                      <w:sz w:val="21"/>
                      <w:u w:val="single"/>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470" w:type="dxa"/>
                  <w:tcBorders>
                    <w:tl2br w:val="nil"/>
                    <w:tr2bl w:val="nil"/>
                  </w:tcBorders>
                  <w:vAlign w:val="center"/>
                </w:tcPr>
                <w:p>
                  <w:pPr>
                    <w:jc w:val="center"/>
                    <w:rPr>
                      <w:rFonts w:cs="Calibri"/>
                      <w:sz w:val="21"/>
                      <w:u w:val="single"/>
                    </w:rPr>
                  </w:pPr>
                  <w:r>
                    <w:rPr>
                      <w:rFonts w:cs="Calibri"/>
                      <w:sz w:val="21"/>
                      <w:u w:val="single"/>
                    </w:rPr>
                    <w:t>水泥筒仓</w:t>
                  </w:r>
                </w:p>
              </w:tc>
              <w:tc>
                <w:tcPr>
                  <w:tcW w:w="1070" w:type="dxa"/>
                  <w:tcBorders>
                    <w:tl2br w:val="nil"/>
                    <w:tr2bl w:val="nil"/>
                  </w:tcBorders>
                  <w:vAlign w:val="center"/>
                </w:tcPr>
                <w:p>
                  <w:pPr>
                    <w:jc w:val="center"/>
                    <w:rPr>
                      <w:rFonts w:cs="Calibri"/>
                      <w:sz w:val="21"/>
                      <w:u w:val="single"/>
                    </w:rPr>
                  </w:pPr>
                  <w:r>
                    <w:rPr>
                      <w:rFonts w:hint="eastAsia" w:cs="Calibri"/>
                      <w:sz w:val="21"/>
                      <w:u w:val="single"/>
                    </w:rPr>
                    <w:t>2.95</w:t>
                  </w:r>
                </w:p>
              </w:tc>
              <w:tc>
                <w:tcPr>
                  <w:tcW w:w="1168" w:type="dxa"/>
                  <w:tcBorders>
                    <w:tl2br w:val="nil"/>
                    <w:tr2bl w:val="nil"/>
                  </w:tcBorders>
                  <w:vAlign w:val="center"/>
                </w:tcPr>
                <w:p>
                  <w:pPr>
                    <w:jc w:val="center"/>
                    <w:rPr>
                      <w:rFonts w:cs="Calibri"/>
                      <w:sz w:val="21"/>
                      <w:u w:val="single"/>
                    </w:rPr>
                  </w:pPr>
                  <w:r>
                    <w:rPr>
                      <w:rFonts w:cs="Calibri"/>
                      <w:sz w:val="21"/>
                      <w:u w:val="single"/>
                    </w:rPr>
                    <w:t>1380</w:t>
                  </w:r>
                </w:p>
              </w:tc>
              <w:tc>
                <w:tcPr>
                  <w:tcW w:w="1018" w:type="dxa"/>
                  <w:tcBorders>
                    <w:tl2br w:val="nil"/>
                    <w:tr2bl w:val="nil"/>
                  </w:tcBorders>
                  <w:vAlign w:val="center"/>
                </w:tcPr>
                <w:p>
                  <w:pPr>
                    <w:jc w:val="center"/>
                    <w:rPr>
                      <w:rFonts w:cs="Calibri"/>
                      <w:sz w:val="21"/>
                      <w:u w:val="single"/>
                    </w:rPr>
                  </w:pPr>
                  <w:r>
                    <w:rPr>
                      <w:rFonts w:cs="Calibri"/>
                      <w:sz w:val="21"/>
                      <w:u w:val="single"/>
                    </w:rPr>
                    <w:t>4543</w:t>
                  </w:r>
                </w:p>
              </w:tc>
              <w:tc>
                <w:tcPr>
                  <w:tcW w:w="809" w:type="dxa"/>
                  <w:tcBorders>
                    <w:tl2br w:val="nil"/>
                    <w:tr2bl w:val="nil"/>
                  </w:tcBorders>
                  <w:vAlign w:val="center"/>
                </w:tcPr>
                <w:p>
                  <w:pPr>
                    <w:jc w:val="center"/>
                    <w:rPr>
                      <w:rFonts w:cs="Calibri"/>
                      <w:sz w:val="21"/>
                      <w:u w:val="single"/>
                    </w:rPr>
                  </w:pPr>
                  <w:r>
                    <w:rPr>
                      <w:rFonts w:cs="Calibri"/>
                      <w:sz w:val="21"/>
                      <w:u w:val="single"/>
                    </w:rPr>
                    <w:t>62.7</w:t>
                  </w:r>
                </w:p>
              </w:tc>
              <w:tc>
                <w:tcPr>
                  <w:tcW w:w="1006" w:type="dxa"/>
                  <w:tcBorders>
                    <w:tl2br w:val="nil"/>
                    <w:tr2bl w:val="nil"/>
                  </w:tcBorders>
                  <w:vAlign w:val="center"/>
                </w:tcPr>
                <w:p>
                  <w:pPr>
                    <w:jc w:val="center"/>
                    <w:rPr>
                      <w:rFonts w:cs="Calibri"/>
                      <w:sz w:val="21"/>
                      <w:u w:val="single"/>
                    </w:rPr>
                  </w:pPr>
                  <w:r>
                    <w:rPr>
                      <w:rFonts w:cs="Calibri"/>
                      <w:sz w:val="21"/>
                      <w:u w:val="single"/>
                    </w:rPr>
                    <w:t>99.6</w:t>
                  </w:r>
                </w:p>
              </w:tc>
              <w:tc>
                <w:tcPr>
                  <w:tcW w:w="1005" w:type="dxa"/>
                  <w:tcBorders>
                    <w:tl2br w:val="nil"/>
                    <w:tr2bl w:val="nil"/>
                  </w:tcBorders>
                  <w:vAlign w:val="center"/>
                </w:tcPr>
                <w:p>
                  <w:pPr>
                    <w:jc w:val="center"/>
                    <w:rPr>
                      <w:rFonts w:cs="Calibri"/>
                      <w:sz w:val="21"/>
                      <w:u w:val="single"/>
                    </w:rPr>
                  </w:pPr>
                  <w:r>
                    <w:rPr>
                      <w:rFonts w:cs="Calibri"/>
                      <w:sz w:val="21"/>
                      <w:u w:val="single"/>
                    </w:rPr>
                    <w:t>9.086</w:t>
                  </w:r>
                </w:p>
              </w:tc>
              <w:tc>
                <w:tcPr>
                  <w:tcW w:w="958" w:type="dxa"/>
                  <w:tcBorders>
                    <w:tl2br w:val="nil"/>
                    <w:tr2bl w:val="nil"/>
                  </w:tcBorders>
                  <w:vAlign w:val="center"/>
                </w:tcPr>
                <w:p>
                  <w:pPr>
                    <w:jc w:val="center"/>
                    <w:rPr>
                      <w:rFonts w:cs="Calibri"/>
                      <w:sz w:val="21"/>
                      <w:u w:val="single"/>
                    </w:rPr>
                  </w:pPr>
                  <w:r>
                    <w:rPr>
                      <w:rFonts w:cs="Calibri"/>
                      <w:sz w:val="21"/>
                      <w:u w:val="single"/>
                    </w:rPr>
                    <w:t>0.251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470" w:type="dxa"/>
                  <w:tcBorders>
                    <w:tl2br w:val="nil"/>
                    <w:tr2bl w:val="nil"/>
                  </w:tcBorders>
                  <w:vAlign w:val="center"/>
                </w:tcPr>
                <w:p>
                  <w:pPr>
                    <w:jc w:val="center"/>
                    <w:rPr>
                      <w:rFonts w:cs="Calibri"/>
                      <w:sz w:val="21"/>
                      <w:u w:val="single"/>
                    </w:rPr>
                  </w:pPr>
                  <w:r>
                    <w:rPr>
                      <w:rFonts w:cs="Calibri"/>
                      <w:sz w:val="21"/>
                      <w:u w:val="single"/>
                    </w:rPr>
                    <w:t>粉煤灰筒仓</w:t>
                  </w:r>
                </w:p>
              </w:tc>
              <w:tc>
                <w:tcPr>
                  <w:tcW w:w="1070" w:type="dxa"/>
                  <w:tcBorders>
                    <w:tl2br w:val="nil"/>
                    <w:tr2bl w:val="nil"/>
                  </w:tcBorders>
                  <w:vAlign w:val="center"/>
                </w:tcPr>
                <w:p>
                  <w:pPr>
                    <w:jc w:val="center"/>
                    <w:rPr>
                      <w:rFonts w:cs="Calibri"/>
                      <w:sz w:val="21"/>
                      <w:u w:val="single"/>
                    </w:rPr>
                  </w:pPr>
                  <w:r>
                    <w:rPr>
                      <w:rFonts w:cs="Calibri"/>
                      <w:sz w:val="21"/>
                      <w:u w:val="single"/>
                    </w:rPr>
                    <w:t>1</w:t>
                  </w:r>
                </w:p>
              </w:tc>
              <w:tc>
                <w:tcPr>
                  <w:tcW w:w="1168" w:type="dxa"/>
                  <w:tcBorders>
                    <w:tl2br w:val="nil"/>
                    <w:tr2bl w:val="nil"/>
                  </w:tcBorders>
                  <w:vAlign w:val="center"/>
                </w:tcPr>
                <w:p>
                  <w:pPr>
                    <w:jc w:val="center"/>
                    <w:rPr>
                      <w:rFonts w:cs="Calibri"/>
                      <w:sz w:val="21"/>
                      <w:u w:val="single"/>
                    </w:rPr>
                  </w:pPr>
                  <w:r>
                    <w:rPr>
                      <w:rFonts w:cs="Calibri"/>
                      <w:sz w:val="21"/>
                      <w:u w:val="single"/>
                    </w:rPr>
                    <w:t>460</w:t>
                  </w:r>
                </w:p>
              </w:tc>
              <w:tc>
                <w:tcPr>
                  <w:tcW w:w="1018" w:type="dxa"/>
                  <w:tcBorders>
                    <w:tl2br w:val="nil"/>
                    <w:tr2bl w:val="nil"/>
                  </w:tcBorders>
                  <w:vAlign w:val="center"/>
                </w:tcPr>
                <w:p>
                  <w:pPr>
                    <w:jc w:val="center"/>
                    <w:rPr>
                      <w:rFonts w:cs="Calibri"/>
                      <w:sz w:val="21"/>
                      <w:u w:val="single"/>
                    </w:rPr>
                  </w:pPr>
                  <w:r>
                    <w:rPr>
                      <w:rFonts w:cs="Calibri"/>
                      <w:sz w:val="21"/>
                      <w:u w:val="single"/>
                    </w:rPr>
                    <w:t>4543</w:t>
                  </w:r>
                </w:p>
              </w:tc>
              <w:tc>
                <w:tcPr>
                  <w:tcW w:w="809" w:type="dxa"/>
                  <w:tcBorders>
                    <w:tl2br w:val="nil"/>
                    <w:tr2bl w:val="nil"/>
                  </w:tcBorders>
                  <w:vAlign w:val="center"/>
                </w:tcPr>
                <w:p>
                  <w:pPr>
                    <w:jc w:val="center"/>
                    <w:rPr>
                      <w:rFonts w:cs="Calibri"/>
                      <w:sz w:val="21"/>
                      <w:u w:val="single"/>
                    </w:rPr>
                  </w:pPr>
                  <w:r>
                    <w:rPr>
                      <w:rFonts w:cs="Calibri"/>
                      <w:sz w:val="21"/>
                      <w:u w:val="single"/>
                    </w:rPr>
                    <w:t>20.9</w:t>
                  </w:r>
                </w:p>
              </w:tc>
              <w:tc>
                <w:tcPr>
                  <w:tcW w:w="1006" w:type="dxa"/>
                  <w:tcBorders>
                    <w:tl2br w:val="nil"/>
                    <w:tr2bl w:val="nil"/>
                  </w:tcBorders>
                  <w:vAlign w:val="center"/>
                </w:tcPr>
                <w:p>
                  <w:pPr>
                    <w:jc w:val="center"/>
                    <w:rPr>
                      <w:rFonts w:cs="Calibri"/>
                      <w:sz w:val="21"/>
                      <w:u w:val="single"/>
                    </w:rPr>
                  </w:pPr>
                  <w:r>
                    <w:rPr>
                      <w:rFonts w:cs="Calibri"/>
                      <w:sz w:val="21"/>
                      <w:u w:val="single"/>
                    </w:rPr>
                    <w:t>99.6</w:t>
                  </w:r>
                </w:p>
              </w:tc>
              <w:tc>
                <w:tcPr>
                  <w:tcW w:w="1005" w:type="dxa"/>
                  <w:tcBorders>
                    <w:tl2br w:val="nil"/>
                    <w:tr2bl w:val="nil"/>
                  </w:tcBorders>
                  <w:vAlign w:val="center"/>
                </w:tcPr>
                <w:p>
                  <w:pPr>
                    <w:jc w:val="center"/>
                    <w:rPr>
                      <w:rFonts w:cs="Calibri"/>
                      <w:sz w:val="21"/>
                      <w:u w:val="single"/>
                    </w:rPr>
                  </w:pPr>
                  <w:r>
                    <w:rPr>
                      <w:rFonts w:cs="Calibri"/>
                      <w:sz w:val="21"/>
                      <w:u w:val="single"/>
                    </w:rPr>
                    <w:t>9.086</w:t>
                  </w:r>
                </w:p>
              </w:tc>
              <w:tc>
                <w:tcPr>
                  <w:tcW w:w="958" w:type="dxa"/>
                  <w:tcBorders>
                    <w:tl2br w:val="nil"/>
                    <w:tr2bl w:val="nil"/>
                  </w:tcBorders>
                  <w:vAlign w:val="center"/>
                </w:tcPr>
                <w:p>
                  <w:pPr>
                    <w:jc w:val="center"/>
                    <w:rPr>
                      <w:rFonts w:cs="Calibri"/>
                      <w:sz w:val="21"/>
                      <w:u w:val="single"/>
                    </w:rPr>
                  </w:pPr>
                  <w:r>
                    <w:rPr>
                      <w:rFonts w:cs="Calibri"/>
                      <w:sz w:val="21"/>
                      <w:u w:val="single"/>
                    </w:rPr>
                    <w:t>0.0836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470" w:type="dxa"/>
                  <w:tcBorders>
                    <w:tl2br w:val="nil"/>
                    <w:tr2bl w:val="nil"/>
                  </w:tcBorders>
                  <w:vAlign w:val="center"/>
                </w:tcPr>
                <w:p>
                  <w:pPr>
                    <w:jc w:val="center"/>
                    <w:rPr>
                      <w:rFonts w:cs="Calibri"/>
                      <w:sz w:val="21"/>
                      <w:u w:val="single"/>
                    </w:rPr>
                  </w:pPr>
                  <w:r>
                    <w:rPr>
                      <w:rFonts w:cs="Calibri"/>
                      <w:sz w:val="21"/>
                      <w:u w:val="single"/>
                    </w:rPr>
                    <w:t>外加剂筒仓</w:t>
                  </w:r>
                </w:p>
              </w:tc>
              <w:tc>
                <w:tcPr>
                  <w:tcW w:w="1070" w:type="dxa"/>
                  <w:tcBorders>
                    <w:tl2br w:val="nil"/>
                    <w:tr2bl w:val="nil"/>
                  </w:tcBorders>
                  <w:vAlign w:val="center"/>
                </w:tcPr>
                <w:p>
                  <w:pPr>
                    <w:jc w:val="center"/>
                    <w:rPr>
                      <w:rFonts w:cs="Calibri"/>
                      <w:sz w:val="21"/>
                      <w:u w:val="single"/>
                    </w:rPr>
                  </w:pPr>
                  <w:r>
                    <w:rPr>
                      <w:rFonts w:cs="Calibri"/>
                      <w:sz w:val="21"/>
                      <w:u w:val="single"/>
                    </w:rPr>
                    <w:t>0.08</w:t>
                  </w:r>
                </w:p>
              </w:tc>
              <w:tc>
                <w:tcPr>
                  <w:tcW w:w="1168" w:type="dxa"/>
                  <w:tcBorders>
                    <w:tl2br w:val="nil"/>
                    <w:tr2bl w:val="nil"/>
                  </w:tcBorders>
                  <w:vAlign w:val="center"/>
                </w:tcPr>
                <w:p>
                  <w:pPr>
                    <w:jc w:val="center"/>
                    <w:rPr>
                      <w:rFonts w:cs="Calibri"/>
                      <w:sz w:val="21"/>
                      <w:u w:val="single"/>
                    </w:rPr>
                  </w:pPr>
                  <w:r>
                    <w:rPr>
                      <w:rFonts w:cs="Calibri"/>
                      <w:sz w:val="21"/>
                      <w:u w:val="single"/>
                    </w:rPr>
                    <w:t>36.8</w:t>
                  </w:r>
                </w:p>
              </w:tc>
              <w:tc>
                <w:tcPr>
                  <w:tcW w:w="1018" w:type="dxa"/>
                  <w:tcBorders>
                    <w:tl2br w:val="nil"/>
                    <w:tr2bl w:val="nil"/>
                  </w:tcBorders>
                  <w:vAlign w:val="center"/>
                </w:tcPr>
                <w:p>
                  <w:pPr>
                    <w:jc w:val="center"/>
                    <w:rPr>
                      <w:rFonts w:cs="Calibri"/>
                      <w:sz w:val="21"/>
                      <w:u w:val="single"/>
                    </w:rPr>
                  </w:pPr>
                  <w:r>
                    <w:rPr>
                      <w:rFonts w:cs="Calibri"/>
                      <w:sz w:val="21"/>
                      <w:u w:val="single"/>
                    </w:rPr>
                    <w:t>4543</w:t>
                  </w:r>
                </w:p>
              </w:tc>
              <w:tc>
                <w:tcPr>
                  <w:tcW w:w="809" w:type="dxa"/>
                  <w:tcBorders>
                    <w:tl2br w:val="nil"/>
                    <w:tr2bl w:val="nil"/>
                  </w:tcBorders>
                  <w:vAlign w:val="center"/>
                </w:tcPr>
                <w:p>
                  <w:pPr>
                    <w:jc w:val="center"/>
                    <w:rPr>
                      <w:rFonts w:cs="Calibri"/>
                      <w:sz w:val="21"/>
                      <w:u w:val="single"/>
                    </w:rPr>
                  </w:pPr>
                  <w:r>
                    <w:rPr>
                      <w:rFonts w:cs="Calibri"/>
                      <w:sz w:val="21"/>
                      <w:u w:val="single"/>
                    </w:rPr>
                    <w:t>1.672</w:t>
                  </w:r>
                </w:p>
              </w:tc>
              <w:tc>
                <w:tcPr>
                  <w:tcW w:w="1006" w:type="dxa"/>
                  <w:tcBorders>
                    <w:tl2br w:val="nil"/>
                    <w:tr2bl w:val="nil"/>
                  </w:tcBorders>
                  <w:vAlign w:val="center"/>
                </w:tcPr>
                <w:p>
                  <w:pPr>
                    <w:jc w:val="center"/>
                    <w:rPr>
                      <w:rFonts w:cs="Calibri"/>
                      <w:sz w:val="21"/>
                      <w:u w:val="single"/>
                    </w:rPr>
                  </w:pPr>
                  <w:r>
                    <w:rPr>
                      <w:rFonts w:cs="Calibri"/>
                      <w:sz w:val="21"/>
                      <w:u w:val="single"/>
                    </w:rPr>
                    <w:t>99.6</w:t>
                  </w:r>
                </w:p>
              </w:tc>
              <w:tc>
                <w:tcPr>
                  <w:tcW w:w="1005" w:type="dxa"/>
                  <w:tcBorders>
                    <w:tl2br w:val="nil"/>
                    <w:tr2bl w:val="nil"/>
                  </w:tcBorders>
                  <w:vAlign w:val="center"/>
                </w:tcPr>
                <w:p>
                  <w:pPr>
                    <w:jc w:val="center"/>
                    <w:rPr>
                      <w:rFonts w:cs="Calibri"/>
                      <w:sz w:val="21"/>
                      <w:u w:val="single"/>
                    </w:rPr>
                  </w:pPr>
                  <w:r>
                    <w:rPr>
                      <w:rFonts w:cs="Calibri"/>
                      <w:sz w:val="21"/>
                      <w:u w:val="single"/>
                    </w:rPr>
                    <w:t>9.086</w:t>
                  </w:r>
                </w:p>
              </w:tc>
              <w:tc>
                <w:tcPr>
                  <w:tcW w:w="958" w:type="dxa"/>
                  <w:tcBorders>
                    <w:tl2br w:val="nil"/>
                    <w:tr2bl w:val="nil"/>
                  </w:tcBorders>
                  <w:vAlign w:val="center"/>
                </w:tcPr>
                <w:p>
                  <w:pPr>
                    <w:jc w:val="center"/>
                    <w:rPr>
                      <w:rFonts w:cs="Calibri"/>
                      <w:sz w:val="21"/>
                      <w:u w:val="single"/>
                    </w:rPr>
                  </w:pPr>
                  <w:r>
                    <w:rPr>
                      <w:rFonts w:cs="Calibri"/>
                      <w:sz w:val="21"/>
                      <w:u w:val="single"/>
                    </w:rPr>
                    <w:t>0.00669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470" w:type="dxa"/>
                  <w:tcBorders>
                    <w:tl2br w:val="nil"/>
                    <w:tr2bl w:val="nil"/>
                  </w:tcBorders>
                  <w:vAlign w:val="center"/>
                </w:tcPr>
                <w:p>
                  <w:pPr>
                    <w:jc w:val="center"/>
                    <w:rPr>
                      <w:rFonts w:cs="Calibri"/>
                      <w:sz w:val="21"/>
                      <w:u w:val="single"/>
                    </w:rPr>
                  </w:pPr>
                  <w:r>
                    <w:rPr>
                      <w:rFonts w:cs="Calibri"/>
                      <w:sz w:val="21"/>
                      <w:u w:val="single"/>
                    </w:rPr>
                    <w:t>混合搅拌</w:t>
                  </w:r>
                </w:p>
              </w:tc>
              <w:tc>
                <w:tcPr>
                  <w:tcW w:w="1070" w:type="dxa"/>
                  <w:tcBorders>
                    <w:tl2br w:val="nil"/>
                    <w:tr2bl w:val="nil"/>
                  </w:tcBorders>
                  <w:vAlign w:val="center"/>
                </w:tcPr>
                <w:p>
                  <w:pPr>
                    <w:jc w:val="center"/>
                    <w:rPr>
                      <w:rFonts w:cs="Calibri"/>
                      <w:sz w:val="21"/>
                      <w:u w:val="single"/>
                    </w:rPr>
                  </w:pPr>
                  <w:r>
                    <w:rPr>
                      <w:rFonts w:cs="Calibri"/>
                      <w:sz w:val="21"/>
                      <w:u w:val="single"/>
                    </w:rPr>
                    <w:t>4.0</w:t>
                  </w:r>
                  <w:r>
                    <w:rPr>
                      <w:rFonts w:hint="eastAsia" w:cs="Calibri"/>
                      <w:sz w:val="21"/>
                      <w:u w:val="single"/>
                    </w:rPr>
                    <w:t>3</w:t>
                  </w:r>
                </w:p>
              </w:tc>
              <w:tc>
                <w:tcPr>
                  <w:tcW w:w="1168" w:type="dxa"/>
                  <w:tcBorders>
                    <w:tl2br w:val="nil"/>
                    <w:tr2bl w:val="nil"/>
                  </w:tcBorders>
                  <w:vAlign w:val="center"/>
                </w:tcPr>
                <w:p>
                  <w:pPr>
                    <w:jc w:val="center"/>
                    <w:rPr>
                      <w:rFonts w:cs="Calibri"/>
                      <w:sz w:val="21"/>
                      <w:u w:val="single"/>
                    </w:rPr>
                  </w:pPr>
                  <w:r>
                    <w:rPr>
                      <w:rFonts w:cs="Calibri"/>
                      <w:sz w:val="21"/>
                      <w:u w:val="single"/>
                    </w:rPr>
                    <w:t>57</w:t>
                  </w:r>
                  <w:r>
                    <w:rPr>
                      <w:rFonts w:hint="eastAsia" w:cs="Calibri"/>
                      <w:sz w:val="21"/>
                      <w:u w:val="single"/>
                    </w:rPr>
                    <w:t>18.57</w:t>
                  </w:r>
                </w:p>
              </w:tc>
              <w:tc>
                <w:tcPr>
                  <w:tcW w:w="1018" w:type="dxa"/>
                  <w:tcBorders>
                    <w:tl2br w:val="nil"/>
                    <w:tr2bl w:val="nil"/>
                  </w:tcBorders>
                  <w:vAlign w:val="center"/>
                </w:tcPr>
                <w:p>
                  <w:pPr>
                    <w:jc w:val="center"/>
                    <w:rPr>
                      <w:rFonts w:cs="Calibri"/>
                      <w:sz w:val="21"/>
                      <w:u w:val="single"/>
                    </w:rPr>
                  </w:pPr>
                  <w:r>
                    <w:rPr>
                      <w:rFonts w:cs="Calibri"/>
                      <w:sz w:val="21"/>
                      <w:u w:val="single"/>
                    </w:rPr>
                    <w:t>405.2</w:t>
                  </w:r>
                </w:p>
              </w:tc>
              <w:tc>
                <w:tcPr>
                  <w:tcW w:w="809" w:type="dxa"/>
                  <w:tcBorders>
                    <w:tl2br w:val="nil"/>
                    <w:tr2bl w:val="nil"/>
                  </w:tcBorders>
                  <w:vAlign w:val="center"/>
                </w:tcPr>
                <w:p>
                  <w:pPr>
                    <w:jc w:val="center"/>
                    <w:rPr>
                      <w:rFonts w:cs="Calibri"/>
                      <w:sz w:val="21"/>
                      <w:u w:val="single"/>
                    </w:rPr>
                  </w:pPr>
                  <w:r>
                    <w:rPr>
                      <w:rFonts w:cs="Calibri"/>
                      <w:sz w:val="21"/>
                      <w:u w:val="single"/>
                    </w:rPr>
                    <w:t>23</w:t>
                  </w:r>
                  <w:r>
                    <w:rPr>
                      <w:rFonts w:hint="eastAsia" w:cs="Calibri"/>
                      <w:sz w:val="21"/>
                      <w:u w:val="single"/>
                    </w:rPr>
                    <w:t>1.7</w:t>
                  </w:r>
                </w:p>
              </w:tc>
              <w:tc>
                <w:tcPr>
                  <w:tcW w:w="1006" w:type="dxa"/>
                  <w:tcBorders>
                    <w:tl2br w:val="nil"/>
                    <w:tr2bl w:val="nil"/>
                  </w:tcBorders>
                  <w:vAlign w:val="center"/>
                </w:tcPr>
                <w:p>
                  <w:pPr>
                    <w:jc w:val="center"/>
                    <w:rPr>
                      <w:rFonts w:cs="Calibri"/>
                      <w:sz w:val="21"/>
                      <w:u w:val="single"/>
                    </w:rPr>
                  </w:pPr>
                  <w:r>
                    <w:rPr>
                      <w:rFonts w:cs="Calibri"/>
                      <w:sz w:val="21"/>
                      <w:u w:val="single"/>
                    </w:rPr>
                    <w:t>99.6</w:t>
                  </w:r>
                </w:p>
              </w:tc>
              <w:tc>
                <w:tcPr>
                  <w:tcW w:w="1005" w:type="dxa"/>
                  <w:tcBorders>
                    <w:tl2br w:val="nil"/>
                    <w:tr2bl w:val="nil"/>
                  </w:tcBorders>
                  <w:vAlign w:val="center"/>
                </w:tcPr>
                <w:p>
                  <w:pPr>
                    <w:jc w:val="center"/>
                    <w:rPr>
                      <w:rFonts w:cs="Calibri"/>
                      <w:sz w:val="21"/>
                      <w:u w:val="single"/>
                    </w:rPr>
                  </w:pPr>
                  <w:r>
                    <w:rPr>
                      <w:rFonts w:cs="Calibri"/>
                      <w:sz w:val="21"/>
                      <w:u w:val="single"/>
                    </w:rPr>
                    <w:t>4.05</w:t>
                  </w:r>
                </w:p>
              </w:tc>
              <w:tc>
                <w:tcPr>
                  <w:tcW w:w="958" w:type="dxa"/>
                  <w:tcBorders>
                    <w:tl2br w:val="nil"/>
                    <w:tr2bl w:val="nil"/>
                  </w:tcBorders>
                  <w:vAlign w:val="center"/>
                </w:tcPr>
                <w:p>
                  <w:pPr>
                    <w:jc w:val="center"/>
                    <w:rPr>
                      <w:rFonts w:cs="Calibri"/>
                      <w:sz w:val="21"/>
                      <w:u w:val="single"/>
                    </w:rPr>
                  </w:pPr>
                  <w:r>
                    <w:rPr>
                      <w:rFonts w:cs="Calibri"/>
                      <w:sz w:val="21"/>
                      <w:u w:val="single"/>
                    </w:rPr>
                    <w:t>0.93</w:t>
                  </w:r>
                  <w:r>
                    <w:rPr>
                      <w:rFonts w:hint="eastAsia" w:cs="Calibri"/>
                      <w:sz w:val="21"/>
                      <w:u w:val="single"/>
                    </w:rPr>
                    <w:t>68</w:t>
                  </w:r>
                </w:p>
              </w:tc>
            </w:tr>
          </w:tbl>
          <w:p>
            <w:pPr>
              <w:spacing w:line="360" w:lineRule="auto"/>
              <w:ind w:firstLine="480" w:firstLineChars="200"/>
              <w:rPr>
                <w:rFonts w:cs="Calibri"/>
                <w:sz w:val="24"/>
                <w:u w:val="single"/>
              </w:rPr>
            </w:pPr>
            <w:r>
              <w:rPr>
                <w:rFonts w:cs="Calibri"/>
                <w:sz w:val="24"/>
                <w:u w:val="single"/>
              </w:rPr>
              <w:t>由上表可知，项目有组织粉尘产生量为31</w:t>
            </w:r>
            <w:r>
              <w:rPr>
                <w:rFonts w:hint="eastAsia" w:cs="Calibri"/>
                <w:sz w:val="24"/>
                <w:u w:val="single"/>
              </w:rPr>
              <w:t>6.972</w:t>
            </w:r>
            <w:r>
              <w:rPr>
                <w:rFonts w:cs="Calibri"/>
                <w:sz w:val="24"/>
                <w:u w:val="single"/>
              </w:rPr>
              <w:t>t/a，排放量为1.27</w:t>
            </w:r>
            <w:r>
              <w:rPr>
                <w:rFonts w:hint="eastAsia" w:cs="Calibri"/>
                <w:sz w:val="24"/>
                <w:u w:val="single"/>
              </w:rPr>
              <w:t>8</w:t>
            </w:r>
            <w:r>
              <w:rPr>
                <w:rFonts w:cs="Calibri"/>
                <w:sz w:val="24"/>
                <w:u w:val="single"/>
              </w:rPr>
              <w:t>t/a，其中筒仓粉尘产生量为85.272t/a，混合搅拌产生粉尘量为23</w:t>
            </w:r>
            <w:r>
              <w:rPr>
                <w:rFonts w:hint="eastAsia" w:cs="Calibri"/>
                <w:sz w:val="24"/>
                <w:u w:val="single"/>
              </w:rPr>
              <w:t>1.7</w:t>
            </w:r>
            <w:r>
              <w:rPr>
                <w:rFonts w:cs="Calibri"/>
                <w:sz w:val="24"/>
                <w:u w:val="single"/>
              </w:rPr>
              <w:t>t/a；筒仓呼吸粉尘经除尘器处理后，除尘效率为99.6%，筒仓产生粉尘排放量为0.34129t/a，排放浓度为9.086mg/m</w:t>
            </w:r>
            <w:r>
              <w:rPr>
                <w:rFonts w:cs="Calibri"/>
                <w:sz w:val="24"/>
                <w:u w:val="single"/>
                <w:vertAlign w:val="superscript"/>
              </w:rPr>
              <w:t>3</w:t>
            </w:r>
            <w:r>
              <w:rPr>
                <w:rFonts w:cs="Calibri"/>
                <w:sz w:val="24"/>
                <w:u w:val="single"/>
              </w:rPr>
              <w:t>；混合搅拌产生粉尘经除尘装置，除尘效率为99.6%，混合搅拌产生粉尘排放量为0.93</w:t>
            </w:r>
            <w:r>
              <w:rPr>
                <w:rFonts w:hint="eastAsia" w:cs="Calibri"/>
                <w:sz w:val="24"/>
                <w:u w:val="single"/>
              </w:rPr>
              <w:t>6</w:t>
            </w:r>
            <w:r>
              <w:rPr>
                <w:rFonts w:cs="Calibri"/>
                <w:sz w:val="24"/>
                <w:u w:val="single"/>
              </w:rPr>
              <w:t>8t/a，排放浓度为</w:t>
            </w:r>
            <w:r>
              <w:rPr>
                <w:rFonts w:hint="eastAsia" w:cs="Calibri"/>
                <w:sz w:val="24"/>
                <w:u w:val="single"/>
              </w:rPr>
              <w:t>4</w:t>
            </w:r>
            <w:r>
              <w:rPr>
                <w:rFonts w:cs="Calibri"/>
                <w:sz w:val="24"/>
                <w:u w:val="single"/>
              </w:rPr>
              <w:t>.05mg/m</w:t>
            </w:r>
            <w:r>
              <w:rPr>
                <w:rFonts w:cs="Calibri"/>
                <w:sz w:val="24"/>
                <w:u w:val="single"/>
                <w:vertAlign w:val="superscript"/>
              </w:rPr>
              <w:t>3</w:t>
            </w:r>
            <w:r>
              <w:rPr>
                <w:rFonts w:cs="Calibri"/>
                <w:sz w:val="24"/>
                <w:u w:val="single"/>
              </w:rPr>
              <w:t>；经处理后有组织粉尘排放浓度能满足《水泥工业大气污染物排放标准》（GB4915-2013）中相关标准要求（粉尘最高允许排放浓度：10mg/m</w:t>
            </w:r>
            <w:r>
              <w:rPr>
                <w:rFonts w:cs="Calibri"/>
                <w:sz w:val="24"/>
                <w:u w:val="single"/>
                <w:vertAlign w:val="superscript"/>
              </w:rPr>
              <w:t>3</w:t>
            </w:r>
            <w:r>
              <w:rPr>
                <w:rFonts w:cs="Calibri"/>
                <w:sz w:val="24"/>
                <w:u w:val="single"/>
              </w:rPr>
              <w:t>）。</w:t>
            </w:r>
          </w:p>
          <w:p>
            <w:pPr>
              <w:spacing w:line="360" w:lineRule="auto"/>
              <w:ind w:firstLine="480" w:firstLineChars="200"/>
              <w:rPr>
                <w:rFonts w:cs="Calibri"/>
                <w:sz w:val="24"/>
              </w:rPr>
            </w:pPr>
            <w:r>
              <w:rPr>
                <w:rFonts w:hint="eastAsia" w:ascii="宋体" w:hAnsi="宋体" w:cs="宋体"/>
                <w:sz w:val="24"/>
              </w:rPr>
              <w:t>③</w:t>
            </w:r>
            <w:r>
              <w:rPr>
                <w:rFonts w:hint="eastAsia" w:cs="Calibri"/>
                <w:sz w:val="24"/>
              </w:rPr>
              <w:t>破碎</w:t>
            </w:r>
            <w:r>
              <w:rPr>
                <w:rFonts w:cs="Calibri"/>
                <w:sz w:val="24"/>
              </w:rPr>
              <w:t>产生的</w:t>
            </w:r>
            <w:r>
              <w:rPr>
                <w:rFonts w:hint="eastAsia" w:cs="Calibri"/>
                <w:sz w:val="24"/>
              </w:rPr>
              <w:t>粉尘</w:t>
            </w:r>
          </w:p>
          <w:p>
            <w:pPr>
              <w:spacing w:line="360" w:lineRule="auto"/>
              <w:ind w:firstLine="480" w:firstLineChars="200"/>
              <w:rPr>
                <w:rFonts w:cs="Calibri"/>
                <w:sz w:val="24"/>
              </w:rPr>
            </w:pPr>
            <w:r>
              <w:rPr>
                <w:rFonts w:hint="eastAsia" w:cs="Calibri"/>
                <w:sz w:val="24"/>
              </w:rPr>
              <w:t>生产粉尘主要产尘点出现在破碎机、滚动筛、制砂机破碎落料口处以及输送带输送过程中也会产生少量粉尘逸散。根据《逸散性工业粉尘控制技术》中破碎和筛选粉尘的产生量为0.05kg/t（破碎料），本项目的砂石破碎量为26万吨，粉尘产生量为13t/a、5.42kg/h。可以看出，粉尘产生量较大，本次环评要求采用抑尘措施：在破碎机、振动筛和制砂机的进、出料口安装雾化喷头进行洒水，增加湿度，传送带安装透明遮挡盖以降低粉尘产生。通过喷淋降水可降低粉尘的产生量达70%左右，同时由于石粉其密度较大，</w:t>
            </w:r>
            <w:r>
              <w:rPr>
                <w:rFonts w:cs="Calibri"/>
                <w:sz w:val="24"/>
              </w:rPr>
              <w:t>约50%的粉尘在</w:t>
            </w:r>
            <w:r>
              <w:rPr>
                <w:rFonts w:hint="eastAsia" w:cs="Calibri"/>
                <w:sz w:val="24"/>
              </w:rPr>
              <w:t>产尘点10m范围内</w:t>
            </w:r>
            <w:r>
              <w:rPr>
                <w:rFonts w:cs="Calibri"/>
                <w:sz w:val="24"/>
              </w:rPr>
              <w:t>自然沉降，降低其逸散量</w:t>
            </w:r>
            <w:r>
              <w:rPr>
                <w:rFonts w:hint="eastAsia" w:cs="Calibri"/>
                <w:sz w:val="24"/>
              </w:rPr>
              <w:t>，因此粉尘排放量为1.95t/a、0.8125kg/h，排放方式为无组织排放。经过采取上述措施，生产粉尘对环境的影响可大大减少。其排放可以达到</w:t>
            </w:r>
            <w:r>
              <w:rPr>
                <w:rFonts w:cs="Calibri"/>
                <w:sz w:val="24"/>
              </w:rPr>
              <w:t>执行《水泥工业大气污染物排放标准》（GB4915-2013）表1中标准</w:t>
            </w:r>
            <w:r>
              <w:rPr>
                <w:rFonts w:hint="eastAsia" w:cs="Calibri"/>
                <w:sz w:val="24"/>
              </w:rPr>
              <w:t>。</w:t>
            </w:r>
          </w:p>
          <w:p>
            <w:pPr>
              <w:spacing w:line="360" w:lineRule="auto"/>
              <w:ind w:firstLine="480" w:firstLineChars="200"/>
              <w:rPr>
                <w:rFonts w:cs="Calibri"/>
                <w:sz w:val="24"/>
              </w:rPr>
            </w:pPr>
            <w:r>
              <w:rPr>
                <w:rFonts w:hint="eastAsia" w:ascii="宋体" w:hAnsi="宋体" w:cs="宋体"/>
                <w:sz w:val="24"/>
              </w:rPr>
              <w:t>④</w:t>
            </w:r>
            <w:r>
              <w:rPr>
                <w:rFonts w:cs="Calibri"/>
                <w:sz w:val="24"/>
              </w:rPr>
              <w:t>原料装卸产生的扬尘</w:t>
            </w:r>
          </w:p>
          <w:p>
            <w:pPr>
              <w:spacing w:line="360" w:lineRule="auto"/>
              <w:ind w:firstLine="480" w:firstLineChars="200"/>
              <w:rPr>
                <w:rFonts w:cs="Calibri"/>
                <w:sz w:val="24"/>
              </w:rPr>
            </w:pPr>
            <w:r>
              <w:rPr>
                <w:rFonts w:cs="Calibri"/>
                <w:sz w:val="24"/>
              </w:rPr>
              <w:t>本项目原料全部在密闭车间内进行暂存，但在装卸过程中易形成扬尘，其起尘量与装卸高度H、原料含水量w、风速V等有关，本项目砂石装卸及物料倒运过程中，装载机取料最高高度为4m，堆料时与原料落差保持1.5m以内：</w:t>
            </w:r>
          </w:p>
          <w:p>
            <w:pPr>
              <w:spacing w:line="360" w:lineRule="auto"/>
              <w:ind w:firstLine="480" w:firstLineChars="200"/>
              <w:rPr>
                <w:rFonts w:cs="Calibri"/>
                <w:sz w:val="24"/>
              </w:rPr>
            </w:pPr>
            <w:r>
              <w:rPr>
                <w:rFonts w:cs="Calibri"/>
                <w:sz w:val="24"/>
              </w:rPr>
              <w:t>原料装卸过程中扬尘计算公式如下：</w:t>
            </w:r>
          </w:p>
          <w:p>
            <w:pPr>
              <w:tabs>
                <w:tab w:val="left" w:pos="540"/>
              </w:tabs>
              <w:snapToGrid w:val="0"/>
              <w:ind w:firstLine="520" w:firstLineChars="217"/>
              <w:jc w:val="center"/>
              <w:rPr>
                <w:sz w:val="24"/>
              </w:rPr>
            </w:pPr>
            <w:r>
              <w:rPr>
                <w:sz w:val="24"/>
              </w:rPr>
              <w:drawing>
                <wp:inline distT="0" distB="0" distL="0" distR="0">
                  <wp:extent cx="3238500" cy="1562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38500" cy="1562100"/>
                          </a:xfrm>
                          <a:prstGeom prst="rect">
                            <a:avLst/>
                          </a:prstGeom>
                          <a:noFill/>
                          <a:ln>
                            <a:noFill/>
                          </a:ln>
                          <a:effectLst/>
                        </pic:spPr>
                      </pic:pic>
                    </a:graphicData>
                  </a:graphic>
                </wp:inline>
              </w:drawing>
            </w:r>
          </w:p>
          <w:p>
            <w:pPr>
              <w:spacing w:line="360" w:lineRule="auto"/>
              <w:ind w:firstLine="480" w:firstLineChars="200"/>
              <w:rPr>
                <w:rFonts w:cs="Calibri"/>
                <w:sz w:val="24"/>
              </w:rPr>
            </w:pPr>
            <w:r>
              <w:rPr>
                <w:rFonts w:cs="Calibri"/>
                <w:sz w:val="24"/>
              </w:rPr>
              <w:t>经计算本项目装卸扬尘量约为3.54g/次，项目砂石消耗量为259206.273吨t/a，装卸次数为6481次，则每年装卸扬尘量为0.023t/a。因项目原料在装卸过程中均在密闭厂房中进行，原料堆场车间较大，堆场车间为全密闭车间，属于无组织排放。</w:t>
            </w:r>
          </w:p>
          <w:p>
            <w:pPr>
              <w:spacing w:line="360" w:lineRule="auto"/>
              <w:ind w:firstLine="480" w:firstLineChars="200"/>
              <w:rPr>
                <w:rFonts w:cs="Calibri"/>
                <w:sz w:val="24"/>
              </w:rPr>
            </w:pPr>
            <w:r>
              <w:rPr>
                <w:rFonts w:hint="eastAsia" w:ascii="宋体" w:hAnsi="宋体" w:cs="宋体"/>
                <w:sz w:val="24"/>
              </w:rPr>
              <w:t>⑤</w:t>
            </w:r>
            <w:r>
              <w:rPr>
                <w:rFonts w:cs="Calibri"/>
                <w:sz w:val="24"/>
              </w:rPr>
              <w:t>运输扬尘</w:t>
            </w:r>
          </w:p>
          <w:p>
            <w:pPr>
              <w:spacing w:line="360" w:lineRule="auto"/>
              <w:ind w:firstLine="480" w:firstLineChars="200"/>
              <w:rPr>
                <w:rFonts w:cs="Calibri"/>
                <w:sz w:val="24"/>
              </w:rPr>
            </w:pPr>
            <w:r>
              <w:rPr>
                <w:rFonts w:cs="Calibri"/>
                <w:sz w:val="24"/>
              </w:rPr>
              <w:t>运输扬尘：车辆行驶产生的扬尘，在道路完全干燥的情况下，可按下列经验公式计算：</w:t>
            </w:r>
          </w:p>
          <w:p>
            <w:pPr>
              <w:spacing w:line="360" w:lineRule="auto"/>
              <w:ind w:firstLine="480" w:firstLineChars="200"/>
              <w:rPr>
                <w:rFonts w:cs="Calibri"/>
                <w:sz w:val="24"/>
              </w:rPr>
            </w:pPr>
            <w:r>
              <w:rPr>
                <w:rFonts w:cs="Calibri"/>
                <w:sz w:val="24"/>
              </w:rPr>
              <w:t>Q=0.123(V/5)(W/6.8)0.85 (P/0.5)0.75</w:t>
            </w:r>
          </w:p>
          <w:p>
            <w:pPr>
              <w:spacing w:line="360" w:lineRule="auto"/>
              <w:ind w:firstLine="480" w:firstLineChars="200"/>
              <w:rPr>
                <w:rFonts w:cs="Calibri"/>
                <w:sz w:val="24"/>
              </w:rPr>
            </w:pPr>
            <w:r>
              <w:rPr>
                <w:rFonts w:cs="Calibri"/>
                <w:sz w:val="24"/>
              </w:rPr>
              <w:t>式中：Q：汽车行驶时的扬尘，kg/km·辆；</w:t>
            </w:r>
          </w:p>
          <w:p>
            <w:pPr>
              <w:spacing w:line="360" w:lineRule="auto"/>
              <w:ind w:firstLine="480" w:firstLineChars="200"/>
              <w:rPr>
                <w:rFonts w:cs="Calibri"/>
                <w:sz w:val="24"/>
              </w:rPr>
            </w:pPr>
            <w:r>
              <w:rPr>
                <w:rFonts w:cs="Calibri"/>
                <w:sz w:val="24"/>
              </w:rPr>
              <w:t>V：汽车速度，km/h；</w:t>
            </w:r>
          </w:p>
          <w:p>
            <w:pPr>
              <w:spacing w:line="360" w:lineRule="auto"/>
              <w:ind w:firstLine="480" w:firstLineChars="200"/>
              <w:rPr>
                <w:rFonts w:cs="Calibri"/>
                <w:sz w:val="24"/>
              </w:rPr>
            </w:pPr>
            <w:r>
              <w:rPr>
                <w:rFonts w:cs="Calibri"/>
                <w:sz w:val="24"/>
              </w:rPr>
              <w:t>W：汽车载重量，吨；</w:t>
            </w:r>
          </w:p>
          <w:p>
            <w:pPr>
              <w:spacing w:line="360" w:lineRule="auto"/>
              <w:ind w:firstLine="480" w:firstLineChars="200"/>
              <w:rPr>
                <w:rFonts w:cs="Calibri"/>
                <w:sz w:val="24"/>
              </w:rPr>
            </w:pPr>
            <w:r>
              <w:rPr>
                <w:rFonts w:cs="Calibri"/>
                <w:sz w:val="24"/>
              </w:rPr>
              <w:t>P：道路表面粉尘量，kg/m</w:t>
            </w:r>
            <w:r>
              <w:rPr>
                <w:rFonts w:cs="Calibri"/>
                <w:sz w:val="24"/>
                <w:vertAlign w:val="superscript"/>
              </w:rPr>
              <w:t>2</w:t>
            </w:r>
            <w:r>
              <w:rPr>
                <w:rFonts w:cs="Calibri"/>
                <w:sz w:val="24"/>
              </w:rPr>
              <w:t>。</w:t>
            </w:r>
          </w:p>
          <w:p>
            <w:pPr>
              <w:spacing w:line="360" w:lineRule="auto"/>
              <w:ind w:firstLine="480" w:firstLineChars="200"/>
              <w:rPr>
                <w:rFonts w:cs="Calibri"/>
                <w:sz w:val="24"/>
              </w:rPr>
            </w:pPr>
            <w:r>
              <w:rPr>
                <w:rFonts w:cs="Calibri"/>
                <w:sz w:val="24"/>
              </w:rPr>
              <w:t>本项目车辆在场区行驶距离按120米计；全年</w:t>
            </w:r>
            <w:r>
              <w:rPr>
                <w:rFonts w:hint="eastAsia" w:cs="Calibri"/>
                <w:sz w:val="24"/>
              </w:rPr>
              <w:t>再生</w:t>
            </w:r>
            <w:r>
              <w:rPr>
                <w:rFonts w:cs="Calibri"/>
                <w:sz w:val="24"/>
              </w:rPr>
              <w:t>砂浆的运输量为30万吨，而水泥、砂石、粉煤灰、外加剂等原料的运输量约为33万t/a，按每台车运输量20t计，则运输车辆次为31500辆次/a，105辆次/d，则本项目平均每天发空车、重载各105辆次。以速度20km/h行驶，在不同路面清洁度情况下的粉尘量见表14。</w:t>
            </w:r>
          </w:p>
          <w:p>
            <w:pPr>
              <w:jc w:val="center"/>
              <w:rPr>
                <w:rFonts w:cs="Calibri"/>
                <w:b/>
                <w:sz w:val="21"/>
              </w:rPr>
            </w:pPr>
            <w:r>
              <w:rPr>
                <w:rFonts w:cs="Calibri"/>
                <w:b/>
                <w:sz w:val="21"/>
              </w:rPr>
              <w:t>表14   不同路面清洁度情况下的扬尘量</w:t>
            </w:r>
          </w:p>
          <w:tbl>
            <w:tblPr>
              <w:tblStyle w:val="18"/>
              <w:tblW w:w="8504"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10"/>
              <w:gridCol w:w="1199"/>
              <w:gridCol w:w="1197"/>
              <w:gridCol w:w="1198"/>
              <w:gridCol w:w="1200"/>
              <w:gridCol w:w="1200"/>
              <w:gridCol w:w="12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10" w:type="dxa"/>
                  <w:tcBorders>
                    <w:tl2br w:val="nil"/>
                    <w:tr2bl w:val="nil"/>
                  </w:tcBorders>
                  <w:vAlign w:val="center"/>
                </w:tcPr>
                <w:p>
                  <w:pPr>
                    <w:jc w:val="center"/>
                    <w:rPr>
                      <w:rFonts w:cs="Calibri"/>
                      <w:sz w:val="21"/>
                    </w:rPr>
                  </w:pPr>
                  <w:r>
                    <w:rPr>
                      <w:rFonts w:cs="Calibri"/>
                      <w:sz w:val="21"/>
                    </w:rPr>
                    <w:t>路况扬尘</w:t>
                  </w:r>
                </w:p>
              </w:tc>
              <w:tc>
                <w:tcPr>
                  <w:tcW w:w="1199" w:type="dxa"/>
                  <w:tcBorders>
                    <w:tl2br w:val="nil"/>
                    <w:tr2bl w:val="nil"/>
                  </w:tcBorders>
                </w:tcPr>
                <w:p>
                  <w:pPr>
                    <w:jc w:val="center"/>
                    <w:rPr>
                      <w:rFonts w:cs="Calibri"/>
                      <w:sz w:val="21"/>
                    </w:rPr>
                  </w:pPr>
                  <w:r>
                    <w:rPr>
                      <w:rFonts w:cs="Calibri"/>
                      <w:sz w:val="21"/>
                    </w:rPr>
                    <w:t>0.1</w:t>
                  </w:r>
                </w:p>
                <w:p>
                  <w:pPr>
                    <w:jc w:val="center"/>
                    <w:rPr>
                      <w:rFonts w:cs="Calibri"/>
                      <w:sz w:val="21"/>
                    </w:rPr>
                  </w:pPr>
                  <w:r>
                    <w:rPr>
                      <w:rFonts w:cs="Calibri"/>
                      <w:sz w:val="21"/>
                    </w:rPr>
                    <w:t>(kg/m2)</w:t>
                  </w:r>
                </w:p>
              </w:tc>
              <w:tc>
                <w:tcPr>
                  <w:tcW w:w="1197" w:type="dxa"/>
                  <w:tcBorders>
                    <w:tl2br w:val="nil"/>
                    <w:tr2bl w:val="nil"/>
                  </w:tcBorders>
                </w:tcPr>
                <w:p>
                  <w:pPr>
                    <w:jc w:val="center"/>
                    <w:rPr>
                      <w:rFonts w:cs="Calibri"/>
                      <w:sz w:val="21"/>
                    </w:rPr>
                  </w:pPr>
                  <w:r>
                    <w:rPr>
                      <w:rFonts w:cs="Calibri"/>
                      <w:sz w:val="21"/>
                    </w:rPr>
                    <w:t>0.2</w:t>
                  </w:r>
                </w:p>
                <w:p>
                  <w:pPr>
                    <w:jc w:val="center"/>
                    <w:rPr>
                      <w:rFonts w:cs="Calibri"/>
                      <w:sz w:val="21"/>
                    </w:rPr>
                  </w:pPr>
                  <w:r>
                    <w:rPr>
                      <w:rFonts w:cs="Calibri"/>
                      <w:sz w:val="21"/>
                    </w:rPr>
                    <w:t>(kg/m2)</w:t>
                  </w:r>
                </w:p>
              </w:tc>
              <w:tc>
                <w:tcPr>
                  <w:tcW w:w="1198" w:type="dxa"/>
                  <w:tcBorders>
                    <w:tl2br w:val="nil"/>
                    <w:tr2bl w:val="nil"/>
                  </w:tcBorders>
                </w:tcPr>
                <w:p>
                  <w:pPr>
                    <w:jc w:val="center"/>
                    <w:rPr>
                      <w:rFonts w:cs="Calibri"/>
                      <w:sz w:val="21"/>
                    </w:rPr>
                  </w:pPr>
                  <w:r>
                    <w:rPr>
                      <w:rFonts w:cs="Calibri"/>
                      <w:sz w:val="21"/>
                    </w:rPr>
                    <w:t>0.3</w:t>
                  </w:r>
                </w:p>
                <w:p>
                  <w:pPr>
                    <w:jc w:val="center"/>
                    <w:rPr>
                      <w:rFonts w:cs="Calibri"/>
                      <w:sz w:val="21"/>
                    </w:rPr>
                  </w:pPr>
                  <w:r>
                    <w:rPr>
                      <w:rFonts w:cs="Calibri"/>
                      <w:sz w:val="21"/>
                    </w:rPr>
                    <w:t>(kg/m2)</w:t>
                  </w:r>
                </w:p>
              </w:tc>
              <w:tc>
                <w:tcPr>
                  <w:tcW w:w="1200" w:type="dxa"/>
                  <w:tcBorders>
                    <w:tl2br w:val="nil"/>
                    <w:tr2bl w:val="nil"/>
                  </w:tcBorders>
                </w:tcPr>
                <w:p>
                  <w:pPr>
                    <w:jc w:val="center"/>
                    <w:rPr>
                      <w:rFonts w:cs="Calibri"/>
                      <w:sz w:val="21"/>
                    </w:rPr>
                  </w:pPr>
                  <w:r>
                    <w:rPr>
                      <w:rFonts w:cs="Calibri"/>
                      <w:sz w:val="21"/>
                    </w:rPr>
                    <w:t>0.4</w:t>
                  </w:r>
                </w:p>
                <w:p>
                  <w:pPr>
                    <w:jc w:val="center"/>
                    <w:rPr>
                      <w:rFonts w:cs="Calibri"/>
                      <w:sz w:val="21"/>
                    </w:rPr>
                  </w:pPr>
                  <w:r>
                    <w:rPr>
                      <w:rFonts w:cs="Calibri"/>
                      <w:sz w:val="21"/>
                    </w:rPr>
                    <w:t>(kg/m2)</w:t>
                  </w:r>
                </w:p>
              </w:tc>
              <w:tc>
                <w:tcPr>
                  <w:tcW w:w="1200" w:type="dxa"/>
                  <w:tcBorders>
                    <w:tl2br w:val="nil"/>
                    <w:tr2bl w:val="nil"/>
                  </w:tcBorders>
                </w:tcPr>
                <w:p>
                  <w:pPr>
                    <w:jc w:val="center"/>
                    <w:rPr>
                      <w:rFonts w:cs="Calibri"/>
                      <w:sz w:val="21"/>
                    </w:rPr>
                  </w:pPr>
                  <w:r>
                    <w:rPr>
                      <w:rFonts w:cs="Calibri"/>
                      <w:sz w:val="21"/>
                    </w:rPr>
                    <w:t>0.5</w:t>
                  </w:r>
                </w:p>
                <w:p>
                  <w:pPr>
                    <w:jc w:val="center"/>
                    <w:rPr>
                      <w:rFonts w:cs="Calibri"/>
                      <w:sz w:val="21"/>
                    </w:rPr>
                  </w:pPr>
                  <w:r>
                    <w:rPr>
                      <w:rFonts w:cs="Calibri"/>
                      <w:sz w:val="21"/>
                    </w:rPr>
                    <w:t>(kg/m2)</w:t>
                  </w:r>
                </w:p>
              </w:tc>
              <w:tc>
                <w:tcPr>
                  <w:tcW w:w="1200" w:type="dxa"/>
                  <w:tcBorders>
                    <w:tl2br w:val="nil"/>
                    <w:tr2bl w:val="nil"/>
                  </w:tcBorders>
                </w:tcPr>
                <w:p>
                  <w:pPr>
                    <w:jc w:val="center"/>
                    <w:rPr>
                      <w:rFonts w:cs="Calibri"/>
                      <w:sz w:val="21"/>
                    </w:rPr>
                  </w:pPr>
                  <w:r>
                    <w:rPr>
                      <w:rFonts w:cs="Calibri"/>
                      <w:sz w:val="21"/>
                    </w:rPr>
                    <w:t>0.6</w:t>
                  </w:r>
                </w:p>
                <w:p>
                  <w:pPr>
                    <w:jc w:val="center"/>
                    <w:rPr>
                      <w:rFonts w:cs="Calibri"/>
                      <w:sz w:val="21"/>
                    </w:rPr>
                  </w:pPr>
                  <w:r>
                    <w:rPr>
                      <w:rFonts w:cs="Calibri"/>
                      <w:sz w:val="21"/>
                    </w:rPr>
                    <w:t>(kg/m2)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10" w:type="dxa"/>
                  <w:tcBorders>
                    <w:tl2br w:val="nil"/>
                    <w:tr2bl w:val="nil"/>
                  </w:tcBorders>
                </w:tcPr>
                <w:p>
                  <w:pPr>
                    <w:jc w:val="center"/>
                    <w:rPr>
                      <w:rFonts w:cs="Calibri"/>
                      <w:sz w:val="21"/>
                    </w:rPr>
                  </w:pPr>
                  <w:r>
                    <w:rPr>
                      <w:rFonts w:cs="Calibri"/>
                      <w:sz w:val="21"/>
                    </w:rPr>
                    <w:t>空车(kg/km·辆)</w:t>
                  </w:r>
                </w:p>
              </w:tc>
              <w:tc>
                <w:tcPr>
                  <w:tcW w:w="1199" w:type="dxa"/>
                  <w:tcBorders>
                    <w:tl2br w:val="nil"/>
                    <w:tr2bl w:val="nil"/>
                  </w:tcBorders>
                  <w:vAlign w:val="center"/>
                </w:tcPr>
                <w:p>
                  <w:pPr>
                    <w:jc w:val="center"/>
                    <w:rPr>
                      <w:rFonts w:cs="Calibri"/>
                      <w:sz w:val="21"/>
                    </w:rPr>
                  </w:pPr>
                  <w:r>
                    <w:rPr>
                      <w:rFonts w:cs="Calibri"/>
                      <w:sz w:val="21"/>
                    </w:rPr>
                    <w:t>0.204</w:t>
                  </w:r>
                </w:p>
              </w:tc>
              <w:tc>
                <w:tcPr>
                  <w:tcW w:w="1197" w:type="dxa"/>
                  <w:tcBorders>
                    <w:tl2br w:val="nil"/>
                    <w:tr2bl w:val="nil"/>
                  </w:tcBorders>
                  <w:vAlign w:val="center"/>
                </w:tcPr>
                <w:p>
                  <w:pPr>
                    <w:jc w:val="center"/>
                    <w:rPr>
                      <w:rFonts w:cs="Calibri"/>
                      <w:sz w:val="21"/>
                    </w:rPr>
                  </w:pPr>
                  <w:r>
                    <w:rPr>
                      <w:rFonts w:cs="Calibri"/>
                      <w:sz w:val="21"/>
                    </w:rPr>
                    <w:t>0.343</w:t>
                  </w:r>
                </w:p>
              </w:tc>
              <w:tc>
                <w:tcPr>
                  <w:tcW w:w="1198" w:type="dxa"/>
                  <w:tcBorders>
                    <w:tl2br w:val="nil"/>
                    <w:tr2bl w:val="nil"/>
                  </w:tcBorders>
                  <w:vAlign w:val="center"/>
                </w:tcPr>
                <w:p>
                  <w:pPr>
                    <w:jc w:val="center"/>
                    <w:rPr>
                      <w:rFonts w:cs="Calibri"/>
                      <w:sz w:val="21"/>
                    </w:rPr>
                  </w:pPr>
                  <w:r>
                    <w:rPr>
                      <w:rFonts w:cs="Calibri"/>
                      <w:sz w:val="21"/>
                    </w:rPr>
                    <w:t>0.466</w:t>
                  </w:r>
                </w:p>
              </w:tc>
              <w:tc>
                <w:tcPr>
                  <w:tcW w:w="1200" w:type="dxa"/>
                  <w:tcBorders>
                    <w:tl2br w:val="nil"/>
                    <w:tr2bl w:val="nil"/>
                  </w:tcBorders>
                  <w:vAlign w:val="center"/>
                </w:tcPr>
                <w:p>
                  <w:pPr>
                    <w:jc w:val="center"/>
                    <w:rPr>
                      <w:rFonts w:cs="Calibri"/>
                      <w:sz w:val="21"/>
                    </w:rPr>
                  </w:pPr>
                  <w:r>
                    <w:rPr>
                      <w:rFonts w:cs="Calibri"/>
                      <w:sz w:val="21"/>
                    </w:rPr>
                    <w:t>0.578</w:t>
                  </w:r>
                </w:p>
              </w:tc>
              <w:tc>
                <w:tcPr>
                  <w:tcW w:w="1200" w:type="dxa"/>
                  <w:tcBorders>
                    <w:tl2br w:val="nil"/>
                    <w:tr2bl w:val="nil"/>
                  </w:tcBorders>
                  <w:vAlign w:val="center"/>
                </w:tcPr>
                <w:p>
                  <w:pPr>
                    <w:jc w:val="center"/>
                    <w:rPr>
                      <w:rFonts w:cs="Calibri"/>
                      <w:sz w:val="21"/>
                    </w:rPr>
                  </w:pPr>
                  <w:r>
                    <w:rPr>
                      <w:rFonts w:cs="Calibri"/>
                      <w:sz w:val="21"/>
                    </w:rPr>
                    <w:t>0.683</w:t>
                  </w:r>
                </w:p>
              </w:tc>
              <w:tc>
                <w:tcPr>
                  <w:tcW w:w="1200" w:type="dxa"/>
                  <w:tcBorders>
                    <w:tl2br w:val="nil"/>
                    <w:tr2bl w:val="nil"/>
                  </w:tcBorders>
                  <w:vAlign w:val="center"/>
                </w:tcPr>
                <w:p>
                  <w:pPr>
                    <w:jc w:val="center"/>
                    <w:rPr>
                      <w:rFonts w:cs="Calibri"/>
                      <w:sz w:val="21"/>
                    </w:rPr>
                  </w:pPr>
                  <w:r>
                    <w:rPr>
                      <w:rFonts w:cs="Calibri"/>
                      <w:sz w:val="21"/>
                    </w:rPr>
                    <w:t>0.783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10" w:type="dxa"/>
                  <w:tcBorders>
                    <w:tl2br w:val="nil"/>
                    <w:tr2bl w:val="nil"/>
                  </w:tcBorders>
                </w:tcPr>
                <w:p>
                  <w:pPr>
                    <w:jc w:val="center"/>
                    <w:rPr>
                      <w:rFonts w:cs="Calibri"/>
                      <w:sz w:val="21"/>
                    </w:rPr>
                  </w:pPr>
                  <w:r>
                    <w:rPr>
                      <w:rFonts w:cs="Calibri"/>
                      <w:sz w:val="21"/>
                    </w:rPr>
                    <w:t>重车(kg/km·辆)</w:t>
                  </w:r>
                </w:p>
              </w:tc>
              <w:tc>
                <w:tcPr>
                  <w:tcW w:w="1199" w:type="dxa"/>
                  <w:tcBorders>
                    <w:tl2br w:val="nil"/>
                    <w:tr2bl w:val="nil"/>
                  </w:tcBorders>
                  <w:vAlign w:val="center"/>
                </w:tcPr>
                <w:p>
                  <w:pPr>
                    <w:jc w:val="center"/>
                    <w:rPr>
                      <w:rFonts w:cs="Calibri"/>
                      <w:sz w:val="21"/>
                    </w:rPr>
                  </w:pPr>
                  <w:r>
                    <w:rPr>
                      <w:rFonts w:cs="Calibri"/>
                      <w:sz w:val="21"/>
                    </w:rPr>
                    <w:t>0.52</w:t>
                  </w:r>
                </w:p>
              </w:tc>
              <w:tc>
                <w:tcPr>
                  <w:tcW w:w="1197" w:type="dxa"/>
                  <w:tcBorders>
                    <w:tl2br w:val="nil"/>
                    <w:tr2bl w:val="nil"/>
                  </w:tcBorders>
                  <w:vAlign w:val="center"/>
                </w:tcPr>
                <w:p>
                  <w:pPr>
                    <w:jc w:val="center"/>
                    <w:rPr>
                      <w:rFonts w:cs="Calibri"/>
                      <w:sz w:val="21"/>
                    </w:rPr>
                  </w:pPr>
                  <w:r>
                    <w:rPr>
                      <w:rFonts w:cs="Calibri"/>
                      <w:sz w:val="21"/>
                    </w:rPr>
                    <w:t>0.874</w:t>
                  </w:r>
                </w:p>
              </w:tc>
              <w:tc>
                <w:tcPr>
                  <w:tcW w:w="1198" w:type="dxa"/>
                  <w:tcBorders>
                    <w:tl2br w:val="nil"/>
                    <w:tr2bl w:val="nil"/>
                  </w:tcBorders>
                  <w:vAlign w:val="center"/>
                </w:tcPr>
                <w:p>
                  <w:pPr>
                    <w:jc w:val="center"/>
                    <w:rPr>
                      <w:rFonts w:cs="Calibri"/>
                      <w:sz w:val="21"/>
                    </w:rPr>
                  </w:pPr>
                  <w:r>
                    <w:rPr>
                      <w:rFonts w:cs="Calibri"/>
                      <w:sz w:val="21"/>
                    </w:rPr>
                    <w:t>1.184</w:t>
                  </w:r>
                </w:p>
              </w:tc>
              <w:tc>
                <w:tcPr>
                  <w:tcW w:w="1200" w:type="dxa"/>
                  <w:tcBorders>
                    <w:tl2br w:val="nil"/>
                    <w:tr2bl w:val="nil"/>
                  </w:tcBorders>
                  <w:vAlign w:val="center"/>
                </w:tcPr>
                <w:p>
                  <w:pPr>
                    <w:jc w:val="center"/>
                    <w:rPr>
                      <w:rFonts w:cs="Calibri"/>
                      <w:sz w:val="21"/>
                    </w:rPr>
                  </w:pPr>
                  <w:r>
                    <w:rPr>
                      <w:rFonts w:cs="Calibri"/>
                      <w:sz w:val="21"/>
                    </w:rPr>
                    <w:t>1.47</w:t>
                  </w:r>
                </w:p>
              </w:tc>
              <w:tc>
                <w:tcPr>
                  <w:tcW w:w="1200" w:type="dxa"/>
                  <w:tcBorders>
                    <w:tl2br w:val="nil"/>
                    <w:tr2bl w:val="nil"/>
                  </w:tcBorders>
                  <w:vAlign w:val="center"/>
                </w:tcPr>
                <w:p>
                  <w:pPr>
                    <w:jc w:val="center"/>
                    <w:rPr>
                      <w:rFonts w:cs="Calibri"/>
                      <w:sz w:val="21"/>
                    </w:rPr>
                  </w:pPr>
                  <w:r>
                    <w:rPr>
                      <w:rFonts w:cs="Calibri"/>
                      <w:sz w:val="21"/>
                    </w:rPr>
                    <w:t>1.737</w:t>
                  </w:r>
                </w:p>
              </w:tc>
              <w:tc>
                <w:tcPr>
                  <w:tcW w:w="1200" w:type="dxa"/>
                  <w:tcBorders>
                    <w:tl2br w:val="nil"/>
                    <w:tr2bl w:val="nil"/>
                  </w:tcBorders>
                  <w:vAlign w:val="center"/>
                </w:tcPr>
                <w:p>
                  <w:pPr>
                    <w:jc w:val="center"/>
                    <w:rPr>
                      <w:rFonts w:cs="Calibri"/>
                      <w:sz w:val="21"/>
                    </w:rPr>
                  </w:pPr>
                  <w:r>
                    <w:rPr>
                      <w:rFonts w:cs="Calibri"/>
                      <w:sz w:val="21"/>
                    </w:rPr>
                    <w:t>1.992</w:t>
                  </w:r>
                </w:p>
              </w:tc>
            </w:tr>
          </w:tbl>
          <w:p>
            <w:pPr>
              <w:spacing w:line="360" w:lineRule="auto"/>
              <w:ind w:firstLine="480" w:firstLineChars="200"/>
              <w:rPr>
                <w:rFonts w:cs="Calibri"/>
                <w:sz w:val="24"/>
              </w:rPr>
            </w:pPr>
            <w:r>
              <w:rPr>
                <w:rFonts w:cs="Calibri"/>
                <w:sz w:val="24"/>
              </w:rPr>
              <w:t>根据本项目的实际情况，本环评要求对场区内地面进行定时洒水（每天上午、下午个各进行3次洒水，对整个厂区地面和进厂区道路（约100米范围内）进行洒水，以减少道路粉尘。基于这种情况，本环评对道路路况以0.1kg/m</w:t>
            </w:r>
            <w:r>
              <w:rPr>
                <w:rFonts w:cs="Calibri"/>
                <w:sz w:val="24"/>
                <w:vertAlign w:val="superscript"/>
              </w:rPr>
              <w:t>2</w:t>
            </w:r>
            <w:r>
              <w:rPr>
                <w:rFonts w:cs="Calibri"/>
                <w:sz w:val="24"/>
              </w:rPr>
              <w:t>计，则项目运输扬尘量为35kg/a，属于无组织排放。</w:t>
            </w:r>
          </w:p>
          <w:p>
            <w:pPr>
              <w:spacing w:line="360" w:lineRule="auto"/>
              <w:ind w:firstLine="480" w:firstLineChars="200"/>
              <w:rPr>
                <w:rFonts w:cs="Calibri"/>
                <w:sz w:val="24"/>
              </w:rPr>
            </w:pPr>
            <w:r>
              <w:rPr>
                <w:rFonts w:hint="eastAsia" w:ascii="宋体" w:hAnsi="宋体" w:cs="宋体"/>
                <w:sz w:val="24"/>
              </w:rPr>
              <w:t>⑥</w:t>
            </w:r>
            <w:r>
              <w:rPr>
                <w:rFonts w:cs="Calibri"/>
                <w:sz w:val="24"/>
              </w:rPr>
              <w:t>物料传输粉尘</w:t>
            </w:r>
          </w:p>
          <w:p>
            <w:pPr>
              <w:spacing w:line="360" w:lineRule="auto"/>
              <w:ind w:firstLine="480" w:firstLineChars="200"/>
              <w:rPr>
                <w:rFonts w:cs="Calibri"/>
                <w:sz w:val="24"/>
              </w:rPr>
            </w:pPr>
            <w:r>
              <w:rPr>
                <w:rFonts w:cs="Calibri"/>
                <w:sz w:val="24"/>
              </w:rPr>
              <w:t>物料传输过程中通过密闭式传送带运送至混合搅拌罐中，在皮带运输的过程中，砂石料通过外力作用或者落差产生粉尘，排放到大气中，产生污染，类比同类项目约产生0.0001%，项目物料传输粉尘约为0.3t/a，本项目粉料用地仓式全封闭传送带输送，可削减80%，排放量为0.024t/a。</w:t>
            </w:r>
          </w:p>
          <w:p>
            <w:pPr>
              <w:spacing w:line="360" w:lineRule="auto"/>
              <w:ind w:firstLine="480" w:firstLineChars="200"/>
              <w:rPr>
                <w:rFonts w:cs="Calibri"/>
                <w:sz w:val="24"/>
              </w:rPr>
            </w:pPr>
            <w:r>
              <w:rPr>
                <w:rFonts w:hint="eastAsia"/>
                <w:sz w:val="24"/>
              </w:rPr>
              <w:t>（3</w:t>
            </w:r>
            <w:r>
              <w:rPr>
                <w:rFonts w:hint="eastAsia" w:cs="Calibri"/>
                <w:sz w:val="24"/>
              </w:rPr>
              <w:t>）汽车尾气</w:t>
            </w:r>
          </w:p>
          <w:p>
            <w:pPr>
              <w:spacing w:line="360" w:lineRule="auto"/>
              <w:ind w:firstLine="480" w:firstLineChars="200"/>
              <w:rPr>
                <w:rFonts w:cs="Calibri"/>
                <w:sz w:val="24"/>
              </w:rPr>
            </w:pPr>
            <w:r>
              <w:rPr>
                <w:rFonts w:hint="eastAsia" w:cs="Calibri"/>
                <w:sz w:val="24"/>
              </w:rPr>
              <w:t>根据本项目的生产规模及产量，砂石运输车需要运送15000次/年，在启动与行驶过程中会产生汽车尾气，主要污染物是CO、NO</w:t>
            </w:r>
            <w:r>
              <w:rPr>
                <w:rFonts w:hint="eastAsia" w:cs="Calibri"/>
                <w:sz w:val="24"/>
                <w:vertAlign w:val="subscript"/>
              </w:rPr>
              <w:t>X</w:t>
            </w:r>
            <w:r>
              <w:rPr>
                <w:rFonts w:hint="eastAsia" w:cs="Calibri"/>
                <w:sz w:val="24"/>
              </w:rPr>
              <w:t>和THC，项目区周围无高大建筑，有利于汽车尾气的稀释和扩散，对周边环境的影响不大。</w:t>
            </w:r>
          </w:p>
          <w:p>
            <w:pPr>
              <w:spacing w:line="360" w:lineRule="auto"/>
              <w:ind w:firstLine="480" w:firstLineChars="200"/>
              <w:rPr>
                <w:rFonts w:cs="Calibri"/>
                <w:sz w:val="24"/>
              </w:rPr>
            </w:pPr>
            <w:r>
              <w:rPr>
                <w:rFonts w:hint="eastAsia" w:cs="Calibri"/>
                <w:sz w:val="24"/>
              </w:rPr>
              <w:t>（4）食堂油烟</w:t>
            </w:r>
          </w:p>
          <w:p>
            <w:pPr>
              <w:spacing w:line="360" w:lineRule="auto"/>
              <w:ind w:firstLine="480" w:firstLineChars="200"/>
              <w:rPr>
                <w:rFonts w:cs="Calibri"/>
                <w:sz w:val="24"/>
              </w:rPr>
            </w:pPr>
            <w:r>
              <w:rPr>
                <w:rFonts w:cs="Calibri"/>
                <w:sz w:val="24"/>
              </w:rPr>
              <w:t>本项目有</w:t>
            </w:r>
            <w:r>
              <w:rPr>
                <w:rFonts w:hint="eastAsia" w:cs="Calibri"/>
                <w:sz w:val="24"/>
              </w:rPr>
              <w:t>40</w:t>
            </w:r>
            <w:r>
              <w:rPr>
                <w:rFonts w:cs="Calibri"/>
                <w:sz w:val="24"/>
              </w:rPr>
              <w:t>名员工，在炒菜过程中会有一定量的油烟挥发，据调查居民人均日食用油用量约10g/人·d，一般油烟挥发量占总耗油量的2-4%，平均为3%，则油烟产生量为</w:t>
            </w:r>
            <w:r>
              <w:rPr>
                <w:rFonts w:hint="eastAsia" w:cs="Calibri"/>
                <w:sz w:val="24"/>
              </w:rPr>
              <w:t>3.6</w:t>
            </w:r>
            <w:r>
              <w:rPr>
                <w:rFonts w:cs="Calibri"/>
                <w:sz w:val="24"/>
              </w:rPr>
              <w:t>kg/a。食堂工作时间每天2</w:t>
            </w:r>
            <w:r>
              <w:rPr>
                <w:rFonts w:hint="eastAsia" w:cs="Calibri"/>
                <w:sz w:val="24"/>
              </w:rPr>
              <w:t>.5</w:t>
            </w:r>
            <w:r>
              <w:rPr>
                <w:rFonts w:cs="Calibri"/>
                <w:sz w:val="24"/>
              </w:rPr>
              <w:t>h，本环评要求企业安装</w:t>
            </w:r>
            <w:r>
              <w:rPr>
                <w:rFonts w:hint="eastAsia" w:cs="Calibri"/>
                <w:sz w:val="24"/>
              </w:rPr>
              <w:t>抽油烟机</w:t>
            </w:r>
            <w:r>
              <w:rPr>
                <w:rFonts w:cs="Calibri"/>
                <w:sz w:val="24"/>
              </w:rPr>
              <w:t>对油烟废气进行处理，</w:t>
            </w:r>
            <w:r>
              <w:rPr>
                <w:rFonts w:hint="eastAsia" w:cs="Calibri"/>
                <w:sz w:val="24"/>
              </w:rPr>
              <w:t>其</w:t>
            </w:r>
            <w:r>
              <w:rPr>
                <w:rFonts w:cs="Calibri"/>
                <w:sz w:val="24"/>
              </w:rPr>
              <w:t>风量不小于</w:t>
            </w:r>
            <w:r>
              <w:rPr>
                <w:rFonts w:hint="eastAsia" w:cs="Calibri"/>
                <w:sz w:val="24"/>
              </w:rPr>
              <w:t>3000</w:t>
            </w:r>
            <w:r>
              <w:rPr>
                <w:rFonts w:cs="Calibri"/>
                <w:sz w:val="24"/>
              </w:rPr>
              <w:t>Nm</w:t>
            </w:r>
            <w:r>
              <w:rPr>
                <w:rFonts w:cs="Calibri"/>
                <w:sz w:val="24"/>
                <w:vertAlign w:val="superscript"/>
              </w:rPr>
              <w:t>3</w:t>
            </w:r>
            <w:r>
              <w:rPr>
                <w:rFonts w:cs="Calibri"/>
                <w:sz w:val="24"/>
              </w:rPr>
              <w:t>/h，处理后的油烟废气通过烟囱高于屋顶排放。经上述措施处理后，预计排放浓度为</w:t>
            </w:r>
            <w:r>
              <w:rPr>
                <w:rFonts w:hint="eastAsia" w:cs="Calibri"/>
                <w:sz w:val="24"/>
              </w:rPr>
              <w:t>1.6</w:t>
            </w:r>
            <w:r>
              <w:rPr>
                <w:rFonts w:cs="Calibri"/>
                <w:sz w:val="24"/>
              </w:rPr>
              <w:t>mg/m</w:t>
            </w:r>
            <w:r>
              <w:rPr>
                <w:rFonts w:cs="Calibri"/>
                <w:sz w:val="24"/>
                <w:vertAlign w:val="superscript"/>
              </w:rPr>
              <w:t>3</w:t>
            </w:r>
            <w:r>
              <w:rPr>
                <w:rFonts w:cs="Calibri"/>
                <w:sz w:val="24"/>
              </w:rPr>
              <w:t>，符合《饮食业油烟排放标准(试行)》(GB 18483-2001</w:t>
            </w:r>
            <w:r>
              <w:rPr>
                <w:rFonts w:hint="eastAsia" w:cs="Calibri"/>
                <w:sz w:val="24"/>
              </w:rPr>
              <w:t>）</w:t>
            </w:r>
            <w:r>
              <w:rPr>
                <w:rFonts w:cs="Calibri"/>
                <w:sz w:val="24"/>
              </w:rPr>
              <w:t>标准</w:t>
            </w:r>
            <w:r>
              <w:rPr>
                <w:rFonts w:hint="eastAsia" w:cs="Calibri"/>
                <w:sz w:val="24"/>
              </w:rPr>
              <w:t>（2</w:t>
            </w:r>
            <w:r>
              <w:rPr>
                <w:rFonts w:cs="Calibri"/>
                <w:sz w:val="24"/>
              </w:rPr>
              <w:t>mg/m</w:t>
            </w:r>
            <w:r>
              <w:rPr>
                <w:rFonts w:cs="Calibri"/>
                <w:sz w:val="24"/>
                <w:vertAlign w:val="superscript"/>
              </w:rPr>
              <w:t>3</w:t>
            </w:r>
            <w:r>
              <w:rPr>
                <w:rFonts w:hint="eastAsia" w:cs="Calibri"/>
                <w:sz w:val="24"/>
              </w:rPr>
              <w:t>）。</w:t>
            </w:r>
          </w:p>
          <w:p>
            <w:pPr>
              <w:spacing w:line="360" w:lineRule="auto"/>
              <w:ind w:firstLine="480" w:firstLineChars="200"/>
              <w:rPr>
                <w:rFonts w:cs="Calibri"/>
                <w:sz w:val="24"/>
              </w:rPr>
            </w:pPr>
            <w:r>
              <w:rPr>
                <w:rFonts w:cs="Calibri"/>
                <w:sz w:val="24"/>
              </w:rPr>
              <w:t>因此，采取本评价提出的污染防治措施后，项目排放的废气对周围环境影响很小。</w:t>
            </w:r>
          </w:p>
          <w:p>
            <w:pPr>
              <w:spacing w:line="360" w:lineRule="auto"/>
              <w:ind w:firstLine="482" w:firstLineChars="200"/>
              <w:rPr>
                <w:rFonts w:cs="Calibri"/>
                <w:b/>
                <w:sz w:val="24"/>
              </w:rPr>
            </w:pPr>
            <w:r>
              <w:rPr>
                <w:rFonts w:cs="Calibri"/>
                <w:b/>
                <w:sz w:val="24"/>
              </w:rPr>
              <w:t>3、噪声</w:t>
            </w:r>
          </w:p>
          <w:p>
            <w:pPr>
              <w:spacing w:line="360" w:lineRule="auto"/>
              <w:ind w:firstLine="480" w:firstLineChars="200"/>
              <w:rPr>
                <w:rFonts w:cs="Calibri"/>
                <w:sz w:val="24"/>
              </w:rPr>
            </w:pPr>
            <w:r>
              <w:rPr>
                <w:rFonts w:hint="eastAsia" w:cs="Calibri"/>
                <w:sz w:val="24"/>
              </w:rPr>
              <w:t>本项目噪声主要来源于破碎机、制砂机、分选筛等设备产生的噪声，噪声源强为80~105dB（A），</w:t>
            </w:r>
            <w:r>
              <w:rPr>
                <w:rFonts w:cs="Calibri"/>
                <w:sz w:val="24"/>
              </w:rPr>
              <w:t>其中主要噪声源及设备见下表15。</w:t>
            </w:r>
          </w:p>
          <w:p>
            <w:pPr>
              <w:jc w:val="center"/>
              <w:rPr>
                <w:rFonts w:cs="Calibri"/>
                <w:b/>
                <w:sz w:val="21"/>
              </w:rPr>
            </w:pPr>
            <w:r>
              <w:rPr>
                <w:rFonts w:cs="Calibri"/>
                <w:b/>
                <w:sz w:val="21"/>
              </w:rPr>
              <w:t>表15 主要噪声源及设备</w:t>
            </w:r>
          </w:p>
          <w:tbl>
            <w:tblPr>
              <w:tblStyle w:val="18"/>
              <w:tblW w:w="729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696"/>
              <w:gridCol w:w="2034"/>
              <w:gridCol w:w="18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95" w:type="dxa"/>
                  <w:tcBorders>
                    <w:tl2br w:val="nil"/>
                    <w:tr2bl w:val="nil"/>
                  </w:tcBorders>
                </w:tcPr>
                <w:p>
                  <w:pPr>
                    <w:jc w:val="center"/>
                    <w:rPr>
                      <w:rFonts w:cs="Calibri"/>
                      <w:sz w:val="21"/>
                    </w:rPr>
                  </w:pPr>
                  <w:r>
                    <w:rPr>
                      <w:rFonts w:cs="Calibri"/>
                      <w:sz w:val="21"/>
                    </w:rPr>
                    <w:t>序号</w:t>
                  </w:r>
                </w:p>
              </w:tc>
              <w:tc>
                <w:tcPr>
                  <w:tcW w:w="1696" w:type="dxa"/>
                  <w:tcBorders>
                    <w:tl2br w:val="nil"/>
                    <w:tr2bl w:val="nil"/>
                  </w:tcBorders>
                  <w:vAlign w:val="center"/>
                </w:tcPr>
                <w:p>
                  <w:pPr>
                    <w:jc w:val="center"/>
                    <w:rPr>
                      <w:rFonts w:cs="Calibri"/>
                      <w:sz w:val="21"/>
                    </w:rPr>
                  </w:pPr>
                  <w:r>
                    <w:rPr>
                      <w:rFonts w:cs="Calibri"/>
                      <w:sz w:val="21"/>
                    </w:rPr>
                    <w:t>设备名称</w:t>
                  </w:r>
                </w:p>
              </w:tc>
              <w:tc>
                <w:tcPr>
                  <w:tcW w:w="2034" w:type="dxa"/>
                  <w:tcBorders>
                    <w:tl2br w:val="nil"/>
                    <w:tr2bl w:val="nil"/>
                  </w:tcBorders>
                </w:tcPr>
                <w:p>
                  <w:pPr>
                    <w:jc w:val="center"/>
                    <w:rPr>
                      <w:rFonts w:cs="Calibri"/>
                      <w:sz w:val="21"/>
                    </w:rPr>
                  </w:pPr>
                  <w:r>
                    <w:rPr>
                      <w:rFonts w:cs="Calibri"/>
                      <w:sz w:val="21"/>
                    </w:rPr>
                    <w:t>单机噪声</w:t>
                  </w:r>
                </w:p>
              </w:tc>
              <w:tc>
                <w:tcPr>
                  <w:tcW w:w="1868" w:type="dxa"/>
                  <w:tcBorders>
                    <w:tl2br w:val="nil"/>
                    <w:tr2bl w:val="nil"/>
                  </w:tcBorders>
                  <w:vAlign w:val="center"/>
                </w:tcPr>
                <w:p>
                  <w:pPr>
                    <w:jc w:val="center"/>
                    <w:rPr>
                      <w:rFonts w:cs="Calibri"/>
                      <w:sz w:val="21"/>
                    </w:rPr>
                  </w:pPr>
                  <w:r>
                    <w:rPr>
                      <w:rFonts w:cs="Calibri"/>
                      <w:sz w:val="21"/>
                    </w:rPr>
                    <w:t>工作方式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95" w:type="dxa"/>
                  <w:tcBorders>
                    <w:tl2br w:val="nil"/>
                    <w:tr2bl w:val="nil"/>
                  </w:tcBorders>
                </w:tcPr>
                <w:p>
                  <w:pPr>
                    <w:jc w:val="center"/>
                    <w:rPr>
                      <w:rFonts w:cs="Calibri"/>
                      <w:sz w:val="21"/>
                    </w:rPr>
                  </w:pPr>
                  <w:r>
                    <w:rPr>
                      <w:rFonts w:cs="Calibri"/>
                      <w:sz w:val="21"/>
                    </w:rPr>
                    <w:t>1</w:t>
                  </w:r>
                </w:p>
              </w:tc>
              <w:tc>
                <w:tcPr>
                  <w:tcW w:w="1696" w:type="dxa"/>
                  <w:tcBorders>
                    <w:tl2br w:val="nil"/>
                    <w:tr2bl w:val="nil"/>
                  </w:tcBorders>
                  <w:vAlign w:val="center"/>
                </w:tcPr>
                <w:p>
                  <w:pPr>
                    <w:jc w:val="center"/>
                    <w:rPr>
                      <w:rFonts w:cs="Calibri"/>
                      <w:sz w:val="21"/>
                    </w:rPr>
                  </w:pPr>
                  <w:r>
                    <w:rPr>
                      <w:rFonts w:hint="eastAsia" w:cs="Calibri"/>
                      <w:sz w:val="21"/>
                    </w:rPr>
                    <w:t>反击破碎机</w:t>
                  </w:r>
                </w:p>
              </w:tc>
              <w:tc>
                <w:tcPr>
                  <w:tcW w:w="2034" w:type="dxa"/>
                  <w:tcBorders>
                    <w:tl2br w:val="nil"/>
                    <w:tr2bl w:val="nil"/>
                  </w:tcBorders>
                </w:tcPr>
                <w:p>
                  <w:pPr>
                    <w:jc w:val="center"/>
                    <w:rPr>
                      <w:rFonts w:cs="Calibri"/>
                      <w:sz w:val="21"/>
                    </w:rPr>
                  </w:pPr>
                  <w:r>
                    <w:rPr>
                      <w:rFonts w:cs="Calibri"/>
                      <w:sz w:val="21"/>
                    </w:rPr>
                    <w:t>105dB（A）</w:t>
                  </w:r>
                </w:p>
              </w:tc>
              <w:tc>
                <w:tcPr>
                  <w:tcW w:w="1868" w:type="dxa"/>
                  <w:tcBorders>
                    <w:tl2br w:val="nil"/>
                    <w:tr2bl w:val="nil"/>
                  </w:tcBorders>
                  <w:vAlign w:val="center"/>
                </w:tcPr>
                <w:p>
                  <w:pPr>
                    <w:jc w:val="center"/>
                    <w:rPr>
                      <w:rFonts w:cs="Calibri"/>
                      <w:sz w:val="21"/>
                    </w:rPr>
                  </w:pPr>
                  <w:r>
                    <w:rPr>
                      <w:rFonts w:cs="Calibri"/>
                      <w:sz w:val="21"/>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95" w:type="dxa"/>
                  <w:tcBorders>
                    <w:tl2br w:val="nil"/>
                    <w:tr2bl w:val="nil"/>
                  </w:tcBorders>
                </w:tcPr>
                <w:p>
                  <w:pPr>
                    <w:jc w:val="center"/>
                    <w:rPr>
                      <w:rFonts w:cs="Calibri"/>
                      <w:sz w:val="21"/>
                    </w:rPr>
                  </w:pPr>
                  <w:r>
                    <w:rPr>
                      <w:rFonts w:cs="Calibri"/>
                      <w:sz w:val="21"/>
                    </w:rPr>
                    <w:t>2</w:t>
                  </w:r>
                </w:p>
              </w:tc>
              <w:tc>
                <w:tcPr>
                  <w:tcW w:w="1696" w:type="dxa"/>
                  <w:tcBorders>
                    <w:tl2br w:val="nil"/>
                    <w:tr2bl w:val="nil"/>
                  </w:tcBorders>
                  <w:vAlign w:val="center"/>
                </w:tcPr>
                <w:p>
                  <w:pPr>
                    <w:jc w:val="center"/>
                    <w:rPr>
                      <w:rFonts w:cs="Calibri"/>
                      <w:sz w:val="21"/>
                    </w:rPr>
                  </w:pPr>
                  <w:r>
                    <w:rPr>
                      <w:rFonts w:hint="eastAsia" w:cs="Calibri"/>
                      <w:sz w:val="21"/>
                    </w:rPr>
                    <w:t>撕碎机</w:t>
                  </w:r>
                </w:p>
              </w:tc>
              <w:tc>
                <w:tcPr>
                  <w:tcW w:w="2034" w:type="dxa"/>
                  <w:tcBorders>
                    <w:tl2br w:val="nil"/>
                    <w:tr2bl w:val="nil"/>
                  </w:tcBorders>
                </w:tcPr>
                <w:p>
                  <w:pPr>
                    <w:jc w:val="center"/>
                    <w:rPr>
                      <w:rFonts w:cs="Calibri"/>
                      <w:sz w:val="21"/>
                    </w:rPr>
                  </w:pPr>
                  <w:r>
                    <w:rPr>
                      <w:rFonts w:cs="Calibri"/>
                      <w:sz w:val="21"/>
                    </w:rPr>
                    <w:t>105dB（A）</w:t>
                  </w:r>
                </w:p>
              </w:tc>
              <w:tc>
                <w:tcPr>
                  <w:tcW w:w="1868" w:type="dxa"/>
                  <w:tcBorders>
                    <w:tl2br w:val="nil"/>
                    <w:tr2bl w:val="nil"/>
                  </w:tcBorders>
                  <w:vAlign w:val="center"/>
                </w:tcPr>
                <w:p>
                  <w:pPr>
                    <w:jc w:val="center"/>
                    <w:rPr>
                      <w:rFonts w:cs="Calibri"/>
                      <w:sz w:val="21"/>
                    </w:rPr>
                  </w:pPr>
                  <w:r>
                    <w:rPr>
                      <w:rFonts w:cs="Calibri"/>
                      <w:sz w:val="21"/>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95" w:type="dxa"/>
                  <w:tcBorders>
                    <w:tl2br w:val="nil"/>
                    <w:tr2bl w:val="nil"/>
                  </w:tcBorders>
                </w:tcPr>
                <w:p>
                  <w:pPr>
                    <w:jc w:val="center"/>
                    <w:rPr>
                      <w:rFonts w:cs="Calibri"/>
                      <w:sz w:val="21"/>
                    </w:rPr>
                  </w:pPr>
                  <w:r>
                    <w:rPr>
                      <w:rFonts w:cs="Calibri"/>
                      <w:sz w:val="21"/>
                    </w:rPr>
                    <w:t>3</w:t>
                  </w:r>
                </w:p>
              </w:tc>
              <w:tc>
                <w:tcPr>
                  <w:tcW w:w="1696" w:type="dxa"/>
                  <w:tcBorders>
                    <w:tl2br w:val="nil"/>
                    <w:tr2bl w:val="nil"/>
                  </w:tcBorders>
                  <w:vAlign w:val="center"/>
                </w:tcPr>
                <w:p>
                  <w:pPr>
                    <w:jc w:val="center"/>
                    <w:rPr>
                      <w:rFonts w:cs="Calibri"/>
                      <w:sz w:val="21"/>
                    </w:rPr>
                  </w:pPr>
                  <w:r>
                    <w:rPr>
                      <w:rFonts w:hint="eastAsia" w:cs="Calibri"/>
                      <w:sz w:val="21"/>
                    </w:rPr>
                    <w:t>冲气锤</w:t>
                  </w:r>
                </w:p>
              </w:tc>
              <w:tc>
                <w:tcPr>
                  <w:tcW w:w="2034" w:type="dxa"/>
                  <w:tcBorders>
                    <w:tl2br w:val="nil"/>
                    <w:tr2bl w:val="nil"/>
                  </w:tcBorders>
                </w:tcPr>
                <w:p>
                  <w:pPr>
                    <w:jc w:val="center"/>
                    <w:rPr>
                      <w:rFonts w:cs="Calibri"/>
                      <w:sz w:val="21"/>
                    </w:rPr>
                  </w:pPr>
                  <w:r>
                    <w:rPr>
                      <w:rFonts w:cs="Calibri"/>
                      <w:sz w:val="21"/>
                    </w:rPr>
                    <w:t>105dB（A）</w:t>
                  </w:r>
                </w:p>
              </w:tc>
              <w:tc>
                <w:tcPr>
                  <w:tcW w:w="1868" w:type="dxa"/>
                  <w:tcBorders>
                    <w:tl2br w:val="nil"/>
                    <w:tr2bl w:val="nil"/>
                  </w:tcBorders>
                  <w:vAlign w:val="center"/>
                </w:tcPr>
                <w:p>
                  <w:pPr>
                    <w:jc w:val="center"/>
                    <w:rPr>
                      <w:rFonts w:cs="Calibri"/>
                      <w:sz w:val="21"/>
                    </w:rPr>
                  </w:pPr>
                  <w:r>
                    <w:rPr>
                      <w:rFonts w:cs="Calibri"/>
                      <w:sz w:val="21"/>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95" w:type="dxa"/>
                  <w:tcBorders>
                    <w:tl2br w:val="nil"/>
                    <w:tr2bl w:val="nil"/>
                  </w:tcBorders>
                </w:tcPr>
                <w:p>
                  <w:pPr>
                    <w:jc w:val="center"/>
                    <w:rPr>
                      <w:rFonts w:cs="Calibri"/>
                      <w:sz w:val="21"/>
                    </w:rPr>
                  </w:pPr>
                  <w:r>
                    <w:rPr>
                      <w:rFonts w:cs="Calibri"/>
                      <w:sz w:val="21"/>
                    </w:rPr>
                    <w:t>4</w:t>
                  </w:r>
                </w:p>
              </w:tc>
              <w:tc>
                <w:tcPr>
                  <w:tcW w:w="1696" w:type="dxa"/>
                  <w:tcBorders>
                    <w:tl2br w:val="nil"/>
                    <w:tr2bl w:val="nil"/>
                  </w:tcBorders>
                  <w:vAlign w:val="center"/>
                </w:tcPr>
                <w:p>
                  <w:pPr>
                    <w:jc w:val="center"/>
                    <w:rPr>
                      <w:rFonts w:cs="Calibri"/>
                      <w:sz w:val="21"/>
                    </w:rPr>
                  </w:pPr>
                  <w:r>
                    <w:rPr>
                      <w:rFonts w:cs="Calibri"/>
                      <w:sz w:val="21"/>
                    </w:rPr>
                    <w:t>混合搅拌系统</w:t>
                  </w:r>
                </w:p>
              </w:tc>
              <w:tc>
                <w:tcPr>
                  <w:tcW w:w="2034" w:type="dxa"/>
                  <w:tcBorders>
                    <w:tl2br w:val="nil"/>
                    <w:tr2bl w:val="nil"/>
                  </w:tcBorders>
                </w:tcPr>
                <w:p>
                  <w:pPr>
                    <w:jc w:val="center"/>
                    <w:rPr>
                      <w:rFonts w:cs="Calibri"/>
                      <w:sz w:val="21"/>
                    </w:rPr>
                  </w:pPr>
                  <w:r>
                    <w:rPr>
                      <w:rFonts w:hint="eastAsia" w:cs="Calibri"/>
                      <w:sz w:val="21"/>
                    </w:rPr>
                    <w:t>8</w:t>
                  </w:r>
                  <w:r>
                    <w:rPr>
                      <w:rFonts w:cs="Calibri"/>
                      <w:sz w:val="21"/>
                    </w:rPr>
                    <w:t>5dB（A）</w:t>
                  </w:r>
                </w:p>
              </w:tc>
              <w:tc>
                <w:tcPr>
                  <w:tcW w:w="1868" w:type="dxa"/>
                  <w:tcBorders>
                    <w:tl2br w:val="nil"/>
                    <w:tr2bl w:val="nil"/>
                  </w:tcBorders>
                  <w:vAlign w:val="center"/>
                </w:tcPr>
                <w:p>
                  <w:pPr>
                    <w:jc w:val="center"/>
                    <w:rPr>
                      <w:rFonts w:cs="Calibri"/>
                      <w:sz w:val="21"/>
                    </w:rPr>
                  </w:pPr>
                  <w:r>
                    <w:rPr>
                      <w:rFonts w:cs="Calibri"/>
                      <w:sz w:val="21"/>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95" w:type="dxa"/>
                  <w:tcBorders>
                    <w:tl2br w:val="nil"/>
                    <w:tr2bl w:val="nil"/>
                  </w:tcBorders>
                </w:tcPr>
                <w:p>
                  <w:pPr>
                    <w:jc w:val="center"/>
                    <w:rPr>
                      <w:rFonts w:cs="Calibri"/>
                      <w:sz w:val="21"/>
                    </w:rPr>
                  </w:pPr>
                  <w:r>
                    <w:rPr>
                      <w:rFonts w:cs="Calibri"/>
                      <w:sz w:val="21"/>
                    </w:rPr>
                    <w:t>5</w:t>
                  </w:r>
                </w:p>
              </w:tc>
              <w:tc>
                <w:tcPr>
                  <w:tcW w:w="1696" w:type="dxa"/>
                  <w:tcBorders>
                    <w:tl2br w:val="nil"/>
                    <w:tr2bl w:val="nil"/>
                  </w:tcBorders>
                  <w:vAlign w:val="center"/>
                </w:tcPr>
                <w:p>
                  <w:pPr>
                    <w:jc w:val="center"/>
                    <w:rPr>
                      <w:rFonts w:cs="Calibri"/>
                      <w:sz w:val="21"/>
                    </w:rPr>
                  </w:pPr>
                  <w:r>
                    <w:rPr>
                      <w:rFonts w:hint="eastAsia" w:cs="Calibri"/>
                      <w:sz w:val="21"/>
                    </w:rPr>
                    <w:t>水泵</w:t>
                  </w:r>
                </w:p>
              </w:tc>
              <w:tc>
                <w:tcPr>
                  <w:tcW w:w="2034" w:type="dxa"/>
                  <w:tcBorders>
                    <w:tl2br w:val="nil"/>
                    <w:tr2bl w:val="nil"/>
                  </w:tcBorders>
                </w:tcPr>
                <w:p>
                  <w:pPr>
                    <w:jc w:val="center"/>
                    <w:rPr>
                      <w:rFonts w:cs="Calibri"/>
                      <w:sz w:val="21"/>
                    </w:rPr>
                  </w:pPr>
                  <w:r>
                    <w:rPr>
                      <w:rFonts w:hint="eastAsia" w:cs="Calibri"/>
                      <w:sz w:val="21"/>
                    </w:rPr>
                    <w:t>8</w:t>
                  </w:r>
                  <w:r>
                    <w:rPr>
                      <w:rFonts w:cs="Calibri"/>
                      <w:sz w:val="21"/>
                    </w:rPr>
                    <w:t>5dB（A）</w:t>
                  </w:r>
                </w:p>
              </w:tc>
              <w:tc>
                <w:tcPr>
                  <w:tcW w:w="1868" w:type="dxa"/>
                  <w:tcBorders>
                    <w:tl2br w:val="nil"/>
                    <w:tr2bl w:val="nil"/>
                  </w:tcBorders>
                  <w:vAlign w:val="center"/>
                </w:tcPr>
                <w:p>
                  <w:pPr>
                    <w:jc w:val="center"/>
                    <w:rPr>
                      <w:rFonts w:cs="Calibri"/>
                      <w:sz w:val="21"/>
                    </w:rPr>
                  </w:pPr>
                  <w:r>
                    <w:rPr>
                      <w:rFonts w:cs="Calibri"/>
                      <w:sz w:val="21"/>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95" w:type="dxa"/>
                  <w:tcBorders>
                    <w:tl2br w:val="nil"/>
                    <w:tr2bl w:val="nil"/>
                  </w:tcBorders>
                </w:tcPr>
                <w:p>
                  <w:pPr>
                    <w:jc w:val="center"/>
                    <w:rPr>
                      <w:rFonts w:cs="Calibri"/>
                      <w:sz w:val="21"/>
                    </w:rPr>
                  </w:pPr>
                  <w:r>
                    <w:rPr>
                      <w:rFonts w:cs="Calibri"/>
                      <w:sz w:val="21"/>
                    </w:rPr>
                    <w:t>6</w:t>
                  </w:r>
                </w:p>
              </w:tc>
              <w:tc>
                <w:tcPr>
                  <w:tcW w:w="1696" w:type="dxa"/>
                  <w:tcBorders>
                    <w:tl2br w:val="nil"/>
                    <w:tr2bl w:val="nil"/>
                  </w:tcBorders>
                  <w:vAlign w:val="center"/>
                </w:tcPr>
                <w:p>
                  <w:pPr>
                    <w:jc w:val="center"/>
                    <w:rPr>
                      <w:rFonts w:cs="Calibri"/>
                      <w:sz w:val="21"/>
                    </w:rPr>
                  </w:pPr>
                  <w:r>
                    <w:rPr>
                      <w:rFonts w:cs="Calibri"/>
                      <w:sz w:val="21"/>
                    </w:rPr>
                    <w:t>制砂机</w:t>
                  </w:r>
                </w:p>
              </w:tc>
              <w:tc>
                <w:tcPr>
                  <w:tcW w:w="2034" w:type="dxa"/>
                  <w:tcBorders>
                    <w:tl2br w:val="nil"/>
                    <w:tr2bl w:val="nil"/>
                  </w:tcBorders>
                </w:tcPr>
                <w:p>
                  <w:pPr>
                    <w:jc w:val="center"/>
                    <w:rPr>
                      <w:rFonts w:cs="Calibri"/>
                      <w:sz w:val="21"/>
                    </w:rPr>
                  </w:pPr>
                  <w:r>
                    <w:rPr>
                      <w:rFonts w:cs="Calibri"/>
                      <w:sz w:val="21"/>
                    </w:rPr>
                    <w:t>105dB（A）</w:t>
                  </w:r>
                </w:p>
              </w:tc>
              <w:tc>
                <w:tcPr>
                  <w:tcW w:w="1868" w:type="dxa"/>
                  <w:tcBorders>
                    <w:tl2br w:val="nil"/>
                    <w:tr2bl w:val="nil"/>
                  </w:tcBorders>
                  <w:vAlign w:val="center"/>
                </w:tcPr>
                <w:p>
                  <w:pPr>
                    <w:jc w:val="center"/>
                    <w:rPr>
                      <w:rFonts w:cs="Calibri"/>
                      <w:sz w:val="21"/>
                    </w:rPr>
                  </w:pPr>
                  <w:r>
                    <w:rPr>
                      <w:rFonts w:cs="Calibri"/>
                      <w:sz w:val="21"/>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95" w:type="dxa"/>
                  <w:tcBorders>
                    <w:tl2br w:val="nil"/>
                    <w:tr2bl w:val="nil"/>
                  </w:tcBorders>
                </w:tcPr>
                <w:p>
                  <w:pPr>
                    <w:jc w:val="center"/>
                    <w:rPr>
                      <w:rFonts w:cs="Calibri"/>
                      <w:sz w:val="21"/>
                    </w:rPr>
                  </w:pPr>
                  <w:r>
                    <w:rPr>
                      <w:rFonts w:cs="Calibri"/>
                      <w:sz w:val="21"/>
                    </w:rPr>
                    <w:t>7</w:t>
                  </w:r>
                </w:p>
              </w:tc>
              <w:tc>
                <w:tcPr>
                  <w:tcW w:w="1696" w:type="dxa"/>
                  <w:tcBorders>
                    <w:tl2br w:val="nil"/>
                    <w:tr2bl w:val="nil"/>
                  </w:tcBorders>
                  <w:vAlign w:val="center"/>
                </w:tcPr>
                <w:p>
                  <w:pPr>
                    <w:jc w:val="center"/>
                    <w:rPr>
                      <w:rFonts w:cs="Calibri"/>
                      <w:sz w:val="21"/>
                    </w:rPr>
                  </w:pPr>
                  <w:r>
                    <w:rPr>
                      <w:rFonts w:hint="eastAsia" w:cs="Calibri"/>
                      <w:sz w:val="21"/>
                    </w:rPr>
                    <w:t>滚筒</w:t>
                  </w:r>
                  <w:r>
                    <w:rPr>
                      <w:rFonts w:cs="Calibri"/>
                      <w:sz w:val="21"/>
                    </w:rPr>
                    <w:t>筛</w:t>
                  </w:r>
                </w:p>
              </w:tc>
              <w:tc>
                <w:tcPr>
                  <w:tcW w:w="2034" w:type="dxa"/>
                  <w:tcBorders>
                    <w:tl2br w:val="nil"/>
                    <w:tr2bl w:val="nil"/>
                  </w:tcBorders>
                </w:tcPr>
                <w:p>
                  <w:pPr>
                    <w:jc w:val="center"/>
                    <w:rPr>
                      <w:rFonts w:cs="Calibri"/>
                      <w:sz w:val="21"/>
                    </w:rPr>
                  </w:pPr>
                  <w:r>
                    <w:rPr>
                      <w:rFonts w:hint="eastAsia" w:cs="Calibri"/>
                      <w:sz w:val="21"/>
                    </w:rPr>
                    <w:t>8</w:t>
                  </w:r>
                  <w:r>
                    <w:rPr>
                      <w:rFonts w:cs="Calibri"/>
                      <w:sz w:val="21"/>
                    </w:rPr>
                    <w:t>5dB（A）</w:t>
                  </w:r>
                </w:p>
              </w:tc>
              <w:tc>
                <w:tcPr>
                  <w:tcW w:w="1868" w:type="dxa"/>
                  <w:tcBorders>
                    <w:tl2br w:val="nil"/>
                    <w:tr2bl w:val="nil"/>
                  </w:tcBorders>
                  <w:vAlign w:val="center"/>
                </w:tcPr>
                <w:p>
                  <w:pPr>
                    <w:jc w:val="center"/>
                    <w:rPr>
                      <w:rFonts w:cs="Calibri"/>
                      <w:sz w:val="21"/>
                    </w:rPr>
                  </w:pPr>
                  <w:r>
                    <w:rPr>
                      <w:rFonts w:cs="Calibri"/>
                      <w:sz w:val="21"/>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95" w:type="dxa"/>
                  <w:tcBorders>
                    <w:tl2br w:val="nil"/>
                    <w:tr2bl w:val="nil"/>
                  </w:tcBorders>
                </w:tcPr>
                <w:p>
                  <w:pPr>
                    <w:jc w:val="center"/>
                    <w:rPr>
                      <w:rFonts w:cs="Calibri"/>
                      <w:sz w:val="21"/>
                    </w:rPr>
                  </w:pPr>
                  <w:r>
                    <w:rPr>
                      <w:rFonts w:cs="Calibri"/>
                      <w:sz w:val="21"/>
                    </w:rPr>
                    <w:t>8</w:t>
                  </w:r>
                </w:p>
              </w:tc>
              <w:tc>
                <w:tcPr>
                  <w:tcW w:w="1696" w:type="dxa"/>
                  <w:tcBorders>
                    <w:tl2br w:val="nil"/>
                    <w:tr2bl w:val="nil"/>
                  </w:tcBorders>
                </w:tcPr>
                <w:p>
                  <w:pPr>
                    <w:jc w:val="center"/>
                    <w:rPr>
                      <w:rFonts w:cs="Calibri"/>
                      <w:sz w:val="21"/>
                    </w:rPr>
                  </w:pPr>
                  <w:r>
                    <w:rPr>
                      <w:rFonts w:cs="Calibri"/>
                      <w:sz w:val="21"/>
                    </w:rPr>
                    <w:t>输送带</w:t>
                  </w:r>
                </w:p>
              </w:tc>
              <w:tc>
                <w:tcPr>
                  <w:tcW w:w="2034" w:type="dxa"/>
                  <w:tcBorders>
                    <w:tl2br w:val="nil"/>
                    <w:tr2bl w:val="nil"/>
                  </w:tcBorders>
                </w:tcPr>
                <w:p>
                  <w:pPr>
                    <w:jc w:val="center"/>
                    <w:rPr>
                      <w:rFonts w:cs="Calibri"/>
                      <w:sz w:val="21"/>
                    </w:rPr>
                  </w:pPr>
                  <w:r>
                    <w:rPr>
                      <w:rFonts w:cs="Calibri"/>
                      <w:sz w:val="21"/>
                    </w:rPr>
                    <w:t>80 dB（A）</w:t>
                  </w:r>
                </w:p>
              </w:tc>
              <w:tc>
                <w:tcPr>
                  <w:tcW w:w="1868" w:type="dxa"/>
                  <w:tcBorders>
                    <w:tl2br w:val="nil"/>
                    <w:tr2bl w:val="nil"/>
                  </w:tcBorders>
                  <w:vAlign w:val="center"/>
                </w:tcPr>
                <w:p>
                  <w:pPr>
                    <w:jc w:val="center"/>
                    <w:rPr>
                      <w:rFonts w:cs="Calibri"/>
                      <w:sz w:val="21"/>
                    </w:rPr>
                  </w:pPr>
                  <w:r>
                    <w:rPr>
                      <w:rFonts w:cs="Calibri"/>
                      <w:sz w:val="21"/>
                    </w:rPr>
                    <w:t>连续</w:t>
                  </w:r>
                </w:p>
              </w:tc>
            </w:tr>
          </w:tbl>
          <w:p>
            <w:pPr>
              <w:spacing w:line="360" w:lineRule="auto"/>
              <w:ind w:firstLine="482" w:firstLineChars="200"/>
              <w:rPr>
                <w:rFonts w:cs="Calibri"/>
                <w:b/>
                <w:sz w:val="24"/>
              </w:rPr>
            </w:pPr>
            <w:r>
              <w:rPr>
                <w:rFonts w:cs="Calibri"/>
                <w:b/>
                <w:sz w:val="24"/>
              </w:rPr>
              <w:t>4、固体废弃物</w:t>
            </w:r>
          </w:p>
          <w:p>
            <w:pPr>
              <w:spacing w:line="360" w:lineRule="auto"/>
              <w:ind w:firstLine="480" w:firstLineChars="200"/>
              <w:rPr>
                <w:rFonts w:cs="Calibri"/>
                <w:sz w:val="24"/>
              </w:rPr>
            </w:pPr>
            <w:r>
              <w:rPr>
                <w:rFonts w:cs="Calibri"/>
                <w:sz w:val="24"/>
              </w:rPr>
              <w:t>本项目生产过程中的固体废物主要包括：生活垃圾、</w:t>
            </w:r>
            <w:r>
              <w:rPr>
                <w:rFonts w:hint="eastAsia" w:cs="Calibri"/>
                <w:sz w:val="24"/>
              </w:rPr>
              <w:t>沉淀池沉渣、收集到的粉尘</w:t>
            </w:r>
            <w:r>
              <w:rPr>
                <w:rFonts w:cs="Calibri"/>
                <w:sz w:val="24"/>
              </w:rPr>
              <w:t>等一般工业固体废物</w:t>
            </w:r>
            <w:r>
              <w:rPr>
                <w:rFonts w:hint="eastAsia" w:cs="Calibri"/>
                <w:sz w:val="24"/>
              </w:rPr>
              <w:t>和</w:t>
            </w:r>
            <w:r>
              <w:rPr>
                <w:rFonts w:cs="Calibri"/>
                <w:sz w:val="24"/>
              </w:rPr>
              <w:t>废矿物油</w:t>
            </w:r>
            <w:r>
              <w:rPr>
                <w:rFonts w:hint="eastAsia" w:cs="Calibri"/>
                <w:sz w:val="24"/>
              </w:rPr>
              <w:t>等危险固废</w:t>
            </w:r>
            <w:r>
              <w:rPr>
                <w:rFonts w:cs="Calibri"/>
                <w:sz w:val="24"/>
              </w:rPr>
              <w:t>。</w:t>
            </w:r>
          </w:p>
          <w:p>
            <w:pPr>
              <w:spacing w:line="360" w:lineRule="auto"/>
              <w:ind w:firstLine="480" w:firstLineChars="200"/>
              <w:rPr>
                <w:rFonts w:cs="Calibri"/>
                <w:sz w:val="24"/>
              </w:rPr>
            </w:pPr>
            <w:r>
              <w:rPr>
                <w:rFonts w:hint="eastAsia" w:ascii="宋体" w:hAnsi="宋体" w:cs="宋体"/>
                <w:sz w:val="24"/>
              </w:rPr>
              <w:t>①</w:t>
            </w:r>
            <w:r>
              <w:rPr>
                <w:rFonts w:cs="Calibri"/>
                <w:sz w:val="24"/>
              </w:rPr>
              <w:t>员工生活垃圾：本项目劳动定员</w:t>
            </w:r>
            <w:r>
              <w:rPr>
                <w:rFonts w:hint="eastAsia" w:cs="Calibri"/>
                <w:sz w:val="24"/>
              </w:rPr>
              <w:t>40</w:t>
            </w:r>
            <w:r>
              <w:rPr>
                <w:rFonts w:cs="Calibri"/>
                <w:sz w:val="24"/>
              </w:rPr>
              <w:t>人，年工作天数为</w:t>
            </w:r>
            <w:r>
              <w:rPr>
                <w:rFonts w:hint="eastAsia" w:cs="Calibri"/>
                <w:sz w:val="24"/>
              </w:rPr>
              <w:t>300</w:t>
            </w:r>
            <w:r>
              <w:rPr>
                <w:rFonts w:cs="Calibri"/>
                <w:sz w:val="24"/>
              </w:rPr>
              <w:t>天，在生产营运期间生活垃圾产生系数取0.5kg/人•天，因此，项目生活垃圾产生量为</w:t>
            </w:r>
            <w:r>
              <w:rPr>
                <w:rFonts w:hint="eastAsia" w:cs="Calibri"/>
                <w:sz w:val="24"/>
              </w:rPr>
              <w:t>20</w:t>
            </w:r>
            <w:r>
              <w:rPr>
                <w:rFonts w:cs="Calibri"/>
                <w:sz w:val="24"/>
              </w:rPr>
              <w:t>kg/d、</w:t>
            </w:r>
            <w:r>
              <w:rPr>
                <w:rFonts w:hint="eastAsia" w:cs="Calibri"/>
                <w:sz w:val="24"/>
              </w:rPr>
              <w:t>6</w:t>
            </w:r>
            <w:r>
              <w:rPr>
                <w:rFonts w:cs="Calibri"/>
                <w:sz w:val="24"/>
              </w:rPr>
              <w:t>t/a。</w:t>
            </w:r>
          </w:p>
          <w:p>
            <w:pPr>
              <w:spacing w:line="360" w:lineRule="auto"/>
              <w:ind w:firstLine="480" w:firstLineChars="200"/>
              <w:rPr>
                <w:rFonts w:cs="Calibri"/>
                <w:sz w:val="24"/>
              </w:rPr>
            </w:pPr>
            <w:r>
              <w:rPr>
                <w:rFonts w:hint="eastAsia" w:ascii="宋体" w:hAnsi="宋体" w:cs="宋体"/>
                <w:sz w:val="24"/>
              </w:rPr>
              <w:t>②</w:t>
            </w:r>
            <w:r>
              <w:rPr>
                <w:rFonts w:cs="Calibri"/>
                <w:sz w:val="24"/>
              </w:rPr>
              <w:t>收集</w:t>
            </w:r>
            <w:r>
              <w:rPr>
                <w:rFonts w:hint="eastAsia" w:cs="Calibri"/>
                <w:sz w:val="24"/>
              </w:rPr>
              <w:t>到的</w:t>
            </w:r>
            <w:r>
              <w:rPr>
                <w:rFonts w:cs="Calibri"/>
                <w:sz w:val="24"/>
              </w:rPr>
              <w:t>粉尘</w:t>
            </w:r>
            <w:r>
              <w:rPr>
                <w:rFonts w:hint="eastAsia" w:cs="Calibri"/>
                <w:sz w:val="24"/>
              </w:rPr>
              <w:t>：项目沉降的粉尘，采用人工清扫的方式收集</w:t>
            </w:r>
            <w:r>
              <w:rPr>
                <w:rFonts w:cs="Calibri"/>
                <w:sz w:val="24"/>
              </w:rPr>
              <w:t>，</w:t>
            </w:r>
            <w:r>
              <w:rPr>
                <w:rFonts w:hint="eastAsia" w:cs="Calibri"/>
                <w:sz w:val="24"/>
              </w:rPr>
              <w:t>和</w:t>
            </w:r>
            <w:r>
              <w:rPr>
                <w:rFonts w:cs="Calibri"/>
                <w:sz w:val="24"/>
              </w:rPr>
              <w:t>除尘器收集的粉尘</w:t>
            </w:r>
            <w:r>
              <w:rPr>
                <w:rFonts w:hint="eastAsia" w:cs="Calibri"/>
                <w:sz w:val="24"/>
              </w:rPr>
              <w:t>，</w:t>
            </w:r>
            <w:r>
              <w:rPr>
                <w:rFonts w:cs="Calibri"/>
                <w:sz w:val="24"/>
              </w:rPr>
              <w:t>其产生量约为</w:t>
            </w:r>
            <w:r>
              <w:rPr>
                <w:rFonts w:hint="eastAsia" w:cs="Calibri"/>
                <w:sz w:val="24"/>
              </w:rPr>
              <w:t>326.744t/a</w:t>
            </w:r>
            <w:r>
              <w:rPr>
                <w:rFonts w:cs="Calibri"/>
                <w:sz w:val="24"/>
              </w:rPr>
              <w:t>。属于一般固废。</w:t>
            </w:r>
            <w:r>
              <w:rPr>
                <w:rFonts w:hint="eastAsia" w:cs="Calibri"/>
                <w:sz w:val="24"/>
              </w:rPr>
              <w:t>其性质与产品性质相同，</w:t>
            </w:r>
            <w:r>
              <w:rPr>
                <w:rFonts w:cs="Calibri"/>
                <w:sz w:val="24"/>
              </w:rPr>
              <w:t>根据建设方提供资料，该部分固废收集后</w:t>
            </w:r>
            <w:r>
              <w:rPr>
                <w:rFonts w:hint="eastAsia" w:cs="Calibri"/>
                <w:sz w:val="24"/>
              </w:rPr>
              <w:t>回用于生产</w:t>
            </w:r>
            <w:r>
              <w:rPr>
                <w:rFonts w:cs="Calibri"/>
                <w:sz w:val="24"/>
              </w:rPr>
              <w:t>。</w:t>
            </w:r>
          </w:p>
          <w:p>
            <w:pPr>
              <w:spacing w:line="360" w:lineRule="auto"/>
              <w:ind w:firstLine="480" w:firstLineChars="200"/>
              <w:rPr>
                <w:rFonts w:cs="Calibri"/>
                <w:sz w:val="24"/>
              </w:rPr>
            </w:pPr>
            <w:r>
              <w:rPr>
                <w:rFonts w:hint="eastAsia" w:ascii="宋体" w:hAnsi="宋体" w:cs="宋体"/>
                <w:sz w:val="24"/>
              </w:rPr>
              <w:t>③</w:t>
            </w:r>
            <w:r>
              <w:rPr>
                <w:rFonts w:hint="eastAsia" w:cs="Calibri"/>
                <w:sz w:val="24"/>
              </w:rPr>
              <w:t>沉淀池沉渣：本项目清洗废水和初期雨水经沉淀池沉淀，沉淀池产生的沉渣定期清掏，沉淀池每1月清除沉淀物一次，每次清理的沉淀物有0.7t，年产生量为8.4t，沉淀池沉渣属于一般固体废弃物，</w:t>
            </w:r>
            <w:r>
              <w:rPr>
                <w:rFonts w:cs="Calibri"/>
                <w:sz w:val="24"/>
              </w:rPr>
              <w:t>根据建设方提供资料，该部分固废收集后</w:t>
            </w:r>
            <w:r>
              <w:rPr>
                <w:rFonts w:hint="eastAsia" w:cs="Calibri"/>
                <w:sz w:val="24"/>
              </w:rPr>
              <w:t>作为建筑材料外售</w:t>
            </w:r>
            <w:r>
              <w:rPr>
                <w:rFonts w:cs="Calibri"/>
                <w:sz w:val="24"/>
              </w:rPr>
              <w:t>。</w:t>
            </w:r>
          </w:p>
          <w:p>
            <w:pPr>
              <w:spacing w:line="360" w:lineRule="auto"/>
              <w:ind w:firstLine="480" w:firstLineChars="200"/>
              <w:rPr>
                <w:rFonts w:cs="Calibri"/>
                <w:sz w:val="24"/>
              </w:rPr>
            </w:pPr>
            <w:r>
              <w:rPr>
                <w:rFonts w:hint="eastAsia" w:cs="Calibri"/>
                <w:sz w:val="24"/>
              </w:rPr>
              <w:t>④</w:t>
            </w:r>
            <w:r>
              <w:rPr>
                <w:rFonts w:cs="Calibri"/>
                <w:sz w:val="24"/>
              </w:rPr>
              <w:t>废矿物油：对生产设备进行维护保养过程中，会产生一定量的废矿物油，这部分废物属于危险固废的范围，按《国家危险废物名录》（2016年），分类编号为HW08，代码为</w:t>
            </w:r>
            <w:r>
              <w:rPr>
                <w:rFonts w:hint="eastAsia" w:cs="Calibri"/>
                <w:sz w:val="24"/>
              </w:rPr>
              <w:t>900-214-08</w:t>
            </w:r>
            <w:r>
              <w:rPr>
                <w:rFonts w:cs="Calibri"/>
                <w:sz w:val="24"/>
              </w:rPr>
              <w:t>。根据建设方提供的资料数据，废矿物油产生量为0.</w:t>
            </w:r>
            <w:r>
              <w:rPr>
                <w:rFonts w:hint="eastAsia" w:cs="Calibri"/>
                <w:sz w:val="24"/>
              </w:rPr>
              <w:t>01</w:t>
            </w:r>
            <w:r>
              <w:rPr>
                <w:rFonts w:cs="Calibri"/>
                <w:sz w:val="24"/>
              </w:rPr>
              <w:t>t/a。这部分危废由建设方委托有废物经营许可证的单位进行处理。</w:t>
            </w:r>
          </w:p>
          <w:p>
            <w:pPr>
              <w:jc w:val="center"/>
              <w:rPr>
                <w:rFonts w:cs="Calibri"/>
                <w:b/>
                <w:sz w:val="21"/>
              </w:rPr>
            </w:pPr>
            <w:r>
              <w:rPr>
                <w:rFonts w:cs="Calibri"/>
                <w:b/>
                <w:sz w:val="21"/>
              </w:rPr>
              <w:t>表16 项目固废产生处置情况表</w:t>
            </w:r>
          </w:p>
          <w:tbl>
            <w:tblPr>
              <w:tblStyle w:val="18"/>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1"/>
              <w:gridCol w:w="1929"/>
              <w:gridCol w:w="1412"/>
              <w:gridCol w:w="2112"/>
              <w:gridCol w:w="1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81" w:type="dxa"/>
                  <w:vAlign w:val="center"/>
                </w:tcPr>
                <w:p>
                  <w:pPr>
                    <w:jc w:val="center"/>
                    <w:rPr>
                      <w:rFonts w:cs="Calibri"/>
                      <w:sz w:val="21"/>
                    </w:rPr>
                  </w:pPr>
                  <w:r>
                    <w:rPr>
                      <w:rFonts w:cs="Calibri"/>
                      <w:sz w:val="21"/>
                    </w:rPr>
                    <w:t>固废类型</w:t>
                  </w:r>
                </w:p>
              </w:tc>
              <w:tc>
                <w:tcPr>
                  <w:tcW w:w="1929" w:type="dxa"/>
                  <w:vAlign w:val="center"/>
                </w:tcPr>
                <w:p>
                  <w:pPr>
                    <w:jc w:val="center"/>
                    <w:rPr>
                      <w:rFonts w:cs="Calibri"/>
                      <w:sz w:val="21"/>
                    </w:rPr>
                  </w:pPr>
                  <w:r>
                    <w:rPr>
                      <w:rFonts w:cs="Calibri"/>
                      <w:sz w:val="21"/>
                    </w:rPr>
                    <w:t>性质</w:t>
                  </w:r>
                </w:p>
              </w:tc>
              <w:tc>
                <w:tcPr>
                  <w:tcW w:w="1412" w:type="dxa"/>
                  <w:vAlign w:val="center"/>
                </w:tcPr>
                <w:p>
                  <w:pPr>
                    <w:jc w:val="center"/>
                    <w:rPr>
                      <w:rFonts w:cs="Calibri"/>
                      <w:sz w:val="21"/>
                    </w:rPr>
                  </w:pPr>
                  <w:r>
                    <w:rPr>
                      <w:rFonts w:cs="Calibri"/>
                      <w:sz w:val="21"/>
                    </w:rPr>
                    <w:t>产生量</w:t>
                  </w:r>
                </w:p>
              </w:tc>
              <w:tc>
                <w:tcPr>
                  <w:tcW w:w="2112" w:type="dxa"/>
                  <w:vAlign w:val="center"/>
                </w:tcPr>
                <w:p>
                  <w:pPr>
                    <w:jc w:val="center"/>
                    <w:rPr>
                      <w:rFonts w:cs="Calibri"/>
                      <w:sz w:val="21"/>
                    </w:rPr>
                  </w:pPr>
                  <w:r>
                    <w:rPr>
                      <w:rFonts w:cs="Calibri"/>
                      <w:sz w:val="21"/>
                    </w:rPr>
                    <w:t>处置措施</w:t>
                  </w:r>
                </w:p>
              </w:tc>
              <w:tc>
                <w:tcPr>
                  <w:tcW w:w="1070" w:type="dxa"/>
                  <w:vAlign w:val="center"/>
                </w:tcPr>
                <w:p>
                  <w:pPr>
                    <w:jc w:val="center"/>
                    <w:rPr>
                      <w:rFonts w:cs="Calibri"/>
                      <w:sz w:val="21"/>
                    </w:rPr>
                  </w:pPr>
                  <w:r>
                    <w:rPr>
                      <w:rFonts w:cs="Calibri"/>
                      <w:sz w:val="21"/>
                    </w:rPr>
                    <w:t>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81" w:type="dxa"/>
                  <w:vAlign w:val="center"/>
                </w:tcPr>
                <w:p>
                  <w:pPr>
                    <w:jc w:val="center"/>
                    <w:rPr>
                      <w:rFonts w:cs="Calibri"/>
                      <w:sz w:val="21"/>
                    </w:rPr>
                  </w:pPr>
                  <w:r>
                    <w:rPr>
                      <w:rFonts w:cs="Calibri"/>
                      <w:sz w:val="21"/>
                    </w:rPr>
                    <w:t>收集</w:t>
                  </w:r>
                  <w:r>
                    <w:rPr>
                      <w:rFonts w:hint="eastAsia" w:cs="Calibri"/>
                      <w:sz w:val="21"/>
                    </w:rPr>
                    <w:t>到的</w:t>
                  </w:r>
                  <w:r>
                    <w:rPr>
                      <w:rFonts w:cs="Calibri"/>
                      <w:sz w:val="21"/>
                    </w:rPr>
                    <w:t>粉尘</w:t>
                  </w:r>
                </w:p>
              </w:tc>
              <w:tc>
                <w:tcPr>
                  <w:tcW w:w="1929" w:type="dxa"/>
                  <w:vAlign w:val="center"/>
                </w:tcPr>
                <w:p>
                  <w:pPr>
                    <w:jc w:val="center"/>
                    <w:rPr>
                      <w:rFonts w:cs="Calibri"/>
                      <w:sz w:val="21"/>
                    </w:rPr>
                  </w:pPr>
                  <w:r>
                    <w:rPr>
                      <w:rFonts w:cs="Calibri"/>
                      <w:sz w:val="21"/>
                    </w:rPr>
                    <w:t>一般固废</w:t>
                  </w:r>
                </w:p>
              </w:tc>
              <w:tc>
                <w:tcPr>
                  <w:tcW w:w="1412" w:type="dxa"/>
                  <w:vAlign w:val="center"/>
                </w:tcPr>
                <w:p>
                  <w:pPr>
                    <w:jc w:val="center"/>
                    <w:rPr>
                      <w:rFonts w:cs="Calibri"/>
                      <w:sz w:val="21"/>
                    </w:rPr>
                  </w:pPr>
                  <w:r>
                    <w:rPr>
                      <w:rFonts w:hint="eastAsia" w:cs="Calibri"/>
                      <w:sz w:val="21"/>
                    </w:rPr>
                    <w:t>326.744</w:t>
                  </w:r>
                  <w:r>
                    <w:rPr>
                      <w:rFonts w:cs="Calibri"/>
                      <w:sz w:val="21"/>
                    </w:rPr>
                    <w:t>t/a</w:t>
                  </w:r>
                </w:p>
              </w:tc>
              <w:tc>
                <w:tcPr>
                  <w:tcW w:w="2112" w:type="dxa"/>
                  <w:vAlign w:val="center"/>
                </w:tcPr>
                <w:p>
                  <w:pPr>
                    <w:jc w:val="center"/>
                    <w:rPr>
                      <w:rFonts w:cs="Calibri"/>
                      <w:sz w:val="21"/>
                    </w:rPr>
                  </w:pPr>
                  <w:r>
                    <w:rPr>
                      <w:rFonts w:hint="eastAsia" w:cs="Calibri"/>
                      <w:sz w:val="21"/>
                    </w:rPr>
                    <w:t>回用于生产</w:t>
                  </w:r>
                </w:p>
              </w:tc>
              <w:tc>
                <w:tcPr>
                  <w:tcW w:w="1070" w:type="dxa"/>
                  <w:vMerge w:val="restart"/>
                  <w:vAlign w:val="center"/>
                </w:tcPr>
                <w:p>
                  <w:pPr>
                    <w:jc w:val="center"/>
                    <w:rPr>
                      <w:rFonts w:cs="Calibri"/>
                      <w:sz w:val="21"/>
                    </w:rPr>
                  </w:pPr>
                  <w:r>
                    <w:rPr>
                      <w:rFonts w:cs="Calibri"/>
                      <w:sz w:val="21"/>
                    </w:rPr>
                    <w:t>无害化处置达到环保要求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81" w:type="dxa"/>
                  <w:vAlign w:val="center"/>
                </w:tcPr>
                <w:p>
                  <w:pPr>
                    <w:jc w:val="center"/>
                    <w:rPr>
                      <w:rFonts w:cs="Calibri"/>
                      <w:sz w:val="21"/>
                    </w:rPr>
                  </w:pPr>
                  <w:r>
                    <w:rPr>
                      <w:rFonts w:hint="eastAsia" w:cs="Calibri"/>
                      <w:sz w:val="21"/>
                    </w:rPr>
                    <w:t>沉淀池沉渣</w:t>
                  </w:r>
                </w:p>
              </w:tc>
              <w:tc>
                <w:tcPr>
                  <w:tcW w:w="1929" w:type="dxa"/>
                  <w:vAlign w:val="center"/>
                </w:tcPr>
                <w:p>
                  <w:pPr>
                    <w:jc w:val="center"/>
                    <w:rPr>
                      <w:rFonts w:cs="Calibri"/>
                      <w:sz w:val="21"/>
                    </w:rPr>
                  </w:pPr>
                  <w:r>
                    <w:rPr>
                      <w:rFonts w:cs="Calibri"/>
                      <w:sz w:val="21"/>
                    </w:rPr>
                    <w:t>一般固废</w:t>
                  </w:r>
                </w:p>
              </w:tc>
              <w:tc>
                <w:tcPr>
                  <w:tcW w:w="1412" w:type="dxa"/>
                  <w:vAlign w:val="center"/>
                </w:tcPr>
                <w:p>
                  <w:pPr>
                    <w:jc w:val="center"/>
                    <w:rPr>
                      <w:rFonts w:cs="Calibri"/>
                      <w:sz w:val="21"/>
                    </w:rPr>
                  </w:pPr>
                  <w:r>
                    <w:rPr>
                      <w:rFonts w:hint="eastAsia" w:cs="Calibri"/>
                      <w:sz w:val="21"/>
                    </w:rPr>
                    <w:t>8.4</w:t>
                  </w:r>
                  <w:r>
                    <w:rPr>
                      <w:rFonts w:cs="Calibri"/>
                      <w:sz w:val="21"/>
                    </w:rPr>
                    <w:t>t/a</w:t>
                  </w:r>
                </w:p>
              </w:tc>
              <w:tc>
                <w:tcPr>
                  <w:tcW w:w="2112" w:type="dxa"/>
                  <w:vAlign w:val="center"/>
                </w:tcPr>
                <w:p>
                  <w:pPr>
                    <w:jc w:val="center"/>
                    <w:rPr>
                      <w:rFonts w:cs="Calibri"/>
                      <w:sz w:val="21"/>
                    </w:rPr>
                  </w:pPr>
                  <w:r>
                    <w:rPr>
                      <w:rFonts w:hint="eastAsia" w:cs="Calibri"/>
                      <w:sz w:val="21"/>
                    </w:rPr>
                    <w:t>收集后暂存后，作为建筑材料外售</w:t>
                  </w:r>
                </w:p>
              </w:tc>
              <w:tc>
                <w:tcPr>
                  <w:tcW w:w="1070"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81" w:type="dxa"/>
                  <w:vAlign w:val="center"/>
                </w:tcPr>
                <w:p>
                  <w:pPr>
                    <w:jc w:val="center"/>
                    <w:rPr>
                      <w:rFonts w:cs="Calibri"/>
                      <w:sz w:val="21"/>
                    </w:rPr>
                  </w:pPr>
                  <w:r>
                    <w:rPr>
                      <w:rFonts w:cs="Calibri"/>
                      <w:sz w:val="21"/>
                    </w:rPr>
                    <w:t>生活垃圾</w:t>
                  </w:r>
                </w:p>
              </w:tc>
              <w:tc>
                <w:tcPr>
                  <w:tcW w:w="1929" w:type="dxa"/>
                  <w:vAlign w:val="center"/>
                </w:tcPr>
                <w:p>
                  <w:pPr>
                    <w:jc w:val="center"/>
                    <w:rPr>
                      <w:rFonts w:cs="Calibri"/>
                      <w:sz w:val="21"/>
                    </w:rPr>
                  </w:pPr>
                  <w:r>
                    <w:rPr>
                      <w:rFonts w:cs="Calibri"/>
                      <w:sz w:val="21"/>
                    </w:rPr>
                    <w:t>一般固废</w:t>
                  </w:r>
                </w:p>
              </w:tc>
              <w:tc>
                <w:tcPr>
                  <w:tcW w:w="1412" w:type="dxa"/>
                  <w:vAlign w:val="center"/>
                </w:tcPr>
                <w:p>
                  <w:pPr>
                    <w:jc w:val="center"/>
                    <w:rPr>
                      <w:rFonts w:cs="Calibri"/>
                      <w:sz w:val="21"/>
                    </w:rPr>
                  </w:pPr>
                  <w:r>
                    <w:rPr>
                      <w:rFonts w:hint="eastAsia" w:cs="Calibri"/>
                      <w:sz w:val="21"/>
                    </w:rPr>
                    <w:t>6</w:t>
                  </w:r>
                  <w:r>
                    <w:rPr>
                      <w:rFonts w:cs="Calibri"/>
                      <w:sz w:val="21"/>
                    </w:rPr>
                    <w:t>t/a</w:t>
                  </w:r>
                </w:p>
              </w:tc>
              <w:tc>
                <w:tcPr>
                  <w:tcW w:w="2112" w:type="dxa"/>
                  <w:vAlign w:val="center"/>
                </w:tcPr>
                <w:p>
                  <w:pPr>
                    <w:jc w:val="center"/>
                    <w:rPr>
                      <w:rFonts w:cs="Calibri"/>
                      <w:sz w:val="21"/>
                    </w:rPr>
                  </w:pPr>
                  <w:r>
                    <w:rPr>
                      <w:rFonts w:cs="Calibri"/>
                      <w:sz w:val="21"/>
                    </w:rPr>
                    <w:t>垃圾收集桶、定期交由环卫部门处理处置</w:t>
                  </w:r>
                </w:p>
              </w:tc>
              <w:tc>
                <w:tcPr>
                  <w:tcW w:w="1070"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81" w:type="dxa"/>
                  <w:vAlign w:val="center"/>
                </w:tcPr>
                <w:p>
                  <w:pPr>
                    <w:jc w:val="center"/>
                    <w:rPr>
                      <w:rFonts w:cs="Calibri"/>
                      <w:sz w:val="21"/>
                    </w:rPr>
                  </w:pPr>
                  <w:r>
                    <w:rPr>
                      <w:rFonts w:cs="Calibri"/>
                      <w:sz w:val="21"/>
                    </w:rPr>
                    <w:t>废矿物油</w:t>
                  </w:r>
                </w:p>
                <w:p>
                  <w:pPr>
                    <w:jc w:val="center"/>
                    <w:rPr>
                      <w:rFonts w:cs="Calibri"/>
                      <w:sz w:val="21"/>
                    </w:rPr>
                  </w:pPr>
                  <w:r>
                    <w:rPr>
                      <w:rFonts w:cs="Calibri"/>
                      <w:sz w:val="21"/>
                    </w:rPr>
                    <w:t>代码：900-</w:t>
                  </w:r>
                  <w:r>
                    <w:rPr>
                      <w:rFonts w:hint="eastAsia" w:cs="Calibri"/>
                      <w:sz w:val="21"/>
                    </w:rPr>
                    <w:t>214</w:t>
                  </w:r>
                  <w:r>
                    <w:rPr>
                      <w:rFonts w:cs="Calibri"/>
                      <w:sz w:val="21"/>
                    </w:rPr>
                    <w:t>-</w:t>
                  </w:r>
                  <w:r>
                    <w:rPr>
                      <w:rFonts w:hint="eastAsia" w:cs="Calibri"/>
                      <w:sz w:val="21"/>
                    </w:rPr>
                    <w:t>08</w:t>
                  </w:r>
                </w:p>
              </w:tc>
              <w:tc>
                <w:tcPr>
                  <w:tcW w:w="1929" w:type="dxa"/>
                  <w:vAlign w:val="center"/>
                </w:tcPr>
                <w:p>
                  <w:pPr>
                    <w:jc w:val="center"/>
                    <w:rPr>
                      <w:rFonts w:cs="Calibri"/>
                      <w:sz w:val="21"/>
                    </w:rPr>
                  </w:pPr>
                  <w:r>
                    <w:rPr>
                      <w:rFonts w:cs="Calibri"/>
                      <w:sz w:val="21"/>
                    </w:rPr>
                    <w:t>危险固废编号HW</w:t>
                  </w:r>
                  <w:r>
                    <w:rPr>
                      <w:rFonts w:hint="eastAsia" w:cs="Calibri"/>
                      <w:sz w:val="21"/>
                    </w:rPr>
                    <w:t>08</w:t>
                  </w:r>
                </w:p>
              </w:tc>
              <w:tc>
                <w:tcPr>
                  <w:tcW w:w="1412" w:type="dxa"/>
                  <w:vAlign w:val="center"/>
                </w:tcPr>
                <w:p>
                  <w:pPr>
                    <w:jc w:val="center"/>
                    <w:rPr>
                      <w:rFonts w:cs="Calibri"/>
                      <w:sz w:val="21"/>
                    </w:rPr>
                  </w:pPr>
                  <w:r>
                    <w:rPr>
                      <w:rFonts w:cs="Calibri"/>
                      <w:sz w:val="21"/>
                    </w:rPr>
                    <w:t>0.</w:t>
                  </w:r>
                  <w:r>
                    <w:rPr>
                      <w:rFonts w:hint="eastAsia" w:cs="Calibri"/>
                      <w:sz w:val="21"/>
                    </w:rPr>
                    <w:t>01</w:t>
                  </w:r>
                  <w:r>
                    <w:rPr>
                      <w:rFonts w:cs="Calibri"/>
                      <w:sz w:val="21"/>
                    </w:rPr>
                    <w:t>t/a</w:t>
                  </w:r>
                </w:p>
              </w:tc>
              <w:tc>
                <w:tcPr>
                  <w:tcW w:w="2112" w:type="dxa"/>
                  <w:vAlign w:val="center"/>
                </w:tcPr>
                <w:p>
                  <w:pPr>
                    <w:jc w:val="center"/>
                    <w:rPr>
                      <w:rFonts w:cs="Calibri"/>
                      <w:sz w:val="21"/>
                    </w:rPr>
                  </w:pPr>
                  <w:r>
                    <w:rPr>
                      <w:rFonts w:cs="Calibri"/>
                      <w:sz w:val="21"/>
                    </w:rPr>
                    <w:t>设置危废储存间，送有资质的单位回收处理</w:t>
                  </w:r>
                </w:p>
              </w:tc>
              <w:tc>
                <w:tcPr>
                  <w:tcW w:w="1070" w:type="dxa"/>
                  <w:vMerge w:val="continue"/>
                  <w:vAlign w:val="center"/>
                </w:tcPr>
                <w:p>
                  <w:pPr>
                    <w:jc w:val="center"/>
                    <w:rPr>
                      <w:rFonts w:cs="Calibri"/>
                      <w:sz w:val="21"/>
                    </w:rPr>
                  </w:pPr>
                </w:p>
              </w:tc>
            </w:tr>
          </w:tbl>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p>
            <w:pPr>
              <w:adjustRightInd w:val="0"/>
              <w:snapToGrid w:val="0"/>
              <w:spacing w:line="520" w:lineRule="exact"/>
              <w:rPr>
                <w:color w:val="0000FF"/>
                <w:sz w:val="24"/>
              </w:rPr>
            </w:pPr>
          </w:p>
        </w:tc>
      </w:tr>
    </w:tbl>
    <w:p>
      <w:pPr>
        <w:rPr>
          <w:b/>
          <w:sz w:val="28"/>
          <w:szCs w:val="32"/>
        </w:rPr>
      </w:pPr>
    </w:p>
    <w:p>
      <w:pPr>
        <w:outlineLvl w:val="0"/>
        <w:rPr>
          <w:b/>
          <w:szCs w:val="32"/>
        </w:rPr>
      </w:pPr>
      <w:bookmarkStart w:id="13" w:name="_Toc3906331"/>
      <w:r>
        <w:rPr>
          <w:b/>
          <w:szCs w:val="32"/>
        </w:rPr>
        <w:t>项目主要污染物产生及预计排放情况</w:t>
      </w:r>
      <w:bookmarkEnd w:id="13"/>
    </w:p>
    <w:tbl>
      <w:tblPr>
        <w:tblStyle w:val="18"/>
        <w:tblW w:w="9071" w:type="dxa"/>
        <w:tblInd w:w="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5"/>
        <w:gridCol w:w="1502"/>
        <w:gridCol w:w="537"/>
        <w:gridCol w:w="1703"/>
        <w:gridCol w:w="1072"/>
        <w:gridCol w:w="1245"/>
        <w:gridCol w:w="23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635" w:type="dxa"/>
            <w:vAlign w:val="center"/>
          </w:tcPr>
          <w:p>
            <w:pPr>
              <w:jc w:val="center"/>
              <w:rPr>
                <w:rFonts w:cs="Calibri"/>
                <w:sz w:val="24"/>
              </w:rPr>
            </w:pPr>
            <w:r>
              <w:rPr>
                <w:rFonts w:cs="Calibri"/>
                <w:sz w:val="24"/>
              </w:rPr>
              <w:t>内容</w:t>
            </w:r>
          </w:p>
          <w:p>
            <w:pPr>
              <w:jc w:val="center"/>
              <w:rPr>
                <w:rFonts w:cs="Calibri"/>
                <w:sz w:val="24"/>
              </w:rPr>
            </w:pPr>
            <w:r>
              <w:rPr>
                <w:rFonts w:cs="Calibri"/>
                <w:sz w:val="24"/>
              </w:rPr>
              <w:t>类型</w:t>
            </w:r>
          </w:p>
        </w:tc>
        <w:tc>
          <w:tcPr>
            <w:tcW w:w="1502" w:type="dxa"/>
            <w:vAlign w:val="center"/>
          </w:tcPr>
          <w:p>
            <w:pPr>
              <w:jc w:val="center"/>
              <w:rPr>
                <w:rFonts w:cs="Calibri"/>
                <w:sz w:val="24"/>
              </w:rPr>
            </w:pPr>
            <w:r>
              <w:rPr>
                <w:rFonts w:cs="Calibri"/>
                <w:sz w:val="24"/>
              </w:rPr>
              <w:t>排放源</w:t>
            </w:r>
          </w:p>
          <w:p>
            <w:pPr>
              <w:jc w:val="center"/>
              <w:rPr>
                <w:rFonts w:cs="Calibri"/>
                <w:sz w:val="24"/>
              </w:rPr>
            </w:pPr>
            <w:r>
              <w:rPr>
                <w:rFonts w:cs="Calibri"/>
                <w:sz w:val="24"/>
              </w:rPr>
              <w:t>（编号）</w:t>
            </w:r>
          </w:p>
        </w:tc>
        <w:tc>
          <w:tcPr>
            <w:tcW w:w="2240" w:type="dxa"/>
            <w:gridSpan w:val="2"/>
            <w:vAlign w:val="center"/>
          </w:tcPr>
          <w:p>
            <w:pPr>
              <w:jc w:val="center"/>
              <w:rPr>
                <w:rFonts w:cs="Calibri"/>
                <w:sz w:val="24"/>
              </w:rPr>
            </w:pPr>
            <w:r>
              <w:rPr>
                <w:rFonts w:cs="Calibri"/>
                <w:sz w:val="24"/>
              </w:rPr>
              <w:t>污染物名称</w:t>
            </w:r>
          </w:p>
        </w:tc>
        <w:tc>
          <w:tcPr>
            <w:tcW w:w="2317" w:type="dxa"/>
            <w:gridSpan w:val="2"/>
            <w:vAlign w:val="center"/>
          </w:tcPr>
          <w:p>
            <w:pPr>
              <w:jc w:val="center"/>
              <w:rPr>
                <w:rFonts w:cs="Calibri"/>
                <w:sz w:val="24"/>
              </w:rPr>
            </w:pPr>
            <w:r>
              <w:rPr>
                <w:rFonts w:cs="Calibri"/>
                <w:sz w:val="24"/>
              </w:rPr>
              <w:t>产生浓度及产生量</w:t>
            </w:r>
          </w:p>
        </w:tc>
        <w:tc>
          <w:tcPr>
            <w:tcW w:w="2377" w:type="dxa"/>
            <w:vAlign w:val="center"/>
          </w:tcPr>
          <w:p>
            <w:pPr>
              <w:jc w:val="center"/>
              <w:rPr>
                <w:rFonts w:cs="Calibri"/>
                <w:sz w:val="24"/>
              </w:rPr>
            </w:pPr>
            <w:r>
              <w:rPr>
                <w:rFonts w:cs="Calibri"/>
                <w:sz w:val="24"/>
              </w:rPr>
              <w:t>排放浓度及排放量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35" w:type="dxa"/>
            <w:vMerge w:val="restart"/>
            <w:vAlign w:val="center"/>
          </w:tcPr>
          <w:p>
            <w:pPr>
              <w:jc w:val="center"/>
              <w:rPr>
                <w:rFonts w:cs="Calibri"/>
                <w:sz w:val="24"/>
              </w:rPr>
            </w:pPr>
            <w:r>
              <w:rPr>
                <w:rFonts w:hint="eastAsia" w:cs="Calibri"/>
                <w:sz w:val="24"/>
              </w:rPr>
              <w:t>大</w:t>
            </w:r>
          </w:p>
          <w:p>
            <w:pPr>
              <w:jc w:val="center"/>
              <w:rPr>
                <w:rFonts w:cs="Calibri"/>
                <w:sz w:val="24"/>
              </w:rPr>
            </w:pPr>
            <w:r>
              <w:rPr>
                <w:rFonts w:hint="eastAsia" w:cs="Calibri"/>
                <w:sz w:val="24"/>
              </w:rPr>
              <w:t>气</w:t>
            </w:r>
          </w:p>
          <w:p>
            <w:pPr>
              <w:jc w:val="center"/>
              <w:rPr>
                <w:rFonts w:cs="Calibri"/>
                <w:sz w:val="24"/>
              </w:rPr>
            </w:pPr>
            <w:r>
              <w:rPr>
                <w:rFonts w:hint="eastAsia" w:cs="Calibri"/>
                <w:sz w:val="24"/>
              </w:rPr>
              <w:t>污</w:t>
            </w:r>
          </w:p>
          <w:p>
            <w:pPr>
              <w:jc w:val="center"/>
              <w:rPr>
                <w:rFonts w:cs="Calibri"/>
                <w:sz w:val="24"/>
              </w:rPr>
            </w:pPr>
            <w:r>
              <w:rPr>
                <w:rFonts w:hint="eastAsia" w:cs="Calibri"/>
                <w:sz w:val="24"/>
              </w:rPr>
              <w:t>染</w:t>
            </w:r>
          </w:p>
          <w:p>
            <w:pPr>
              <w:jc w:val="center"/>
              <w:rPr>
                <w:rFonts w:cs="Calibri"/>
                <w:sz w:val="24"/>
              </w:rPr>
            </w:pPr>
            <w:r>
              <w:rPr>
                <w:rFonts w:hint="eastAsia" w:cs="Calibri"/>
                <w:sz w:val="24"/>
              </w:rPr>
              <w:t>物</w:t>
            </w:r>
          </w:p>
        </w:tc>
        <w:tc>
          <w:tcPr>
            <w:tcW w:w="1502" w:type="dxa"/>
            <w:vAlign w:val="center"/>
          </w:tcPr>
          <w:p>
            <w:pPr>
              <w:jc w:val="center"/>
              <w:rPr>
                <w:rFonts w:cs="Calibri"/>
                <w:sz w:val="24"/>
              </w:rPr>
            </w:pPr>
            <w:r>
              <w:rPr>
                <w:rFonts w:hint="eastAsia" w:cs="Calibri"/>
                <w:sz w:val="24"/>
              </w:rPr>
              <w:t>破碎加工粉尘</w:t>
            </w:r>
          </w:p>
        </w:tc>
        <w:tc>
          <w:tcPr>
            <w:tcW w:w="2240" w:type="dxa"/>
            <w:gridSpan w:val="2"/>
            <w:vAlign w:val="center"/>
          </w:tcPr>
          <w:p>
            <w:pPr>
              <w:jc w:val="center"/>
              <w:rPr>
                <w:rFonts w:cs="Calibri"/>
                <w:sz w:val="24"/>
              </w:rPr>
            </w:pPr>
            <w:r>
              <w:rPr>
                <w:rFonts w:cs="Calibri"/>
                <w:sz w:val="24"/>
              </w:rPr>
              <w:t>无组织粉尘</w:t>
            </w:r>
          </w:p>
        </w:tc>
        <w:tc>
          <w:tcPr>
            <w:tcW w:w="2317" w:type="dxa"/>
            <w:gridSpan w:val="2"/>
            <w:vAlign w:val="center"/>
          </w:tcPr>
          <w:p>
            <w:pPr>
              <w:jc w:val="center"/>
              <w:rPr>
                <w:rFonts w:cs="Calibri"/>
                <w:sz w:val="24"/>
              </w:rPr>
            </w:pPr>
            <w:r>
              <w:rPr>
                <w:rFonts w:hint="eastAsia" w:cs="Calibri"/>
                <w:sz w:val="24"/>
              </w:rPr>
              <w:t>13t/a、5.42kg/h</w:t>
            </w:r>
          </w:p>
        </w:tc>
        <w:tc>
          <w:tcPr>
            <w:tcW w:w="2377" w:type="dxa"/>
            <w:vAlign w:val="center"/>
          </w:tcPr>
          <w:p>
            <w:pPr>
              <w:jc w:val="center"/>
              <w:rPr>
                <w:rFonts w:cs="Calibri"/>
                <w:sz w:val="24"/>
              </w:rPr>
            </w:pPr>
            <w:r>
              <w:rPr>
                <w:rFonts w:hint="eastAsia" w:cs="Calibri"/>
                <w:sz w:val="24"/>
              </w:rPr>
              <w:t>1.95t/a、0.8125kg/h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35" w:type="dxa"/>
            <w:vMerge w:val="continue"/>
            <w:vAlign w:val="center"/>
          </w:tcPr>
          <w:p>
            <w:pPr>
              <w:jc w:val="center"/>
              <w:rPr>
                <w:rFonts w:cs="Calibri"/>
                <w:sz w:val="24"/>
              </w:rPr>
            </w:pPr>
          </w:p>
        </w:tc>
        <w:tc>
          <w:tcPr>
            <w:tcW w:w="1502" w:type="dxa"/>
            <w:vAlign w:val="center"/>
          </w:tcPr>
          <w:p>
            <w:pPr>
              <w:jc w:val="center"/>
              <w:rPr>
                <w:rFonts w:cs="Calibri"/>
                <w:sz w:val="24"/>
              </w:rPr>
            </w:pPr>
            <w:r>
              <w:rPr>
                <w:rFonts w:cs="Calibri"/>
                <w:sz w:val="24"/>
              </w:rPr>
              <w:t>筒库粉尘</w:t>
            </w:r>
          </w:p>
        </w:tc>
        <w:tc>
          <w:tcPr>
            <w:tcW w:w="2240" w:type="dxa"/>
            <w:gridSpan w:val="2"/>
            <w:vMerge w:val="restart"/>
            <w:vAlign w:val="center"/>
          </w:tcPr>
          <w:p>
            <w:pPr>
              <w:jc w:val="center"/>
              <w:rPr>
                <w:rFonts w:cs="Calibri"/>
                <w:sz w:val="24"/>
              </w:rPr>
            </w:pPr>
            <w:r>
              <w:rPr>
                <w:rFonts w:cs="Calibri"/>
                <w:sz w:val="24"/>
              </w:rPr>
              <w:t>有组织粉尘</w:t>
            </w:r>
          </w:p>
        </w:tc>
        <w:tc>
          <w:tcPr>
            <w:tcW w:w="2317" w:type="dxa"/>
            <w:gridSpan w:val="2"/>
            <w:vAlign w:val="center"/>
          </w:tcPr>
          <w:p>
            <w:pPr>
              <w:jc w:val="center"/>
              <w:rPr>
                <w:rFonts w:cs="Calibri"/>
                <w:sz w:val="24"/>
              </w:rPr>
            </w:pPr>
            <w:r>
              <w:rPr>
                <w:rFonts w:cs="Calibri"/>
                <w:sz w:val="24"/>
              </w:rPr>
              <w:t>85.272t/a、4543mg/m</w:t>
            </w:r>
            <w:r>
              <w:rPr>
                <w:rFonts w:cs="Calibri"/>
                <w:sz w:val="24"/>
                <w:vertAlign w:val="superscript"/>
              </w:rPr>
              <w:t>3</w:t>
            </w:r>
          </w:p>
        </w:tc>
        <w:tc>
          <w:tcPr>
            <w:tcW w:w="2377" w:type="dxa"/>
            <w:vAlign w:val="center"/>
          </w:tcPr>
          <w:p>
            <w:pPr>
              <w:jc w:val="center"/>
              <w:rPr>
                <w:rFonts w:cs="Calibri"/>
                <w:sz w:val="24"/>
              </w:rPr>
            </w:pPr>
            <w:r>
              <w:rPr>
                <w:rFonts w:cs="Calibri"/>
                <w:sz w:val="24"/>
              </w:rPr>
              <w:t>0.34129t/a、9.086mg/m</w:t>
            </w:r>
            <w:r>
              <w:rPr>
                <w:rFonts w:cs="Calibri"/>
                <w:sz w:val="24"/>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59" w:hRule="atLeast"/>
        </w:trPr>
        <w:tc>
          <w:tcPr>
            <w:tcW w:w="635" w:type="dxa"/>
            <w:vMerge w:val="continue"/>
            <w:vAlign w:val="center"/>
          </w:tcPr>
          <w:p>
            <w:pPr>
              <w:jc w:val="center"/>
              <w:rPr>
                <w:rFonts w:cs="Calibri"/>
                <w:sz w:val="24"/>
              </w:rPr>
            </w:pPr>
          </w:p>
        </w:tc>
        <w:tc>
          <w:tcPr>
            <w:tcW w:w="1502" w:type="dxa"/>
            <w:vAlign w:val="center"/>
          </w:tcPr>
          <w:p>
            <w:pPr>
              <w:jc w:val="center"/>
              <w:rPr>
                <w:rFonts w:cs="Calibri"/>
                <w:sz w:val="24"/>
              </w:rPr>
            </w:pPr>
            <w:r>
              <w:rPr>
                <w:rFonts w:cs="Calibri"/>
                <w:sz w:val="24"/>
              </w:rPr>
              <w:t>混合搅拌粉尘</w:t>
            </w:r>
          </w:p>
        </w:tc>
        <w:tc>
          <w:tcPr>
            <w:tcW w:w="2240" w:type="dxa"/>
            <w:gridSpan w:val="2"/>
            <w:vMerge w:val="continue"/>
            <w:vAlign w:val="center"/>
          </w:tcPr>
          <w:p>
            <w:pPr>
              <w:jc w:val="center"/>
              <w:rPr>
                <w:rFonts w:cs="Calibri"/>
                <w:sz w:val="24"/>
              </w:rPr>
            </w:pPr>
          </w:p>
        </w:tc>
        <w:tc>
          <w:tcPr>
            <w:tcW w:w="2317" w:type="dxa"/>
            <w:gridSpan w:val="2"/>
            <w:vAlign w:val="center"/>
          </w:tcPr>
          <w:p>
            <w:pPr>
              <w:jc w:val="center"/>
              <w:rPr>
                <w:rFonts w:cs="Calibri"/>
                <w:sz w:val="24"/>
              </w:rPr>
            </w:pPr>
            <w:r>
              <w:rPr>
                <w:rFonts w:cs="Calibri"/>
                <w:sz w:val="24"/>
              </w:rPr>
              <w:t>23</w:t>
            </w:r>
            <w:r>
              <w:rPr>
                <w:rFonts w:hint="eastAsia" w:cs="Calibri"/>
                <w:sz w:val="24"/>
              </w:rPr>
              <w:t>1.7</w:t>
            </w:r>
            <w:r>
              <w:rPr>
                <w:rFonts w:cs="Calibri"/>
                <w:sz w:val="24"/>
              </w:rPr>
              <w:t>t/a、</w:t>
            </w:r>
            <w:r>
              <w:rPr>
                <w:rFonts w:hint="eastAsia" w:cs="Calibri"/>
                <w:sz w:val="24"/>
              </w:rPr>
              <w:t>405</w:t>
            </w:r>
            <w:r>
              <w:rPr>
                <w:rFonts w:cs="Calibri"/>
                <w:sz w:val="24"/>
              </w:rPr>
              <w:t>.</w:t>
            </w:r>
            <w:r>
              <w:rPr>
                <w:rFonts w:hint="eastAsia" w:cs="Calibri"/>
                <w:sz w:val="24"/>
              </w:rPr>
              <w:t>2</w:t>
            </w:r>
            <w:r>
              <w:rPr>
                <w:rFonts w:cs="Calibri"/>
                <w:sz w:val="24"/>
              </w:rPr>
              <w:t>mg/m</w:t>
            </w:r>
            <w:r>
              <w:rPr>
                <w:rFonts w:cs="Calibri"/>
                <w:sz w:val="24"/>
                <w:vertAlign w:val="superscript"/>
              </w:rPr>
              <w:t>3</w:t>
            </w:r>
          </w:p>
        </w:tc>
        <w:tc>
          <w:tcPr>
            <w:tcW w:w="2377" w:type="dxa"/>
            <w:vAlign w:val="center"/>
          </w:tcPr>
          <w:p>
            <w:pPr>
              <w:jc w:val="center"/>
              <w:rPr>
                <w:rFonts w:cs="Calibri"/>
                <w:sz w:val="24"/>
              </w:rPr>
            </w:pPr>
            <w:r>
              <w:rPr>
                <w:rFonts w:cs="Calibri"/>
                <w:sz w:val="24"/>
              </w:rPr>
              <w:t>0.93</w:t>
            </w:r>
            <w:r>
              <w:rPr>
                <w:rFonts w:hint="eastAsia" w:cs="Calibri"/>
                <w:sz w:val="24"/>
              </w:rPr>
              <w:t>6</w:t>
            </w:r>
            <w:r>
              <w:rPr>
                <w:rFonts w:cs="Calibri"/>
                <w:sz w:val="24"/>
              </w:rPr>
              <w:t>8t/a、4.05mg/m</w:t>
            </w:r>
            <w:r>
              <w:rPr>
                <w:rFonts w:cs="Calibri"/>
                <w:sz w:val="24"/>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6" w:hRule="atLeast"/>
        </w:trPr>
        <w:tc>
          <w:tcPr>
            <w:tcW w:w="635" w:type="dxa"/>
            <w:vMerge w:val="continue"/>
            <w:vAlign w:val="center"/>
          </w:tcPr>
          <w:p>
            <w:pPr>
              <w:jc w:val="center"/>
              <w:rPr>
                <w:rFonts w:cs="Calibri"/>
                <w:sz w:val="24"/>
              </w:rPr>
            </w:pPr>
          </w:p>
        </w:tc>
        <w:tc>
          <w:tcPr>
            <w:tcW w:w="1502" w:type="dxa"/>
            <w:vAlign w:val="center"/>
          </w:tcPr>
          <w:p>
            <w:pPr>
              <w:jc w:val="center"/>
              <w:rPr>
                <w:rFonts w:cs="Calibri"/>
                <w:sz w:val="24"/>
              </w:rPr>
            </w:pPr>
            <w:r>
              <w:rPr>
                <w:rFonts w:cs="Calibri"/>
                <w:sz w:val="24"/>
              </w:rPr>
              <w:t>原料装卸扬尘、运输扬尘</w:t>
            </w:r>
          </w:p>
        </w:tc>
        <w:tc>
          <w:tcPr>
            <w:tcW w:w="2240" w:type="dxa"/>
            <w:gridSpan w:val="2"/>
            <w:vAlign w:val="center"/>
          </w:tcPr>
          <w:p>
            <w:pPr>
              <w:jc w:val="center"/>
              <w:rPr>
                <w:rFonts w:cs="Calibri"/>
                <w:sz w:val="24"/>
              </w:rPr>
            </w:pPr>
            <w:r>
              <w:rPr>
                <w:rFonts w:cs="Calibri"/>
                <w:sz w:val="24"/>
              </w:rPr>
              <w:t>无组织粉尘</w:t>
            </w:r>
          </w:p>
        </w:tc>
        <w:tc>
          <w:tcPr>
            <w:tcW w:w="2317" w:type="dxa"/>
            <w:gridSpan w:val="2"/>
            <w:vAlign w:val="center"/>
          </w:tcPr>
          <w:p>
            <w:pPr>
              <w:jc w:val="center"/>
              <w:rPr>
                <w:rFonts w:cs="Calibri"/>
                <w:sz w:val="24"/>
              </w:rPr>
            </w:pPr>
            <w:r>
              <w:rPr>
                <w:rFonts w:hint="eastAsia" w:cs="Calibri"/>
                <w:sz w:val="24"/>
              </w:rPr>
              <w:t>0.082t</w:t>
            </w:r>
            <w:r>
              <w:rPr>
                <w:rFonts w:cs="Calibri"/>
                <w:sz w:val="24"/>
              </w:rPr>
              <w:t>/a</w:t>
            </w:r>
          </w:p>
        </w:tc>
        <w:tc>
          <w:tcPr>
            <w:tcW w:w="2377" w:type="dxa"/>
            <w:vAlign w:val="center"/>
          </w:tcPr>
          <w:p>
            <w:pPr>
              <w:jc w:val="center"/>
              <w:rPr>
                <w:rFonts w:cs="Calibri"/>
                <w:sz w:val="24"/>
              </w:rPr>
            </w:pPr>
            <w:r>
              <w:rPr>
                <w:rFonts w:hint="eastAsia" w:cs="Calibri"/>
                <w:sz w:val="24"/>
              </w:rPr>
              <w:t>0.082t</w:t>
            </w:r>
            <w:r>
              <w:rPr>
                <w:rFonts w:cs="Calibri"/>
                <w:sz w:val="24"/>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35" w:type="dxa"/>
            <w:vMerge w:val="continue"/>
            <w:vAlign w:val="center"/>
          </w:tcPr>
          <w:p>
            <w:pPr>
              <w:jc w:val="center"/>
              <w:rPr>
                <w:rFonts w:cs="Calibri"/>
                <w:sz w:val="24"/>
              </w:rPr>
            </w:pPr>
          </w:p>
        </w:tc>
        <w:tc>
          <w:tcPr>
            <w:tcW w:w="1502" w:type="dxa"/>
            <w:vAlign w:val="center"/>
          </w:tcPr>
          <w:p>
            <w:pPr>
              <w:jc w:val="center"/>
              <w:rPr>
                <w:rFonts w:cs="Calibri"/>
                <w:sz w:val="24"/>
              </w:rPr>
            </w:pPr>
            <w:r>
              <w:rPr>
                <w:rFonts w:hint="eastAsia" w:cs="Calibri"/>
                <w:sz w:val="24"/>
              </w:rPr>
              <w:t>运输车辆</w:t>
            </w:r>
          </w:p>
        </w:tc>
        <w:tc>
          <w:tcPr>
            <w:tcW w:w="2240" w:type="dxa"/>
            <w:gridSpan w:val="2"/>
            <w:vAlign w:val="center"/>
          </w:tcPr>
          <w:p>
            <w:pPr>
              <w:jc w:val="center"/>
              <w:rPr>
                <w:rFonts w:cs="Calibri"/>
                <w:sz w:val="24"/>
              </w:rPr>
            </w:pPr>
            <w:r>
              <w:rPr>
                <w:rFonts w:hint="eastAsia" w:cs="Calibri"/>
                <w:sz w:val="24"/>
              </w:rPr>
              <w:t>车辆尾气</w:t>
            </w:r>
          </w:p>
        </w:tc>
        <w:tc>
          <w:tcPr>
            <w:tcW w:w="2317" w:type="dxa"/>
            <w:gridSpan w:val="2"/>
            <w:vAlign w:val="center"/>
          </w:tcPr>
          <w:p>
            <w:pPr>
              <w:jc w:val="center"/>
              <w:rPr>
                <w:rFonts w:cs="Calibri"/>
                <w:sz w:val="24"/>
              </w:rPr>
            </w:pPr>
            <w:r>
              <w:rPr>
                <w:rFonts w:hint="eastAsia" w:cs="Calibri"/>
                <w:sz w:val="24"/>
              </w:rPr>
              <w:t>极少量</w:t>
            </w:r>
          </w:p>
        </w:tc>
        <w:tc>
          <w:tcPr>
            <w:tcW w:w="2377" w:type="dxa"/>
            <w:vAlign w:val="center"/>
          </w:tcPr>
          <w:p>
            <w:pPr>
              <w:jc w:val="center"/>
              <w:rPr>
                <w:rFonts w:cs="Calibri"/>
                <w:sz w:val="24"/>
              </w:rPr>
            </w:pPr>
            <w:r>
              <w:rPr>
                <w:rFonts w:hint="eastAsia" w:cs="Calibri"/>
                <w:sz w:val="24"/>
              </w:rPr>
              <w:t>极少量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35" w:type="dxa"/>
            <w:vMerge w:val="continue"/>
            <w:vAlign w:val="center"/>
          </w:tcPr>
          <w:p>
            <w:pPr>
              <w:jc w:val="center"/>
              <w:rPr>
                <w:rFonts w:cs="Calibri"/>
                <w:sz w:val="24"/>
              </w:rPr>
            </w:pPr>
          </w:p>
        </w:tc>
        <w:tc>
          <w:tcPr>
            <w:tcW w:w="1502" w:type="dxa"/>
            <w:vAlign w:val="center"/>
          </w:tcPr>
          <w:p>
            <w:pPr>
              <w:jc w:val="center"/>
              <w:rPr>
                <w:rFonts w:cs="Calibri"/>
                <w:sz w:val="24"/>
              </w:rPr>
            </w:pPr>
            <w:r>
              <w:rPr>
                <w:rFonts w:hint="eastAsia" w:cs="Calibri"/>
                <w:sz w:val="24"/>
              </w:rPr>
              <w:t>食堂</w:t>
            </w:r>
          </w:p>
        </w:tc>
        <w:tc>
          <w:tcPr>
            <w:tcW w:w="2240" w:type="dxa"/>
            <w:gridSpan w:val="2"/>
            <w:vAlign w:val="center"/>
          </w:tcPr>
          <w:p>
            <w:pPr>
              <w:jc w:val="center"/>
              <w:rPr>
                <w:rFonts w:cs="Calibri"/>
                <w:sz w:val="24"/>
              </w:rPr>
            </w:pPr>
            <w:r>
              <w:rPr>
                <w:rFonts w:hint="eastAsia" w:cs="Calibri"/>
                <w:sz w:val="24"/>
              </w:rPr>
              <w:t>食堂油烟</w:t>
            </w:r>
          </w:p>
        </w:tc>
        <w:tc>
          <w:tcPr>
            <w:tcW w:w="2317" w:type="dxa"/>
            <w:gridSpan w:val="2"/>
            <w:vAlign w:val="center"/>
          </w:tcPr>
          <w:p>
            <w:pPr>
              <w:jc w:val="center"/>
              <w:rPr>
                <w:rFonts w:cs="Calibri"/>
                <w:sz w:val="24"/>
              </w:rPr>
            </w:pPr>
            <w:r>
              <w:rPr>
                <w:rFonts w:hint="eastAsia" w:cs="Calibri"/>
                <w:sz w:val="24"/>
              </w:rPr>
              <w:t>3.6kg/a（1.6mg/m</w:t>
            </w:r>
            <w:r>
              <w:rPr>
                <w:rFonts w:hint="eastAsia" w:cs="Calibri"/>
                <w:sz w:val="24"/>
                <w:vertAlign w:val="superscript"/>
              </w:rPr>
              <w:t>3</w:t>
            </w:r>
            <w:r>
              <w:rPr>
                <w:rFonts w:hint="eastAsia" w:cs="Calibri"/>
                <w:sz w:val="24"/>
              </w:rPr>
              <w:t>）</w:t>
            </w:r>
          </w:p>
        </w:tc>
        <w:tc>
          <w:tcPr>
            <w:tcW w:w="2377" w:type="dxa"/>
            <w:vAlign w:val="center"/>
          </w:tcPr>
          <w:p>
            <w:pPr>
              <w:jc w:val="center"/>
              <w:rPr>
                <w:rFonts w:cs="Calibri"/>
                <w:sz w:val="24"/>
              </w:rPr>
            </w:pPr>
            <w:r>
              <w:rPr>
                <w:rFonts w:hint="eastAsia" w:cs="Calibri"/>
                <w:sz w:val="24"/>
              </w:rPr>
              <w:t>3.6kg/a（1.6mg/m</w:t>
            </w:r>
            <w:r>
              <w:rPr>
                <w:rFonts w:hint="eastAsia" w:cs="Calibri"/>
                <w:sz w:val="24"/>
                <w:vertAlign w:val="superscript"/>
              </w:rPr>
              <w:t>3</w:t>
            </w:r>
            <w:r>
              <w:rPr>
                <w:rFonts w:hint="eastAsia" w:cs="Calibri"/>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35" w:type="dxa"/>
            <w:vMerge w:val="restart"/>
            <w:vAlign w:val="center"/>
          </w:tcPr>
          <w:p>
            <w:pPr>
              <w:jc w:val="center"/>
              <w:rPr>
                <w:rFonts w:cs="Calibri"/>
                <w:sz w:val="24"/>
              </w:rPr>
            </w:pPr>
            <w:r>
              <w:rPr>
                <w:rFonts w:cs="Calibri"/>
                <w:sz w:val="24"/>
              </w:rPr>
              <w:t>水</w:t>
            </w:r>
          </w:p>
          <w:p>
            <w:pPr>
              <w:jc w:val="center"/>
              <w:rPr>
                <w:rFonts w:cs="Calibri"/>
                <w:sz w:val="24"/>
              </w:rPr>
            </w:pPr>
            <w:r>
              <w:rPr>
                <w:rFonts w:cs="Calibri"/>
                <w:sz w:val="24"/>
              </w:rPr>
              <w:t>污</w:t>
            </w:r>
          </w:p>
          <w:p>
            <w:pPr>
              <w:jc w:val="center"/>
              <w:rPr>
                <w:rFonts w:cs="Calibri"/>
                <w:sz w:val="24"/>
              </w:rPr>
            </w:pPr>
            <w:r>
              <w:rPr>
                <w:rFonts w:cs="Calibri"/>
                <w:sz w:val="24"/>
              </w:rPr>
              <w:t>染</w:t>
            </w:r>
          </w:p>
          <w:p>
            <w:pPr>
              <w:jc w:val="center"/>
              <w:rPr>
                <w:rFonts w:cs="Calibri"/>
                <w:sz w:val="24"/>
              </w:rPr>
            </w:pPr>
            <w:r>
              <w:rPr>
                <w:rFonts w:cs="Calibri"/>
                <w:sz w:val="24"/>
              </w:rPr>
              <w:t>物</w:t>
            </w:r>
          </w:p>
        </w:tc>
        <w:tc>
          <w:tcPr>
            <w:tcW w:w="1502" w:type="dxa"/>
            <w:vMerge w:val="restart"/>
            <w:vAlign w:val="center"/>
          </w:tcPr>
          <w:p>
            <w:pPr>
              <w:jc w:val="center"/>
              <w:rPr>
                <w:rFonts w:cs="Calibri"/>
                <w:sz w:val="24"/>
              </w:rPr>
            </w:pPr>
            <w:r>
              <w:rPr>
                <w:rFonts w:cs="Calibri"/>
                <w:sz w:val="24"/>
              </w:rPr>
              <w:t>生活污水</w:t>
            </w:r>
          </w:p>
        </w:tc>
        <w:tc>
          <w:tcPr>
            <w:tcW w:w="2240" w:type="dxa"/>
            <w:gridSpan w:val="2"/>
            <w:vAlign w:val="center"/>
          </w:tcPr>
          <w:p>
            <w:pPr>
              <w:jc w:val="center"/>
              <w:rPr>
                <w:rFonts w:cs="Calibri"/>
                <w:sz w:val="24"/>
              </w:rPr>
            </w:pPr>
            <w:r>
              <w:rPr>
                <w:rFonts w:cs="Calibri"/>
                <w:sz w:val="24"/>
              </w:rPr>
              <w:t>废水量</w:t>
            </w:r>
          </w:p>
        </w:tc>
        <w:tc>
          <w:tcPr>
            <w:tcW w:w="2317" w:type="dxa"/>
            <w:gridSpan w:val="2"/>
            <w:vAlign w:val="center"/>
          </w:tcPr>
          <w:p>
            <w:pPr>
              <w:jc w:val="center"/>
              <w:rPr>
                <w:rFonts w:cs="Calibri"/>
                <w:sz w:val="24"/>
              </w:rPr>
            </w:pPr>
            <w:r>
              <w:rPr>
                <w:rFonts w:hint="eastAsia" w:cs="Calibri"/>
                <w:sz w:val="24"/>
              </w:rPr>
              <w:t>1392</w:t>
            </w:r>
            <w:r>
              <w:rPr>
                <w:rFonts w:cs="Calibri"/>
                <w:sz w:val="24"/>
              </w:rPr>
              <w:t>t/a</w:t>
            </w:r>
          </w:p>
        </w:tc>
        <w:tc>
          <w:tcPr>
            <w:tcW w:w="2377" w:type="dxa"/>
            <w:vAlign w:val="center"/>
          </w:tcPr>
          <w:p>
            <w:pPr>
              <w:jc w:val="center"/>
              <w:rPr>
                <w:rFonts w:cs="Calibri"/>
                <w:sz w:val="24"/>
              </w:rPr>
            </w:pPr>
            <w:r>
              <w:rPr>
                <w:rFonts w:hint="eastAsia" w:cs="Calibri"/>
                <w:sz w:val="24"/>
              </w:rPr>
              <w:t>1392</w:t>
            </w:r>
            <w:r>
              <w:rPr>
                <w:rFonts w:cs="Calibri"/>
                <w:sz w:val="24"/>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35" w:type="dxa"/>
            <w:vMerge w:val="continue"/>
            <w:vAlign w:val="center"/>
          </w:tcPr>
          <w:p>
            <w:pPr>
              <w:jc w:val="center"/>
              <w:rPr>
                <w:rFonts w:cs="Calibri"/>
                <w:sz w:val="24"/>
              </w:rPr>
            </w:pPr>
          </w:p>
        </w:tc>
        <w:tc>
          <w:tcPr>
            <w:tcW w:w="1502" w:type="dxa"/>
            <w:vMerge w:val="continue"/>
            <w:vAlign w:val="center"/>
          </w:tcPr>
          <w:p>
            <w:pPr>
              <w:jc w:val="center"/>
              <w:rPr>
                <w:rFonts w:cs="Calibri"/>
                <w:sz w:val="24"/>
              </w:rPr>
            </w:pPr>
          </w:p>
        </w:tc>
        <w:tc>
          <w:tcPr>
            <w:tcW w:w="2240" w:type="dxa"/>
            <w:gridSpan w:val="2"/>
            <w:vAlign w:val="center"/>
          </w:tcPr>
          <w:p>
            <w:pPr>
              <w:jc w:val="center"/>
              <w:rPr>
                <w:rFonts w:cs="Calibri"/>
                <w:sz w:val="24"/>
              </w:rPr>
            </w:pPr>
            <w:r>
              <w:rPr>
                <w:rFonts w:cs="Calibri"/>
                <w:sz w:val="24"/>
              </w:rPr>
              <w:t>COD</w:t>
            </w:r>
          </w:p>
        </w:tc>
        <w:tc>
          <w:tcPr>
            <w:tcW w:w="1072" w:type="dxa"/>
            <w:vAlign w:val="center"/>
          </w:tcPr>
          <w:p>
            <w:pPr>
              <w:jc w:val="center"/>
              <w:rPr>
                <w:rFonts w:cs="Calibri"/>
                <w:sz w:val="24"/>
              </w:rPr>
            </w:pPr>
            <w:r>
              <w:rPr>
                <w:rFonts w:cs="Calibri"/>
                <w:sz w:val="24"/>
              </w:rPr>
              <w:t>300mg/l</w:t>
            </w:r>
          </w:p>
        </w:tc>
        <w:tc>
          <w:tcPr>
            <w:tcW w:w="1245" w:type="dxa"/>
            <w:vAlign w:val="center"/>
          </w:tcPr>
          <w:p>
            <w:pPr>
              <w:jc w:val="center"/>
              <w:rPr>
                <w:rFonts w:cs="Calibri"/>
                <w:sz w:val="24"/>
              </w:rPr>
            </w:pPr>
            <w:r>
              <w:rPr>
                <w:rFonts w:cs="Calibri"/>
                <w:sz w:val="24"/>
              </w:rPr>
              <w:t>0.</w:t>
            </w:r>
            <w:r>
              <w:rPr>
                <w:rFonts w:hint="eastAsia" w:cs="Calibri"/>
                <w:sz w:val="24"/>
              </w:rPr>
              <w:t>4176</w:t>
            </w:r>
          </w:p>
        </w:tc>
        <w:tc>
          <w:tcPr>
            <w:tcW w:w="2377" w:type="dxa"/>
            <w:vAlign w:val="center"/>
          </w:tcPr>
          <w:p>
            <w:pPr>
              <w:jc w:val="center"/>
              <w:rPr>
                <w:rFonts w:ascii="Calibri" w:hAnsi="Calibri" w:cs="Calibri"/>
                <w:sz w:val="24"/>
              </w:rPr>
            </w:pPr>
            <w:r>
              <w:rPr>
                <w:rFonts w:hint="eastAsia" w:ascii="Calibri" w:hAnsi="Calibri" w:cs="Calibri"/>
                <w:sz w:val="24"/>
              </w:rPr>
              <w:t>0</w:t>
            </w:r>
            <w:r>
              <w:rPr>
                <w:rFonts w:ascii="Calibri" w:hAnsi="Calibri" w:cs="Calibri"/>
                <w:sz w:val="24"/>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35" w:type="dxa"/>
            <w:vMerge w:val="continue"/>
            <w:vAlign w:val="center"/>
          </w:tcPr>
          <w:p>
            <w:pPr>
              <w:jc w:val="center"/>
              <w:rPr>
                <w:rFonts w:cs="Calibri"/>
                <w:sz w:val="24"/>
              </w:rPr>
            </w:pPr>
          </w:p>
        </w:tc>
        <w:tc>
          <w:tcPr>
            <w:tcW w:w="1502" w:type="dxa"/>
            <w:vMerge w:val="continue"/>
            <w:vAlign w:val="center"/>
          </w:tcPr>
          <w:p>
            <w:pPr>
              <w:jc w:val="center"/>
              <w:rPr>
                <w:rFonts w:cs="Calibri"/>
                <w:sz w:val="24"/>
              </w:rPr>
            </w:pPr>
          </w:p>
        </w:tc>
        <w:tc>
          <w:tcPr>
            <w:tcW w:w="2240" w:type="dxa"/>
            <w:gridSpan w:val="2"/>
            <w:vAlign w:val="center"/>
          </w:tcPr>
          <w:p>
            <w:pPr>
              <w:jc w:val="center"/>
              <w:rPr>
                <w:rFonts w:cs="Calibri"/>
                <w:sz w:val="24"/>
              </w:rPr>
            </w:pPr>
            <w:r>
              <w:rPr>
                <w:rFonts w:cs="Calibri"/>
                <w:sz w:val="24"/>
              </w:rPr>
              <w:t>氨氮</w:t>
            </w:r>
          </w:p>
        </w:tc>
        <w:tc>
          <w:tcPr>
            <w:tcW w:w="1072" w:type="dxa"/>
            <w:vAlign w:val="center"/>
          </w:tcPr>
          <w:p>
            <w:pPr>
              <w:jc w:val="center"/>
              <w:rPr>
                <w:rFonts w:cs="Calibri"/>
                <w:sz w:val="24"/>
              </w:rPr>
            </w:pPr>
            <w:r>
              <w:rPr>
                <w:rFonts w:cs="Calibri"/>
                <w:sz w:val="24"/>
              </w:rPr>
              <w:t>30mg/l</w:t>
            </w:r>
          </w:p>
        </w:tc>
        <w:tc>
          <w:tcPr>
            <w:tcW w:w="1245" w:type="dxa"/>
            <w:vAlign w:val="center"/>
          </w:tcPr>
          <w:p>
            <w:pPr>
              <w:jc w:val="center"/>
              <w:rPr>
                <w:rFonts w:cs="Calibri"/>
                <w:sz w:val="24"/>
              </w:rPr>
            </w:pPr>
            <w:r>
              <w:rPr>
                <w:rFonts w:cs="Calibri"/>
                <w:sz w:val="24"/>
              </w:rPr>
              <w:t>0.0</w:t>
            </w:r>
            <w:r>
              <w:rPr>
                <w:rFonts w:hint="eastAsia" w:cs="Calibri"/>
                <w:sz w:val="24"/>
              </w:rPr>
              <w:t>4176</w:t>
            </w:r>
          </w:p>
        </w:tc>
        <w:tc>
          <w:tcPr>
            <w:tcW w:w="2377" w:type="dxa"/>
            <w:vAlign w:val="center"/>
          </w:tcPr>
          <w:p>
            <w:pPr>
              <w:jc w:val="center"/>
              <w:rPr>
                <w:rFonts w:ascii="Calibri" w:hAnsi="Calibri" w:cs="Calibri"/>
                <w:sz w:val="24"/>
              </w:rPr>
            </w:pPr>
            <w:r>
              <w:rPr>
                <w:rFonts w:hint="eastAsia" w:ascii="Calibri" w:hAnsi="Calibri" w:cs="Calibri"/>
                <w:sz w:val="24"/>
              </w:rPr>
              <w:t>0</w:t>
            </w:r>
            <w:r>
              <w:rPr>
                <w:rFonts w:ascii="Calibri" w:hAnsi="Calibri" w:cs="Calibri"/>
                <w:sz w:val="24"/>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48" w:hRule="atLeast"/>
        </w:trPr>
        <w:tc>
          <w:tcPr>
            <w:tcW w:w="635" w:type="dxa"/>
            <w:vMerge w:val="restart"/>
            <w:vAlign w:val="center"/>
          </w:tcPr>
          <w:p>
            <w:pPr>
              <w:jc w:val="center"/>
              <w:rPr>
                <w:rFonts w:cs="Calibri"/>
                <w:sz w:val="24"/>
              </w:rPr>
            </w:pPr>
            <w:r>
              <w:rPr>
                <w:rFonts w:cs="Calibri"/>
                <w:sz w:val="24"/>
              </w:rPr>
              <w:t>固</w:t>
            </w:r>
          </w:p>
          <w:p>
            <w:pPr>
              <w:jc w:val="center"/>
              <w:rPr>
                <w:rFonts w:cs="Calibri"/>
                <w:sz w:val="24"/>
              </w:rPr>
            </w:pPr>
            <w:r>
              <w:rPr>
                <w:rFonts w:cs="Calibri"/>
                <w:sz w:val="24"/>
              </w:rPr>
              <w:t>体</w:t>
            </w:r>
          </w:p>
          <w:p>
            <w:pPr>
              <w:jc w:val="center"/>
              <w:rPr>
                <w:rFonts w:cs="Calibri"/>
                <w:sz w:val="24"/>
              </w:rPr>
            </w:pPr>
            <w:r>
              <w:rPr>
                <w:rFonts w:cs="Calibri"/>
                <w:sz w:val="24"/>
              </w:rPr>
              <w:t>废</w:t>
            </w:r>
          </w:p>
          <w:p>
            <w:pPr>
              <w:jc w:val="center"/>
              <w:rPr>
                <w:rFonts w:cs="Calibri"/>
                <w:sz w:val="24"/>
              </w:rPr>
            </w:pPr>
            <w:r>
              <w:rPr>
                <w:rFonts w:cs="Calibri"/>
                <w:sz w:val="24"/>
              </w:rPr>
              <w:t>物</w:t>
            </w:r>
          </w:p>
        </w:tc>
        <w:tc>
          <w:tcPr>
            <w:tcW w:w="1502" w:type="dxa"/>
            <w:vAlign w:val="center"/>
          </w:tcPr>
          <w:p>
            <w:pPr>
              <w:jc w:val="center"/>
              <w:rPr>
                <w:rFonts w:cs="Calibri"/>
                <w:sz w:val="24"/>
              </w:rPr>
            </w:pPr>
            <w:r>
              <w:rPr>
                <w:rFonts w:cs="Calibri"/>
                <w:sz w:val="24"/>
              </w:rPr>
              <w:t>办公生活</w:t>
            </w:r>
          </w:p>
        </w:tc>
        <w:tc>
          <w:tcPr>
            <w:tcW w:w="537" w:type="dxa"/>
            <w:vMerge w:val="restart"/>
            <w:vAlign w:val="center"/>
          </w:tcPr>
          <w:p>
            <w:pPr>
              <w:jc w:val="center"/>
              <w:rPr>
                <w:rFonts w:cs="Calibri"/>
                <w:sz w:val="24"/>
              </w:rPr>
            </w:pPr>
            <w:r>
              <w:rPr>
                <w:rFonts w:cs="Calibri"/>
                <w:sz w:val="24"/>
              </w:rPr>
              <w:t>一般固废</w:t>
            </w:r>
          </w:p>
        </w:tc>
        <w:tc>
          <w:tcPr>
            <w:tcW w:w="1703" w:type="dxa"/>
            <w:vAlign w:val="center"/>
          </w:tcPr>
          <w:p>
            <w:pPr>
              <w:jc w:val="center"/>
              <w:rPr>
                <w:rFonts w:cs="Calibri"/>
                <w:sz w:val="24"/>
              </w:rPr>
            </w:pPr>
            <w:r>
              <w:rPr>
                <w:rFonts w:cs="Calibri"/>
                <w:sz w:val="24"/>
              </w:rPr>
              <w:t>生活垃圾</w:t>
            </w:r>
          </w:p>
        </w:tc>
        <w:tc>
          <w:tcPr>
            <w:tcW w:w="2317" w:type="dxa"/>
            <w:gridSpan w:val="2"/>
            <w:vAlign w:val="center"/>
          </w:tcPr>
          <w:p>
            <w:pPr>
              <w:jc w:val="center"/>
              <w:rPr>
                <w:rFonts w:cs="Calibri"/>
                <w:sz w:val="24"/>
              </w:rPr>
            </w:pPr>
            <w:r>
              <w:rPr>
                <w:rFonts w:hint="eastAsia" w:cs="Calibri"/>
                <w:sz w:val="24"/>
              </w:rPr>
              <w:t>6</w:t>
            </w:r>
            <w:r>
              <w:rPr>
                <w:rFonts w:cs="Calibri"/>
                <w:sz w:val="24"/>
              </w:rPr>
              <w:t>t/a</w:t>
            </w:r>
          </w:p>
        </w:tc>
        <w:tc>
          <w:tcPr>
            <w:tcW w:w="2377" w:type="dxa"/>
            <w:vAlign w:val="center"/>
          </w:tcPr>
          <w:p>
            <w:pPr>
              <w:jc w:val="center"/>
              <w:rPr>
                <w:rFonts w:cs="Calibri"/>
                <w:sz w:val="24"/>
              </w:rPr>
            </w:pPr>
            <w:r>
              <w:rPr>
                <w:rFonts w:cs="Calibri"/>
                <w:sz w:val="24"/>
              </w:rPr>
              <w:t>0t/a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65" w:hRule="atLeast"/>
        </w:trPr>
        <w:tc>
          <w:tcPr>
            <w:tcW w:w="635" w:type="dxa"/>
            <w:vMerge w:val="continue"/>
            <w:vAlign w:val="center"/>
          </w:tcPr>
          <w:p>
            <w:pPr>
              <w:jc w:val="center"/>
              <w:rPr>
                <w:rFonts w:cs="Calibri"/>
                <w:sz w:val="24"/>
              </w:rPr>
            </w:pPr>
          </w:p>
        </w:tc>
        <w:tc>
          <w:tcPr>
            <w:tcW w:w="1502" w:type="dxa"/>
            <w:vMerge w:val="restart"/>
            <w:vAlign w:val="center"/>
          </w:tcPr>
          <w:p>
            <w:pPr>
              <w:jc w:val="center"/>
              <w:rPr>
                <w:rFonts w:cs="Calibri"/>
                <w:sz w:val="24"/>
              </w:rPr>
            </w:pPr>
            <w:r>
              <w:rPr>
                <w:rFonts w:cs="Calibri"/>
                <w:sz w:val="24"/>
              </w:rPr>
              <w:t>生产固废</w:t>
            </w:r>
          </w:p>
        </w:tc>
        <w:tc>
          <w:tcPr>
            <w:tcW w:w="537" w:type="dxa"/>
            <w:vMerge w:val="continue"/>
            <w:vAlign w:val="center"/>
          </w:tcPr>
          <w:p>
            <w:pPr>
              <w:jc w:val="center"/>
              <w:rPr>
                <w:rFonts w:cs="Calibri"/>
                <w:sz w:val="24"/>
              </w:rPr>
            </w:pPr>
          </w:p>
        </w:tc>
        <w:tc>
          <w:tcPr>
            <w:tcW w:w="1703" w:type="dxa"/>
            <w:vAlign w:val="center"/>
          </w:tcPr>
          <w:p>
            <w:pPr>
              <w:jc w:val="center"/>
              <w:rPr>
                <w:rFonts w:cs="Calibri"/>
                <w:sz w:val="24"/>
              </w:rPr>
            </w:pPr>
            <w:r>
              <w:rPr>
                <w:rFonts w:cs="Calibri"/>
                <w:sz w:val="24"/>
              </w:rPr>
              <w:t>收集</w:t>
            </w:r>
            <w:r>
              <w:rPr>
                <w:rFonts w:hint="eastAsia" w:cs="Calibri"/>
                <w:sz w:val="24"/>
              </w:rPr>
              <w:t>到的</w:t>
            </w:r>
            <w:r>
              <w:rPr>
                <w:rFonts w:cs="Calibri"/>
                <w:sz w:val="24"/>
              </w:rPr>
              <w:t>粉尘</w:t>
            </w:r>
          </w:p>
        </w:tc>
        <w:tc>
          <w:tcPr>
            <w:tcW w:w="2317" w:type="dxa"/>
            <w:gridSpan w:val="2"/>
            <w:vAlign w:val="center"/>
          </w:tcPr>
          <w:p>
            <w:pPr>
              <w:jc w:val="center"/>
              <w:rPr>
                <w:rFonts w:cs="Calibri"/>
                <w:sz w:val="24"/>
              </w:rPr>
            </w:pPr>
            <w:r>
              <w:rPr>
                <w:rFonts w:hint="eastAsia" w:cs="Calibri"/>
                <w:sz w:val="24"/>
              </w:rPr>
              <w:t>326.744</w:t>
            </w:r>
            <w:r>
              <w:rPr>
                <w:rFonts w:cs="Calibri"/>
                <w:sz w:val="24"/>
              </w:rPr>
              <w:t>t/a</w:t>
            </w:r>
          </w:p>
        </w:tc>
        <w:tc>
          <w:tcPr>
            <w:tcW w:w="2377" w:type="dxa"/>
            <w:vAlign w:val="center"/>
          </w:tcPr>
          <w:p>
            <w:pPr>
              <w:jc w:val="center"/>
              <w:rPr>
                <w:rFonts w:cs="Calibri"/>
                <w:sz w:val="24"/>
              </w:rPr>
            </w:pPr>
            <w:r>
              <w:rPr>
                <w:rFonts w:cs="Calibri"/>
                <w:sz w:val="24"/>
              </w:rPr>
              <w:t>0t/a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35" w:type="dxa"/>
            <w:vMerge w:val="continue"/>
            <w:vAlign w:val="center"/>
          </w:tcPr>
          <w:p>
            <w:pPr>
              <w:jc w:val="center"/>
              <w:rPr>
                <w:rFonts w:cs="Calibri"/>
                <w:sz w:val="24"/>
              </w:rPr>
            </w:pPr>
          </w:p>
        </w:tc>
        <w:tc>
          <w:tcPr>
            <w:tcW w:w="1502" w:type="dxa"/>
            <w:vMerge w:val="continue"/>
            <w:vAlign w:val="center"/>
          </w:tcPr>
          <w:p>
            <w:pPr>
              <w:jc w:val="center"/>
              <w:rPr>
                <w:rFonts w:cs="Calibri"/>
                <w:sz w:val="24"/>
              </w:rPr>
            </w:pPr>
          </w:p>
        </w:tc>
        <w:tc>
          <w:tcPr>
            <w:tcW w:w="537" w:type="dxa"/>
            <w:vMerge w:val="continue"/>
            <w:vAlign w:val="center"/>
          </w:tcPr>
          <w:p>
            <w:pPr>
              <w:jc w:val="center"/>
              <w:rPr>
                <w:rFonts w:cs="Calibri"/>
                <w:sz w:val="24"/>
              </w:rPr>
            </w:pPr>
          </w:p>
        </w:tc>
        <w:tc>
          <w:tcPr>
            <w:tcW w:w="1703" w:type="dxa"/>
            <w:vAlign w:val="center"/>
          </w:tcPr>
          <w:p>
            <w:pPr>
              <w:jc w:val="center"/>
              <w:rPr>
                <w:rFonts w:cs="Calibri"/>
                <w:sz w:val="24"/>
              </w:rPr>
            </w:pPr>
            <w:r>
              <w:rPr>
                <w:rFonts w:hint="eastAsia" w:cs="Calibri"/>
                <w:sz w:val="24"/>
              </w:rPr>
              <w:t>沉淀池沉渣</w:t>
            </w:r>
          </w:p>
        </w:tc>
        <w:tc>
          <w:tcPr>
            <w:tcW w:w="2317" w:type="dxa"/>
            <w:gridSpan w:val="2"/>
            <w:vAlign w:val="center"/>
          </w:tcPr>
          <w:p>
            <w:pPr>
              <w:jc w:val="center"/>
              <w:rPr>
                <w:rFonts w:cs="Calibri"/>
                <w:sz w:val="24"/>
              </w:rPr>
            </w:pPr>
            <w:r>
              <w:rPr>
                <w:rFonts w:hint="eastAsia" w:cs="Calibri"/>
                <w:sz w:val="24"/>
              </w:rPr>
              <w:t>8.7</w:t>
            </w:r>
            <w:r>
              <w:rPr>
                <w:rFonts w:cs="Calibri"/>
                <w:sz w:val="24"/>
              </w:rPr>
              <w:t>t/a</w:t>
            </w:r>
          </w:p>
        </w:tc>
        <w:tc>
          <w:tcPr>
            <w:tcW w:w="2377" w:type="dxa"/>
            <w:vAlign w:val="center"/>
          </w:tcPr>
          <w:p>
            <w:pPr>
              <w:jc w:val="center"/>
              <w:rPr>
                <w:rFonts w:cs="Calibri"/>
                <w:sz w:val="24"/>
              </w:rPr>
            </w:pPr>
            <w:r>
              <w:rPr>
                <w:rFonts w:cs="Calibri"/>
                <w:sz w:val="24"/>
              </w:rPr>
              <w:t>0t/a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35" w:type="dxa"/>
            <w:vMerge w:val="continue"/>
            <w:vAlign w:val="center"/>
          </w:tcPr>
          <w:p>
            <w:pPr>
              <w:jc w:val="center"/>
              <w:rPr>
                <w:rFonts w:cs="Calibri"/>
                <w:sz w:val="24"/>
              </w:rPr>
            </w:pPr>
          </w:p>
        </w:tc>
        <w:tc>
          <w:tcPr>
            <w:tcW w:w="1502" w:type="dxa"/>
            <w:vMerge w:val="continue"/>
            <w:vAlign w:val="center"/>
          </w:tcPr>
          <w:p>
            <w:pPr>
              <w:jc w:val="center"/>
              <w:rPr>
                <w:rFonts w:cs="Calibri"/>
                <w:sz w:val="24"/>
              </w:rPr>
            </w:pPr>
          </w:p>
        </w:tc>
        <w:tc>
          <w:tcPr>
            <w:tcW w:w="537" w:type="dxa"/>
            <w:vAlign w:val="center"/>
          </w:tcPr>
          <w:p>
            <w:pPr>
              <w:jc w:val="center"/>
              <w:rPr>
                <w:rFonts w:cs="Calibri"/>
                <w:sz w:val="24"/>
              </w:rPr>
            </w:pPr>
            <w:r>
              <w:rPr>
                <w:rFonts w:hint="eastAsia" w:cs="Calibri"/>
                <w:sz w:val="24"/>
              </w:rPr>
              <w:t>危险固废</w:t>
            </w:r>
          </w:p>
        </w:tc>
        <w:tc>
          <w:tcPr>
            <w:tcW w:w="1703" w:type="dxa"/>
            <w:vAlign w:val="center"/>
          </w:tcPr>
          <w:p>
            <w:pPr>
              <w:jc w:val="center"/>
              <w:rPr>
                <w:rFonts w:cs="Calibri"/>
                <w:sz w:val="24"/>
              </w:rPr>
            </w:pPr>
            <w:r>
              <w:rPr>
                <w:rFonts w:hint="eastAsia" w:cs="Calibri"/>
                <w:sz w:val="24"/>
              </w:rPr>
              <w:t>废矿物油</w:t>
            </w:r>
          </w:p>
        </w:tc>
        <w:tc>
          <w:tcPr>
            <w:tcW w:w="2317" w:type="dxa"/>
            <w:gridSpan w:val="2"/>
            <w:vAlign w:val="center"/>
          </w:tcPr>
          <w:p>
            <w:pPr>
              <w:jc w:val="center"/>
              <w:rPr>
                <w:rFonts w:cs="Calibri"/>
                <w:sz w:val="24"/>
              </w:rPr>
            </w:pPr>
            <w:r>
              <w:rPr>
                <w:rFonts w:hint="eastAsia" w:cs="Calibri"/>
                <w:sz w:val="24"/>
              </w:rPr>
              <w:t>0.01</w:t>
            </w:r>
            <w:r>
              <w:rPr>
                <w:rFonts w:cs="Calibri"/>
                <w:sz w:val="24"/>
              </w:rPr>
              <w:t>t/a</w:t>
            </w:r>
          </w:p>
        </w:tc>
        <w:tc>
          <w:tcPr>
            <w:tcW w:w="2377" w:type="dxa"/>
            <w:vAlign w:val="center"/>
          </w:tcPr>
          <w:p>
            <w:pPr>
              <w:jc w:val="center"/>
              <w:rPr>
                <w:rFonts w:cs="Calibri"/>
                <w:sz w:val="24"/>
              </w:rPr>
            </w:pPr>
            <w:r>
              <w:rPr>
                <w:rFonts w:cs="Calibri"/>
                <w:sz w:val="24"/>
              </w:rPr>
              <w:t>0t/a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35" w:type="dxa"/>
            <w:vAlign w:val="center"/>
          </w:tcPr>
          <w:p>
            <w:pPr>
              <w:jc w:val="center"/>
              <w:rPr>
                <w:rFonts w:cs="Calibri"/>
                <w:sz w:val="24"/>
              </w:rPr>
            </w:pPr>
            <w:r>
              <w:rPr>
                <w:rFonts w:cs="Calibri"/>
                <w:sz w:val="24"/>
              </w:rPr>
              <w:t>噪</w:t>
            </w:r>
          </w:p>
          <w:p>
            <w:pPr>
              <w:jc w:val="center"/>
              <w:rPr>
                <w:rFonts w:cs="Calibri"/>
                <w:sz w:val="24"/>
              </w:rPr>
            </w:pPr>
            <w:r>
              <w:rPr>
                <w:rFonts w:cs="Calibri"/>
                <w:sz w:val="24"/>
              </w:rPr>
              <w:t>声</w:t>
            </w:r>
          </w:p>
        </w:tc>
        <w:tc>
          <w:tcPr>
            <w:tcW w:w="1502" w:type="dxa"/>
            <w:vAlign w:val="center"/>
          </w:tcPr>
          <w:p>
            <w:pPr>
              <w:jc w:val="center"/>
              <w:rPr>
                <w:rFonts w:cs="Calibri"/>
                <w:sz w:val="24"/>
              </w:rPr>
            </w:pPr>
            <w:r>
              <w:rPr>
                <w:rFonts w:cs="Calibri"/>
                <w:sz w:val="24"/>
              </w:rPr>
              <w:t>营运期噪声</w:t>
            </w:r>
          </w:p>
        </w:tc>
        <w:tc>
          <w:tcPr>
            <w:tcW w:w="2240" w:type="dxa"/>
            <w:gridSpan w:val="2"/>
            <w:vAlign w:val="center"/>
          </w:tcPr>
          <w:p>
            <w:pPr>
              <w:jc w:val="center"/>
              <w:rPr>
                <w:rFonts w:cs="Calibri"/>
                <w:sz w:val="24"/>
              </w:rPr>
            </w:pPr>
            <w:r>
              <w:rPr>
                <w:rFonts w:cs="Calibri"/>
                <w:sz w:val="24"/>
              </w:rPr>
              <w:t>机加工设备的运行噪声</w:t>
            </w:r>
          </w:p>
        </w:tc>
        <w:tc>
          <w:tcPr>
            <w:tcW w:w="2317" w:type="dxa"/>
            <w:gridSpan w:val="2"/>
            <w:vAlign w:val="center"/>
          </w:tcPr>
          <w:p>
            <w:pPr>
              <w:jc w:val="center"/>
              <w:rPr>
                <w:rFonts w:cs="Calibri"/>
                <w:sz w:val="24"/>
              </w:rPr>
            </w:pPr>
            <w:r>
              <w:rPr>
                <w:rFonts w:hint="eastAsia" w:cs="Calibri"/>
                <w:sz w:val="24"/>
              </w:rPr>
              <w:t>80</w:t>
            </w:r>
            <w:r>
              <w:rPr>
                <w:rFonts w:cs="Calibri"/>
                <w:sz w:val="24"/>
              </w:rPr>
              <w:t>-</w:t>
            </w:r>
            <w:r>
              <w:rPr>
                <w:rFonts w:hint="eastAsia" w:cs="Calibri"/>
                <w:sz w:val="24"/>
              </w:rPr>
              <w:t>105</w:t>
            </w:r>
            <w:r>
              <w:rPr>
                <w:rFonts w:cs="Calibri"/>
                <w:sz w:val="24"/>
              </w:rPr>
              <w:t>[dB(A)]</w:t>
            </w:r>
          </w:p>
        </w:tc>
        <w:tc>
          <w:tcPr>
            <w:tcW w:w="2377" w:type="dxa"/>
            <w:vAlign w:val="center"/>
          </w:tcPr>
          <w:p>
            <w:pPr>
              <w:jc w:val="center"/>
              <w:rPr>
                <w:rFonts w:cs="Calibri"/>
                <w:sz w:val="24"/>
              </w:rPr>
            </w:pPr>
            <w:r>
              <w:rPr>
                <w:rFonts w:hint="eastAsia" w:cs="Calibri"/>
                <w:sz w:val="24"/>
              </w:rPr>
              <w:t>2</w:t>
            </w:r>
            <w:r>
              <w:rPr>
                <w:rFonts w:cs="Calibri"/>
                <w:sz w:val="24"/>
              </w:rPr>
              <w:t>类标准昼间≤6</w:t>
            </w:r>
            <w:r>
              <w:rPr>
                <w:rFonts w:hint="eastAsia" w:cs="Calibri"/>
                <w:sz w:val="24"/>
              </w:rPr>
              <w:t>0</w:t>
            </w:r>
            <w:r>
              <w:rPr>
                <w:rFonts w:cs="Calibri"/>
                <w:sz w:val="24"/>
              </w:rPr>
              <w:t>dB(A)，夜间≤5</w:t>
            </w:r>
            <w:r>
              <w:rPr>
                <w:rFonts w:hint="eastAsia" w:cs="Calibri"/>
                <w:sz w:val="24"/>
              </w:rPr>
              <w:t>0</w:t>
            </w:r>
            <w:r>
              <w:rPr>
                <w:rFonts w:cs="Calibri"/>
                <w:sz w:val="24"/>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386" w:hRule="atLeast"/>
        </w:trPr>
        <w:tc>
          <w:tcPr>
            <w:tcW w:w="9071" w:type="dxa"/>
            <w:gridSpan w:val="7"/>
          </w:tcPr>
          <w:p>
            <w:pPr>
              <w:spacing w:line="360" w:lineRule="auto"/>
              <w:rPr>
                <w:rFonts w:ascii="Calibri" w:hAnsi="Calibri" w:cs="Calibri"/>
                <w:b/>
                <w:kern w:val="0"/>
                <w:sz w:val="28"/>
                <w:szCs w:val="28"/>
              </w:rPr>
            </w:pPr>
            <w:r>
              <w:rPr>
                <w:rFonts w:ascii="Calibri" w:hAnsi="Calibri" w:cs="Calibri"/>
                <w:b/>
                <w:kern w:val="0"/>
                <w:sz w:val="28"/>
                <w:szCs w:val="28"/>
              </w:rPr>
              <w:t>主要生态影响（不够可附另页）</w:t>
            </w:r>
          </w:p>
          <w:p>
            <w:pPr>
              <w:spacing w:line="480" w:lineRule="exact"/>
              <w:ind w:firstLine="420" w:firstLineChars="175"/>
              <w:rPr>
                <w:rFonts w:cs="Calibri"/>
                <w:sz w:val="24"/>
              </w:rPr>
            </w:pPr>
            <w:r>
              <w:rPr>
                <w:rFonts w:cs="Calibri"/>
                <w:sz w:val="24"/>
              </w:rPr>
              <w:t>项目建成后做好绿化工作，以净化空气，减少噪声外传，美化环境。对绿化带的布局，建设工程应充分利用以生产线为中心，直至厂界各方向放置绿化植物。绿化植物选择原则为：</w:t>
            </w:r>
            <w:r>
              <w:rPr>
                <w:rFonts w:hint="eastAsia" w:ascii="宋体" w:hAnsi="宋体" w:cs="宋体"/>
                <w:sz w:val="24"/>
              </w:rPr>
              <w:t>①</w:t>
            </w:r>
            <w:r>
              <w:rPr>
                <w:rFonts w:cs="Calibri"/>
                <w:sz w:val="24"/>
              </w:rPr>
              <w:t>以蔷薇科植物为主；</w:t>
            </w:r>
            <w:r>
              <w:rPr>
                <w:rFonts w:hint="eastAsia" w:ascii="宋体" w:hAnsi="宋体" w:cs="宋体"/>
                <w:sz w:val="24"/>
              </w:rPr>
              <w:t>②</w:t>
            </w:r>
            <w:r>
              <w:rPr>
                <w:rFonts w:cs="Calibri"/>
                <w:sz w:val="24"/>
              </w:rPr>
              <w:t>抗尘、滞尘能力强，隔噪效果好的植物。本项目对周围的生态环境影响很小。</w:t>
            </w:r>
          </w:p>
          <w:p>
            <w:pPr>
              <w:spacing w:line="480" w:lineRule="exact"/>
              <w:ind w:firstLine="420" w:firstLineChars="175"/>
              <w:rPr>
                <w:rFonts w:cs="Calibri"/>
                <w:sz w:val="24"/>
              </w:rPr>
            </w:pPr>
          </w:p>
          <w:p>
            <w:pPr>
              <w:spacing w:line="480" w:lineRule="exact"/>
              <w:ind w:firstLine="420" w:firstLineChars="175"/>
              <w:rPr>
                <w:rFonts w:cs="Calibri"/>
                <w:sz w:val="24"/>
              </w:rPr>
            </w:pPr>
          </w:p>
          <w:p>
            <w:pPr>
              <w:spacing w:line="480" w:lineRule="exact"/>
              <w:ind w:firstLine="420" w:firstLineChars="175"/>
              <w:rPr>
                <w:rFonts w:cs="Calibri"/>
                <w:sz w:val="24"/>
              </w:rPr>
            </w:pPr>
          </w:p>
          <w:p>
            <w:pPr>
              <w:spacing w:line="480" w:lineRule="exact"/>
              <w:ind w:firstLine="420" w:firstLineChars="175"/>
              <w:rPr>
                <w:rFonts w:cs="Calibri"/>
                <w:sz w:val="24"/>
              </w:rPr>
            </w:pPr>
          </w:p>
          <w:p>
            <w:pPr>
              <w:spacing w:line="480" w:lineRule="exact"/>
              <w:rPr>
                <w:rFonts w:cs="Calibri"/>
                <w:sz w:val="24"/>
              </w:rPr>
            </w:pPr>
          </w:p>
          <w:p>
            <w:pPr>
              <w:spacing w:line="480" w:lineRule="exact"/>
              <w:rPr>
                <w:rFonts w:cs="Calibri"/>
                <w:sz w:val="24"/>
              </w:rPr>
            </w:pPr>
          </w:p>
        </w:tc>
      </w:tr>
    </w:tbl>
    <w:p>
      <w:pPr>
        <w:snapToGrid w:val="0"/>
        <w:spacing w:line="440" w:lineRule="exact"/>
        <w:outlineLvl w:val="0"/>
        <w:rPr>
          <w:b/>
          <w:szCs w:val="32"/>
        </w:rPr>
      </w:pPr>
      <w:bookmarkStart w:id="14" w:name="_Toc3906332"/>
      <w:r>
        <w:rPr>
          <w:b/>
          <w:szCs w:val="32"/>
        </w:rPr>
        <w:t>环境影响分析</w:t>
      </w:r>
      <w:bookmarkEnd w:id="14"/>
    </w:p>
    <w:tbl>
      <w:tblPr>
        <w:tblStyle w:val="18"/>
        <w:tblW w:w="8529" w:type="dxa"/>
        <w:jc w:val="center"/>
        <w:tblInd w:w="0" w:type="dxa"/>
        <w:tblBorders>
          <w:top w:val="single" w:color="auto" w:sz="4" w:space="0"/>
          <w:left w:val="single" w:color="auto" w:sz="6"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6"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29" w:type="dxa"/>
          </w:tcPr>
          <w:p>
            <w:pPr>
              <w:spacing w:line="440" w:lineRule="exact"/>
              <w:jc w:val="left"/>
              <w:rPr>
                <w:b/>
                <w:bCs/>
                <w:spacing w:val="4"/>
                <w:sz w:val="24"/>
              </w:rPr>
            </w:pPr>
            <w:r>
              <w:rPr>
                <w:b/>
                <w:bCs/>
                <w:spacing w:val="4"/>
                <w:sz w:val="24"/>
              </w:rPr>
              <w:t>施工期环境影响：</w:t>
            </w:r>
          </w:p>
          <w:p>
            <w:pPr>
              <w:spacing w:line="360" w:lineRule="auto"/>
              <w:ind w:firstLine="482" w:firstLineChars="200"/>
              <w:rPr>
                <w:rFonts w:cs="Calibri"/>
                <w:b/>
                <w:sz w:val="24"/>
              </w:rPr>
            </w:pPr>
            <w:r>
              <w:rPr>
                <w:rFonts w:hint="eastAsia" w:cs="Calibri"/>
                <w:b/>
                <w:sz w:val="24"/>
              </w:rPr>
              <w:t>1、</w:t>
            </w:r>
            <w:r>
              <w:rPr>
                <w:rFonts w:cs="Calibri"/>
                <w:b/>
                <w:sz w:val="24"/>
              </w:rPr>
              <w:t>施工期大气环境影响分析</w:t>
            </w:r>
          </w:p>
          <w:p>
            <w:pPr>
              <w:spacing w:line="360" w:lineRule="auto"/>
              <w:ind w:firstLine="420" w:firstLineChars="200"/>
              <w:rPr>
                <w:rFonts w:ascii="Calibri" w:hAnsi="Calibri" w:cs="Calibri"/>
                <w:sz w:val="21"/>
              </w:rPr>
            </w:pPr>
            <w:r>
              <w:rPr>
                <w:sz w:val="21"/>
              </w:rPr>
              <w:t>（</w:t>
            </w:r>
            <w:r>
              <w:rPr>
                <w:sz w:val="24"/>
              </w:rPr>
              <w:t>1）</w:t>
            </w:r>
            <w:r>
              <w:rPr>
                <w:rFonts w:hint="eastAsia"/>
                <w:sz w:val="24"/>
              </w:rPr>
              <w:t>大气</w:t>
            </w:r>
            <w:r>
              <w:rPr>
                <w:sz w:val="24"/>
              </w:rPr>
              <w:t>环境影响分析</w:t>
            </w:r>
          </w:p>
          <w:p>
            <w:pPr>
              <w:spacing w:line="360" w:lineRule="auto"/>
              <w:ind w:firstLine="480" w:firstLineChars="200"/>
              <w:rPr>
                <w:rFonts w:cs="Calibri"/>
                <w:sz w:val="24"/>
              </w:rPr>
            </w:pPr>
            <w:r>
              <w:rPr>
                <w:rFonts w:cs="Calibri"/>
                <w:sz w:val="24"/>
              </w:rPr>
              <w:t>施工期的大气污染物主要有施工扬尘，汽车尾气和燃油机械废气。</w:t>
            </w:r>
          </w:p>
          <w:p>
            <w:pPr>
              <w:spacing w:line="360" w:lineRule="auto"/>
              <w:ind w:firstLine="480" w:firstLineChars="200"/>
              <w:rPr>
                <w:rFonts w:cs="Calibri"/>
                <w:sz w:val="24"/>
              </w:rPr>
            </w:pPr>
            <w:r>
              <w:rPr>
                <w:rFonts w:cs="Calibri"/>
                <w:sz w:val="24"/>
              </w:rPr>
              <w:t>施工期扬尘主要产生于地基开挖、管线铺设、弃土、建材装卸、车辆行驶等作业。据有关资料显示，施工场地扬尘的主要来源是运输车辆行驶而形成，约占扬尘总量的60%。扬尘量的大小与天气干燥程度、道路路况、车辆行驶速度、风速大小有关。一般情况下，在自然风作用下，道路扬尘影响范围在100m以内。在大风天气，扬尘量及影响范围将有所扩大。施工中的弃土、砂料、石灰等，若堆放时覆盖不当或装卸运输时散落，也都能造成施工扬尘，影响范围也在100m左右。拟建项目施工扬尘主要对项目区南面及</w:t>
            </w:r>
            <w:r>
              <w:rPr>
                <w:rFonts w:hint="eastAsia" w:cs="Calibri"/>
                <w:sz w:val="24"/>
              </w:rPr>
              <w:t>东</w:t>
            </w:r>
            <w:r>
              <w:rPr>
                <w:rFonts w:cs="Calibri"/>
                <w:sz w:val="24"/>
              </w:rPr>
              <w:t>面居民点产生一定不利影响。</w:t>
            </w:r>
          </w:p>
          <w:p>
            <w:pPr>
              <w:spacing w:line="360" w:lineRule="auto"/>
              <w:ind w:firstLine="480" w:firstLineChars="200"/>
              <w:rPr>
                <w:rFonts w:cs="Calibri"/>
                <w:sz w:val="24"/>
              </w:rPr>
            </w:pPr>
            <w:r>
              <w:rPr>
                <w:rFonts w:cs="Calibri"/>
                <w:sz w:val="24"/>
              </w:rPr>
              <w:t>汽车尾气和施工机械排放的尾气主要污染物有CO、NOx、HC等，可能导致施工场地局部范围内空气质量下降，这些气体扩散后其浓度会迅速降低，影响范围小，其尾气污染物最大浓度落点距边界的距离不超过150m，且浓度值均在《大气污染物综合排放标准》（GB16297-1996）标准之内。由于工程施工高峰期空气污染物的排放强度较低，因此，工程施工产生的大气污染物对施工区及周边空气环境影响较小。</w:t>
            </w:r>
          </w:p>
          <w:p>
            <w:pPr>
              <w:spacing w:line="360" w:lineRule="auto"/>
              <w:ind w:firstLine="480" w:firstLineChars="200"/>
              <w:rPr>
                <w:rFonts w:cs="Calibri"/>
                <w:sz w:val="24"/>
              </w:rPr>
            </w:pPr>
            <w:r>
              <w:rPr>
                <w:rFonts w:hint="eastAsia" w:cs="Calibri"/>
                <w:sz w:val="24"/>
              </w:rPr>
              <w:t>（2）</w:t>
            </w:r>
            <w:r>
              <w:rPr>
                <w:rFonts w:cs="Calibri"/>
                <w:sz w:val="24"/>
              </w:rPr>
              <w:t>废气污染控制措施</w:t>
            </w:r>
            <w:r>
              <w:rPr>
                <w:rFonts w:hint="eastAsia" w:cs="Calibri"/>
                <w:sz w:val="24"/>
              </w:rPr>
              <w:t>：</w:t>
            </w:r>
          </w:p>
          <w:p>
            <w:pPr>
              <w:spacing w:line="360" w:lineRule="auto"/>
              <w:ind w:firstLine="480" w:firstLineChars="200"/>
              <w:rPr>
                <w:rFonts w:cs="Calibri"/>
                <w:sz w:val="24"/>
              </w:rPr>
            </w:pPr>
            <w:r>
              <w:rPr>
                <w:rFonts w:hint="eastAsia" w:ascii="宋体" w:hAnsi="宋体" w:cs="宋体"/>
                <w:sz w:val="24"/>
              </w:rPr>
              <w:t>①</w:t>
            </w:r>
            <w:r>
              <w:rPr>
                <w:rFonts w:cs="Calibri"/>
                <w:sz w:val="24"/>
              </w:rPr>
              <w:t>及时硬化进场施工道路路面，定期在施工现场地面和道路上洒水，以减少施工扬尘的产生。</w:t>
            </w:r>
          </w:p>
          <w:p>
            <w:pPr>
              <w:spacing w:line="360" w:lineRule="auto"/>
              <w:ind w:firstLine="480" w:firstLineChars="200"/>
              <w:rPr>
                <w:rFonts w:cs="Calibri"/>
                <w:sz w:val="24"/>
              </w:rPr>
            </w:pPr>
            <w:r>
              <w:rPr>
                <w:rFonts w:hint="eastAsia" w:ascii="宋体" w:hAnsi="宋体" w:cs="宋体"/>
                <w:sz w:val="24"/>
              </w:rPr>
              <w:t>②</w:t>
            </w:r>
            <w:r>
              <w:rPr>
                <w:rFonts w:cs="Calibri"/>
                <w:sz w:val="24"/>
              </w:rPr>
              <w:t>施工工地周围设围墙，高度不低于2.5m，围墙在三通一平前完成。</w:t>
            </w:r>
          </w:p>
          <w:p>
            <w:pPr>
              <w:spacing w:line="360" w:lineRule="auto"/>
              <w:ind w:firstLine="480" w:firstLineChars="200"/>
              <w:rPr>
                <w:rFonts w:cs="Calibri"/>
                <w:sz w:val="24"/>
              </w:rPr>
            </w:pPr>
            <w:r>
              <w:rPr>
                <w:rFonts w:hint="eastAsia" w:ascii="宋体" w:hAnsi="宋体" w:cs="宋体"/>
                <w:sz w:val="24"/>
              </w:rPr>
              <w:t>③</w:t>
            </w:r>
            <w:r>
              <w:rPr>
                <w:rFonts w:cs="Calibri"/>
                <w:sz w:val="24"/>
              </w:rPr>
              <w:t>各单体建筑物四周1.5m外全部设置防尘网，密度不低于2000目/100平方厘米，防尘网先安装后施工，防尘网顶端高出施工作业面2m以上。</w:t>
            </w:r>
          </w:p>
          <w:p>
            <w:pPr>
              <w:spacing w:line="360" w:lineRule="auto"/>
              <w:ind w:firstLine="480" w:firstLineChars="200"/>
              <w:rPr>
                <w:rFonts w:cs="Calibri"/>
                <w:sz w:val="24"/>
              </w:rPr>
            </w:pPr>
            <w:r>
              <w:rPr>
                <w:rFonts w:hint="eastAsia" w:ascii="宋体" w:hAnsi="宋体" w:cs="宋体"/>
                <w:sz w:val="24"/>
              </w:rPr>
              <w:t>④</w:t>
            </w:r>
            <w:r>
              <w:rPr>
                <w:rFonts w:cs="Calibri"/>
                <w:sz w:val="24"/>
              </w:rPr>
              <w:t>在施工期间，应根据不同空气污染指数范围和大风、高温、干燥、晴天、雨天等各种不同气象条件要求，建立保洁制度，包括洒水、清扫方式、频次等。当空气质量轻微污染（污染指数大于100）或4级以上大风干燥天气不许土方作业和人工干扫。在空气质量良好（污染指数80~100）时，应每隔4小时保洁一次，洒水与清扫交替使用。当空气质量轻微污染（污染指数大于100）时，应加密保洁。当空气质量优良（污染指数低于50）时，可以在保持清洁的前提下适度降低保洁强度。</w:t>
            </w:r>
          </w:p>
          <w:p>
            <w:pPr>
              <w:spacing w:line="360" w:lineRule="auto"/>
              <w:ind w:firstLine="480" w:firstLineChars="200"/>
              <w:rPr>
                <w:rFonts w:cs="Calibri"/>
                <w:sz w:val="24"/>
              </w:rPr>
            </w:pPr>
            <w:r>
              <w:rPr>
                <w:rFonts w:hint="eastAsia" w:ascii="宋体" w:hAnsi="宋体" w:cs="宋体"/>
                <w:sz w:val="24"/>
              </w:rPr>
              <w:t>⑤</w:t>
            </w:r>
            <w:r>
              <w:rPr>
                <w:rFonts w:cs="Calibri"/>
                <w:sz w:val="24"/>
              </w:rPr>
              <w:t>渣料运输必须采用专用的密封运输车，施工现场应设置车辆冲洗装置。</w:t>
            </w:r>
          </w:p>
          <w:p>
            <w:pPr>
              <w:spacing w:line="360" w:lineRule="auto"/>
              <w:ind w:firstLine="480" w:firstLineChars="200"/>
              <w:rPr>
                <w:rFonts w:cs="Calibri"/>
                <w:sz w:val="24"/>
              </w:rPr>
            </w:pPr>
            <w:r>
              <w:rPr>
                <w:rFonts w:hint="eastAsia" w:ascii="宋体" w:hAnsi="宋体" w:cs="宋体"/>
                <w:sz w:val="24"/>
              </w:rPr>
              <w:t>⑥</w:t>
            </w:r>
            <w:r>
              <w:rPr>
                <w:rFonts w:cs="Calibri"/>
                <w:sz w:val="24"/>
              </w:rPr>
              <w:t>施工单位应采用尾气排放符合国家规定标准的车辆和施工机械，确保其在运行时尾气达标排放，减少对环境空气的污染。禁止尾气排放不达标的车辆和施工机械运行作业。</w:t>
            </w:r>
          </w:p>
          <w:p>
            <w:pPr>
              <w:spacing w:line="360" w:lineRule="auto"/>
              <w:ind w:firstLine="482" w:firstLineChars="200"/>
              <w:rPr>
                <w:rFonts w:cs="Calibri"/>
                <w:b/>
                <w:sz w:val="24"/>
              </w:rPr>
            </w:pPr>
            <w:r>
              <w:rPr>
                <w:rFonts w:hint="eastAsia" w:cs="Calibri"/>
                <w:b/>
                <w:sz w:val="24"/>
              </w:rPr>
              <w:t>2、</w:t>
            </w:r>
            <w:r>
              <w:rPr>
                <w:rFonts w:cs="Calibri"/>
                <w:b/>
                <w:sz w:val="24"/>
              </w:rPr>
              <w:t>施工期水环境影响分析</w:t>
            </w:r>
          </w:p>
          <w:p>
            <w:pPr>
              <w:spacing w:line="360" w:lineRule="auto"/>
              <w:ind w:firstLine="480" w:firstLineChars="200"/>
              <w:rPr>
                <w:rFonts w:cs="Calibri"/>
                <w:sz w:val="24"/>
              </w:rPr>
            </w:pPr>
            <w:r>
              <w:rPr>
                <w:rFonts w:cs="Calibri"/>
                <w:sz w:val="24"/>
              </w:rPr>
              <w:t>（1）水环境影响分析</w:t>
            </w:r>
          </w:p>
          <w:p>
            <w:pPr>
              <w:spacing w:line="360" w:lineRule="auto"/>
              <w:ind w:firstLine="480" w:firstLineChars="200"/>
              <w:rPr>
                <w:rFonts w:cs="Calibri"/>
                <w:sz w:val="24"/>
              </w:rPr>
            </w:pPr>
            <w:r>
              <w:rPr>
                <w:rFonts w:cs="Calibri"/>
                <w:sz w:val="24"/>
              </w:rPr>
              <w:t>施工期水环境影响主要来自施工过程中产生的施工废水和施工人员的生活污水。</w:t>
            </w:r>
          </w:p>
          <w:p>
            <w:pPr>
              <w:spacing w:line="360" w:lineRule="auto"/>
              <w:ind w:firstLine="480" w:firstLineChars="200"/>
              <w:rPr>
                <w:rFonts w:cs="Calibri"/>
                <w:sz w:val="24"/>
              </w:rPr>
            </w:pPr>
            <w:r>
              <w:rPr>
                <w:rFonts w:cs="Calibri"/>
                <w:sz w:val="24"/>
              </w:rPr>
              <w:t>施工废水主要有混凝土养护水，运输车辆冲洗废水等，施工废水主要污染物有COD</w:t>
            </w:r>
            <w:r>
              <w:rPr>
                <w:rFonts w:hint="eastAsia" w:cs="Calibri"/>
                <w:sz w:val="24"/>
              </w:rPr>
              <w:t>cr</w:t>
            </w:r>
            <w:r>
              <w:rPr>
                <w:rFonts w:cs="Calibri"/>
                <w:sz w:val="24"/>
              </w:rPr>
              <w:t>、石油类、SS，含量分别为100～200mg/L、10～40mg/L、500～4000mg/L。施工废水经沉淀池澄清后可循环使用。</w:t>
            </w:r>
          </w:p>
          <w:p>
            <w:pPr>
              <w:spacing w:line="360" w:lineRule="auto"/>
              <w:ind w:firstLine="480" w:firstLineChars="200"/>
              <w:rPr>
                <w:rFonts w:cs="Calibri"/>
                <w:sz w:val="24"/>
              </w:rPr>
            </w:pPr>
            <w:r>
              <w:rPr>
                <w:rFonts w:cs="Calibri"/>
                <w:sz w:val="24"/>
              </w:rPr>
              <w:t>施工人员生活污水产生于施工人员生活过程中，污水中主要含SS、CODcr、BOD</w:t>
            </w:r>
            <w:r>
              <w:rPr>
                <w:rFonts w:cs="Calibri"/>
                <w:sz w:val="24"/>
                <w:vertAlign w:val="subscript"/>
              </w:rPr>
              <w:t>5</w:t>
            </w:r>
            <w:r>
              <w:rPr>
                <w:rFonts w:cs="Calibri"/>
                <w:sz w:val="24"/>
              </w:rPr>
              <w:t>、NH</w:t>
            </w:r>
            <w:r>
              <w:rPr>
                <w:rFonts w:cs="Calibri"/>
                <w:sz w:val="24"/>
                <w:vertAlign w:val="subscript"/>
              </w:rPr>
              <w:t>3</w:t>
            </w:r>
            <w:r>
              <w:rPr>
                <w:rFonts w:cs="Calibri"/>
                <w:sz w:val="24"/>
              </w:rPr>
              <w:t>-N等，由于本项目施工人数较少，生活污水排放量不大，经化粪池处理后可提供给当地居民</w:t>
            </w:r>
            <w:r>
              <w:rPr>
                <w:rFonts w:hint="eastAsia" w:cs="Calibri"/>
                <w:sz w:val="24"/>
              </w:rPr>
              <w:t>用于周边菜地施肥</w:t>
            </w:r>
            <w:r>
              <w:rPr>
                <w:rFonts w:cs="Calibri"/>
                <w:sz w:val="24"/>
              </w:rPr>
              <w:t>。</w:t>
            </w:r>
          </w:p>
          <w:p>
            <w:pPr>
              <w:spacing w:line="360" w:lineRule="auto"/>
              <w:ind w:firstLine="480" w:firstLineChars="200"/>
              <w:rPr>
                <w:rFonts w:cs="Calibri"/>
                <w:sz w:val="24"/>
              </w:rPr>
            </w:pPr>
            <w:r>
              <w:rPr>
                <w:rFonts w:cs="Calibri"/>
                <w:sz w:val="24"/>
              </w:rPr>
              <w:t>（2）水污染控制措施</w:t>
            </w:r>
          </w:p>
          <w:p>
            <w:pPr>
              <w:spacing w:line="360" w:lineRule="auto"/>
              <w:ind w:firstLine="480" w:firstLineChars="200"/>
              <w:rPr>
                <w:rFonts w:cs="Calibri"/>
                <w:sz w:val="24"/>
              </w:rPr>
            </w:pPr>
            <w:r>
              <w:rPr>
                <w:rFonts w:hint="eastAsia" w:ascii="宋体" w:hAnsi="宋体" w:cs="宋体"/>
                <w:sz w:val="24"/>
              </w:rPr>
              <w:t>①</w:t>
            </w:r>
            <w:r>
              <w:rPr>
                <w:rFonts w:cs="Calibri"/>
                <w:sz w:val="24"/>
              </w:rPr>
              <w:t>施工现场应设置完善的配套排水系统、泥浆沉淀设施，出施工场地的运输车辆经过冲洗后方可上路，冲洗废水经过沉淀处理后回用作为洗车水。</w:t>
            </w:r>
          </w:p>
          <w:p>
            <w:pPr>
              <w:spacing w:line="360" w:lineRule="auto"/>
              <w:ind w:firstLine="480" w:firstLineChars="200"/>
              <w:rPr>
                <w:rFonts w:cs="Calibri"/>
                <w:sz w:val="24"/>
              </w:rPr>
            </w:pPr>
            <w:r>
              <w:rPr>
                <w:rFonts w:hint="eastAsia" w:ascii="宋体" w:hAnsi="宋体" w:cs="宋体"/>
                <w:sz w:val="24"/>
              </w:rPr>
              <w:t>②</w:t>
            </w:r>
            <w:r>
              <w:rPr>
                <w:rFonts w:cs="Calibri"/>
                <w:sz w:val="24"/>
              </w:rPr>
              <w:t>施工人员生活污水经化粪池处理后提供给当地居民</w:t>
            </w:r>
            <w:r>
              <w:rPr>
                <w:rFonts w:hint="eastAsia" w:cs="Calibri"/>
                <w:sz w:val="24"/>
              </w:rPr>
              <w:t>用于周边菜地施肥</w:t>
            </w:r>
            <w:r>
              <w:rPr>
                <w:rFonts w:cs="Calibri"/>
                <w:sz w:val="24"/>
              </w:rPr>
              <w:t>。</w:t>
            </w:r>
          </w:p>
          <w:p>
            <w:pPr>
              <w:spacing w:line="360" w:lineRule="auto"/>
              <w:ind w:firstLine="480" w:firstLineChars="200"/>
              <w:rPr>
                <w:rFonts w:cs="Calibri"/>
                <w:sz w:val="24"/>
              </w:rPr>
            </w:pPr>
            <w:r>
              <w:rPr>
                <w:rFonts w:hint="eastAsia" w:ascii="宋体" w:hAnsi="宋体" w:cs="宋体"/>
                <w:sz w:val="24"/>
              </w:rPr>
              <w:t>③</w:t>
            </w:r>
            <w:r>
              <w:rPr>
                <w:rFonts w:cs="Calibri"/>
                <w:sz w:val="24"/>
              </w:rPr>
              <w:t>做好建筑材料和施工废渣的管理和回收，特别是含有油污的物体，不能露天存放，以免因雨废油水冲刷而污染水体，应用废油桶收集起来，集中保管，定期送有关单位进行处理回收，严禁将废油随意倾倒，造成污染。</w:t>
            </w:r>
          </w:p>
          <w:p>
            <w:pPr>
              <w:spacing w:line="360" w:lineRule="auto"/>
              <w:ind w:firstLine="482" w:firstLineChars="200"/>
              <w:rPr>
                <w:rFonts w:cs="Calibri"/>
                <w:b/>
                <w:sz w:val="24"/>
              </w:rPr>
            </w:pPr>
            <w:r>
              <w:rPr>
                <w:rFonts w:hint="eastAsia" w:cs="Calibri"/>
                <w:b/>
                <w:sz w:val="24"/>
              </w:rPr>
              <w:t>3、</w:t>
            </w:r>
            <w:r>
              <w:rPr>
                <w:rFonts w:cs="Calibri"/>
                <w:b/>
                <w:sz w:val="24"/>
              </w:rPr>
              <w:t>施工期声环境影响分析</w:t>
            </w:r>
          </w:p>
          <w:p>
            <w:pPr>
              <w:spacing w:line="360" w:lineRule="auto"/>
              <w:ind w:firstLine="480" w:firstLineChars="200"/>
              <w:rPr>
                <w:sz w:val="24"/>
              </w:rPr>
            </w:pPr>
            <w:r>
              <w:rPr>
                <w:sz w:val="24"/>
              </w:rPr>
              <w:t>（1）声环境影响分析</w:t>
            </w:r>
          </w:p>
          <w:p>
            <w:pPr>
              <w:spacing w:line="360" w:lineRule="auto"/>
              <w:ind w:firstLine="480" w:firstLineChars="200"/>
              <w:rPr>
                <w:rFonts w:cs="Calibri"/>
                <w:sz w:val="24"/>
              </w:rPr>
            </w:pPr>
            <w:r>
              <w:rPr>
                <w:rFonts w:cs="Calibri"/>
                <w:sz w:val="24"/>
              </w:rPr>
              <w:t>施工期对声环境的影响主要来自施工机械噪声，其次是交通噪声和人为噪声。机械噪声主要由施工机械运行所造成，施工作业噪声主要指一些零星的敲打声、装卸车辆的撞击声、吆喝声、拆装模板的撞击声等，多为瞬间噪声；施工车辆的噪声属于交通噪声。项目建设期间使用的建筑机械设备多，且噪声声级强（特别是冲击式打桩机），表17为施工期噪声值较大的机械设备的噪声随距离衰减情况。</w:t>
            </w:r>
          </w:p>
          <w:p>
            <w:pPr>
              <w:jc w:val="center"/>
              <w:rPr>
                <w:rFonts w:cs="Calibri"/>
                <w:b/>
                <w:sz w:val="21"/>
              </w:rPr>
            </w:pPr>
            <w:r>
              <w:rPr>
                <w:rFonts w:cs="Calibri"/>
                <w:b/>
                <w:sz w:val="21"/>
              </w:rPr>
              <w:t>表17   施工机械噪声源强及其对不同距离声环境影响预测结果</w:t>
            </w:r>
          </w:p>
          <w:tbl>
            <w:tblPr>
              <w:tblStyle w:val="18"/>
              <w:tblW w:w="828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465"/>
              <w:gridCol w:w="562"/>
              <w:gridCol w:w="590"/>
              <w:gridCol w:w="590"/>
              <w:gridCol w:w="590"/>
              <w:gridCol w:w="590"/>
              <w:gridCol w:w="695"/>
              <w:gridCol w:w="777"/>
              <w:gridCol w:w="712"/>
              <w:gridCol w:w="695"/>
              <w:gridCol w:w="6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2" w:type="dxa"/>
                  <w:vMerge w:val="restart"/>
                  <w:tcBorders>
                    <w:tl2br w:val="nil"/>
                    <w:tr2bl w:val="nil"/>
                  </w:tcBorders>
                  <w:vAlign w:val="center"/>
                </w:tcPr>
                <w:p>
                  <w:pPr>
                    <w:jc w:val="center"/>
                    <w:rPr>
                      <w:rFonts w:cs="Calibri"/>
                      <w:sz w:val="21"/>
                    </w:rPr>
                  </w:pPr>
                  <w:r>
                    <w:rPr>
                      <w:rFonts w:cs="Calibri"/>
                      <w:sz w:val="21"/>
                    </w:rPr>
                    <w:t>机械类型</w:t>
                  </w:r>
                </w:p>
              </w:tc>
              <w:tc>
                <w:tcPr>
                  <w:tcW w:w="465" w:type="dxa"/>
                  <w:vMerge w:val="restart"/>
                  <w:tcBorders>
                    <w:tl2br w:val="nil"/>
                    <w:tr2bl w:val="nil"/>
                  </w:tcBorders>
                  <w:vAlign w:val="center"/>
                </w:tcPr>
                <w:p>
                  <w:pPr>
                    <w:jc w:val="center"/>
                    <w:rPr>
                      <w:rFonts w:cs="Calibri"/>
                      <w:sz w:val="21"/>
                    </w:rPr>
                  </w:pPr>
                  <w:r>
                    <w:rPr>
                      <w:rFonts w:cs="Calibri"/>
                      <w:sz w:val="21"/>
                    </w:rPr>
                    <w:t>源强</w:t>
                  </w:r>
                </w:p>
              </w:tc>
              <w:tc>
                <w:tcPr>
                  <w:tcW w:w="6496" w:type="dxa"/>
                  <w:gridSpan w:val="10"/>
                  <w:tcBorders>
                    <w:tl2br w:val="nil"/>
                    <w:tr2bl w:val="nil"/>
                  </w:tcBorders>
                  <w:vAlign w:val="center"/>
                </w:tcPr>
                <w:p>
                  <w:pPr>
                    <w:jc w:val="center"/>
                    <w:rPr>
                      <w:rFonts w:cs="Calibri"/>
                      <w:sz w:val="21"/>
                    </w:rPr>
                  </w:pPr>
                  <w:r>
                    <w:rPr>
                      <w:rFonts w:cs="Calibri"/>
                      <w:sz w:val="21"/>
                    </w:rPr>
                    <w:t>噪声预测值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2" w:type="dxa"/>
                  <w:vMerge w:val="continue"/>
                  <w:tcBorders>
                    <w:tl2br w:val="nil"/>
                    <w:tr2bl w:val="nil"/>
                  </w:tcBorders>
                  <w:vAlign w:val="center"/>
                </w:tcPr>
                <w:p>
                  <w:pPr>
                    <w:jc w:val="center"/>
                    <w:rPr>
                      <w:rFonts w:cs="Calibri"/>
                      <w:sz w:val="21"/>
                    </w:rPr>
                  </w:pPr>
                </w:p>
              </w:tc>
              <w:tc>
                <w:tcPr>
                  <w:tcW w:w="465" w:type="dxa"/>
                  <w:vMerge w:val="continue"/>
                  <w:tcBorders>
                    <w:tl2br w:val="nil"/>
                    <w:tr2bl w:val="nil"/>
                  </w:tcBorders>
                  <w:vAlign w:val="center"/>
                </w:tcPr>
                <w:p>
                  <w:pPr>
                    <w:jc w:val="center"/>
                    <w:rPr>
                      <w:rFonts w:cs="Calibri"/>
                      <w:sz w:val="21"/>
                    </w:rPr>
                  </w:pPr>
                </w:p>
              </w:tc>
              <w:tc>
                <w:tcPr>
                  <w:tcW w:w="562" w:type="dxa"/>
                  <w:tcBorders>
                    <w:tl2br w:val="nil"/>
                    <w:tr2bl w:val="nil"/>
                  </w:tcBorders>
                  <w:vAlign w:val="center"/>
                </w:tcPr>
                <w:p>
                  <w:pPr>
                    <w:jc w:val="center"/>
                    <w:rPr>
                      <w:rFonts w:cs="Calibri"/>
                      <w:sz w:val="21"/>
                    </w:rPr>
                  </w:pPr>
                  <w:r>
                    <w:rPr>
                      <w:rFonts w:cs="Calibri"/>
                      <w:sz w:val="21"/>
                    </w:rPr>
                    <w:t>5m</w:t>
                  </w:r>
                </w:p>
              </w:tc>
              <w:tc>
                <w:tcPr>
                  <w:tcW w:w="590" w:type="dxa"/>
                  <w:tcBorders>
                    <w:tl2br w:val="nil"/>
                    <w:tr2bl w:val="nil"/>
                  </w:tcBorders>
                  <w:vAlign w:val="center"/>
                </w:tcPr>
                <w:p>
                  <w:pPr>
                    <w:jc w:val="center"/>
                    <w:rPr>
                      <w:rFonts w:cs="Calibri"/>
                      <w:sz w:val="21"/>
                    </w:rPr>
                  </w:pPr>
                  <w:r>
                    <w:rPr>
                      <w:rFonts w:cs="Calibri"/>
                      <w:sz w:val="21"/>
                    </w:rPr>
                    <w:t>10m</w:t>
                  </w:r>
                </w:p>
              </w:tc>
              <w:tc>
                <w:tcPr>
                  <w:tcW w:w="590" w:type="dxa"/>
                  <w:tcBorders>
                    <w:tl2br w:val="nil"/>
                    <w:tr2bl w:val="nil"/>
                  </w:tcBorders>
                  <w:vAlign w:val="center"/>
                </w:tcPr>
                <w:p>
                  <w:pPr>
                    <w:jc w:val="center"/>
                    <w:rPr>
                      <w:rFonts w:cs="Calibri"/>
                      <w:sz w:val="21"/>
                    </w:rPr>
                  </w:pPr>
                  <w:r>
                    <w:rPr>
                      <w:rFonts w:cs="Calibri"/>
                      <w:sz w:val="21"/>
                    </w:rPr>
                    <w:t>20m</w:t>
                  </w:r>
                </w:p>
              </w:tc>
              <w:tc>
                <w:tcPr>
                  <w:tcW w:w="590" w:type="dxa"/>
                  <w:tcBorders>
                    <w:tl2br w:val="nil"/>
                    <w:tr2bl w:val="nil"/>
                  </w:tcBorders>
                  <w:vAlign w:val="center"/>
                </w:tcPr>
                <w:p>
                  <w:pPr>
                    <w:jc w:val="center"/>
                    <w:rPr>
                      <w:rFonts w:cs="Calibri"/>
                      <w:sz w:val="21"/>
                    </w:rPr>
                  </w:pPr>
                  <w:r>
                    <w:rPr>
                      <w:rFonts w:cs="Calibri"/>
                      <w:sz w:val="21"/>
                    </w:rPr>
                    <w:t>40m</w:t>
                  </w:r>
                </w:p>
              </w:tc>
              <w:tc>
                <w:tcPr>
                  <w:tcW w:w="590" w:type="dxa"/>
                  <w:tcBorders>
                    <w:tl2br w:val="nil"/>
                    <w:tr2bl w:val="nil"/>
                  </w:tcBorders>
                  <w:vAlign w:val="center"/>
                </w:tcPr>
                <w:p>
                  <w:pPr>
                    <w:jc w:val="center"/>
                    <w:rPr>
                      <w:rFonts w:cs="Calibri"/>
                      <w:sz w:val="21"/>
                    </w:rPr>
                  </w:pPr>
                  <w:r>
                    <w:rPr>
                      <w:rFonts w:cs="Calibri"/>
                      <w:sz w:val="21"/>
                    </w:rPr>
                    <w:t>50m</w:t>
                  </w:r>
                </w:p>
              </w:tc>
              <w:tc>
                <w:tcPr>
                  <w:tcW w:w="695" w:type="dxa"/>
                  <w:tcBorders>
                    <w:tl2br w:val="nil"/>
                    <w:tr2bl w:val="nil"/>
                  </w:tcBorders>
                  <w:vAlign w:val="center"/>
                </w:tcPr>
                <w:p>
                  <w:pPr>
                    <w:jc w:val="center"/>
                    <w:rPr>
                      <w:rFonts w:cs="Calibri"/>
                      <w:sz w:val="21"/>
                    </w:rPr>
                  </w:pPr>
                  <w:r>
                    <w:rPr>
                      <w:rFonts w:cs="Calibri"/>
                      <w:sz w:val="21"/>
                    </w:rPr>
                    <w:t>100m</w:t>
                  </w:r>
                </w:p>
              </w:tc>
              <w:tc>
                <w:tcPr>
                  <w:tcW w:w="777" w:type="dxa"/>
                  <w:tcBorders>
                    <w:tl2br w:val="nil"/>
                    <w:tr2bl w:val="nil"/>
                  </w:tcBorders>
                  <w:vAlign w:val="center"/>
                </w:tcPr>
                <w:p>
                  <w:pPr>
                    <w:jc w:val="center"/>
                    <w:rPr>
                      <w:rFonts w:cs="Calibri"/>
                      <w:sz w:val="21"/>
                    </w:rPr>
                  </w:pPr>
                  <w:r>
                    <w:rPr>
                      <w:rFonts w:cs="Calibri"/>
                      <w:sz w:val="21"/>
                    </w:rPr>
                    <w:t>150m</w:t>
                  </w:r>
                </w:p>
              </w:tc>
              <w:tc>
                <w:tcPr>
                  <w:tcW w:w="712" w:type="dxa"/>
                  <w:tcBorders>
                    <w:tl2br w:val="nil"/>
                    <w:tr2bl w:val="nil"/>
                  </w:tcBorders>
                  <w:vAlign w:val="center"/>
                </w:tcPr>
                <w:p>
                  <w:pPr>
                    <w:jc w:val="center"/>
                    <w:rPr>
                      <w:rFonts w:cs="Calibri"/>
                      <w:sz w:val="21"/>
                    </w:rPr>
                  </w:pPr>
                  <w:r>
                    <w:rPr>
                      <w:rFonts w:cs="Calibri"/>
                      <w:sz w:val="21"/>
                    </w:rPr>
                    <w:t>200m</w:t>
                  </w:r>
                </w:p>
              </w:tc>
              <w:tc>
                <w:tcPr>
                  <w:tcW w:w="695" w:type="dxa"/>
                  <w:tcBorders>
                    <w:tl2br w:val="nil"/>
                    <w:tr2bl w:val="nil"/>
                  </w:tcBorders>
                  <w:vAlign w:val="center"/>
                </w:tcPr>
                <w:p>
                  <w:pPr>
                    <w:jc w:val="center"/>
                    <w:rPr>
                      <w:rFonts w:cs="Calibri"/>
                      <w:sz w:val="21"/>
                    </w:rPr>
                  </w:pPr>
                  <w:r>
                    <w:rPr>
                      <w:rFonts w:cs="Calibri"/>
                      <w:sz w:val="21"/>
                    </w:rPr>
                    <w:t>300m</w:t>
                  </w:r>
                </w:p>
              </w:tc>
              <w:tc>
                <w:tcPr>
                  <w:tcW w:w="695" w:type="dxa"/>
                  <w:tcBorders>
                    <w:tl2br w:val="nil"/>
                    <w:tr2bl w:val="nil"/>
                  </w:tcBorders>
                  <w:vAlign w:val="center"/>
                </w:tcPr>
                <w:p>
                  <w:pPr>
                    <w:jc w:val="center"/>
                    <w:rPr>
                      <w:rFonts w:cs="Calibri"/>
                      <w:sz w:val="21"/>
                    </w:rPr>
                  </w:pPr>
                  <w:r>
                    <w:rPr>
                      <w:rFonts w:cs="Calibri"/>
                      <w:sz w:val="21"/>
                    </w:rPr>
                    <w:t>400m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2" w:type="dxa"/>
                  <w:tcBorders>
                    <w:tl2br w:val="nil"/>
                    <w:tr2bl w:val="nil"/>
                  </w:tcBorders>
                  <w:vAlign w:val="center"/>
                </w:tcPr>
                <w:p>
                  <w:pPr>
                    <w:jc w:val="center"/>
                    <w:rPr>
                      <w:rFonts w:cs="Calibri"/>
                      <w:sz w:val="21"/>
                    </w:rPr>
                  </w:pPr>
                  <w:r>
                    <w:rPr>
                      <w:rFonts w:cs="Calibri"/>
                      <w:sz w:val="21"/>
                    </w:rPr>
                    <w:t>挖土机</w:t>
                  </w:r>
                </w:p>
              </w:tc>
              <w:tc>
                <w:tcPr>
                  <w:tcW w:w="465" w:type="dxa"/>
                  <w:tcBorders>
                    <w:tl2br w:val="nil"/>
                    <w:tr2bl w:val="nil"/>
                  </w:tcBorders>
                  <w:vAlign w:val="center"/>
                </w:tcPr>
                <w:p>
                  <w:pPr>
                    <w:jc w:val="center"/>
                    <w:rPr>
                      <w:rFonts w:cs="Calibri"/>
                      <w:sz w:val="21"/>
                    </w:rPr>
                  </w:pPr>
                  <w:r>
                    <w:rPr>
                      <w:rFonts w:cs="Calibri"/>
                      <w:sz w:val="21"/>
                    </w:rPr>
                    <w:t>96</w:t>
                  </w:r>
                </w:p>
              </w:tc>
              <w:tc>
                <w:tcPr>
                  <w:tcW w:w="562" w:type="dxa"/>
                  <w:tcBorders>
                    <w:tl2br w:val="nil"/>
                    <w:tr2bl w:val="nil"/>
                  </w:tcBorders>
                  <w:vAlign w:val="center"/>
                </w:tcPr>
                <w:p>
                  <w:pPr>
                    <w:jc w:val="center"/>
                    <w:rPr>
                      <w:rFonts w:cs="Calibri"/>
                      <w:sz w:val="21"/>
                    </w:rPr>
                  </w:pPr>
                  <w:r>
                    <w:rPr>
                      <w:rFonts w:cs="Calibri"/>
                      <w:sz w:val="21"/>
                    </w:rPr>
                    <w:t>82</w:t>
                  </w:r>
                </w:p>
              </w:tc>
              <w:tc>
                <w:tcPr>
                  <w:tcW w:w="590" w:type="dxa"/>
                  <w:tcBorders>
                    <w:tl2br w:val="nil"/>
                    <w:tr2bl w:val="nil"/>
                  </w:tcBorders>
                  <w:vAlign w:val="center"/>
                </w:tcPr>
                <w:p>
                  <w:pPr>
                    <w:jc w:val="center"/>
                    <w:rPr>
                      <w:rFonts w:cs="Calibri"/>
                      <w:sz w:val="21"/>
                    </w:rPr>
                  </w:pPr>
                  <w:r>
                    <w:rPr>
                      <w:rFonts w:cs="Calibri"/>
                      <w:sz w:val="21"/>
                    </w:rPr>
                    <w:t>76</w:t>
                  </w:r>
                </w:p>
              </w:tc>
              <w:tc>
                <w:tcPr>
                  <w:tcW w:w="590" w:type="dxa"/>
                  <w:tcBorders>
                    <w:tl2br w:val="nil"/>
                    <w:tr2bl w:val="nil"/>
                  </w:tcBorders>
                  <w:vAlign w:val="center"/>
                </w:tcPr>
                <w:p>
                  <w:pPr>
                    <w:jc w:val="center"/>
                    <w:rPr>
                      <w:rFonts w:cs="Calibri"/>
                      <w:sz w:val="21"/>
                    </w:rPr>
                  </w:pPr>
                  <w:r>
                    <w:rPr>
                      <w:rFonts w:cs="Calibri"/>
                      <w:sz w:val="21"/>
                    </w:rPr>
                    <w:t>70</w:t>
                  </w:r>
                </w:p>
              </w:tc>
              <w:tc>
                <w:tcPr>
                  <w:tcW w:w="590" w:type="dxa"/>
                  <w:tcBorders>
                    <w:tl2br w:val="nil"/>
                    <w:tr2bl w:val="nil"/>
                  </w:tcBorders>
                  <w:vAlign w:val="center"/>
                </w:tcPr>
                <w:p>
                  <w:pPr>
                    <w:jc w:val="center"/>
                    <w:rPr>
                      <w:rFonts w:cs="Calibri"/>
                      <w:sz w:val="21"/>
                    </w:rPr>
                  </w:pPr>
                  <w:r>
                    <w:rPr>
                      <w:rFonts w:cs="Calibri"/>
                      <w:sz w:val="21"/>
                    </w:rPr>
                    <w:t>64</w:t>
                  </w:r>
                </w:p>
              </w:tc>
              <w:tc>
                <w:tcPr>
                  <w:tcW w:w="590" w:type="dxa"/>
                  <w:tcBorders>
                    <w:tl2br w:val="nil"/>
                    <w:tr2bl w:val="nil"/>
                  </w:tcBorders>
                  <w:vAlign w:val="center"/>
                </w:tcPr>
                <w:p>
                  <w:pPr>
                    <w:jc w:val="center"/>
                    <w:rPr>
                      <w:rFonts w:cs="Calibri"/>
                      <w:sz w:val="21"/>
                    </w:rPr>
                  </w:pPr>
                  <w:r>
                    <w:rPr>
                      <w:rFonts w:cs="Calibri"/>
                      <w:sz w:val="21"/>
                    </w:rPr>
                    <w:t>62</w:t>
                  </w:r>
                </w:p>
              </w:tc>
              <w:tc>
                <w:tcPr>
                  <w:tcW w:w="695" w:type="dxa"/>
                  <w:tcBorders>
                    <w:tl2br w:val="nil"/>
                    <w:tr2bl w:val="nil"/>
                  </w:tcBorders>
                  <w:vAlign w:val="center"/>
                </w:tcPr>
                <w:p>
                  <w:pPr>
                    <w:jc w:val="center"/>
                    <w:rPr>
                      <w:rFonts w:cs="Calibri"/>
                      <w:sz w:val="21"/>
                    </w:rPr>
                  </w:pPr>
                  <w:r>
                    <w:rPr>
                      <w:rFonts w:cs="Calibri"/>
                      <w:sz w:val="21"/>
                    </w:rPr>
                    <w:t>56</w:t>
                  </w:r>
                </w:p>
              </w:tc>
              <w:tc>
                <w:tcPr>
                  <w:tcW w:w="777" w:type="dxa"/>
                  <w:tcBorders>
                    <w:tl2br w:val="nil"/>
                    <w:tr2bl w:val="nil"/>
                  </w:tcBorders>
                  <w:vAlign w:val="center"/>
                </w:tcPr>
                <w:p>
                  <w:pPr>
                    <w:jc w:val="center"/>
                    <w:rPr>
                      <w:rFonts w:cs="Calibri"/>
                      <w:sz w:val="21"/>
                    </w:rPr>
                  </w:pPr>
                  <w:r>
                    <w:rPr>
                      <w:rFonts w:cs="Calibri"/>
                      <w:sz w:val="21"/>
                    </w:rPr>
                    <w:t>52</w:t>
                  </w:r>
                </w:p>
              </w:tc>
              <w:tc>
                <w:tcPr>
                  <w:tcW w:w="712" w:type="dxa"/>
                  <w:tcBorders>
                    <w:tl2br w:val="nil"/>
                    <w:tr2bl w:val="nil"/>
                  </w:tcBorders>
                  <w:vAlign w:val="center"/>
                </w:tcPr>
                <w:p>
                  <w:pPr>
                    <w:jc w:val="center"/>
                    <w:rPr>
                      <w:rFonts w:cs="Calibri"/>
                      <w:sz w:val="21"/>
                    </w:rPr>
                  </w:pPr>
                  <w:r>
                    <w:rPr>
                      <w:rFonts w:cs="Calibri"/>
                      <w:sz w:val="21"/>
                    </w:rPr>
                    <w:t>50</w:t>
                  </w:r>
                </w:p>
              </w:tc>
              <w:tc>
                <w:tcPr>
                  <w:tcW w:w="695" w:type="dxa"/>
                  <w:tcBorders>
                    <w:tl2br w:val="nil"/>
                    <w:tr2bl w:val="nil"/>
                  </w:tcBorders>
                  <w:vAlign w:val="center"/>
                </w:tcPr>
                <w:p>
                  <w:pPr>
                    <w:jc w:val="center"/>
                    <w:rPr>
                      <w:rFonts w:cs="Calibri"/>
                      <w:sz w:val="21"/>
                    </w:rPr>
                  </w:pPr>
                  <w:r>
                    <w:rPr>
                      <w:rFonts w:cs="Calibri"/>
                      <w:sz w:val="21"/>
                    </w:rPr>
                    <w:t>46</w:t>
                  </w:r>
                </w:p>
              </w:tc>
              <w:tc>
                <w:tcPr>
                  <w:tcW w:w="695" w:type="dxa"/>
                  <w:tcBorders>
                    <w:tl2br w:val="nil"/>
                    <w:tr2bl w:val="nil"/>
                  </w:tcBorders>
                  <w:vAlign w:val="center"/>
                </w:tcPr>
                <w:p>
                  <w:pPr>
                    <w:jc w:val="center"/>
                    <w:rPr>
                      <w:rFonts w:cs="Calibri"/>
                      <w:sz w:val="21"/>
                    </w:rPr>
                  </w:pPr>
                  <w:r>
                    <w:rPr>
                      <w:rFonts w:cs="Calibri"/>
                      <w:sz w:val="21"/>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2" w:type="dxa"/>
                  <w:tcBorders>
                    <w:tl2br w:val="nil"/>
                    <w:tr2bl w:val="nil"/>
                  </w:tcBorders>
                  <w:vAlign w:val="center"/>
                </w:tcPr>
                <w:p>
                  <w:pPr>
                    <w:jc w:val="center"/>
                    <w:rPr>
                      <w:rFonts w:cs="Calibri"/>
                      <w:sz w:val="21"/>
                    </w:rPr>
                  </w:pPr>
                  <w:r>
                    <w:rPr>
                      <w:rFonts w:cs="Calibri"/>
                      <w:sz w:val="21"/>
                    </w:rPr>
                    <w:t>空压机</w:t>
                  </w:r>
                </w:p>
              </w:tc>
              <w:tc>
                <w:tcPr>
                  <w:tcW w:w="465" w:type="dxa"/>
                  <w:tcBorders>
                    <w:tl2br w:val="nil"/>
                    <w:tr2bl w:val="nil"/>
                  </w:tcBorders>
                  <w:vAlign w:val="center"/>
                </w:tcPr>
                <w:p>
                  <w:pPr>
                    <w:jc w:val="center"/>
                    <w:rPr>
                      <w:rFonts w:cs="Calibri"/>
                      <w:sz w:val="21"/>
                    </w:rPr>
                  </w:pPr>
                  <w:r>
                    <w:rPr>
                      <w:rFonts w:cs="Calibri"/>
                      <w:sz w:val="21"/>
                    </w:rPr>
                    <w:t>85</w:t>
                  </w:r>
                </w:p>
              </w:tc>
              <w:tc>
                <w:tcPr>
                  <w:tcW w:w="562" w:type="dxa"/>
                  <w:tcBorders>
                    <w:tl2br w:val="nil"/>
                    <w:tr2bl w:val="nil"/>
                  </w:tcBorders>
                  <w:vAlign w:val="center"/>
                </w:tcPr>
                <w:p>
                  <w:pPr>
                    <w:jc w:val="center"/>
                    <w:rPr>
                      <w:rFonts w:cs="Calibri"/>
                      <w:sz w:val="21"/>
                    </w:rPr>
                  </w:pPr>
                  <w:r>
                    <w:rPr>
                      <w:rFonts w:cs="Calibri"/>
                      <w:sz w:val="21"/>
                    </w:rPr>
                    <w:t>71</w:t>
                  </w:r>
                </w:p>
              </w:tc>
              <w:tc>
                <w:tcPr>
                  <w:tcW w:w="590" w:type="dxa"/>
                  <w:tcBorders>
                    <w:tl2br w:val="nil"/>
                    <w:tr2bl w:val="nil"/>
                  </w:tcBorders>
                  <w:vAlign w:val="center"/>
                </w:tcPr>
                <w:p>
                  <w:pPr>
                    <w:jc w:val="center"/>
                    <w:rPr>
                      <w:rFonts w:cs="Calibri"/>
                      <w:sz w:val="21"/>
                    </w:rPr>
                  </w:pPr>
                  <w:r>
                    <w:rPr>
                      <w:rFonts w:cs="Calibri"/>
                      <w:sz w:val="21"/>
                    </w:rPr>
                    <w:t>65</w:t>
                  </w:r>
                </w:p>
              </w:tc>
              <w:tc>
                <w:tcPr>
                  <w:tcW w:w="590" w:type="dxa"/>
                  <w:tcBorders>
                    <w:tl2br w:val="nil"/>
                    <w:tr2bl w:val="nil"/>
                  </w:tcBorders>
                  <w:vAlign w:val="center"/>
                </w:tcPr>
                <w:p>
                  <w:pPr>
                    <w:jc w:val="center"/>
                    <w:rPr>
                      <w:rFonts w:cs="Calibri"/>
                      <w:sz w:val="21"/>
                    </w:rPr>
                  </w:pPr>
                  <w:r>
                    <w:rPr>
                      <w:rFonts w:cs="Calibri"/>
                      <w:sz w:val="21"/>
                    </w:rPr>
                    <w:t>59</w:t>
                  </w:r>
                </w:p>
              </w:tc>
              <w:tc>
                <w:tcPr>
                  <w:tcW w:w="590" w:type="dxa"/>
                  <w:tcBorders>
                    <w:tl2br w:val="nil"/>
                    <w:tr2bl w:val="nil"/>
                  </w:tcBorders>
                  <w:vAlign w:val="center"/>
                </w:tcPr>
                <w:p>
                  <w:pPr>
                    <w:jc w:val="center"/>
                    <w:rPr>
                      <w:rFonts w:cs="Calibri"/>
                      <w:sz w:val="21"/>
                    </w:rPr>
                  </w:pPr>
                  <w:r>
                    <w:rPr>
                      <w:rFonts w:cs="Calibri"/>
                      <w:sz w:val="21"/>
                    </w:rPr>
                    <w:t>53</w:t>
                  </w:r>
                </w:p>
              </w:tc>
              <w:tc>
                <w:tcPr>
                  <w:tcW w:w="590" w:type="dxa"/>
                  <w:tcBorders>
                    <w:tl2br w:val="nil"/>
                    <w:tr2bl w:val="nil"/>
                  </w:tcBorders>
                  <w:vAlign w:val="center"/>
                </w:tcPr>
                <w:p>
                  <w:pPr>
                    <w:jc w:val="center"/>
                    <w:rPr>
                      <w:rFonts w:cs="Calibri"/>
                      <w:sz w:val="21"/>
                    </w:rPr>
                  </w:pPr>
                  <w:r>
                    <w:rPr>
                      <w:rFonts w:cs="Calibri"/>
                      <w:sz w:val="21"/>
                    </w:rPr>
                    <w:t>51</w:t>
                  </w:r>
                </w:p>
              </w:tc>
              <w:tc>
                <w:tcPr>
                  <w:tcW w:w="695" w:type="dxa"/>
                  <w:tcBorders>
                    <w:tl2br w:val="nil"/>
                    <w:tr2bl w:val="nil"/>
                  </w:tcBorders>
                  <w:vAlign w:val="center"/>
                </w:tcPr>
                <w:p>
                  <w:pPr>
                    <w:jc w:val="center"/>
                    <w:rPr>
                      <w:rFonts w:cs="Calibri"/>
                      <w:sz w:val="21"/>
                    </w:rPr>
                  </w:pPr>
                  <w:r>
                    <w:rPr>
                      <w:rFonts w:cs="Calibri"/>
                      <w:sz w:val="21"/>
                    </w:rPr>
                    <w:t>45</w:t>
                  </w:r>
                </w:p>
              </w:tc>
              <w:tc>
                <w:tcPr>
                  <w:tcW w:w="777" w:type="dxa"/>
                  <w:tcBorders>
                    <w:tl2br w:val="nil"/>
                    <w:tr2bl w:val="nil"/>
                  </w:tcBorders>
                  <w:vAlign w:val="center"/>
                </w:tcPr>
                <w:p>
                  <w:pPr>
                    <w:jc w:val="center"/>
                    <w:rPr>
                      <w:rFonts w:cs="Calibri"/>
                      <w:sz w:val="21"/>
                    </w:rPr>
                  </w:pPr>
                  <w:r>
                    <w:rPr>
                      <w:rFonts w:cs="Calibri"/>
                      <w:sz w:val="21"/>
                    </w:rPr>
                    <w:t>41</w:t>
                  </w:r>
                </w:p>
              </w:tc>
              <w:tc>
                <w:tcPr>
                  <w:tcW w:w="712" w:type="dxa"/>
                  <w:tcBorders>
                    <w:tl2br w:val="nil"/>
                    <w:tr2bl w:val="nil"/>
                  </w:tcBorders>
                  <w:vAlign w:val="center"/>
                </w:tcPr>
                <w:p>
                  <w:pPr>
                    <w:jc w:val="center"/>
                    <w:rPr>
                      <w:rFonts w:cs="Calibri"/>
                      <w:sz w:val="21"/>
                    </w:rPr>
                  </w:pPr>
                  <w:r>
                    <w:rPr>
                      <w:rFonts w:cs="Calibri"/>
                      <w:sz w:val="21"/>
                    </w:rPr>
                    <w:t>39</w:t>
                  </w:r>
                </w:p>
              </w:tc>
              <w:tc>
                <w:tcPr>
                  <w:tcW w:w="695" w:type="dxa"/>
                  <w:tcBorders>
                    <w:tl2br w:val="nil"/>
                    <w:tr2bl w:val="nil"/>
                  </w:tcBorders>
                  <w:vAlign w:val="center"/>
                </w:tcPr>
                <w:p>
                  <w:pPr>
                    <w:jc w:val="center"/>
                    <w:rPr>
                      <w:rFonts w:cs="Calibri"/>
                      <w:sz w:val="21"/>
                    </w:rPr>
                  </w:pPr>
                  <w:r>
                    <w:rPr>
                      <w:rFonts w:cs="Calibri"/>
                      <w:sz w:val="21"/>
                    </w:rPr>
                    <w:t>35</w:t>
                  </w:r>
                </w:p>
              </w:tc>
              <w:tc>
                <w:tcPr>
                  <w:tcW w:w="695" w:type="dxa"/>
                  <w:tcBorders>
                    <w:tl2br w:val="nil"/>
                    <w:tr2bl w:val="nil"/>
                  </w:tcBorders>
                  <w:vAlign w:val="center"/>
                </w:tcPr>
                <w:p>
                  <w:pPr>
                    <w:jc w:val="center"/>
                    <w:rPr>
                      <w:rFonts w:cs="Calibri"/>
                      <w:sz w:val="21"/>
                    </w:rPr>
                  </w:pPr>
                  <w:r>
                    <w:rPr>
                      <w:rFonts w:cs="Calibri"/>
                      <w:sz w:val="21"/>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2" w:type="dxa"/>
                  <w:tcBorders>
                    <w:tl2br w:val="nil"/>
                    <w:tr2bl w:val="nil"/>
                  </w:tcBorders>
                  <w:vAlign w:val="center"/>
                </w:tcPr>
                <w:p>
                  <w:pPr>
                    <w:jc w:val="center"/>
                    <w:rPr>
                      <w:rFonts w:cs="Calibri"/>
                      <w:sz w:val="21"/>
                    </w:rPr>
                  </w:pPr>
                  <w:r>
                    <w:rPr>
                      <w:rFonts w:cs="Calibri"/>
                      <w:sz w:val="21"/>
                    </w:rPr>
                    <w:t>载重车</w:t>
                  </w:r>
                </w:p>
              </w:tc>
              <w:tc>
                <w:tcPr>
                  <w:tcW w:w="465" w:type="dxa"/>
                  <w:tcBorders>
                    <w:tl2br w:val="nil"/>
                    <w:tr2bl w:val="nil"/>
                  </w:tcBorders>
                  <w:vAlign w:val="center"/>
                </w:tcPr>
                <w:p>
                  <w:pPr>
                    <w:jc w:val="center"/>
                    <w:rPr>
                      <w:rFonts w:cs="Calibri"/>
                      <w:sz w:val="21"/>
                    </w:rPr>
                  </w:pPr>
                  <w:r>
                    <w:rPr>
                      <w:rFonts w:cs="Calibri"/>
                      <w:sz w:val="21"/>
                    </w:rPr>
                    <w:t>89</w:t>
                  </w:r>
                </w:p>
              </w:tc>
              <w:tc>
                <w:tcPr>
                  <w:tcW w:w="562" w:type="dxa"/>
                  <w:tcBorders>
                    <w:tl2br w:val="nil"/>
                    <w:tr2bl w:val="nil"/>
                  </w:tcBorders>
                  <w:vAlign w:val="center"/>
                </w:tcPr>
                <w:p>
                  <w:pPr>
                    <w:jc w:val="center"/>
                    <w:rPr>
                      <w:rFonts w:cs="Calibri"/>
                      <w:sz w:val="21"/>
                    </w:rPr>
                  </w:pPr>
                  <w:r>
                    <w:rPr>
                      <w:rFonts w:cs="Calibri"/>
                      <w:sz w:val="21"/>
                    </w:rPr>
                    <w:t>75</w:t>
                  </w:r>
                </w:p>
              </w:tc>
              <w:tc>
                <w:tcPr>
                  <w:tcW w:w="590" w:type="dxa"/>
                  <w:tcBorders>
                    <w:tl2br w:val="nil"/>
                    <w:tr2bl w:val="nil"/>
                  </w:tcBorders>
                  <w:vAlign w:val="center"/>
                </w:tcPr>
                <w:p>
                  <w:pPr>
                    <w:jc w:val="center"/>
                    <w:rPr>
                      <w:rFonts w:cs="Calibri"/>
                      <w:sz w:val="21"/>
                    </w:rPr>
                  </w:pPr>
                  <w:r>
                    <w:rPr>
                      <w:rFonts w:cs="Calibri"/>
                      <w:sz w:val="21"/>
                    </w:rPr>
                    <w:t>69</w:t>
                  </w:r>
                </w:p>
              </w:tc>
              <w:tc>
                <w:tcPr>
                  <w:tcW w:w="590" w:type="dxa"/>
                  <w:tcBorders>
                    <w:tl2br w:val="nil"/>
                    <w:tr2bl w:val="nil"/>
                  </w:tcBorders>
                  <w:vAlign w:val="center"/>
                </w:tcPr>
                <w:p>
                  <w:pPr>
                    <w:jc w:val="center"/>
                    <w:rPr>
                      <w:rFonts w:cs="Calibri"/>
                      <w:sz w:val="21"/>
                    </w:rPr>
                  </w:pPr>
                  <w:r>
                    <w:rPr>
                      <w:rFonts w:cs="Calibri"/>
                      <w:sz w:val="21"/>
                    </w:rPr>
                    <w:t>63</w:t>
                  </w:r>
                </w:p>
              </w:tc>
              <w:tc>
                <w:tcPr>
                  <w:tcW w:w="590" w:type="dxa"/>
                  <w:tcBorders>
                    <w:tl2br w:val="nil"/>
                    <w:tr2bl w:val="nil"/>
                  </w:tcBorders>
                  <w:vAlign w:val="center"/>
                </w:tcPr>
                <w:p>
                  <w:pPr>
                    <w:jc w:val="center"/>
                    <w:rPr>
                      <w:rFonts w:cs="Calibri"/>
                      <w:sz w:val="21"/>
                    </w:rPr>
                  </w:pPr>
                  <w:r>
                    <w:rPr>
                      <w:rFonts w:cs="Calibri"/>
                      <w:sz w:val="21"/>
                    </w:rPr>
                    <w:t>57</w:t>
                  </w:r>
                </w:p>
              </w:tc>
              <w:tc>
                <w:tcPr>
                  <w:tcW w:w="590" w:type="dxa"/>
                  <w:tcBorders>
                    <w:tl2br w:val="nil"/>
                    <w:tr2bl w:val="nil"/>
                  </w:tcBorders>
                  <w:vAlign w:val="center"/>
                </w:tcPr>
                <w:p>
                  <w:pPr>
                    <w:jc w:val="center"/>
                    <w:rPr>
                      <w:rFonts w:cs="Calibri"/>
                      <w:sz w:val="21"/>
                    </w:rPr>
                  </w:pPr>
                  <w:r>
                    <w:rPr>
                      <w:rFonts w:cs="Calibri"/>
                      <w:sz w:val="21"/>
                    </w:rPr>
                    <w:t>55</w:t>
                  </w:r>
                </w:p>
              </w:tc>
              <w:tc>
                <w:tcPr>
                  <w:tcW w:w="695" w:type="dxa"/>
                  <w:tcBorders>
                    <w:tl2br w:val="nil"/>
                    <w:tr2bl w:val="nil"/>
                  </w:tcBorders>
                  <w:vAlign w:val="center"/>
                </w:tcPr>
                <w:p>
                  <w:pPr>
                    <w:jc w:val="center"/>
                    <w:rPr>
                      <w:rFonts w:cs="Calibri"/>
                      <w:sz w:val="21"/>
                    </w:rPr>
                  </w:pPr>
                  <w:r>
                    <w:rPr>
                      <w:rFonts w:cs="Calibri"/>
                      <w:sz w:val="21"/>
                    </w:rPr>
                    <w:t>49</w:t>
                  </w:r>
                </w:p>
              </w:tc>
              <w:tc>
                <w:tcPr>
                  <w:tcW w:w="777" w:type="dxa"/>
                  <w:tcBorders>
                    <w:tl2br w:val="nil"/>
                    <w:tr2bl w:val="nil"/>
                  </w:tcBorders>
                  <w:vAlign w:val="center"/>
                </w:tcPr>
                <w:p>
                  <w:pPr>
                    <w:jc w:val="center"/>
                    <w:rPr>
                      <w:rFonts w:cs="Calibri"/>
                      <w:sz w:val="21"/>
                    </w:rPr>
                  </w:pPr>
                  <w:r>
                    <w:rPr>
                      <w:rFonts w:cs="Calibri"/>
                      <w:sz w:val="21"/>
                    </w:rPr>
                    <w:t>45</w:t>
                  </w:r>
                </w:p>
              </w:tc>
              <w:tc>
                <w:tcPr>
                  <w:tcW w:w="712" w:type="dxa"/>
                  <w:tcBorders>
                    <w:tl2br w:val="nil"/>
                    <w:tr2bl w:val="nil"/>
                  </w:tcBorders>
                  <w:vAlign w:val="center"/>
                </w:tcPr>
                <w:p>
                  <w:pPr>
                    <w:jc w:val="center"/>
                    <w:rPr>
                      <w:rFonts w:cs="Calibri"/>
                      <w:sz w:val="21"/>
                    </w:rPr>
                  </w:pPr>
                  <w:r>
                    <w:rPr>
                      <w:rFonts w:cs="Calibri"/>
                      <w:sz w:val="21"/>
                    </w:rPr>
                    <w:t>43</w:t>
                  </w:r>
                </w:p>
              </w:tc>
              <w:tc>
                <w:tcPr>
                  <w:tcW w:w="695" w:type="dxa"/>
                  <w:tcBorders>
                    <w:tl2br w:val="nil"/>
                    <w:tr2bl w:val="nil"/>
                  </w:tcBorders>
                  <w:vAlign w:val="center"/>
                </w:tcPr>
                <w:p>
                  <w:pPr>
                    <w:jc w:val="center"/>
                    <w:rPr>
                      <w:rFonts w:cs="Calibri"/>
                      <w:sz w:val="21"/>
                    </w:rPr>
                  </w:pPr>
                  <w:r>
                    <w:rPr>
                      <w:rFonts w:cs="Calibri"/>
                      <w:sz w:val="21"/>
                    </w:rPr>
                    <w:t>39</w:t>
                  </w:r>
                </w:p>
              </w:tc>
              <w:tc>
                <w:tcPr>
                  <w:tcW w:w="695" w:type="dxa"/>
                  <w:tcBorders>
                    <w:tl2br w:val="nil"/>
                    <w:tr2bl w:val="nil"/>
                  </w:tcBorders>
                  <w:vAlign w:val="center"/>
                </w:tcPr>
                <w:p>
                  <w:pPr>
                    <w:jc w:val="center"/>
                    <w:rPr>
                      <w:rFonts w:cs="Calibri"/>
                      <w:sz w:val="21"/>
                    </w:rPr>
                  </w:pPr>
                  <w:r>
                    <w:rPr>
                      <w:rFonts w:cs="Calibri"/>
                      <w:sz w:val="21"/>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2" w:type="dxa"/>
                  <w:tcBorders>
                    <w:tl2br w:val="nil"/>
                    <w:tr2bl w:val="nil"/>
                  </w:tcBorders>
                  <w:vAlign w:val="center"/>
                </w:tcPr>
                <w:p>
                  <w:pPr>
                    <w:jc w:val="center"/>
                    <w:rPr>
                      <w:rFonts w:cs="Calibri"/>
                      <w:sz w:val="21"/>
                    </w:rPr>
                  </w:pPr>
                  <w:r>
                    <w:rPr>
                      <w:rFonts w:cs="Calibri"/>
                      <w:sz w:val="21"/>
                    </w:rPr>
                    <w:t>冲击机</w:t>
                  </w:r>
                </w:p>
              </w:tc>
              <w:tc>
                <w:tcPr>
                  <w:tcW w:w="465" w:type="dxa"/>
                  <w:tcBorders>
                    <w:tl2br w:val="nil"/>
                    <w:tr2bl w:val="nil"/>
                  </w:tcBorders>
                  <w:vAlign w:val="center"/>
                </w:tcPr>
                <w:p>
                  <w:pPr>
                    <w:jc w:val="center"/>
                    <w:rPr>
                      <w:rFonts w:cs="Calibri"/>
                      <w:sz w:val="21"/>
                    </w:rPr>
                  </w:pPr>
                  <w:r>
                    <w:rPr>
                      <w:rFonts w:cs="Calibri"/>
                      <w:sz w:val="21"/>
                    </w:rPr>
                    <w:t>95</w:t>
                  </w:r>
                </w:p>
              </w:tc>
              <w:tc>
                <w:tcPr>
                  <w:tcW w:w="562" w:type="dxa"/>
                  <w:tcBorders>
                    <w:tl2br w:val="nil"/>
                    <w:tr2bl w:val="nil"/>
                  </w:tcBorders>
                  <w:vAlign w:val="center"/>
                </w:tcPr>
                <w:p>
                  <w:pPr>
                    <w:jc w:val="center"/>
                    <w:rPr>
                      <w:rFonts w:cs="Calibri"/>
                      <w:sz w:val="21"/>
                    </w:rPr>
                  </w:pPr>
                  <w:r>
                    <w:rPr>
                      <w:rFonts w:cs="Calibri"/>
                      <w:sz w:val="21"/>
                    </w:rPr>
                    <w:t>81</w:t>
                  </w:r>
                </w:p>
              </w:tc>
              <w:tc>
                <w:tcPr>
                  <w:tcW w:w="590" w:type="dxa"/>
                  <w:tcBorders>
                    <w:tl2br w:val="nil"/>
                    <w:tr2bl w:val="nil"/>
                  </w:tcBorders>
                  <w:vAlign w:val="center"/>
                </w:tcPr>
                <w:p>
                  <w:pPr>
                    <w:jc w:val="center"/>
                    <w:rPr>
                      <w:rFonts w:cs="Calibri"/>
                      <w:sz w:val="21"/>
                    </w:rPr>
                  </w:pPr>
                  <w:r>
                    <w:rPr>
                      <w:rFonts w:cs="Calibri"/>
                      <w:sz w:val="21"/>
                    </w:rPr>
                    <w:t>75</w:t>
                  </w:r>
                </w:p>
              </w:tc>
              <w:tc>
                <w:tcPr>
                  <w:tcW w:w="590" w:type="dxa"/>
                  <w:tcBorders>
                    <w:tl2br w:val="nil"/>
                    <w:tr2bl w:val="nil"/>
                  </w:tcBorders>
                  <w:vAlign w:val="center"/>
                </w:tcPr>
                <w:p>
                  <w:pPr>
                    <w:jc w:val="center"/>
                    <w:rPr>
                      <w:rFonts w:cs="Calibri"/>
                      <w:sz w:val="21"/>
                    </w:rPr>
                  </w:pPr>
                  <w:r>
                    <w:rPr>
                      <w:rFonts w:cs="Calibri"/>
                      <w:sz w:val="21"/>
                    </w:rPr>
                    <w:t>69</w:t>
                  </w:r>
                </w:p>
              </w:tc>
              <w:tc>
                <w:tcPr>
                  <w:tcW w:w="590" w:type="dxa"/>
                  <w:tcBorders>
                    <w:tl2br w:val="nil"/>
                    <w:tr2bl w:val="nil"/>
                  </w:tcBorders>
                  <w:vAlign w:val="center"/>
                </w:tcPr>
                <w:p>
                  <w:pPr>
                    <w:jc w:val="center"/>
                    <w:rPr>
                      <w:rFonts w:cs="Calibri"/>
                      <w:sz w:val="21"/>
                    </w:rPr>
                  </w:pPr>
                  <w:r>
                    <w:rPr>
                      <w:rFonts w:cs="Calibri"/>
                      <w:sz w:val="21"/>
                    </w:rPr>
                    <w:t>63</w:t>
                  </w:r>
                </w:p>
              </w:tc>
              <w:tc>
                <w:tcPr>
                  <w:tcW w:w="590" w:type="dxa"/>
                  <w:tcBorders>
                    <w:tl2br w:val="nil"/>
                    <w:tr2bl w:val="nil"/>
                  </w:tcBorders>
                  <w:vAlign w:val="center"/>
                </w:tcPr>
                <w:p>
                  <w:pPr>
                    <w:jc w:val="center"/>
                    <w:rPr>
                      <w:rFonts w:cs="Calibri"/>
                      <w:sz w:val="21"/>
                    </w:rPr>
                  </w:pPr>
                  <w:r>
                    <w:rPr>
                      <w:rFonts w:cs="Calibri"/>
                      <w:sz w:val="21"/>
                    </w:rPr>
                    <w:t>61</w:t>
                  </w:r>
                </w:p>
              </w:tc>
              <w:tc>
                <w:tcPr>
                  <w:tcW w:w="695" w:type="dxa"/>
                  <w:tcBorders>
                    <w:tl2br w:val="nil"/>
                    <w:tr2bl w:val="nil"/>
                  </w:tcBorders>
                  <w:vAlign w:val="center"/>
                </w:tcPr>
                <w:p>
                  <w:pPr>
                    <w:jc w:val="center"/>
                    <w:rPr>
                      <w:rFonts w:cs="Calibri"/>
                      <w:sz w:val="21"/>
                    </w:rPr>
                  </w:pPr>
                  <w:r>
                    <w:rPr>
                      <w:rFonts w:cs="Calibri"/>
                      <w:sz w:val="21"/>
                    </w:rPr>
                    <w:t>55</w:t>
                  </w:r>
                </w:p>
              </w:tc>
              <w:tc>
                <w:tcPr>
                  <w:tcW w:w="777" w:type="dxa"/>
                  <w:tcBorders>
                    <w:tl2br w:val="nil"/>
                    <w:tr2bl w:val="nil"/>
                  </w:tcBorders>
                  <w:vAlign w:val="center"/>
                </w:tcPr>
                <w:p>
                  <w:pPr>
                    <w:jc w:val="center"/>
                    <w:rPr>
                      <w:rFonts w:cs="Calibri"/>
                      <w:sz w:val="21"/>
                    </w:rPr>
                  </w:pPr>
                  <w:r>
                    <w:rPr>
                      <w:rFonts w:cs="Calibri"/>
                      <w:sz w:val="21"/>
                    </w:rPr>
                    <w:t>51</w:t>
                  </w:r>
                </w:p>
              </w:tc>
              <w:tc>
                <w:tcPr>
                  <w:tcW w:w="712" w:type="dxa"/>
                  <w:tcBorders>
                    <w:tl2br w:val="nil"/>
                    <w:tr2bl w:val="nil"/>
                  </w:tcBorders>
                  <w:vAlign w:val="center"/>
                </w:tcPr>
                <w:p>
                  <w:pPr>
                    <w:jc w:val="center"/>
                    <w:rPr>
                      <w:rFonts w:cs="Calibri"/>
                      <w:sz w:val="21"/>
                    </w:rPr>
                  </w:pPr>
                  <w:r>
                    <w:rPr>
                      <w:rFonts w:cs="Calibri"/>
                      <w:sz w:val="21"/>
                    </w:rPr>
                    <w:t>49</w:t>
                  </w:r>
                </w:p>
              </w:tc>
              <w:tc>
                <w:tcPr>
                  <w:tcW w:w="695" w:type="dxa"/>
                  <w:tcBorders>
                    <w:tl2br w:val="nil"/>
                    <w:tr2bl w:val="nil"/>
                  </w:tcBorders>
                  <w:vAlign w:val="center"/>
                </w:tcPr>
                <w:p>
                  <w:pPr>
                    <w:jc w:val="center"/>
                    <w:rPr>
                      <w:rFonts w:cs="Calibri"/>
                      <w:sz w:val="21"/>
                    </w:rPr>
                  </w:pPr>
                  <w:r>
                    <w:rPr>
                      <w:rFonts w:cs="Calibri"/>
                      <w:sz w:val="21"/>
                    </w:rPr>
                    <w:t>45</w:t>
                  </w:r>
                </w:p>
              </w:tc>
              <w:tc>
                <w:tcPr>
                  <w:tcW w:w="695" w:type="dxa"/>
                  <w:tcBorders>
                    <w:tl2br w:val="nil"/>
                    <w:tr2bl w:val="nil"/>
                  </w:tcBorders>
                  <w:vAlign w:val="center"/>
                </w:tcPr>
                <w:p>
                  <w:pPr>
                    <w:jc w:val="center"/>
                    <w:rPr>
                      <w:rFonts w:cs="Calibri"/>
                      <w:sz w:val="21"/>
                    </w:rPr>
                  </w:pPr>
                  <w:r>
                    <w:rPr>
                      <w:rFonts w:cs="Calibri"/>
                      <w:sz w:val="21"/>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22" w:type="dxa"/>
                  <w:tcBorders>
                    <w:tl2br w:val="nil"/>
                    <w:tr2bl w:val="nil"/>
                  </w:tcBorders>
                  <w:vAlign w:val="center"/>
                </w:tcPr>
                <w:p>
                  <w:pPr>
                    <w:jc w:val="center"/>
                    <w:rPr>
                      <w:rFonts w:cs="Calibri"/>
                      <w:sz w:val="21"/>
                    </w:rPr>
                  </w:pPr>
                  <w:r>
                    <w:rPr>
                      <w:rFonts w:cs="Calibri"/>
                      <w:sz w:val="21"/>
                    </w:rPr>
                    <w:t>混凝土输送泵</w:t>
                  </w:r>
                </w:p>
              </w:tc>
              <w:tc>
                <w:tcPr>
                  <w:tcW w:w="465" w:type="dxa"/>
                  <w:tcBorders>
                    <w:tl2br w:val="nil"/>
                    <w:tr2bl w:val="nil"/>
                  </w:tcBorders>
                  <w:vAlign w:val="center"/>
                </w:tcPr>
                <w:p>
                  <w:pPr>
                    <w:jc w:val="center"/>
                    <w:rPr>
                      <w:rFonts w:cs="Calibri"/>
                      <w:sz w:val="21"/>
                    </w:rPr>
                  </w:pPr>
                  <w:r>
                    <w:rPr>
                      <w:rFonts w:cs="Calibri"/>
                      <w:sz w:val="21"/>
                    </w:rPr>
                    <w:t>95</w:t>
                  </w:r>
                </w:p>
              </w:tc>
              <w:tc>
                <w:tcPr>
                  <w:tcW w:w="562" w:type="dxa"/>
                  <w:tcBorders>
                    <w:tl2br w:val="nil"/>
                    <w:tr2bl w:val="nil"/>
                  </w:tcBorders>
                  <w:vAlign w:val="center"/>
                </w:tcPr>
                <w:p>
                  <w:pPr>
                    <w:jc w:val="center"/>
                    <w:rPr>
                      <w:rFonts w:cs="Calibri"/>
                      <w:sz w:val="21"/>
                    </w:rPr>
                  </w:pPr>
                  <w:r>
                    <w:rPr>
                      <w:rFonts w:cs="Calibri"/>
                      <w:sz w:val="21"/>
                    </w:rPr>
                    <w:t>81</w:t>
                  </w:r>
                </w:p>
              </w:tc>
              <w:tc>
                <w:tcPr>
                  <w:tcW w:w="590" w:type="dxa"/>
                  <w:tcBorders>
                    <w:tl2br w:val="nil"/>
                    <w:tr2bl w:val="nil"/>
                  </w:tcBorders>
                  <w:vAlign w:val="center"/>
                </w:tcPr>
                <w:p>
                  <w:pPr>
                    <w:jc w:val="center"/>
                    <w:rPr>
                      <w:rFonts w:cs="Calibri"/>
                      <w:sz w:val="21"/>
                    </w:rPr>
                  </w:pPr>
                  <w:r>
                    <w:rPr>
                      <w:rFonts w:cs="Calibri"/>
                      <w:sz w:val="21"/>
                    </w:rPr>
                    <w:t>75</w:t>
                  </w:r>
                </w:p>
              </w:tc>
              <w:tc>
                <w:tcPr>
                  <w:tcW w:w="590" w:type="dxa"/>
                  <w:tcBorders>
                    <w:tl2br w:val="nil"/>
                    <w:tr2bl w:val="nil"/>
                  </w:tcBorders>
                  <w:vAlign w:val="center"/>
                </w:tcPr>
                <w:p>
                  <w:pPr>
                    <w:jc w:val="center"/>
                    <w:rPr>
                      <w:rFonts w:cs="Calibri"/>
                      <w:sz w:val="21"/>
                    </w:rPr>
                  </w:pPr>
                  <w:r>
                    <w:rPr>
                      <w:rFonts w:cs="Calibri"/>
                      <w:sz w:val="21"/>
                    </w:rPr>
                    <w:t>69</w:t>
                  </w:r>
                </w:p>
              </w:tc>
              <w:tc>
                <w:tcPr>
                  <w:tcW w:w="590" w:type="dxa"/>
                  <w:tcBorders>
                    <w:tl2br w:val="nil"/>
                    <w:tr2bl w:val="nil"/>
                  </w:tcBorders>
                  <w:vAlign w:val="center"/>
                </w:tcPr>
                <w:p>
                  <w:pPr>
                    <w:jc w:val="center"/>
                    <w:rPr>
                      <w:rFonts w:cs="Calibri"/>
                      <w:sz w:val="21"/>
                    </w:rPr>
                  </w:pPr>
                  <w:r>
                    <w:rPr>
                      <w:rFonts w:cs="Calibri"/>
                      <w:sz w:val="21"/>
                    </w:rPr>
                    <w:t>63</w:t>
                  </w:r>
                </w:p>
              </w:tc>
              <w:tc>
                <w:tcPr>
                  <w:tcW w:w="590" w:type="dxa"/>
                  <w:tcBorders>
                    <w:tl2br w:val="nil"/>
                    <w:tr2bl w:val="nil"/>
                  </w:tcBorders>
                  <w:vAlign w:val="center"/>
                </w:tcPr>
                <w:p>
                  <w:pPr>
                    <w:jc w:val="center"/>
                    <w:rPr>
                      <w:rFonts w:cs="Calibri"/>
                      <w:sz w:val="21"/>
                    </w:rPr>
                  </w:pPr>
                  <w:r>
                    <w:rPr>
                      <w:rFonts w:cs="Calibri"/>
                      <w:sz w:val="21"/>
                    </w:rPr>
                    <w:t>61</w:t>
                  </w:r>
                </w:p>
              </w:tc>
              <w:tc>
                <w:tcPr>
                  <w:tcW w:w="695" w:type="dxa"/>
                  <w:tcBorders>
                    <w:tl2br w:val="nil"/>
                    <w:tr2bl w:val="nil"/>
                  </w:tcBorders>
                  <w:vAlign w:val="center"/>
                </w:tcPr>
                <w:p>
                  <w:pPr>
                    <w:jc w:val="center"/>
                    <w:rPr>
                      <w:rFonts w:cs="Calibri"/>
                      <w:sz w:val="21"/>
                    </w:rPr>
                  </w:pPr>
                  <w:r>
                    <w:rPr>
                      <w:rFonts w:cs="Calibri"/>
                      <w:sz w:val="21"/>
                    </w:rPr>
                    <w:t>55</w:t>
                  </w:r>
                </w:p>
              </w:tc>
              <w:tc>
                <w:tcPr>
                  <w:tcW w:w="777" w:type="dxa"/>
                  <w:tcBorders>
                    <w:tl2br w:val="nil"/>
                    <w:tr2bl w:val="nil"/>
                  </w:tcBorders>
                  <w:vAlign w:val="center"/>
                </w:tcPr>
                <w:p>
                  <w:pPr>
                    <w:jc w:val="center"/>
                    <w:rPr>
                      <w:rFonts w:cs="Calibri"/>
                      <w:sz w:val="21"/>
                    </w:rPr>
                  </w:pPr>
                  <w:r>
                    <w:rPr>
                      <w:rFonts w:cs="Calibri"/>
                      <w:sz w:val="21"/>
                    </w:rPr>
                    <w:t>51</w:t>
                  </w:r>
                </w:p>
              </w:tc>
              <w:tc>
                <w:tcPr>
                  <w:tcW w:w="712" w:type="dxa"/>
                  <w:tcBorders>
                    <w:tl2br w:val="nil"/>
                    <w:tr2bl w:val="nil"/>
                  </w:tcBorders>
                  <w:vAlign w:val="center"/>
                </w:tcPr>
                <w:p>
                  <w:pPr>
                    <w:jc w:val="center"/>
                    <w:rPr>
                      <w:rFonts w:cs="Calibri"/>
                      <w:sz w:val="21"/>
                    </w:rPr>
                  </w:pPr>
                  <w:r>
                    <w:rPr>
                      <w:rFonts w:cs="Calibri"/>
                      <w:sz w:val="21"/>
                    </w:rPr>
                    <w:t>49</w:t>
                  </w:r>
                </w:p>
              </w:tc>
              <w:tc>
                <w:tcPr>
                  <w:tcW w:w="695" w:type="dxa"/>
                  <w:tcBorders>
                    <w:tl2br w:val="nil"/>
                    <w:tr2bl w:val="nil"/>
                  </w:tcBorders>
                  <w:vAlign w:val="center"/>
                </w:tcPr>
                <w:p>
                  <w:pPr>
                    <w:jc w:val="center"/>
                    <w:rPr>
                      <w:rFonts w:cs="Calibri"/>
                      <w:sz w:val="21"/>
                    </w:rPr>
                  </w:pPr>
                  <w:r>
                    <w:rPr>
                      <w:rFonts w:cs="Calibri"/>
                      <w:sz w:val="21"/>
                    </w:rPr>
                    <w:t>45</w:t>
                  </w:r>
                </w:p>
              </w:tc>
              <w:tc>
                <w:tcPr>
                  <w:tcW w:w="695" w:type="dxa"/>
                  <w:tcBorders>
                    <w:tl2br w:val="nil"/>
                    <w:tr2bl w:val="nil"/>
                  </w:tcBorders>
                  <w:vAlign w:val="center"/>
                </w:tcPr>
                <w:p>
                  <w:pPr>
                    <w:jc w:val="center"/>
                    <w:rPr>
                      <w:rFonts w:cs="Calibri"/>
                      <w:sz w:val="21"/>
                    </w:rPr>
                  </w:pPr>
                  <w:r>
                    <w:rPr>
                      <w:rFonts w:cs="Calibri"/>
                      <w:sz w:val="21"/>
                    </w:rPr>
                    <w:t>43</w:t>
                  </w:r>
                </w:p>
              </w:tc>
            </w:tr>
          </w:tbl>
          <w:p>
            <w:pPr>
              <w:spacing w:line="360" w:lineRule="auto"/>
              <w:ind w:firstLine="480" w:firstLineChars="200"/>
              <w:rPr>
                <w:rFonts w:cs="Calibri"/>
                <w:sz w:val="24"/>
              </w:rPr>
            </w:pPr>
            <w:r>
              <w:rPr>
                <w:rFonts w:cs="Calibri"/>
                <w:sz w:val="24"/>
              </w:rPr>
              <w:t>由上表可知，一般施工机械噪声在场区中心施工时对场界外影响很小，但在场界附近施工时，昼间影响范围达到100m，夜间影响范围达200m。施工噪声对</w:t>
            </w:r>
            <w:r>
              <w:rPr>
                <w:rFonts w:hint="eastAsia" w:cs="Calibri"/>
                <w:sz w:val="24"/>
              </w:rPr>
              <w:t>周边居民</w:t>
            </w:r>
            <w:r>
              <w:rPr>
                <w:rFonts w:cs="Calibri"/>
                <w:sz w:val="24"/>
              </w:rPr>
              <w:t>有一定的影响。</w:t>
            </w:r>
          </w:p>
          <w:p>
            <w:pPr>
              <w:spacing w:line="360" w:lineRule="auto"/>
              <w:ind w:firstLine="480" w:firstLineChars="200"/>
              <w:rPr>
                <w:rFonts w:cs="Calibri"/>
                <w:sz w:val="24"/>
              </w:rPr>
            </w:pPr>
            <w:r>
              <w:rPr>
                <w:rFonts w:cs="Calibri"/>
                <w:sz w:val="24"/>
              </w:rPr>
              <w:t>施工噪声具有阶段性、临时性和不固定性，随着施工阶段的不同，施工噪声影响也不同，施工结束时，施工噪声也自行结束。</w:t>
            </w:r>
          </w:p>
          <w:p>
            <w:pPr>
              <w:spacing w:line="360" w:lineRule="auto"/>
              <w:ind w:firstLine="480" w:firstLineChars="200"/>
              <w:rPr>
                <w:sz w:val="24"/>
              </w:rPr>
            </w:pPr>
            <w:r>
              <w:rPr>
                <w:sz w:val="24"/>
              </w:rPr>
              <w:t>（2）噪声污染控制措施</w:t>
            </w:r>
          </w:p>
          <w:p>
            <w:pPr>
              <w:spacing w:line="360" w:lineRule="auto"/>
              <w:ind w:firstLine="480" w:firstLineChars="200"/>
              <w:rPr>
                <w:rFonts w:cs="Calibri"/>
                <w:sz w:val="24"/>
              </w:rPr>
            </w:pPr>
            <w:r>
              <w:rPr>
                <w:rFonts w:hint="eastAsia" w:ascii="宋体" w:hAnsi="宋体" w:cs="宋体"/>
                <w:sz w:val="24"/>
              </w:rPr>
              <w:t>①</w:t>
            </w:r>
            <w:r>
              <w:rPr>
                <w:rFonts w:cs="Calibri"/>
                <w:sz w:val="24"/>
              </w:rPr>
              <w:t>选用低噪声施工设备，如以液压机械代替燃油机械，低频振捣器代替高频振捣器等。固定机械设备与挖土、运土机械，如挖土机、推土机等，可以通过排气管消音器和隔离发机振动部件的方法降低噪声。对动力机械设备应进行定期的维修、养护。</w:t>
            </w:r>
          </w:p>
          <w:p>
            <w:pPr>
              <w:spacing w:line="360" w:lineRule="auto"/>
              <w:ind w:firstLine="480" w:firstLineChars="200"/>
              <w:rPr>
                <w:rFonts w:cs="Calibri"/>
                <w:sz w:val="24"/>
              </w:rPr>
            </w:pPr>
            <w:r>
              <w:rPr>
                <w:rFonts w:hint="eastAsia" w:ascii="宋体" w:hAnsi="宋体" w:cs="宋体"/>
                <w:sz w:val="24"/>
              </w:rPr>
              <w:t>②</w:t>
            </w:r>
            <w:r>
              <w:rPr>
                <w:rFonts w:cs="Calibri"/>
                <w:sz w:val="24"/>
              </w:rPr>
              <w:t>合理安排施工作业，尽量避免多台强噪声施工机械在同一地点同时施工。</w:t>
            </w:r>
          </w:p>
          <w:p>
            <w:pPr>
              <w:spacing w:line="360" w:lineRule="auto"/>
              <w:ind w:firstLine="480" w:firstLineChars="200"/>
              <w:rPr>
                <w:rFonts w:cs="Calibri"/>
                <w:sz w:val="24"/>
              </w:rPr>
            </w:pPr>
            <w:r>
              <w:rPr>
                <w:rFonts w:hint="eastAsia" w:ascii="宋体" w:hAnsi="宋体" w:cs="宋体"/>
                <w:sz w:val="24"/>
              </w:rPr>
              <w:t>③</w:t>
            </w:r>
            <w:r>
              <w:rPr>
                <w:rFonts w:cs="Calibri"/>
                <w:sz w:val="24"/>
              </w:rPr>
              <w:t>施工期噪声应按《建筑施工场界噪声限值》（GB12523-2011）进行控制，应合理安排施工时间，尽量避免高噪声设备同时施工，应限制夜间高噪声设备的施工时间，在夜间10点至次日早上6点禁止施工，如确因工程施工需要，需向环保部门</w:t>
            </w:r>
            <w:r>
              <w:rPr>
                <w:rFonts w:hint="eastAsia" w:cs="Calibri"/>
                <w:sz w:val="24"/>
              </w:rPr>
              <w:t>进行备案</w:t>
            </w:r>
            <w:r>
              <w:rPr>
                <w:rFonts w:cs="Calibri"/>
                <w:sz w:val="24"/>
              </w:rPr>
              <w:t>，并需告知附近居民，尽量做到施工建设时噪声对影响区公众的不利影响降至最小。另外，施工过程中业主应充分协调好关系，确保不发生环境纠纷。</w:t>
            </w:r>
          </w:p>
          <w:p>
            <w:pPr>
              <w:spacing w:line="360" w:lineRule="auto"/>
              <w:ind w:firstLine="482" w:firstLineChars="200"/>
              <w:rPr>
                <w:rFonts w:cs="Calibri"/>
                <w:b/>
                <w:sz w:val="24"/>
              </w:rPr>
            </w:pPr>
            <w:r>
              <w:rPr>
                <w:rFonts w:hint="eastAsia" w:cs="Calibri"/>
                <w:b/>
                <w:sz w:val="24"/>
              </w:rPr>
              <w:t>4、</w:t>
            </w:r>
            <w:r>
              <w:rPr>
                <w:rFonts w:cs="Calibri"/>
                <w:b/>
                <w:sz w:val="24"/>
              </w:rPr>
              <w:t>施工期固体废物影响分析</w:t>
            </w:r>
          </w:p>
          <w:p>
            <w:pPr>
              <w:spacing w:line="360" w:lineRule="auto"/>
              <w:ind w:firstLine="480" w:firstLineChars="200"/>
              <w:rPr>
                <w:rFonts w:cs="Calibri"/>
                <w:sz w:val="24"/>
              </w:rPr>
            </w:pPr>
            <w:r>
              <w:rPr>
                <w:rFonts w:cs="Calibri"/>
                <w:sz w:val="24"/>
              </w:rPr>
              <w:t>（1）固体废物影响分析</w:t>
            </w:r>
          </w:p>
          <w:p>
            <w:pPr>
              <w:spacing w:line="360" w:lineRule="auto"/>
              <w:ind w:firstLine="480" w:firstLineChars="200"/>
              <w:rPr>
                <w:rFonts w:cs="Calibri"/>
                <w:sz w:val="24"/>
              </w:rPr>
            </w:pPr>
            <w:r>
              <w:rPr>
                <w:rFonts w:cs="Calibri"/>
                <w:sz w:val="24"/>
              </w:rPr>
              <w:t>施工期产生的固体废物主要为建筑物建设过程产生建筑垃圾以及少量施工人员生活垃圾等。</w:t>
            </w:r>
          </w:p>
          <w:p>
            <w:pPr>
              <w:spacing w:line="360" w:lineRule="auto"/>
              <w:ind w:firstLine="480" w:firstLineChars="200"/>
              <w:rPr>
                <w:rFonts w:cs="Calibri"/>
                <w:sz w:val="24"/>
              </w:rPr>
            </w:pPr>
            <w:r>
              <w:rPr>
                <w:rFonts w:cs="Calibri"/>
                <w:sz w:val="24"/>
              </w:rPr>
              <w:t>建筑垃圾主要来自建筑装修过程中产生的碎石、废木料、废金属等杂物。本项目建筑垃圾的处置严格按《城市建筑垃圾管理规定》的要求及时清运至项目附近的建筑垃圾消纳场，对周边环境影响较小。</w:t>
            </w:r>
          </w:p>
          <w:p>
            <w:pPr>
              <w:spacing w:line="360" w:lineRule="auto"/>
              <w:ind w:firstLine="480" w:firstLineChars="200"/>
              <w:rPr>
                <w:rFonts w:cs="Calibri"/>
                <w:sz w:val="24"/>
              </w:rPr>
            </w:pPr>
            <w:r>
              <w:rPr>
                <w:rFonts w:cs="Calibri"/>
                <w:sz w:val="24"/>
              </w:rPr>
              <w:t>施工期生活垃圾集中堆放，严禁乱扔乱弃、污染环境，并定期清运至城镇垃圾处理场，对周边环境影响较小。</w:t>
            </w:r>
          </w:p>
          <w:p>
            <w:pPr>
              <w:spacing w:line="360" w:lineRule="auto"/>
              <w:ind w:firstLine="480" w:firstLineChars="200"/>
              <w:rPr>
                <w:rFonts w:cs="Calibri"/>
                <w:sz w:val="24"/>
              </w:rPr>
            </w:pPr>
            <w:r>
              <w:rPr>
                <w:rFonts w:cs="Calibri"/>
                <w:sz w:val="24"/>
              </w:rPr>
              <w:t>（2）固体废物污染防治措施</w:t>
            </w:r>
          </w:p>
          <w:p>
            <w:pPr>
              <w:spacing w:line="360" w:lineRule="auto"/>
              <w:ind w:firstLine="480" w:firstLineChars="200"/>
              <w:rPr>
                <w:rFonts w:cs="Calibri"/>
                <w:sz w:val="24"/>
              </w:rPr>
            </w:pPr>
            <w:r>
              <w:rPr>
                <w:rFonts w:hint="eastAsia" w:ascii="宋体" w:hAnsi="宋体" w:cs="宋体"/>
                <w:sz w:val="24"/>
              </w:rPr>
              <w:t>①</w:t>
            </w:r>
            <w:r>
              <w:rPr>
                <w:rFonts w:cs="Calibri"/>
                <w:sz w:val="24"/>
              </w:rPr>
              <w:t>在施工过程中施工弃渣均要求集中堆置于临时弃渣场或用于地基填筑，临时弃渣场采取彩条布覆盖等临时防护措施；</w:t>
            </w:r>
          </w:p>
          <w:p>
            <w:pPr>
              <w:spacing w:line="360" w:lineRule="auto"/>
              <w:ind w:firstLine="480" w:firstLineChars="200"/>
              <w:rPr>
                <w:rFonts w:cs="Calibri"/>
                <w:sz w:val="24"/>
              </w:rPr>
            </w:pPr>
            <w:r>
              <w:rPr>
                <w:rFonts w:hint="eastAsia" w:ascii="宋体" w:hAnsi="宋体" w:cs="宋体"/>
                <w:sz w:val="24"/>
              </w:rPr>
              <w:t>②</w:t>
            </w:r>
            <w:r>
              <w:rPr>
                <w:rFonts w:cs="Calibri"/>
                <w:sz w:val="24"/>
              </w:rPr>
              <w:t>在施工中应做到规范施工，文明施工，规范运输，施工场地应保持整洁卫生，渣土、弃土要及时清理，及时运走；</w:t>
            </w:r>
          </w:p>
          <w:p>
            <w:pPr>
              <w:spacing w:line="360" w:lineRule="auto"/>
              <w:ind w:firstLine="480" w:firstLineChars="200"/>
              <w:rPr>
                <w:rFonts w:cs="Calibri"/>
                <w:sz w:val="24"/>
              </w:rPr>
            </w:pPr>
            <w:r>
              <w:rPr>
                <w:rFonts w:hint="eastAsia" w:ascii="宋体" w:hAnsi="宋体" w:cs="宋体"/>
                <w:sz w:val="24"/>
              </w:rPr>
              <w:t>③</w:t>
            </w:r>
            <w:r>
              <w:rPr>
                <w:rFonts w:cs="Calibri"/>
                <w:sz w:val="24"/>
              </w:rPr>
              <w:t>对建筑垃圾临时堆放场应采取覆盖措施，避免产生水土流失。</w:t>
            </w:r>
          </w:p>
          <w:p>
            <w:pPr>
              <w:spacing w:line="360" w:lineRule="auto"/>
              <w:ind w:firstLine="480" w:firstLineChars="200"/>
              <w:rPr>
                <w:rFonts w:cs="Calibri"/>
                <w:sz w:val="24"/>
              </w:rPr>
            </w:pPr>
            <w:r>
              <w:rPr>
                <w:rFonts w:hint="eastAsia" w:ascii="宋体" w:hAnsi="宋体" w:cs="宋体"/>
                <w:sz w:val="24"/>
              </w:rPr>
              <w:t>④</w:t>
            </w:r>
            <w:r>
              <w:rPr>
                <w:rFonts w:cs="Calibri"/>
                <w:sz w:val="24"/>
              </w:rPr>
              <w:t>主体工程开挖产生的少量土方集中临时堆放于建筑物周边空隙地用于后期绿化用土，无需土方外运，土方临时堆放场应采取覆盖措施。</w:t>
            </w:r>
          </w:p>
          <w:p>
            <w:pPr>
              <w:spacing w:line="360" w:lineRule="auto"/>
              <w:ind w:firstLine="482" w:firstLineChars="200"/>
              <w:rPr>
                <w:rFonts w:cs="Calibri"/>
                <w:b/>
                <w:sz w:val="24"/>
                <w:szCs w:val="22"/>
              </w:rPr>
            </w:pPr>
            <w:r>
              <w:rPr>
                <w:rFonts w:hint="eastAsia" w:cs="Calibri"/>
                <w:b/>
                <w:sz w:val="24"/>
                <w:szCs w:val="22"/>
              </w:rPr>
              <w:t>5、</w:t>
            </w:r>
            <w:r>
              <w:rPr>
                <w:rFonts w:cs="Calibri"/>
                <w:b/>
                <w:sz w:val="24"/>
                <w:szCs w:val="22"/>
              </w:rPr>
              <w:t>施工期生态影响</w:t>
            </w:r>
          </w:p>
          <w:p>
            <w:pPr>
              <w:spacing w:line="360" w:lineRule="auto"/>
              <w:ind w:firstLine="480" w:firstLineChars="200"/>
              <w:rPr>
                <w:rFonts w:cs="Calibri"/>
                <w:sz w:val="24"/>
              </w:rPr>
            </w:pPr>
            <w:r>
              <w:rPr>
                <w:rFonts w:cs="Calibri"/>
                <w:sz w:val="24"/>
              </w:rPr>
              <w:t>（1）生态环境影响</w:t>
            </w:r>
          </w:p>
          <w:p>
            <w:pPr>
              <w:spacing w:line="360" w:lineRule="auto"/>
              <w:ind w:firstLine="480" w:firstLineChars="200"/>
              <w:rPr>
                <w:rFonts w:cs="Calibri"/>
                <w:sz w:val="24"/>
              </w:rPr>
            </w:pPr>
            <w:r>
              <w:rPr>
                <w:rFonts w:cs="Calibri"/>
                <w:sz w:val="24"/>
              </w:rPr>
              <w:t>据现场调查，用地类型主要为荒地；园地植物主要为柚子、橘子等，林地主要为松树、樟树及灌木丛，动物主要为老鼠、青蛙、麻雀等常见动物。由于建设地及其附近没有生态环境敏感地区和受保护的动植被，因此，项目建设对植被的影响总体影响较小。施工期对生态环境的影响主要表现为水体流失影响。施工过程由于扰动表土结构，土壤抗蚀能力降低，地表裸露，在地表径流的作用下，可能造成水土流失。工程施工可能造成的水土流失面积主要包括以下2个方面：</w:t>
            </w:r>
          </w:p>
          <w:p>
            <w:pPr>
              <w:spacing w:line="360" w:lineRule="auto"/>
              <w:ind w:firstLine="480" w:firstLineChars="200"/>
              <w:rPr>
                <w:rFonts w:cs="Calibri"/>
                <w:sz w:val="24"/>
              </w:rPr>
            </w:pPr>
            <w:r>
              <w:rPr>
                <w:rFonts w:hint="eastAsia" w:ascii="宋体" w:hAnsi="宋体" w:cs="宋体"/>
                <w:sz w:val="24"/>
              </w:rPr>
              <w:t>①</w:t>
            </w:r>
            <w:r>
              <w:rPr>
                <w:rFonts w:cs="Calibri"/>
                <w:sz w:val="24"/>
              </w:rPr>
              <w:t>基础开挖、场地平整、主体工程施工等对原有地表的扰动，使其地表建筑物、植被等受到破坏，水土保持能力降低。</w:t>
            </w:r>
          </w:p>
          <w:p>
            <w:pPr>
              <w:spacing w:line="360" w:lineRule="auto"/>
              <w:ind w:firstLine="480" w:firstLineChars="200"/>
              <w:rPr>
                <w:rFonts w:cs="Calibri"/>
                <w:sz w:val="24"/>
              </w:rPr>
            </w:pPr>
            <w:r>
              <w:rPr>
                <w:rFonts w:hint="eastAsia" w:ascii="宋体" w:hAnsi="宋体" w:cs="宋体"/>
                <w:sz w:val="24"/>
              </w:rPr>
              <w:t>②</w:t>
            </w:r>
            <w:r>
              <w:rPr>
                <w:rFonts w:cs="Calibri"/>
                <w:sz w:val="24"/>
              </w:rPr>
              <w:t>临时弃土、弃渣堆置，产生新的裸露地表，受雨水冲刷极易产生大的水土流失。</w:t>
            </w:r>
          </w:p>
          <w:p>
            <w:pPr>
              <w:spacing w:line="360" w:lineRule="auto"/>
              <w:ind w:firstLine="480" w:firstLineChars="200"/>
              <w:rPr>
                <w:rFonts w:cs="Calibri"/>
                <w:sz w:val="24"/>
              </w:rPr>
            </w:pPr>
            <w:r>
              <w:rPr>
                <w:rFonts w:cs="Calibri"/>
                <w:sz w:val="24"/>
              </w:rPr>
              <w:t>（2）水土流失防治措施</w:t>
            </w:r>
          </w:p>
          <w:p>
            <w:pPr>
              <w:spacing w:line="360" w:lineRule="auto"/>
              <w:ind w:firstLine="480" w:firstLineChars="200"/>
              <w:rPr>
                <w:rFonts w:cs="Calibri"/>
                <w:sz w:val="24"/>
              </w:rPr>
            </w:pPr>
            <w:r>
              <w:rPr>
                <w:rFonts w:cs="Calibri"/>
                <w:sz w:val="24"/>
              </w:rPr>
              <w:t>在建设期间，由于工程建设扰动地表，并造成土体裸露，使疏松土体直接受降雨及径流的综合作用发生水土流失，根据工程的平面设计及工程所导致的水土流失特点采取如下措施进行防治：</w:t>
            </w:r>
          </w:p>
          <w:p>
            <w:pPr>
              <w:spacing w:line="360" w:lineRule="auto"/>
              <w:ind w:firstLine="480" w:firstLineChars="200"/>
              <w:rPr>
                <w:rFonts w:cs="Calibri"/>
                <w:sz w:val="24"/>
              </w:rPr>
            </w:pPr>
            <w:r>
              <w:rPr>
                <w:rFonts w:hint="eastAsia" w:ascii="宋体" w:hAnsi="宋体" w:cs="宋体"/>
                <w:sz w:val="24"/>
              </w:rPr>
              <w:t>①</w:t>
            </w:r>
            <w:r>
              <w:rPr>
                <w:rFonts w:cs="Calibri"/>
                <w:sz w:val="24"/>
              </w:rPr>
              <w:t>在本工程用地区外围修建围墙，以确保施工所引起的水土流失不流出项目的防治范围；</w:t>
            </w:r>
          </w:p>
          <w:p>
            <w:pPr>
              <w:spacing w:line="360" w:lineRule="auto"/>
              <w:ind w:firstLine="480" w:firstLineChars="200"/>
              <w:rPr>
                <w:rFonts w:cs="Calibri"/>
                <w:sz w:val="24"/>
              </w:rPr>
            </w:pPr>
            <w:r>
              <w:rPr>
                <w:rFonts w:hint="eastAsia" w:ascii="宋体" w:hAnsi="宋体" w:cs="宋体"/>
                <w:sz w:val="24"/>
              </w:rPr>
              <w:t>②</w:t>
            </w:r>
            <w:r>
              <w:rPr>
                <w:rFonts w:cs="Calibri"/>
                <w:sz w:val="24"/>
              </w:rPr>
              <w:t>对于施工产生的建筑垃圾，应选择合适的堆场，并采取覆盖措施，避免造成植被破坏和水土流失；</w:t>
            </w:r>
          </w:p>
          <w:p>
            <w:pPr>
              <w:spacing w:line="360" w:lineRule="auto"/>
              <w:ind w:firstLine="480" w:firstLineChars="200"/>
              <w:rPr>
                <w:rFonts w:cs="Calibri"/>
                <w:sz w:val="24"/>
              </w:rPr>
            </w:pPr>
            <w:r>
              <w:rPr>
                <w:rFonts w:hint="eastAsia" w:ascii="宋体" w:hAnsi="宋体" w:cs="宋体"/>
                <w:sz w:val="24"/>
              </w:rPr>
              <w:t>③</w:t>
            </w:r>
            <w:r>
              <w:rPr>
                <w:rFonts w:cs="Calibri"/>
                <w:sz w:val="24"/>
              </w:rPr>
              <w:t>在土方场地平整后，围墙建设的同时，对道路、堆场等地点进行硬化措施，既起到防治水土流失的目的，也方便后期施工；</w:t>
            </w:r>
          </w:p>
          <w:p>
            <w:pPr>
              <w:spacing w:line="360" w:lineRule="auto"/>
              <w:ind w:firstLine="480" w:firstLineChars="200"/>
              <w:rPr>
                <w:rFonts w:cs="Calibri"/>
                <w:sz w:val="24"/>
              </w:rPr>
            </w:pPr>
            <w:r>
              <w:rPr>
                <w:rFonts w:hint="eastAsia" w:ascii="宋体" w:hAnsi="宋体" w:cs="宋体"/>
                <w:sz w:val="24"/>
              </w:rPr>
              <w:t>④</w:t>
            </w:r>
            <w:r>
              <w:rPr>
                <w:rFonts w:cs="Calibri"/>
                <w:sz w:val="24"/>
              </w:rPr>
              <w:t>主体工程的土方填筑结束后，立即对绿化区回填表土植种草木，项目区建成后尽快恢复恢复周围受影响的植被，做好项目区内的绿化规划；</w:t>
            </w:r>
          </w:p>
          <w:p>
            <w:pPr>
              <w:spacing w:line="360" w:lineRule="auto"/>
              <w:ind w:firstLine="480" w:firstLineChars="200"/>
              <w:rPr>
                <w:rFonts w:cs="Calibri"/>
                <w:sz w:val="24"/>
              </w:rPr>
            </w:pPr>
            <w:r>
              <w:rPr>
                <w:rFonts w:hint="eastAsia" w:ascii="宋体" w:hAnsi="宋体" w:cs="宋体"/>
                <w:sz w:val="24"/>
              </w:rPr>
              <w:t>⑤</w:t>
            </w:r>
            <w:r>
              <w:rPr>
                <w:rFonts w:cs="Calibri"/>
                <w:sz w:val="24"/>
              </w:rPr>
              <w:t>水土保持方案与工程主体建设同步，边施工边治理，把水土流失降到最低程度。</w:t>
            </w:r>
          </w:p>
          <w:p>
            <w:pPr>
              <w:tabs>
                <w:tab w:val="left" w:pos="1900"/>
              </w:tabs>
              <w:adjustRightInd w:val="0"/>
              <w:snapToGrid w:val="0"/>
              <w:spacing w:line="560" w:lineRule="exact"/>
              <w:rPr>
                <w:b/>
                <w:bCs/>
                <w:sz w:val="24"/>
              </w:rPr>
            </w:pPr>
            <w:r>
              <w:rPr>
                <w:b/>
                <w:sz w:val="24"/>
              </w:rPr>
              <w:t>营运期环境影响分析：</w:t>
            </w:r>
            <w:r>
              <w:rPr>
                <w:b/>
                <w:bCs/>
                <w:sz w:val="24"/>
              </w:rPr>
              <w:t xml:space="preserve"> </w:t>
            </w:r>
          </w:p>
          <w:p>
            <w:pPr>
              <w:spacing w:line="360" w:lineRule="auto"/>
              <w:ind w:firstLine="482" w:firstLineChars="200"/>
              <w:rPr>
                <w:rFonts w:cs="Calibri"/>
                <w:b/>
                <w:sz w:val="24"/>
              </w:rPr>
            </w:pPr>
            <w:r>
              <w:rPr>
                <w:rFonts w:cs="Calibri"/>
                <w:b/>
                <w:sz w:val="24"/>
              </w:rPr>
              <w:t>1、水环境质量影响分析</w:t>
            </w:r>
          </w:p>
          <w:p>
            <w:pPr>
              <w:spacing w:line="360" w:lineRule="auto"/>
              <w:ind w:firstLine="480" w:firstLineChars="200"/>
              <w:rPr>
                <w:sz w:val="24"/>
              </w:rPr>
            </w:pPr>
            <w:r>
              <w:rPr>
                <w:kern w:val="0"/>
                <w:sz w:val="24"/>
              </w:rPr>
              <w:t>本项目涉及的用水主要为</w:t>
            </w:r>
            <w:r>
              <w:rPr>
                <w:rFonts w:hint="eastAsia"/>
                <w:kern w:val="0"/>
                <w:sz w:val="24"/>
              </w:rPr>
              <w:t>清洗原材料用水、车辆</w:t>
            </w:r>
            <w:r>
              <w:rPr>
                <w:kern w:val="0"/>
                <w:sz w:val="24"/>
              </w:rPr>
              <w:t>清洗用水、生活用水、降尘洒水用水等，其中生活用水由</w:t>
            </w:r>
            <w:r>
              <w:rPr>
                <w:rFonts w:hint="eastAsia"/>
                <w:kern w:val="0"/>
                <w:sz w:val="24"/>
              </w:rPr>
              <w:t>供水管网</w:t>
            </w:r>
            <w:r>
              <w:rPr>
                <w:sz w:val="24"/>
              </w:rPr>
              <w:t>供给，其余用水来自项目</w:t>
            </w:r>
            <w:r>
              <w:rPr>
                <w:rFonts w:hint="eastAsia"/>
                <w:sz w:val="24"/>
              </w:rPr>
              <w:t>沉淀池</w:t>
            </w:r>
            <w:r>
              <w:rPr>
                <w:kern w:val="0"/>
                <w:sz w:val="24"/>
              </w:rPr>
              <w:t>。项目清洗原材料用水</w:t>
            </w:r>
            <w:r>
              <w:rPr>
                <w:rFonts w:hint="eastAsia"/>
                <w:kern w:val="0"/>
                <w:sz w:val="24"/>
              </w:rPr>
              <w:t>、车辆</w:t>
            </w:r>
            <w:r>
              <w:rPr>
                <w:kern w:val="0"/>
                <w:sz w:val="24"/>
              </w:rPr>
              <w:t>清洗用水进入</w:t>
            </w:r>
            <w:r>
              <w:rPr>
                <w:rFonts w:hint="eastAsia"/>
                <w:kern w:val="0"/>
                <w:sz w:val="24"/>
              </w:rPr>
              <w:t>沉淀池沉淀后循环使用</w:t>
            </w:r>
            <w:r>
              <w:rPr>
                <w:kern w:val="0"/>
                <w:sz w:val="24"/>
              </w:rPr>
              <w:t>，不外排；降尘洒水主要蒸发损耗，不外排；</w:t>
            </w:r>
            <w:r>
              <w:rPr>
                <w:sz w:val="24"/>
              </w:rPr>
              <w:t>项</w:t>
            </w:r>
            <w:r>
              <w:rPr>
                <w:spacing w:val="2"/>
                <w:sz w:val="24"/>
              </w:rPr>
              <w:t>目生活污水经化粪池处理后用于</w:t>
            </w:r>
            <w:r>
              <w:rPr>
                <w:sz w:val="24"/>
              </w:rPr>
              <w:t>周围农田菜地施肥，不外排。本项目的初期雨水直接导入项目区沉淀池，用于项目生产。</w:t>
            </w:r>
          </w:p>
          <w:p>
            <w:pPr>
              <w:pStyle w:val="8"/>
              <w:adjustRightInd w:val="0"/>
              <w:snapToGrid w:val="0"/>
              <w:spacing w:after="156" w:afterLines="50" w:line="440" w:lineRule="exact"/>
              <w:ind w:left="419" w:leftChars="131" w:firstLine="122" w:firstLineChars="49"/>
              <w:rPr>
                <w:b/>
                <w:bCs/>
                <w:spacing w:val="4"/>
                <w:sz w:val="24"/>
              </w:rPr>
            </w:pPr>
            <w:r>
              <w:rPr>
                <w:b/>
                <w:bCs/>
                <w:spacing w:val="4"/>
                <w:sz w:val="24"/>
              </w:rPr>
              <w:t>2、</w:t>
            </w:r>
            <w:r>
              <w:rPr>
                <w:rFonts w:hint="eastAsia"/>
                <w:b/>
                <w:bCs/>
                <w:spacing w:val="4"/>
                <w:sz w:val="24"/>
              </w:rPr>
              <w:t>大气</w:t>
            </w:r>
            <w:r>
              <w:rPr>
                <w:b/>
                <w:bCs/>
                <w:spacing w:val="4"/>
                <w:sz w:val="24"/>
              </w:rPr>
              <w:t>环境影响分析</w:t>
            </w:r>
          </w:p>
          <w:p>
            <w:pPr>
              <w:spacing w:line="360" w:lineRule="auto"/>
              <w:ind w:firstLine="480" w:firstLineChars="200"/>
              <w:rPr>
                <w:rFonts w:cs="Calibri"/>
                <w:sz w:val="24"/>
              </w:rPr>
            </w:pPr>
            <w:r>
              <w:rPr>
                <w:rFonts w:cs="Calibri"/>
                <w:sz w:val="24"/>
              </w:rPr>
              <w:t>主要废气为</w:t>
            </w:r>
            <w:r>
              <w:rPr>
                <w:rFonts w:hint="eastAsia" w:cs="Calibri"/>
                <w:sz w:val="24"/>
              </w:rPr>
              <w:t>破碎、加工、运输、装卸</w:t>
            </w:r>
            <w:r>
              <w:rPr>
                <w:rFonts w:cs="Calibri"/>
                <w:sz w:val="24"/>
              </w:rPr>
              <w:t>工序产生的粉尘</w:t>
            </w:r>
            <w:r>
              <w:rPr>
                <w:rFonts w:hint="eastAsia" w:cs="Calibri"/>
                <w:sz w:val="24"/>
              </w:rPr>
              <w:t>、车辆尾气，食堂油烟。</w:t>
            </w:r>
          </w:p>
          <w:p>
            <w:pPr>
              <w:spacing w:line="360" w:lineRule="auto"/>
              <w:ind w:firstLine="360" w:firstLineChars="150"/>
              <w:rPr>
                <w:sz w:val="24"/>
                <w:u w:val="single"/>
              </w:rPr>
            </w:pPr>
            <w:r>
              <w:rPr>
                <w:rFonts w:hint="eastAsia"/>
                <w:sz w:val="24"/>
                <w:u w:val="single"/>
              </w:rPr>
              <w:t>（</w:t>
            </w:r>
            <w:r>
              <w:rPr>
                <w:sz w:val="24"/>
                <w:u w:val="single"/>
              </w:rPr>
              <w:t>1</w:t>
            </w:r>
            <w:r>
              <w:rPr>
                <w:rFonts w:hint="eastAsia"/>
                <w:sz w:val="24"/>
                <w:u w:val="single"/>
              </w:rPr>
              <w:t>）有组织粉尘</w:t>
            </w:r>
          </w:p>
          <w:p>
            <w:pPr>
              <w:spacing w:line="360" w:lineRule="auto"/>
              <w:ind w:firstLine="480" w:firstLineChars="200"/>
              <w:rPr>
                <w:sz w:val="24"/>
                <w:u w:val="single"/>
              </w:rPr>
            </w:pPr>
            <w:r>
              <w:rPr>
                <w:rFonts w:hint="eastAsia"/>
                <w:sz w:val="24"/>
                <w:u w:val="single"/>
              </w:rPr>
              <w:t>项目有组织粉尘为水泥、粉煤灰、外加剂粉在料仓储存过程中筒顶呼吸孔产生粉尘及搅拌楼粉尘。项目共有</w:t>
            </w:r>
            <w:r>
              <w:rPr>
                <w:sz w:val="24"/>
                <w:u w:val="single"/>
              </w:rPr>
              <w:t>5</w:t>
            </w:r>
            <w:r>
              <w:rPr>
                <w:rFonts w:hint="eastAsia"/>
                <w:sz w:val="24"/>
                <w:u w:val="single"/>
              </w:rPr>
              <w:t>个粉料筒仓及</w:t>
            </w:r>
            <w:r>
              <w:rPr>
                <w:sz w:val="24"/>
                <w:u w:val="single"/>
              </w:rPr>
              <w:t>1</w:t>
            </w:r>
            <w:r>
              <w:rPr>
                <w:rFonts w:hint="eastAsia"/>
                <w:sz w:val="24"/>
                <w:u w:val="single"/>
              </w:rPr>
              <w:t>座搅拌仓，项目拟采用脉冲布袋除尘器处理粉尘，该除尘器经过国内许多水泥厂、预拌混凝土搅拌站试验，效果良好，同时根据《〈锅炉大气污染物排放标准〉编制说明》，其除尘效率可以达到</w:t>
            </w:r>
            <w:r>
              <w:rPr>
                <w:sz w:val="24"/>
                <w:u w:val="single"/>
              </w:rPr>
              <w:t>99%</w:t>
            </w:r>
            <w:r>
              <w:rPr>
                <w:rFonts w:hint="eastAsia"/>
                <w:sz w:val="24"/>
                <w:u w:val="single"/>
              </w:rPr>
              <w:t>以上，粉料仓筒处及搅拌楼粉尘经布袋除尘器处理后粉尘排放浓度符合《水泥工业大气污染物排放标准》（</w:t>
            </w:r>
            <w:r>
              <w:rPr>
                <w:sz w:val="24"/>
                <w:u w:val="single"/>
              </w:rPr>
              <w:t>GB4915-2013</w:t>
            </w:r>
            <w:r>
              <w:rPr>
                <w:rFonts w:hint="eastAsia"/>
                <w:sz w:val="24"/>
                <w:u w:val="single"/>
              </w:rPr>
              <w:t>）中</w:t>
            </w:r>
            <w:r>
              <w:rPr>
                <w:sz w:val="24"/>
                <w:u w:val="single"/>
              </w:rPr>
              <w:t>表</w:t>
            </w:r>
            <w:r>
              <w:rPr>
                <w:rFonts w:hint="eastAsia"/>
                <w:sz w:val="24"/>
                <w:u w:val="single"/>
              </w:rPr>
              <w:t>2大气污染物特别排放限值（1</w:t>
            </w:r>
            <w:r>
              <w:rPr>
                <w:sz w:val="24"/>
                <w:u w:val="single"/>
              </w:rPr>
              <w:t>0mg/m</w:t>
            </w:r>
            <w:r>
              <w:rPr>
                <w:sz w:val="24"/>
                <w:u w:val="single"/>
                <w:vertAlign w:val="superscript"/>
              </w:rPr>
              <w:t>3</w:t>
            </w:r>
            <w:r>
              <w:rPr>
                <w:rFonts w:hint="eastAsia"/>
                <w:sz w:val="24"/>
                <w:u w:val="single"/>
              </w:rPr>
              <w:t>），对环境影响较小。</w:t>
            </w:r>
          </w:p>
          <w:p>
            <w:pPr>
              <w:spacing w:line="360" w:lineRule="auto"/>
              <w:ind w:firstLine="360" w:firstLineChars="150"/>
              <w:rPr>
                <w:sz w:val="24"/>
                <w:u w:val="single"/>
              </w:rPr>
            </w:pPr>
            <w:r>
              <w:rPr>
                <w:rFonts w:hint="eastAsia"/>
                <w:sz w:val="24"/>
                <w:u w:val="single"/>
              </w:rPr>
              <w:t>（</w:t>
            </w:r>
            <w:r>
              <w:rPr>
                <w:sz w:val="24"/>
                <w:u w:val="single"/>
              </w:rPr>
              <w:t>2</w:t>
            </w:r>
            <w:r>
              <w:rPr>
                <w:rFonts w:hint="eastAsia"/>
                <w:sz w:val="24"/>
                <w:u w:val="single"/>
              </w:rPr>
              <w:t>）无组织排放粉尘</w:t>
            </w:r>
          </w:p>
          <w:p>
            <w:pPr>
              <w:spacing w:line="360" w:lineRule="auto"/>
              <w:ind w:firstLine="480" w:firstLineChars="200"/>
              <w:rPr>
                <w:sz w:val="24"/>
                <w:u w:val="single"/>
              </w:rPr>
            </w:pPr>
            <w:r>
              <w:rPr>
                <w:rFonts w:hint="eastAsia"/>
                <w:sz w:val="24"/>
                <w:u w:val="single"/>
              </w:rPr>
              <w:t>①运输车辆扬尘</w:t>
            </w:r>
          </w:p>
          <w:p>
            <w:pPr>
              <w:spacing w:line="360" w:lineRule="auto"/>
              <w:ind w:firstLine="480" w:firstLineChars="200"/>
              <w:rPr>
                <w:sz w:val="24"/>
                <w:u w:val="single"/>
              </w:rPr>
            </w:pPr>
            <w:r>
              <w:rPr>
                <w:rFonts w:hint="eastAsia"/>
                <w:sz w:val="24"/>
                <w:u w:val="single"/>
              </w:rPr>
              <w:t>一般情况下，道路在自然风作用下产生的扬尘所影响的范围在</w:t>
            </w:r>
            <w:r>
              <w:rPr>
                <w:sz w:val="24"/>
                <w:u w:val="single"/>
              </w:rPr>
              <w:t>100m</w:t>
            </w:r>
            <w:r>
              <w:rPr>
                <w:rFonts w:hint="eastAsia"/>
                <w:sz w:val="24"/>
                <w:u w:val="single"/>
              </w:rPr>
              <w:t>以内。如果对车辆行驶的路面实施洒水抑尘，每天洒水</w:t>
            </w:r>
            <w:r>
              <w:rPr>
                <w:sz w:val="24"/>
                <w:u w:val="single"/>
              </w:rPr>
              <w:t>4~5</w:t>
            </w:r>
            <w:r>
              <w:rPr>
                <w:rFonts w:hint="eastAsia"/>
                <w:sz w:val="24"/>
                <w:u w:val="single"/>
              </w:rPr>
              <w:t>次，可使扬尘量减少</w:t>
            </w:r>
            <w:r>
              <w:rPr>
                <w:sz w:val="24"/>
                <w:u w:val="single"/>
              </w:rPr>
              <w:t>70%</w:t>
            </w:r>
            <w:r>
              <w:rPr>
                <w:rFonts w:hint="eastAsia"/>
                <w:sz w:val="24"/>
                <w:u w:val="single"/>
              </w:rPr>
              <w:t>左右，在实施每天洒水抑尘作业</w:t>
            </w:r>
            <w:r>
              <w:rPr>
                <w:sz w:val="24"/>
                <w:u w:val="single"/>
              </w:rPr>
              <w:t>4~5</w:t>
            </w:r>
            <w:r>
              <w:rPr>
                <w:rFonts w:hint="eastAsia"/>
                <w:sz w:val="24"/>
                <w:u w:val="single"/>
              </w:rPr>
              <w:t>次后，其扬尘造成的</w:t>
            </w:r>
            <w:r>
              <w:rPr>
                <w:sz w:val="24"/>
                <w:u w:val="single"/>
              </w:rPr>
              <w:t>TSP</w:t>
            </w:r>
            <w:r>
              <w:rPr>
                <w:rFonts w:hint="eastAsia"/>
                <w:sz w:val="24"/>
                <w:u w:val="single"/>
              </w:rPr>
              <w:t>污染距离可缩小到</w:t>
            </w:r>
            <w:r>
              <w:rPr>
                <w:sz w:val="24"/>
                <w:u w:val="single"/>
              </w:rPr>
              <w:t>20~50m</w:t>
            </w:r>
            <w:r>
              <w:rPr>
                <w:rFonts w:hint="eastAsia"/>
                <w:sz w:val="24"/>
                <w:u w:val="single"/>
              </w:rPr>
              <w:t>范围。对本项目而言，主要是一些大型车辆，若管理不善会造成一定程度的扬尘，危害环境，为了控制汽车起尘，项目对进出车辆进行清洗，同时设置专人负责场内卫生，确保厂区内干净整洁（定期洒水，确保厂区内地面湿度，避免地面干燥）。此外，保持厂区及厂外道路整洁，应根据不同空气污染指数范围和大风、高温、干燥、晴天、雨天等各种不同气象条件要求，定期、定时进行洒水降尘及地面清洗，晴热高温天气应增加洒水降尘及地面清洗的频次，可有效控制汽车动力起尘量。采取上述措施后，车辆行驶动力扬尘的去尘率可达到</w:t>
            </w:r>
            <w:r>
              <w:rPr>
                <w:sz w:val="24"/>
                <w:u w:val="single"/>
              </w:rPr>
              <w:t>70%</w:t>
            </w:r>
            <w:r>
              <w:rPr>
                <w:rFonts w:hint="eastAsia"/>
                <w:sz w:val="24"/>
                <w:u w:val="single"/>
              </w:rPr>
              <w:t>左右，对周围影响较小。</w:t>
            </w:r>
          </w:p>
          <w:p>
            <w:pPr>
              <w:spacing w:line="360" w:lineRule="auto"/>
              <w:ind w:firstLine="480" w:firstLineChars="200"/>
              <w:rPr>
                <w:sz w:val="24"/>
                <w:u w:val="single"/>
              </w:rPr>
            </w:pPr>
            <w:r>
              <w:rPr>
                <w:rFonts w:hint="eastAsia"/>
                <w:sz w:val="24"/>
                <w:u w:val="single"/>
              </w:rPr>
              <w:t>②原料罐车放空口产生的水泥粉尘</w:t>
            </w:r>
          </w:p>
          <w:p>
            <w:pPr>
              <w:spacing w:line="360" w:lineRule="auto"/>
              <w:ind w:firstLine="480" w:firstLineChars="200"/>
              <w:rPr>
                <w:sz w:val="24"/>
                <w:u w:val="single"/>
              </w:rPr>
            </w:pPr>
            <w:r>
              <w:rPr>
                <w:rFonts w:hint="eastAsia"/>
                <w:sz w:val="24"/>
                <w:u w:val="single"/>
              </w:rPr>
              <w:t>水泥、粉煤灰均采用罐车运输，到厂后送入密闭的料仓内储存，罐车向料仓内输送物料时料仓内为正压，会有少许含粉气体溢出而产生扬尘。项目已设计在料仓放空口处安装自动衔接输料口，同时出料车辆接料口也相应配套自动衔接口，待每次放料结束后先关闭筒库放料口阀门，然后出料车辆才能行驶，不仅加强了输接料口的密封性，同时也减少了原料的损耗，从而降低了粉尘的产生量。并要求散装原料罐车在抽料时，用毡料布袋手工扎紧放空口，使粉状原料难以散失，可有效减少水泥粉尘的产生，对周围环境影响较小。</w:t>
            </w:r>
          </w:p>
          <w:p>
            <w:pPr>
              <w:spacing w:line="360" w:lineRule="auto"/>
              <w:ind w:firstLine="480" w:firstLineChars="200"/>
              <w:rPr>
                <w:sz w:val="24"/>
                <w:u w:val="single"/>
              </w:rPr>
            </w:pPr>
            <w:r>
              <w:rPr>
                <w:rFonts w:hint="eastAsia"/>
                <w:sz w:val="24"/>
                <w:u w:val="single"/>
              </w:rPr>
              <w:t>③原料堆场装卸扬尘</w:t>
            </w:r>
          </w:p>
          <w:p>
            <w:pPr>
              <w:spacing w:line="360" w:lineRule="auto"/>
              <w:ind w:firstLine="480" w:firstLineChars="200"/>
              <w:rPr>
                <w:sz w:val="24"/>
                <w:u w:val="single"/>
              </w:rPr>
            </w:pPr>
            <w:r>
              <w:rPr>
                <w:rFonts w:hint="eastAsia"/>
                <w:sz w:val="24"/>
                <w:u w:val="single"/>
              </w:rPr>
              <w:t>原料堆场主要堆存砂、石等骨料，在砂、石装卸过程中易形成扬尘，以无组织方式排放。环评要求项目设置钢结构封闭式堆场，并对原料对进行洒水抑尘，保持砂堆表层湿润，防止装卸料产生的扬尘。并加强对原料的调度管理，在物料堆放、装卸过程中尽量减低落差，文明装卸，减少原料在装卸过程产生的粉尘。采取上述措施后，装卸料产生的扬尘较小，对环境影响较小。</w:t>
            </w:r>
          </w:p>
          <w:p>
            <w:pPr>
              <w:spacing w:line="360" w:lineRule="auto"/>
              <w:ind w:firstLine="480" w:firstLineChars="200"/>
              <w:rPr>
                <w:rFonts w:cs="Calibri"/>
                <w:sz w:val="24"/>
                <w:u w:val="single"/>
              </w:rPr>
            </w:pPr>
            <w:r>
              <w:rPr>
                <w:rFonts w:cs="Calibri"/>
                <w:sz w:val="24"/>
                <w:u w:val="single"/>
              </w:rPr>
              <w:t>（3）</w:t>
            </w:r>
            <w:r>
              <w:rPr>
                <w:rFonts w:hint="eastAsia" w:cs="Calibri"/>
                <w:sz w:val="24"/>
                <w:u w:val="single"/>
              </w:rPr>
              <w:t>大气污染物预测分析</w:t>
            </w:r>
          </w:p>
          <w:p>
            <w:pPr>
              <w:pStyle w:val="49"/>
              <w:adjustRightInd w:val="0"/>
              <w:snapToGrid w:val="0"/>
              <w:rPr>
                <w:u w:val="single"/>
              </w:rPr>
            </w:pPr>
            <w:r>
              <w:rPr>
                <w:rFonts w:hint="eastAsia"/>
                <w:u w:val="single"/>
              </w:rPr>
              <w:t>根据《环境影响评价技术导则》（</w:t>
            </w:r>
            <w:r>
              <w:rPr>
                <w:u w:val="single"/>
              </w:rPr>
              <w:t>HJ 2.2-20</w:t>
            </w:r>
            <w:r>
              <w:rPr>
                <w:rFonts w:hint="eastAsia"/>
                <w:u w:val="single"/>
              </w:rPr>
              <w:t>1</w:t>
            </w:r>
            <w:r>
              <w:rPr>
                <w:u w:val="single"/>
              </w:rPr>
              <w:t>8</w:t>
            </w:r>
            <w:r>
              <w:rPr>
                <w:rFonts w:hint="eastAsia"/>
                <w:u w:val="single"/>
              </w:rPr>
              <w:t>）中要求，本项目属于三级评价项目，可不设大气环境影响评价范围。</w:t>
            </w:r>
          </w:p>
          <w:p>
            <w:pPr>
              <w:spacing w:line="360" w:lineRule="auto"/>
              <w:ind w:firstLine="480" w:firstLineChars="200"/>
              <w:rPr>
                <w:rFonts w:cs="Calibri"/>
                <w:sz w:val="24"/>
                <w:u w:val="single"/>
              </w:rPr>
            </w:pPr>
            <w:r>
              <w:rPr>
                <w:rFonts w:cs="Calibri"/>
                <w:sz w:val="24"/>
                <w:u w:val="single"/>
              </w:rPr>
              <w:t>本项目采用脉冲式布袋除尘器对粉尘进行处理可行性分析</w:t>
            </w:r>
          </w:p>
          <w:p>
            <w:pPr>
              <w:spacing w:line="360" w:lineRule="auto"/>
              <w:ind w:firstLine="480" w:firstLineChars="200"/>
              <w:rPr>
                <w:rFonts w:cs="Calibri"/>
                <w:sz w:val="24"/>
                <w:u w:val="single"/>
              </w:rPr>
            </w:pPr>
            <w:r>
              <w:rPr>
                <w:rFonts w:cs="Calibri"/>
                <w:sz w:val="24"/>
                <w:u w:val="single"/>
              </w:rPr>
              <w:t>除尘原理描述如下，含尘气体由灰斗上部进风口进入后，在挡风板的作用下，气流向上流动，流速降低，部分大颗粒粉尘由于惯性力的作用被分离出来落入灰斗。含尘气体进入中箱体经滤袋的过滤净化，粉尘被阻留在滤袋的外表面，净化后的气体经滤袋口进入上箱体，由出风口排出。随着滤袋表面粉尘不断增加，除尘器进出口压差也随之上升。当除尘器阻力达到设定值时，控制系统发出清灰指令，清灰系统开始工作。首先电磁阀接到信号后立即开启，使小膜片上部气室的压缩空气被排放，由于小膜片两端受力的改变，使被小膜片关闭的排气通道开启，大膜片上部气室的压缩空气由此通道排出，大膜片两端受力改变，使大膜片动作，将关闭的输出口打开，气包内的压缩空气经由输出管和喷吹管喷入袋内，实现清灰。当控制信号停止后，电磁阀关闭，小膜片、大膜片相继复位，喷吹停止。脉冲阀是脉冲袋式除尘器关键部件。</w:t>
            </w:r>
          </w:p>
          <w:p>
            <w:pPr>
              <w:spacing w:line="360" w:lineRule="auto"/>
              <w:ind w:firstLine="480" w:firstLineChars="200"/>
              <w:rPr>
                <w:rFonts w:cs="Calibri"/>
                <w:sz w:val="24"/>
                <w:u w:val="single"/>
              </w:rPr>
            </w:pPr>
            <w:r>
              <w:rPr>
                <w:rFonts w:cs="Calibri"/>
                <w:sz w:val="24"/>
                <w:u w:val="single"/>
              </w:rPr>
              <w:t>废气处理工艺流程如下图所示：</w:t>
            </w:r>
          </w:p>
          <w:p>
            <w:pPr>
              <w:spacing w:line="360" w:lineRule="auto"/>
              <w:jc w:val="center"/>
              <w:rPr>
                <w:sz w:val="24"/>
                <w:u w:val="single"/>
              </w:rPr>
            </w:pPr>
            <w:r>
              <w:rPr>
                <w:sz w:val="21"/>
                <w:u w:val="single"/>
              </w:rPr>
              <w:drawing>
                <wp:inline distT="0" distB="0" distL="0" distR="0">
                  <wp:extent cx="2773680" cy="204216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73680" cy="2042160"/>
                          </a:xfrm>
                          <a:prstGeom prst="rect">
                            <a:avLst/>
                          </a:prstGeom>
                          <a:noFill/>
                          <a:ln>
                            <a:noFill/>
                          </a:ln>
                        </pic:spPr>
                      </pic:pic>
                    </a:graphicData>
                  </a:graphic>
                </wp:inline>
              </w:drawing>
            </w:r>
          </w:p>
          <w:p>
            <w:pPr>
              <w:jc w:val="center"/>
              <w:rPr>
                <w:b/>
                <w:kern w:val="0"/>
                <w:sz w:val="24"/>
                <w:u w:val="single"/>
              </w:rPr>
            </w:pPr>
            <w:r>
              <w:rPr>
                <w:rFonts w:cs="Calibri"/>
                <w:b/>
                <w:sz w:val="21"/>
                <w:u w:val="single"/>
              </w:rPr>
              <w:t>图3 脉冲式布袋除尘处理工艺流程图</w:t>
            </w:r>
          </w:p>
          <w:p>
            <w:pPr>
              <w:spacing w:line="360" w:lineRule="auto"/>
              <w:ind w:firstLine="480" w:firstLineChars="200"/>
              <w:rPr>
                <w:kern w:val="0"/>
                <w:sz w:val="24"/>
                <w:u w:val="single"/>
              </w:rPr>
            </w:pPr>
            <w:r>
              <w:rPr>
                <w:rFonts w:hint="eastAsia"/>
                <w:kern w:val="0"/>
                <w:sz w:val="24"/>
                <w:u w:val="single"/>
              </w:rPr>
              <w:t>无组织</w:t>
            </w:r>
            <w:r>
              <w:rPr>
                <w:kern w:val="0"/>
                <w:sz w:val="24"/>
                <w:u w:val="single"/>
              </w:rPr>
              <w:t>粉尘污染控制措施：</w:t>
            </w:r>
          </w:p>
          <w:p>
            <w:pPr>
              <w:spacing w:line="360" w:lineRule="auto"/>
              <w:ind w:firstLine="480" w:firstLineChars="200"/>
              <w:rPr>
                <w:kern w:val="0"/>
                <w:sz w:val="24"/>
                <w:u w:val="single"/>
              </w:rPr>
            </w:pPr>
            <w:r>
              <w:rPr>
                <w:kern w:val="0"/>
                <w:sz w:val="24"/>
                <w:u w:val="single"/>
              </w:rPr>
              <w:t>本项目在物料的配料、进料、搬运、输送、提升等过程中产生无组织粉尘，无组织排放量与物料的粒径、物料转运的距离和落差、操作管理有关，为了有效地控制各个扬尘点的粉尘，工艺设计中原辅材料应尽量采用密闭设备和密闭式储罐转运，降低物料转运的距离和落差，车间内配备集尘设备，减少无组织粉尘的产生，并在厂房的周围及道路两旁等凡能绿化的地带尽量种植乔木、灌木和草坪，加强厂区周围环境的绿化，减少无组织粉尘对外环境的影响。</w:t>
            </w:r>
          </w:p>
          <w:p>
            <w:pPr>
              <w:spacing w:line="360" w:lineRule="auto"/>
              <w:ind w:firstLine="480" w:firstLineChars="200"/>
              <w:rPr>
                <w:kern w:val="0"/>
                <w:sz w:val="24"/>
                <w:u w:val="single"/>
              </w:rPr>
            </w:pPr>
            <w:r>
              <w:rPr>
                <w:kern w:val="0"/>
                <w:sz w:val="24"/>
                <w:u w:val="single"/>
              </w:rPr>
              <w:t>为了进一步减小项目粉尘对周围环境的影响，建议建设单位采取以下措施进行控制：</w:t>
            </w:r>
          </w:p>
          <w:p>
            <w:pPr>
              <w:spacing w:line="360" w:lineRule="auto"/>
              <w:ind w:firstLine="480" w:firstLineChars="200"/>
              <w:rPr>
                <w:kern w:val="0"/>
                <w:sz w:val="24"/>
                <w:u w:val="single"/>
              </w:rPr>
            </w:pPr>
            <w:r>
              <w:rPr>
                <w:rFonts w:hint="eastAsia"/>
                <w:kern w:val="0"/>
                <w:sz w:val="24"/>
                <w:u w:val="single"/>
              </w:rPr>
              <w:t>a、</w:t>
            </w:r>
            <w:r>
              <w:rPr>
                <w:kern w:val="0"/>
                <w:sz w:val="24"/>
                <w:u w:val="single"/>
              </w:rPr>
              <w:t>运输砂石车辆采取帆布封盖措施，进厂后先喷水再卸料。</w:t>
            </w:r>
          </w:p>
          <w:p>
            <w:pPr>
              <w:spacing w:line="360" w:lineRule="auto"/>
              <w:ind w:firstLine="480" w:firstLineChars="200"/>
              <w:rPr>
                <w:kern w:val="0"/>
                <w:sz w:val="24"/>
                <w:u w:val="single"/>
              </w:rPr>
            </w:pPr>
            <w:r>
              <w:rPr>
                <w:rFonts w:hint="eastAsia"/>
                <w:kern w:val="0"/>
                <w:sz w:val="24"/>
                <w:u w:val="single"/>
              </w:rPr>
              <w:t>b、</w:t>
            </w:r>
            <w:r>
              <w:rPr>
                <w:kern w:val="0"/>
                <w:sz w:val="24"/>
                <w:u w:val="single"/>
              </w:rPr>
              <w:t>采用密闭式的拖泵传送带，通过管道连接筒库进行卸料。</w:t>
            </w:r>
          </w:p>
          <w:p>
            <w:pPr>
              <w:spacing w:line="360" w:lineRule="auto"/>
              <w:ind w:firstLine="480" w:firstLineChars="200"/>
              <w:rPr>
                <w:kern w:val="0"/>
                <w:sz w:val="24"/>
                <w:u w:val="single"/>
              </w:rPr>
            </w:pPr>
            <w:r>
              <w:rPr>
                <w:rFonts w:hint="eastAsia"/>
                <w:kern w:val="0"/>
                <w:sz w:val="24"/>
                <w:u w:val="single"/>
              </w:rPr>
              <w:t>c、</w:t>
            </w:r>
            <w:r>
              <w:rPr>
                <w:kern w:val="0"/>
                <w:sz w:val="24"/>
                <w:u w:val="single"/>
              </w:rPr>
              <w:t>对</w:t>
            </w:r>
            <w:r>
              <w:rPr>
                <w:rFonts w:hint="eastAsia"/>
                <w:kern w:val="0"/>
                <w:sz w:val="24"/>
                <w:u w:val="single"/>
              </w:rPr>
              <w:t>仓库</w:t>
            </w:r>
            <w:r>
              <w:rPr>
                <w:kern w:val="0"/>
                <w:sz w:val="24"/>
                <w:u w:val="single"/>
              </w:rPr>
              <w:t>采取雾化喷淋措施，使砂石保持一定的湿度。</w:t>
            </w:r>
          </w:p>
          <w:p>
            <w:pPr>
              <w:spacing w:line="360" w:lineRule="auto"/>
              <w:ind w:firstLine="480" w:firstLineChars="200"/>
              <w:rPr>
                <w:kern w:val="0"/>
                <w:sz w:val="24"/>
                <w:u w:val="single"/>
              </w:rPr>
            </w:pPr>
            <w:r>
              <w:rPr>
                <w:rFonts w:hint="eastAsia"/>
                <w:kern w:val="0"/>
                <w:sz w:val="24"/>
                <w:u w:val="single"/>
              </w:rPr>
              <w:t>d、</w:t>
            </w:r>
            <w:r>
              <w:rPr>
                <w:kern w:val="0"/>
                <w:sz w:val="24"/>
                <w:u w:val="single"/>
              </w:rPr>
              <w:t>由于粉尘排放受人为操作因素影响较大，要求厂家加强对操作人员的管理，保持</w:t>
            </w:r>
            <w:r>
              <w:rPr>
                <w:rFonts w:hint="eastAsia"/>
                <w:kern w:val="0"/>
                <w:sz w:val="24"/>
                <w:u w:val="single"/>
              </w:rPr>
              <w:t>喷淋</w:t>
            </w:r>
            <w:r>
              <w:rPr>
                <w:kern w:val="0"/>
                <w:sz w:val="24"/>
                <w:u w:val="single"/>
              </w:rPr>
              <w:t>设施正常运转，将粉尘影响降低到可接受的范围内。</w:t>
            </w:r>
          </w:p>
          <w:p>
            <w:pPr>
              <w:spacing w:line="360" w:lineRule="auto"/>
              <w:ind w:firstLine="480" w:firstLineChars="200"/>
              <w:rPr>
                <w:rFonts w:ascii="Calibri" w:hAnsi="Calibri" w:cs="Calibri"/>
                <w:sz w:val="21"/>
                <w:u w:val="single"/>
              </w:rPr>
            </w:pPr>
            <w:r>
              <w:rPr>
                <w:kern w:val="0"/>
                <w:sz w:val="24"/>
                <w:u w:val="single"/>
              </w:rPr>
              <w:t>项目应选用稳定成熟的设备、加强操作人员的责任心以减少非正常排放。环评要求建设单位落实各项环保措施，保证设备的正常运转，防止人为或设备故障导致事故排放，实现废气达标排放。同时设备的制造和安装应严格进行调试。</w:t>
            </w:r>
          </w:p>
          <w:p>
            <w:pPr>
              <w:spacing w:line="360" w:lineRule="auto"/>
              <w:ind w:firstLine="480" w:firstLineChars="200"/>
              <w:rPr>
                <w:rFonts w:cs="Calibri"/>
                <w:sz w:val="24"/>
              </w:rPr>
            </w:pPr>
            <w:r>
              <w:rPr>
                <w:rFonts w:hint="eastAsia" w:cs="Calibri"/>
                <w:sz w:val="24"/>
              </w:rPr>
              <w:t>（</w:t>
            </w:r>
            <w:r>
              <w:rPr>
                <w:rFonts w:cs="Calibri"/>
                <w:sz w:val="24"/>
              </w:rPr>
              <w:t>2</w:t>
            </w:r>
            <w:r>
              <w:rPr>
                <w:rFonts w:hint="eastAsia" w:cs="Calibri"/>
                <w:sz w:val="24"/>
              </w:rPr>
              <w:t>）</w:t>
            </w:r>
            <w:r>
              <w:rPr>
                <w:rFonts w:cs="Calibri"/>
                <w:sz w:val="24"/>
              </w:rPr>
              <w:t>排气筒高度和数量可行性、合理性分析</w:t>
            </w:r>
          </w:p>
          <w:p>
            <w:pPr>
              <w:spacing w:line="360" w:lineRule="auto"/>
              <w:ind w:firstLine="480" w:firstLineChars="200"/>
              <w:rPr>
                <w:rFonts w:cs="Calibri"/>
                <w:sz w:val="24"/>
              </w:rPr>
            </w:pPr>
            <w:r>
              <w:rPr>
                <w:rFonts w:hint="eastAsia" w:cs="Calibri"/>
                <w:sz w:val="24"/>
              </w:rPr>
              <w:t>项目拥有一根15m高的排气筒和5个筒仓呼吸阀，其中筒仓呼吸阀的高度可以达到15m的高度。</w:t>
            </w:r>
          </w:p>
          <w:p>
            <w:pPr>
              <w:spacing w:line="360" w:lineRule="auto"/>
              <w:ind w:firstLine="480" w:firstLineChars="200"/>
              <w:rPr>
                <w:rFonts w:cs="Calibri"/>
                <w:sz w:val="24"/>
              </w:rPr>
            </w:pPr>
            <w:r>
              <w:rPr>
                <w:rFonts w:cs="Calibri"/>
                <w:sz w:val="24"/>
              </w:rPr>
              <w:t>根据《水泥工业大气污染物排放标准》（GB4915-2013）排气筒最低允许高度为15m；排气筒高度除须遵守表列排放速率标准值外，还应高出周围建筑</w:t>
            </w:r>
            <w:r>
              <w:rPr>
                <w:rFonts w:hint="eastAsia" w:cs="Calibri"/>
                <w:sz w:val="24"/>
              </w:rPr>
              <w:t>3</w:t>
            </w:r>
            <w:r>
              <w:rPr>
                <w:rFonts w:cs="Calibri"/>
                <w:sz w:val="24"/>
              </w:rPr>
              <w:t>米以上。</w:t>
            </w:r>
          </w:p>
          <w:p>
            <w:pPr>
              <w:spacing w:line="360" w:lineRule="auto"/>
              <w:ind w:firstLine="480" w:firstLineChars="200"/>
              <w:rPr>
                <w:rFonts w:cs="Calibri"/>
                <w:sz w:val="24"/>
              </w:rPr>
            </w:pPr>
            <w:r>
              <w:rPr>
                <w:rFonts w:cs="Calibri"/>
                <w:sz w:val="24"/>
              </w:rPr>
              <w:t>根据现场踏勘可知，本项目</w:t>
            </w:r>
            <w:r>
              <w:rPr>
                <w:rFonts w:hint="eastAsia" w:cs="Calibri"/>
                <w:sz w:val="24"/>
              </w:rPr>
              <w:t>排气筒周围</w:t>
            </w:r>
            <w:r>
              <w:rPr>
                <w:rFonts w:cs="Calibri"/>
                <w:sz w:val="24"/>
              </w:rPr>
              <w:t>最高建筑物（厂房）高度约为10m。本项目</w:t>
            </w:r>
            <w:r>
              <w:rPr>
                <w:rFonts w:hint="eastAsia" w:cs="Calibri"/>
                <w:sz w:val="24"/>
              </w:rPr>
              <w:t>粉尘</w:t>
            </w:r>
            <w:r>
              <w:rPr>
                <w:rFonts w:cs="Calibri"/>
                <w:sz w:val="24"/>
              </w:rPr>
              <w:t>通过15m高排气筒</w:t>
            </w:r>
            <w:r>
              <w:rPr>
                <w:rFonts w:hint="eastAsia" w:cs="Calibri"/>
                <w:sz w:val="24"/>
              </w:rPr>
              <w:t>和筒仓呼吸阀</w:t>
            </w:r>
            <w:r>
              <w:rPr>
                <w:rFonts w:cs="Calibri"/>
                <w:sz w:val="24"/>
              </w:rPr>
              <w:t>排放</w:t>
            </w:r>
            <w:r>
              <w:rPr>
                <w:rFonts w:hint="eastAsia" w:cs="Calibri"/>
                <w:sz w:val="24"/>
              </w:rPr>
              <w:t>，</w:t>
            </w:r>
            <w:r>
              <w:rPr>
                <w:rFonts w:cs="Calibri"/>
                <w:sz w:val="24"/>
              </w:rPr>
              <w:t>因此本项目排气筒高度设置合理。</w:t>
            </w:r>
          </w:p>
          <w:p>
            <w:pPr>
              <w:spacing w:line="360" w:lineRule="auto"/>
              <w:ind w:firstLine="482" w:firstLineChars="200"/>
              <w:rPr>
                <w:rFonts w:cs="Calibri"/>
                <w:b/>
                <w:sz w:val="24"/>
              </w:rPr>
            </w:pPr>
            <w:r>
              <w:rPr>
                <w:rFonts w:cs="Calibri"/>
                <w:b/>
                <w:sz w:val="24"/>
              </w:rPr>
              <w:t>3、声环境质量影响分析</w:t>
            </w:r>
          </w:p>
          <w:p>
            <w:pPr>
              <w:adjustRightInd w:val="0"/>
              <w:spacing w:line="360" w:lineRule="auto"/>
              <w:ind w:firstLine="480" w:firstLineChars="200"/>
              <w:rPr>
                <w:sz w:val="24"/>
              </w:rPr>
            </w:pPr>
            <w:r>
              <w:rPr>
                <w:sz w:val="24"/>
              </w:rPr>
              <w:t>（1）噪声源</w:t>
            </w:r>
          </w:p>
          <w:p>
            <w:pPr>
              <w:spacing w:line="360" w:lineRule="auto"/>
              <w:ind w:firstLine="480" w:firstLineChars="200"/>
              <w:rPr>
                <w:rFonts w:cs="Calibri"/>
                <w:sz w:val="24"/>
              </w:rPr>
            </w:pPr>
            <w:r>
              <w:rPr>
                <w:rFonts w:hint="eastAsia" w:cs="Calibri"/>
                <w:sz w:val="24"/>
              </w:rPr>
              <w:t>本项目噪声主要来源于破碎机、制砂机、分选筛等设备产生的噪声，噪声源强为80~105dB（A），</w:t>
            </w:r>
            <w:r>
              <w:rPr>
                <w:rFonts w:cs="Calibri"/>
                <w:sz w:val="24"/>
              </w:rPr>
              <w:t>其中主要噪声源及设备见下表19。</w:t>
            </w:r>
            <w:r>
              <w:rPr>
                <w:rFonts w:hint="eastAsia" w:cs="Calibri"/>
                <w:sz w:val="24"/>
              </w:rPr>
              <w:t>此外，本项目由于有60万吨/a的运输量，因此交通运输噪声也会影响周边的声环境，汽车运输的源强为75-85dB（A）。</w:t>
            </w:r>
          </w:p>
          <w:p>
            <w:pPr>
              <w:jc w:val="center"/>
              <w:rPr>
                <w:rFonts w:cs="Calibri"/>
                <w:b/>
                <w:sz w:val="21"/>
              </w:rPr>
            </w:pPr>
            <w:r>
              <w:rPr>
                <w:rFonts w:cs="Calibri"/>
                <w:b/>
                <w:sz w:val="21"/>
              </w:rPr>
              <w:t>表19主要噪声源及设备</w:t>
            </w:r>
          </w:p>
          <w:tbl>
            <w:tblPr>
              <w:tblStyle w:val="18"/>
              <w:tblW w:w="828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958"/>
              <w:gridCol w:w="586"/>
              <w:gridCol w:w="1747"/>
              <w:gridCol w:w="962"/>
              <w:gridCol w:w="1276"/>
              <w:gridCol w:w="1100"/>
              <w:gridCol w:w="830"/>
              <w:gridCol w:w="83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958" w:type="dxa"/>
                  <w:vAlign w:val="center"/>
                </w:tcPr>
                <w:p>
                  <w:pPr>
                    <w:snapToGrid w:val="0"/>
                    <w:spacing w:line="0" w:lineRule="atLeast"/>
                    <w:jc w:val="center"/>
                    <w:rPr>
                      <w:sz w:val="21"/>
                      <w:szCs w:val="21"/>
                    </w:rPr>
                  </w:pPr>
                  <w:r>
                    <w:rPr>
                      <w:sz w:val="21"/>
                      <w:szCs w:val="21"/>
                    </w:rPr>
                    <w:t>设备名称</w:t>
                  </w:r>
                </w:p>
              </w:tc>
              <w:tc>
                <w:tcPr>
                  <w:tcW w:w="586" w:type="dxa"/>
                  <w:vAlign w:val="center"/>
                </w:tcPr>
                <w:p>
                  <w:pPr>
                    <w:snapToGrid w:val="0"/>
                    <w:spacing w:line="0" w:lineRule="atLeast"/>
                    <w:jc w:val="center"/>
                    <w:rPr>
                      <w:sz w:val="21"/>
                      <w:szCs w:val="21"/>
                    </w:rPr>
                  </w:pPr>
                  <w:r>
                    <w:rPr>
                      <w:sz w:val="21"/>
                      <w:szCs w:val="21"/>
                    </w:rPr>
                    <w:t>数量</w:t>
                  </w:r>
                </w:p>
              </w:tc>
              <w:tc>
                <w:tcPr>
                  <w:tcW w:w="1747" w:type="dxa"/>
                  <w:vAlign w:val="center"/>
                </w:tcPr>
                <w:p>
                  <w:pPr>
                    <w:snapToGrid w:val="0"/>
                    <w:spacing w:line="0" w:lineRule="atLeast"/>
                    <w:jc w:val="center"/>
                    <w:rPr>
                      <w:sz w:val="21"/>
                      <w:szCs w:val="21"/>
                    </w:rPr>
                  </w:pPr>
                  <w:r>
                    <w:rPr>
                      <w:sz w:val="21"/>
                      <w:szCs w:val="21"/>
                    </w:rPr>
                    <w:t>位置</w:t>
                  </w:r>
                </w:p>
              </w:tc>
              <w:tc>
                <w:tcPr>
                  <w:tcW w:w="962" w:type="dxa"/>
                  <w:vAlign w:val="center"/>
                </w:tcPr>
                <w:p>
                  <w:pPr>
                    <w:snapToGrid w:val="0"/>
                    <w:spacing w:line="0" w:lineRule="atLeast"/>
                    <w:jc w:val="center"/>
                    <w:rPr>
                      <w:sz w:val="21"/>
                      <w:szCs w:val="21"/>
                    </w:rPr>
                  </w:pPr>
                  <w:r>
                    <w:rPr>
                      <w:sz w:val="21"/>
                      <w:szCs w:val="21"/>
                    </w:rPr>
                    <w:t>噪声源强</w:t>
                  </w:r>
                </w:p>
                <w:p>
                  <w:pPr>
                    <w:snapToGrid w:val="0"/>
                    <w:spacing w:line="0" w:lineRule="atLeast"/>
                    <w:jc w:val="center"/>
                    <w:rPr>
                      <w:sz w:val="21"/>
                      <w:szCs w:val="21"/>
                    </w:rPr>
                  </w:pPr>
                  <w:r>
                    <w:rPr>
                      <w:sz w:val="21"/>
                      <w:szCs w:val="21"/>
                    </w:rPr>
                    <w:t>（dB（A））</w:t>
                  </w:r>
                </w:p>
              </w:tc>
              <w:tc>
                <w:tcPr>
                  <w:tcW w:w="1276" w:type="dxa"/>
                  <w:vAlign w:val="center"/>
                </w:tcPr>
                <w:p>
                  <w:pPr>
                    <w:snapToGrid w:val="0"/>
                    <w:spacing w:line="0" w:lineRule="atLeast"/>
                    <w:jc w:val="center"/>
                    <w:rPr>
                      <w:sz w:val="21"/>
                      <w:szCs w:val="21"/>
                    </w:rPr>
                  </w:pPr>
                  <w:r>
                    <w:rPr>
                      <w:sz w:val="21"/>
                      <w:szCs w:val="21"/>
                    </w:rPr>
                    <w:t>治理措施</w:t>
                  </w:r>
                </w:p>
              </w:tc>
              <w:tc>
                <w:tcPr>
                  <w:tcW w:w="1100" w:type="dxa"/>
                  <w:vAlign w:val="center"/>
                </w:tcPr>
                <w:p>
                  <w:pPr>
                    <w:snapToGrid w:val="0"/>
                    <w:spacing w:line="0" w:lineRule="atLeast"/>
                    <w:jc w:val="center"/>
                    <w:rPr>
                      <w:sz w:val="21"/>
                      <w:szCs w:val="21"/>
                    </w:rPr>
                  </w:pPr>
                  <w:r>
                    <w:rPr>
                      <w:sz w:val="21"/>
                      <w:szCs w:val="21"/>
                    </w:rPr>
                    <w:t>降噪效果</w:t>
                  </w:r>
                </w:p>
                <w:p>
                  <w:pPr>
                    <w:snapToGrid w:val="0"/>
                    <w:spacing w:line="0" w:lineRule="atLeast"/>
                    <w:jc w:val="center"/>
                    <w:rPr>
                      <w:sz w:val="21"/>
                      <w:szCs w:val="21"/>
                    </w:rPr>
                  </w:pPr>
                  <w:r>
                    <w:rPr>
                      <w:sz w:val="21"/>
                      <w:szCs w:val="21"/>
                    </w:rPr>
                    <w:t>（dB（A））</w:t>
                  </w:r>
                </w:p>
              </w:tc>
              <w:tc>
                <w:tcPr>
                  <w:tcW w:w="830" w:type="dxa"/>
                  <w:vAlign w:val="center"/>
                </w:tcPr>
                <w:p>
                  <w:pPr>
                    <w:snapToGrid w:val="0"/>
                    <w:spacing w:line="0" w:lineRule="atLeast"/>
                    <w:jc w:val="center"/>
                    <w:rPr>
                      <w:sz w:val="21"/>
                      <w:szCs w:val="21"/>
                      <w:u w:val="single"/>
                    </w:rPr>
                  </w:pPr>
                  <w:r>
                    <w:rPr>
                      <w:sz w:val="21"/>
                      <w:szCs w:val="21"/>
                      <w:u w:val="single"/>
                    </w:rPr>
                    <w:t>所在位置</w:t>
                  </w:r>
                </w:p>
              </w:tc>
              <w:tc>
                <w:tcPr>
                  <w:tcW w:w="830" w:type="dxa"/>
                  <w:vAlign w:val="center"/>
                </w:tcPr>
                <w:p>
                  <w:pPr>
                    <w:snapToGrid w:val="0"/>
                    <w:spacing w:line="0" w:lineRule="atLeast"/>
                    <w:jc w:val="center"/>
                    <w:rPr>
                      <w:sz w:val="21"/>
                      <w:szCs w:val="21"/>
                      <w:u w:val="single"/>
                    </w:rPr>
                  </w:pPr>
                  <w:r>
                    <w:rPr>
                      <w:sz w:val="21"/>
                      <w:szCs w:val="21"/>
                      <w:u w:val="single"/>
                    </w:rPr>
                    <w:t>室内/室外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1071" w:hRule="atLeast"/>
                <w:jc w:val="center"/>
              </w:trPr>
              <w:tc>
                <w:tcPr>
                  <w:tcW w:w="958" w:type="dxa"/>
                  <w:vAlign w:val="center"/>
                </w:tcPr>
                <w:p>
                  <w:pPr>
                    <w:snapToGrid w:val="0"/>
                    <w:spacing w:line="0" w:lineRule="atLeast"/>
                    <w:jc w:val="center"/>
                    <w:rPr>
                      <w:sz w:val="21"/>
                      <w:szCs w:val="21"/>
                    </w:rPr>
                  </w:pPr>
                  <w:r>
                    <w:rPr>
                      <w:rFonts w:hint="eastAsia" w:cs="Calibri"/>
                      <w:sz w:val="21"/>
                    </w:rPr>
                    <w:t>反击破碎机</w:t>
                  </w:r>
                </w:p>
              </w:tc>
              <w:tc>
                <w:tcPr>
                  <w:tcW w:w="586" w:type="dxa"/>
                  <w:vAlign w:val="center"/>
                </w:tcPr>
                <w:p>
                  <w:pPr>
                    <w:snapToGrid w:val="0"/>
                    <w:spacing w:line="0" w:lineRule="atLeast"/>
                    <w:jc w:val="center"/>
                    <w:rPr>
                      <w:sz w:val="21"/>
                      <w:szCs w:val="21"/>
                    </w:rPr>
                  </w:pPr>
                  <w:r>
                    <w:rPr>
                      <w:sz w:val="21"/>
                      <w:szCs w:val="21"/>
                    </w:rPr>
                    <w:t>1</w:t>
                  </w:r>
                </w:p>
              </w:tc>
              <w:tc>
                <w:tcPr>
                  <w:tcW w:w="1747" w:type="dxa"/>
                  <w:vAlign w:val="center"/>
                </w:tcPr>
                <w:p>
                  <w:pPr>
                    <w:snapToGrid w:val="0"/>
                    <w:spacing w:line="0" w:lineRule="atLeast"/>
                    <w:jc w:val="center"/>
                    <w:rPr>
                      <w:sz w:val="21"/>
                      <w:szCs w:val="21"/>
                    </w:rPr>
                  </w:pPr>
                  <w:r>
                    <w:rPr>
                      <w:rFonts w:hint="eastAsia"/>
                      <w:sz w:val="21"/>
                      <w:szCs w:val="21"/>
                    </w:rPr>
                    <w:t>厂区南侧</w:t>
                  </w:r>
                </w:p>
                <w:p>
                  <w:pPr>
                    <w:snapToGrid w:val="0"/>
                    <w:spacing w:line="0" w:lineRule="atLeast"/>
                    <w:jc w:val="center"/>
                    <w:rPr>
                      <w:sz w:val="21"/>
                      <w:szCs w:val="21"/>
                    </w:rPr>
                  </w:pPr>
                  <w:r>
                    <w:rPr>
                      <w:rFonts w:hint="eastAsia"/>
                      <w:sz w:val="21"/>
                      <w:szCs w:val="21"/>
                    </w:rPr>
                    <w:t>厂房3#</w:t>
                  </w:r>
                </w:p>
              </w:tc>
              <w:tc>
                <w:tcPr>
                  <w:tcW w:w="962" w:type="dxa"/>
                  <w:vAlign w:val="center"/>
                </w:tcPr>
                <w:p>
                  <w:pPr>
                    <w:spacing w:line="0" w:lineRule="atLeast"/>
                    <w:jc w:val="center"/>
                    <w:rPr>
                      <w:sz w:val="21"/>
                      <w:szCs w:val="21"/>
                    </w:rPr>
                  </w:pPr>
                  <w:r>
                    <w:rPr>
                      <w:rFonts w:cs="Calibri"/>
                      <w:sz w:val="21"/>
                    </w:rPr>
                    <w:t>105</w:t>
                  </w:r>
                </w:p>
              </w:tc>
              <w:tc>
                <w:tcPr>
                  <w:tcW w:w="1276" w:type="dxa"/>
                  <w:vAlign w:val="center"/>
                </w:tcPr>
                <w:p>
                  <w:pPr>
                    <w:snapToGrid w:val="0"/>
                    <w:spacing w:line="0" w:lineRule="atLeast"/>
                    <w:jc w:val="center"/>
                    <w:rPr>
                      <w:sz w:val="21"/>
                      <w:szCs w:val="21"/>
                    </w:rPr>
                  </w:pPr>
                  <w:r>
                    <w:rPr>
                      <w:sz w:val="21"/>
                      <w:szCs w:val="21"/>
                    </w:rPr>
                    <w:t>设置减振基座、安装减振垫、厂房隔声</w:t>
                  </w:r>
                </w:p>
              </w:tc>
              <w:tc>
                <w:tcPr>
                  <w:tcW w:w="1100" w:type="dxa"/>
                  <w:vAlign w:val="center"/>
                </w:tcPr>
                <w:p>
                  <w:pPr>
                    <w:widowControl/>
                    <w:spacing w:line="0" w:lineRule="atLeast"/>
                    <w:jc w:val="center"/>
                    <w:textAlignment w:val="center"/>
                    <w:rPr>
                      <w:sz w:val="21"/>
                      <w:szCs w:val="21"/>
                    </w:rPr>
                  </w:pPr>
                  <w:r>
                    <w:rPr>
                      <w:rFonts w:hint="eastAsia"/>
                      <w:sz w:val="21"/>
                      <w:szCs w:val="21"/>
                    </w:rPr>
                    <w:t>20</w:t>
                  </w:r>
                </w:p>
              </w:tc>
              <w:tc>
                <w:tcPr>
                  <w:tcW w:w="830" w:type="dxa"/>
                  <w:vAlign w:val="center"/>
                </w:tcPr>
                <w:p>
                  <w:pPr>
                    <w:spacing w:line="0" w:lineRule="atLeast"/>
                    <w:jc w:val="center"/>
                    <w:rPr>
                      <w:sz w:val="21"/>
                      <w:szCs w:val="21"/>
                      <w:u w:val="single"/>
                    </w:rPr>
                  </w:pPr>
                  <w:r>
                    <w:rPr>
                      <w:rFonts w:hint="eastAsia"/>
                      <w:sz w:val="21"/>
                      <w:szCs w:val="21"/>
                      <w:u w:val="single"/>
                    </w:rPr>
                    <w:t>生产车间</w:t>
                  </w:r>
                </w:p>
              </w:tc>
              <w:tc>
                <w:tcPr>
                  <w:tcW w:w="830" w:type="dxa"/>
                  <w:vAlign w:val="center"/>
                </w:tcPr>
                <w:p>
                  <w:pPr>
                    <w:widowControl/>
                    <w:spacing w:line="0" w:lineRule="atLeast"/>
                    <w:jc w:val="center"/>
                    <w:textAlignment w:val="center"/>
                    <w:rPr>
                      <w:sz w:val="21"/>
                      <w:szCs w:val="21"/>
                      <w:u w:val="single"/>
                    </w:rPr>
                  </w:pPr>
                  <w:r>
                    <w:rPr>
                      <w:sz w:val="21"/>
                      <w:szCs w:val="21"/>
                      <w:u w:val="single"/>
                    </w:rPr>
                    <w:t>室内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1022" w:hRule="atLeast"/>
                <w:jc w:val="center"/>
              </w:trPr>
              <w:tc>
                <w:tcPr>
                  <w:tcW w:w="958" w:type="dxa"/>
                  <w:vAlign w:val="center"/>
                </w:tcPr>
                <w:p>
                  <w:pPr>
                    <w:snapToGrid w:val="0"/>
                    <w:spacing w:line="0" w:lineRule="atLeast"/>
                    <w:jc w:val="center"/>
                    <w:rPr>
                      <w:sz w:val="21"/>
                      <w:szCs w:val="21"/>
                    </w:rPr>
                  </w:pPr>
                  <w:r>
                    <w:rPr>
                      <w:rFonts w:hint="eastAsia" w:cs="Calibri"/>
                      <w:sz w:val="21"/>
                    </w:rPr>
                    <w:t>撕碎机</w:t>
                  </w:r>
                </w:p>
              </w:tc>
              <w:tc>
                <w:tcPr>
                  <w:tcW w:w="586" w:type="dxa"/>
                  <w:vAlign w:val="center"/>
                </w:tcPr>
                <w:p>
                  <w:pPr>
                    <w:snapToGrid w:val="0"/>
                    <w:spacing w:line="0" w:lineRule="atLeast"/>
                    <w:jc w:val="center"/>
                    <w:rPr>
                      <w:sz w:val="21"/>
                      <w:szCs w:val="21"/>
                    </w:rPr>
                  </w:pPr>
                  <w:r>
                    <w:rPr>
                      <w:sz w:val="21"/>
                      <w:szCs w:val="21"/>
                    </w:rPr>
                    <w:t>1</w:t>
                  </w:r>
                </w:p>
              </w:tc>
              <w:tc>
                <w:tcPr>
                  <w:tcW w:w="1747" w:type="dxa"/>
                  <w:vAlign w:val="center"/>
                </w:tcPr>
                <w:p>
                  <w:pPr>
                    <w:snapToGrid w:val="0"/>
                    <w:spacing w:line="0" w:lineRule="atLeast"/>
                    <w:jc w:val="center"/>
                    <w:rPr>
                      <w:sz w:val="21"/>
                      <w:szCs w:val="21"/>
                    </w:rPr>
                  </w:pPr>
                  <w:r>
                    <w:rPr>
                      <w:rFonts w:hint="eastAsia"/>
                      <w:sz w:val="21"/>
                      <w:szCs w:val="21"/>
                    </w:rPr>
                    <w:t>厂区南侧</w:t>
                  </w:r>
                </w:p>
                <w:p>
                  <w:pPr>
                    <w:snapToGrid w:val="0"/>
                    <w:spacing w:line="0" w:lineRule="atLeast"/>
                    <w:jc w:val="center"/>
                    <w:rPr>
                      <w:sz w:val="21"/>
                      <w:szCs w:val="21"/>
                    </w:rPr>
                  </w:pPr>
                  <w:r>
                    <w:rPr>
                      <w:rFonts w:hint="eastAsia"/>
                      <w:sz w:val="21"/>
                      <w:szCs w:val="21"/>
                    </w:rPr>
                    <w:t>厂房3#</w:t>
                  </w:r>
                </w:p>
              </w:tc>
              <w:tc>
                <w:tcPr>
                  <w:tcW w:w="962" w:type="dxa"/>
                  <w:vAlign w:val="center"/>
                </w:tcPr>
                <w:p>
                  <w:pPr>
                    <w:snapToGrid w:val="0"/>
                    <w:spacing w:line="0" w:lineRule="atLeast"/>
                    <w:jc w:val="center"/>
                    <w:rPr>
                      <w:sz w:val="21"/>
                      <w:szCs w:val="21"/>
                    </w:rPr>
                  </w:pPr>
                  <w:r>
                    <w:rPr>
                      <w:rFonts w:cs="Calibri"/>
                      <w:sz w:val="21"/>
                    </w:rPr>
                    <w:t>105</w:t>
                  </w:r>
                </w:p>
              </w:tc>
              <w:tc>
                <w:tcPr>
                  <w:tcW w:w="1276" w:type="dxa"/>
                  <w:vAlign w:val="center"/>
                </w:tcPr>
                <w:p>
                  <w:pPr>
                    <w:snapToGrid w:val="0"/>
                    <w:spacing w:line="0" w:lineRule="atLeast"/>
                    <w:jc w:val="center"/>
                    <w:rPr>
                      <w:sz w:val="21"/>
                      <w:szCs w:val="21"/>
                    </w:rPr>
                  </w:pPr>
                  <w:r>
                    <w:rPr>
                      <w:sz w:val="21"/>
                      <w:szCs w:val="21"/>
                    </w:rPr>
                    <w:t>设置减振基座、安装减振垫、厂房隔声</w:t>
                  </w:r>
                </w:p>
              </w:tc>
              <w:tc>
                <w:tcPr>
                  <w:tcW w:w="1100" w:type="dxa"/>
                  <w:vAlign w:val="center"/>
                </w:tcPr>
                <w:p>
                  <w:pPr>
                    <w:widowControl/>
                    <w:spacing w:line="0" w:lineRule="atLeast"/>
                    <w:jc w:val="center"/>
                    <w:textAlignment w:val="center"/>
                    <w:rPr>
                      <w:sz w:val="21"/>
                      <w:szCs w:val="21"/>
                    </w:rPr>
                  </w:pPr>
                  <w:r>
                    <w:rPr>
                      <w:rFonts w:hint="eastAsia"/>
                      <w:sz w:val="21"/>
                      <w:szCs w:val="21"/>
                    </w:rPr>
                    <w:t>20</w:t>
                  </w:r>
                </w:p>
              </w:tc>
              <w:tc>
                <w:tcPr>
                  <w:tcW w:w="830" w:type="dxa"/>
                  <w:vAlign w:val="center"/>
                </w:tcPr>
                <w:p>
                  <w:pPr>
                    <w:spacing w:line="0" w:lineRule="atLeast"/>
                    <w:jc w:val="center"/>
                    <w:rPr>
                      <w:sz w:val="21"/>
                      <w:szCs w:val="21"/>
                      <w:u w:val="single"/>
                    </w:rPr>
                  </w:pPr>
                  <w:r>
                    <w:rPr>
                      <w:rFonts w:hint="eastAsia"/>
                      <w:sz w:val="21"/>
                      <w:szCs w:val="21"/>
                      <w:u w:val="single"/>
                    </w:rPr>
                    <w:t>生产车间</w:t>
                  </w:r>
                </w:p>
              </w:tc>
              <w:tc>
                <w:tcPr>
                  <w:tcW w:w="830" w:type="dxa"/>
                  <w:vAlign w:val="center"/>
                </w:tcPr>
                <w:p>
                  <w:pPr>
                    <w:widowControl/>
                    <w:spacing w:line="0" w:lineRule="atLeast"/>
                    <w:jc w:val="center"/>
                    <w:textAlignment w:val="center"/>
                    <w:rPr>
                      <w:sz w:val="21"/>
                      <w:szCs w:val="21"/>
                      <w:u w:val="single"/>
                    </w:rPr>
                  </w:pPr>
                  <w:r>
                    <w:rPr>
                      <w:sz w:val="21"/>
                      <w:szCs w:val="21"/>
                      <w:u w:val="single"/>
                    </w:rPr>
                    <w:t>室内</w:t>
                  </w:r>
                </w:p>
                <w:p>
                  <w:pPr>
                    <w:snapToGrid w:val="0"/>
                    <w:spacing w:line="0" w:lineRule="atLeast"/>
                    <w:jc w:val="center"/>
                    <w:rPr>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751" w:hRule="atLeast"/>
                <w:jc w:val="center"/>
              </w:trPr>
              <w:tc>
                <w:tcPr>
                  <w:tcW w:w="958" w:type="dxa"/>
                  <w:vAlign w:val="center"/>
                </w:tcPr>
                <w:p>
                  <w:pPr>
                    <w:snapToGrid w:val="0"/>
                    <w:spacing w:line="0" w:lineRule="atLeast"/>
                    <w:jc w:val="center"/>
                    <w:rPr>
                      <w:rFonts w:cs="Calibri"/>
                      <w:sz w:val="21"/>
                    </w:rPr>
                  </w:pPr>
                  <w:r>
                    <w:rPr>
                      <w:rFonts w:hint="eastAsia" w:cs="Calibri"/>
                      <w:sz w:val="21"/>
                    </w:rPr>
                    <w:t>冲气锤</w:t>
                  </w:r>
                </w:p>
              </w:tc>
              <w:tc>
                <w:tcPr>
                  <w:tcW w:w="586" w:type="dxa"/>
                  <w:vAlign w:val="center"/>
                </w:tcPr>
                <w:p>
                  <w:pPr>
                    <w:snapToGrid w:val="0"/>
                    <w:spacing w:line="0" w:lineRule="atLeast"/>
                    <w:jc w:val="center"/>
                    <w:rPr>
                      <w:sz w:val="21"/>
                      <w:szCs w:val="21"/>
                    </w:rPr>
                  </w:pPr>
                  <w:r>
                    <w:rPr>
                      <w:rFonts w:hint="eastAsia"/>
                      <w:sz w:val="21"/>
                      <w:szCs w:val="21"/>
                    </w:rPr>
                    <w:t>1</w:t>
                  </w:r>
                </w:p>
              </w:tc>
              <w:tc>
                <w:tcPr>
                  <w:tcW w:w="1747" w:type="dxa"/>
                  <w:vAlign w:val="center"/>
                </w:tcPr>
                <w:p>
                  <w:pPr>
                    <w:snapToGrid w:val="0"/>
                    <w:spacing w:line="0" w:lineRule="atLeast"/>
                    <w:jc w:val="center"/>
                    <w:rPr>
                      <w:sz w:val="21"/>
                      <w:szCs w:val="21"/>
                    </w:rPr>
                  </w:pPr>
                  <w:r>
                    <w:rPr>
                      <w:rFonts w:hint="eastAsia"/>
                      <w:sz w:val="21"/>
                      <w:szCs w:val="21"/>
                    </w:rPr>
                    <w:t>厂区南侧</w:t>
                  </w:r>
                </w:p>
                <w:p>
                  <w:pPr>
                    <w:snapToGrid w:val="0"/>
                    <w:spacing w:line="0" w:lineRule="atLeast"/>
                    <w:jc w:val="center"/>
                    <w:rPr>
                      <w:sz w:val="21"/>
                      <w:szCs w:val="21"/>
                    </w:rPr>
                  </w:pPr>
                  <w:r>
                    <w:rPr>
                      <w:rFonts w:hint="eastAsia"/>
                      <w:sz w:val="21"/>
                      <w:szCs w:val="21"/>
                    </w:rPr>
                    <w:t>厂房3#</w:t>
                  </w:r>
                </w:p>
              </w:tc>
              <w:tc>
                <w:tcPr>
                  <w:tcW w:w="962" w:type="dxa"/>
                  <w:vAlign w:val="center"/>
                </w:tcPr>
                <w:p>
                  <w:pPr>
                    <w:snapToGrid w:val="0"/>
                    <w:spacing w:line="0" w:lineRule="atLeast"/>
                    <w:jc w:val="center"/>
                    <w:rPr>
                      <w:sz w:val="21"/>
                      <w:szCs w:val="21"/>
                    </w:rPr>
                  </w:pPr>
                  <w:r>
                    <w:rPr>
                      <w:rFonts w:cs="Calibri"/>
                      <w:sz w:val="21"/>
                    </w:rPr>
                    <w:t>105</w:t>
                  </w:r>
                </w:p>
              </w:tc>
              <w:tc>
                <w:tcPr>
                  <w:tcW w:w="1276" w:type="dxa"/>
                  <w:vAlign w:val="center"/>
                </w:tcPr>
                <w:p>
                  <w:pPr>
                    <w:snapToGrid w:val="0"/>
                    <w:spacing w:line="0" w:lineRule="atLeast"/>
                    <w:jc w:val="center"/>
                    <w:rPr>
                      <w:sz w:val="21"/>
                      <w:szCs w:val="21"/>
                    </w:rPr>
                  </w:pPr>
                  <w:r>
                    <w:rPr>
                      <w:sz w:val="21"/>
                      <w:szCs w:val="21"/>
                    </w:rPr>
                    <w:t>设置减振基座、安装减振垫、厂房隔声</w:t>
                  </w:r>
                </w:p>
              </w:tc>
              <w:tc>
                <w:tcPr>
                  <w:tcW w:w="1100" w:type="dxa"/>
                  <w:vAlign w:val="center"/>
                </w:tcPr>
                <w:p>
                  <w:pPr>
                    <w:widowControl/>
                    <w:spacing w:line="0" w:lineRule="atLeast"/>
                    <w:jc w:val="center"/>
                    <w:textAlignment w:val="center"/>
                    <w:rPr>
                      <w:sz w:val="21"/>
                      <w:szCs w:val="21"/>
                    </w:rPr>
                  </w:pPr>
                </w:p>
              </w:tc>
              <w:tc>
                <w:tcPr>
                  <w:tcW w:w="830" w:type="dxa"/>
                  <w:vAlign w:val="center"/>
                </w:tcPr>
                <w:p>
                  <w:pPr>
                    <w:spacing w:line="0" w:lineRule="atLeast"/>
                    <w:jc w:val="center"/>
                    <w:rPr>
                      <w:sz w:val="21"/>
                      <w:szCs w:val="21"/>
                      <w:u w:val="single"/>
                    </w:rPr>
                  </w:pPr>
                  <w:r>
                    <w:rPr>
                      <w:rFonts w:hint="eastAsia"/>
                      <w:sz w:val="21"/>
                      <w:szCs w:val="21"/>
                      <w:u w:val="single"/>
                    </w:rPr>
                    <w:t>生产车间</w:t>
                  </w:r>
                </w:p>
              </w:tc>
              <w:tc>
                <w:tcPr>
                  <w:tcW w:w="830" w:type="dxa"/>
                  <w:vAlign w:val="center"/>
                </w:tcPr>
                <w:p>
                  <w:pPr>
                    <w:widowControl/>
                    <w:spacing w:line="0" w:lineRule="atLeast"/>
                    <w:jc w:val="center"/>
                    <w:textAlignment w:val="center"/>
                    <w:rPr>
                      <w:sz w:val="21"/>
                      <w:szCs w:val="21"/>
                      <w:u w:val="single"/>
                    </w:rPr>
                  </w:pPr>
                  <w:r>
                    <w:rPr>
                      <w:sz w:val="21"/>
                      <w:szCs w:val="21"/>
                      <w:u w:val="single"/>
                    </w:rPr>
                    <w:t>室内</w:t>
                  </w:r>
                </w:p>
                <w:p>
                  <w:pPr>
                    <w:widowControl/>
                    <w:spacing w:line="0" w:lineRule="atLeast"/>
                    <w:jc w:val="center"/>
                    <w:textAlignment w:val="center"/>
                    <w:rPr>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751" w:hRule="atLeast"/>
                <w:jc w:val="center"/>
              </w:trPr>
              <w:tc>
                <w:tcPr>
                  <w:tcW w:w="958" w:type="dxa"/>
                  <w:vAlign w:val="center"/>
                </w:tcPr>
                <w:p>
                  <w:pPr>
                    <w:snapToGrid w:val="0"/>
                    <w:spacing w:line="0" w:lineRule="atLeast"/>
                    <w:jc w:val="center"/>
                    <w:rPr>
                      <w:rFonts w:cs="Calibri"/>
                      <w:sz w:val="21"/>
                    </w:rPr>
                  </w:pPr>
                  <w:r>
                    <w:rPr>
                      <w:rFonts w:cs="Calibri"/>
                      <w:sz w:val="21"/>
                    </w:rPr>
                    <w:t>混合搅拌系统</w:t>
                  </w:r>
                </w:p>
              </w:tc>
              <w:tc>
                <w:tcPr>
                  <w:tcW w:w="586" w:type="dxa"/>
                  <w:vAlign w:val="center"/>
                </w:tcPr>
                <w:p>
                  <w:pPr>
                    <w:snapToGrid w:val="0"/>
                    <w:spacing w:line="0" w:lineRule="atLeast"/>
                    <w:jc w:val="center"/>
                    <w:rPr>
                      <w:sz w:val="21"/>
                      <w:szCs w:val="21"/>
                    </w:rPr>
                  </w:pPr>
                  <w:r>
                    <w:rPr>
                      <w:rFonts w:hint="eastAsia"/>
                      <w:sz w:val="21"/>
                      <w:szCs w:val="21"/>
                    </w:rPr>
                    <w:t>1</w:t>
                  </w:r>
                </w:p>
              </w:tc>
              <w:tc>
                <w:tcPr>
                  <w:tcW w:w="1747" w:type="dxa"/>
                  <w:vAlign w:val="center"/>
                </w:tcPr>
                <w:p>
                  <w:pPr>
                    <w:snapToGrid w:val="0"/>
                    <w:spacing w:line="0" w:lineRule="atLeast"/>
                    <w:jc w:val="center"/>
                    <w:rPr>
                      <w:sz w:val="21"/>
                      <w:szCs w:val="21"/>
                    </w:rPr>
                  </w:pPr>
                  <w:r>
                    <w:rPr>
                      <w:rFonts w:hint="eastAsia"/>
                      <w:sz w:val="21"/>
                      <w:szCs w:val="21"/>
                    </w:rPr>
                    <w:t>厂区南侧</w:t>
                  </w:r>
                </w:p>
                <w:p>
                  <w:pPr>
                    <w:snapToGrid w:val="0"/>
                    <w:spacing w:line="0" w:lineRule="atLeast"/>
                    <w:jc w:val="center"/>
                    <w:rPr>
                      <w:sz w:val="21"/>
                      <w:szCs w:val="21"/>
                    </w:rPr>
                  </w:pPr>
                  <w:r>
                    <w:rPr>
                      <w:rFonts w:hint="eastAsia"/>
                      <w:sz w:val="21"/>
                      <w:szCs w:val="21"/>
                    </w:rPr>
                    <w:t>厂房</w:t>
                  </w:r>
                  <w:r>
                    <w:rPr>
                      <w:sz w:val="21"/>
                      <w:szCs w:val="21"/>
                    </w:rPr>
                    <w:t>4</w:t>
                  </w:r>
                  <w:r>
                    <w:rPr>
                      <w:rFonts w:hint="eastAsia"/>
                      <w:sz w:val="21"/>
                      <w:szCs w:val="21"/>
                    </w:rPr>
                    <w:t>#</w:t>
                  </w:r>
                </w:p>
              </w:tc>
              <w:tc>
                <w:tcPr>
                  <w:tcW w:w="962" w:type="dxa"/>
                  <w:vAlign w:val="center"/>
                </w:tcPr>
                <w:p>
                  <w:pPr>
                    <w:snapToGrid w:val="0"/>
                    <w:spacing w:line="0" w:lineRule="atLeast"/>
                    <w:jc w:val="center"/>
                    <w:rPr>
                      <w:sz w:val="21"/>
                      <w:szCs w:val="21"/>
                    </w:rPr>
                  </w:pPr>
                  <w:r>
                    <w:rPr>
                      <w:rFonts w:hint="eastAsia" w:cs="Calibri"/>
                      <w:sz w:val="21"/>
                    </w:rPr>
                    <w:t>8</w:t>
                  </w:r>
                  <w:r>
                    <w:rPr>
                      <w:rFonts w:cs="Calibri"/>
                      <w:sz w:val="21"/>
                    </w:rPr>
                    <w:t>5</w:t>
                  </w:r>
                </w:p>
              </w:tc>
              <w:tc>
                <w:tcPr>
                  <w:tcW w:w="1276" w:type="dxa"/>
                  <w:vAlign w:val="center"/>
                </w:tcPr>
                <w:p>
                  <w:pPr>
                    <w:snapToGrid w:val="0"/>
                    <w:spacing w:line="0" w:lineRule="atLeast"/>
                    <w:jc w:val="center"/>
                    <w:rPr>
                      <w:sz w:val="21"/>
                      <w:szCs w:val="21"/>
                    </w:rPr>
                  </w:pPr>
                  <w:r>
                    <w:rPr>
                      <w:sz w:val="21"/>
                      <w:szCs w:val="21"/>
                    </w:rPr>
                    <w:t>设置减振基座、安装减振垫、厂房隔声</w:t>
                  </w:r>
                </w:p>
              </w:tc>
              <w:tc>
                <w:tcPr>
                  <w:tcW w:w="1100" w:type="dxa"/>
                  <w:vAlign w:val="center"/>
                </w:tcPr>
                <w:p>
                  <w:pPr>
                    <w:widowControl/>
                    <w:spacing w:line="0" w:lineRule="atLeast"/>
                    <w:jc w:val="center"/>
                    <w:textAlignment w:val="center"/>
                    <w:rPr>
                      <w:sz w:val="21"/>
                      <w:szCs w:val="21"/>
                    </w:rPr>
                  </w:pPr>
                </w:p>
              </w:tc>
              <w:tc>
                <w:tcPr>
                  <w:tcW w:w="830" w:type="dxa"/>
                  <w:vAlign w:val="center"/>
                </w:tcPr>
                <w:p>
                  <w:pPr>
                    <w:spacing w:line="0" w:lineRule="atLeast"/>
                    <w:jc w:val="center"/>
                    <w:rPr>
                      <w:sz w:val="21"/>
                      <w:szCs w:val="21"/>
                      <w:u w:val="single"/>
                    </w:rPr>
                  </w:pPr>
                  <w:r>
                    <w:rPr>
                      <w:rFonts w:hint="eastAsia"/>
                      <w:sz w:val="21"/>
                      <w:szCs w:val="21"/>
                      <w:u w:val="single"/>
                    </w:rPr>
                    <w:t>生产车间</w:t>
                  </w:r>
                </w:p>
              </w:tc>
              <w:tc>
                <w:tcPr>
                  <w:tcW w:w="830" w:type="dxa"/>
                  <w:vAlign w:val="center"/>
                </w:tcPr>
                <w:p>
                  <w:pPr>
                    <w:widowControl/>
                    <w:spacing w:line="0" w:lineRule="atLeast"/>
                    <w:jc w:val="center"/>
                    <w:textAlignment w:val="center"/>
                    <w:rPr>
                      <w:sz w:val="21"/>
                      <w:szCs w:val="21"/>
                      <w:u w:val="single"/>
                    </w:rPr>
                  </w:pPr>
                  <w:r>
                    <w:rPr>
                      <w:sz w:val="21"/>
                      <w:szCs w:val="21"/>
                      <w:u w:val="single"/>
                    </w:rPr>
                    <w:t>室内</w:t>
                  </w:r>
                </w:p>
                <w:p>
                  <w:pPr>
                    <w:widowControl/>
                    <w:spacing w:line="0" w:lineRule="atLeast"/>
                    <w:jc w:val="center"/>
                    <w:textAlignment w:val="center"/>
                    <w:rPr>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751" w:hRule="atLeast"/>
                <w:jc w:val="center"/>
              </w:trPr>
              <w:tc>
                <w:tcPr>
                  <w:tcW w:w="958" w:type="dxa"/>
                  <w:vAlign w:val="center"/>
                </w:tcPr>
                <w:p>
                  <w:pPr>
                    <w:snapToGrid w:val="0"/>
                    <w:spacing w:line="0" w:lineRule="atLeast"/>
                    <w:jc w:val="center"/>
                    <w:rPr>
                      <w:rFonts w:cs="Calibri"/>
                      <w:sz w:val="21"/>
                    </w:rPr>
                  </w:pPr>
                  <w:r>
                    <w:rPr>
                      <w:rFonts w:hint="eastAsia" w:cs="Calibri"/>
                      <w:sz w:val="21"/>
                    </w:rPr>
                    <w:t>水泵</w:t>
                  </w:r>
                </w:p>
              </w:tc>
              <w:tc>
                <w:tcPr>
                  <w:tcW w:w="586" w:type="dxa"/>
                  <w:vAlign w:val="center"/>
                </w:tcPr>
                <w:p>
                  <w:pPr>
                    <w:snapToGrid w:val="0"/>
                    <w:spacing w:line="0" w:lineRule="atLeast"/>
                    <w:jc w:val="center"/>
                    <w:rPr>
                      <w:sz w:val="21"/>
                      <w:szCs w:val="21"/>
                    </w:rPr>
                  </w:pPr>
                  <w:r>
                    <w:rPr>
                      <w:rFonts w:hint="eastAsia"/>
                      <w:sz w:val="21"/>
                      <w:szCs w:val="21"/>
                    </w:rPr>
                    <w:t>1</w:t>
                  </w:r>
                  <w:r>
                    <w:rPr>
                      <w:sz w:val="21"/>
                      <w:szCs w:val="21"/>
                    </w:rPr>
                    <w:t>0</w:t>
                  </w:r>
                </w:p>
              </w:tc>
              <w:tc>
                <w:tcPr>
                  <w:tcW w:w="1747" w:type="dxa"/>
                  <w:vAlign w:val="center"/>
                </w:tcPr>
                <w:p>
                  <w:pPr>
                    <w:snapToGrid w:val="0"/>
                    <w:spacing w:line="0" w:lineRule="atLeast"/>
                    <w:jc w:val="center"/>
                    <w:rPr>
                      <w:sz w:val="21"/>
                      <w:szCs w:val="21"/>
                    </w:rPr>
                  </w:pPr>
                </w:p>
              </w:tc>
              <w:tc>
                <w:tcPr>
                  <w:tcW w:w="962" w:type="dxa"/>
                  <w:vAlign w:val="center"/>
                </w:tcPr>
                <w:p>
                  <w:pPr>
                    <w:snapToGrid w:val="0"/>
                    <w:spacing w:line="0" w:lineRule="atLeast"/>
                    <w:jc w:val="center"/>
                    <w:rPr>
                      <w:sz w:val="21"/>
                      <w:szCs w:val="21"/>
                    </w:rPr>
                  </w:pPr>
                  <w:r>
                    <w:rPr>
                      <w:rFonts w:hint="eastAsia" w:cs="Calibri"/>
                      <w:sz w:val="21"/>
                    </w:rPr>
                    <w:t>8</w:t>
                  </w:r>
                  <w:r>
                    <w:rPr>
                      <w:rFonts w:cs="Calibri"/>
                      <w:sz w:val="21"/>
                    </w:rPr>
                    <w:t>5</w:t>
                  </w:r>
                </w:p>
              </w:tc>
              <w:tc>
                <w:tcPr>
                  <w:tcW w:w="1276" w:type="dxa"/>
                  <w:vAlign w:val="center"/>
                </w:tcPr>
                <w:p>
                  <w:pPr>
                    <w:snapToGrid w:val="0"/>
                    <w:spacing w:line="0" w:lineRule="atLeast"/>
                    <w:jc w:val="center"/>
                    <w:rPr>
                      <w:sz w:val="21"/>
                      <w:szCs w:val="21"/>
                    </w:rPr>
                  </w:pPr>
                  <w:r>
                    <w:rPr>
                      <w:sz w:val="21"/>
                      <w:szCs w:val="21"/>
                    </w:rPr>
                    <w:t>设置减振基座、安装减振垫</w:t>
                  </w:r>
                </w:p>
              </w:tc>
              <w:tc>
                <w:tcPr>
                  <w:tcW w:w="1100" w:type="dxa"/>
                  <w:vAlign w:val="center"/>
                </w:tcPr>
                <w:p>
                  <w:pPr>
                    <w:widowControl/>
                    <w:spacing w:line="0" w:lineRule="atLeast"/>
                    <w:jc w:val="center"/>
                    <w:textAlignment w:val="center"/>
                    <w:rPr>
                      <w:sz w:val="21"/>
                      <w:szCs w:val="21"/>
                    </w:rPr>
                  </w:pPr>
                </w:p>
              </w:tc>
              <w:tc>
                <w:tcPr>
                  <w:tcW w:w="830" w:type="dxa"/>
                  <w:vAlign w:val="center"/>
                </w:tcPr>
                <w:p>
                  <w:pPr>
                    <w:spacing w:line="0" w:lineRule="atLeast"/>
                    <w:jc w:val="center"/>
                    <w:rPr>
                      <w:sz w:val="21"/>
                      <w:szCs w:val="21"/>
                      <w:u w:val="single"/>
                    </w:rPr>
                  </w:pPr>
                </w:p>
              </w:tc>
              <w:tc>
                <w:tcPr>
                  <w:tcW w:w="830" w:type="dxa"/>
                  <w:vAlign w:val="center"/>
                </w:tcPr>
                <w:p>
                  <w:pPr>
                    <w:widowControl/>
                    <w:spacing w:line="0" w:lineRule="atLeast"/>
                    <w:jc w:val="center"/>
                    <w:textAlignment w:val="center"/>
                    <w:rPr>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751" w:hRule="atLeast"/>
                <w:jc w:val="center"/>
              </w:trPr>
              <w:tc>
                <w:tcPr>
                  <w:tcW w:w="958" w:type="dxa"/>
                  <w:vAlign w:val="center"/>
                </w:tcPr>
                <w:p>
                  <w:pPr>
                    <w:snapToGrid w:val="0"/>
                    <w:spacing w:line="0" w:lineRule="atLeast"/>
                    <w:jc w:val="center"/>
                    <w:rPr>
                      <w:rFonts w:cs="Calibri"/>
                      <w:sz w:val="21"/>
                    </w:rPr>
                  </w:pPr>
                  <w:r>
                    <w:rPr>
                      <w:rFonts w:cs="Calibri"/>
                      <w:sz w:val="21"/>
                    </w:rPr>
                    <w:t>制砂机</w:t>
                  </w:r>
                </w:p>
              </w:tc>
              <w:tc>
                <w:tcPr>
                  <w:tcW w:w="586" w:type="dxa"/>
                  <w:vAlign w:val="center"/>
                </w:tcPr>
                <w:p>
                  <w:pPr>
                    <w:snapToGrid w:val="0"/>
                    <w:spacing w:line="0" w:lineRule="atLeast"/>
                    <w:jc w:val="center"/>
                    <w:rPr>
                      <w:sz w:val="21"/>
                      <w:szCs w:val="21"/>
                    </w:rPr>
                  </w:pPr>
                  <w:r>
                    <w:rPr>
                      <w:rFonts w:hint="eastAsia"/>
                      <w:sz w:val="21"/>
                      <w:szCs w:val="21"/>
                    </w:rPr>
                    <w:t>1</w:t>
                  </w:r>
                </w:p>
              </w:tc>
              <w:tc>
                <w:tcPr>
                  <w:tcW w:w="1747" w:type="dxa"/>
                  <w:vAlign w:val="center"/>
                </w:tcPr>
                <w:p>
                  <w:pPr>
                    <w:snapToGrid w:val="0"/>
                    <w:spacing w:line="0" w:lineRule="atLeast"/>
                    <w:jc w:val="center"/>
                    <w:rPr>
                      <w:sz w:val="21"/>
                      <w:szCs w:val="21"/>
                    </w:rPr>
                  </w:pPr>
                  <w:r>
                    <w:rPr>
                      <w:rFonts w:hint="eastAsia"/>
                      <w:sz w:val="21"/>
                      <w:szCs w:val="21"/>
                    </w:rPr>
                    <w:t>厂区南侧</w:t>
                  </w:r>
                </w:p>
                <w:p>
                  <w:pPr>
                    <w:snapToGrid w:val="0"/>
                    <w:spacing w:line="0" w:lineRule="atLeast"/>
                    <w:jc w:val="center"/>
                    <w:rPr>
                      <w:sz w:val="21"/>
                      <w:szCs w:val="21"/>
                    </w:rPr>
                  </w:pPr>
                  <w:r>
                    <w:rPr>
                      <w:rFonts w:hint="eastAsia"/>
                      <w:sz w:val="21"/>
                      <w:szCs w:val="21"/>
                    </w:rPr>
                    <w:t>厂房</w:t>
                  </w:r>
                  <w:r>
                    <w:rPr>
                      <w:sz w:val="21"/>
                      <w:szCs w:val="21"/>
                    </w:rPr>
                    <w:t>4</w:t>
                  </w:r>
                  <w:r>
                    <w:rPr>
                      <w:rFonts w:hint="eastAsia"/>
                      <w:sz w:val="21"/>
                      <w:szCs w:val="21"/>
                    </w:rPr>
                    <w:t>#</w:t>
                  </w:r>
                </w:p>
              </w:tc>
              <w:tc>
                <w:tcPr>
                  <w:tcW w:w="962" w:type="dxa"/>
                  <w:vAlign w:val="center"/>
                </w:tcPr>
                <w:p>
                  <w:pPr>
                    <w:snapToGrid w:val="0"/>
                    <w:spacing w:line="0" w:lineRule="atLeast"/>
                    <w:jc w:val="center"/>
                    <w:rPr>
                      <w:sz w:val="21"/>
                      <w:szCs w:val="21"/>
                    </w:rPr>
                  </w:pPr>
                  <w:r>
                    <w:rPr>
                      <w:rFonts w:hint="eastAsia"/>
                      <w:sz w:val="21"/>
                      <w:szCs w:val="21"/>
                    </w:rPr>
                    <w:t>1</w:t>
                  </w:r>
                  <w:r>
                    <w:rPr>
                      <w:sz w:val="21"/>
                      <w:szCs w:val="21"/>
                    </w:rPr>
                    <w:t>05</w:t>
                  </w:r>
                </w:p>
              </w:tc>
              <w:tc>
                <w:tcPr>
                  <w:tcW w:w="1276" w:type="dxa"/>
                  <w:vAlign w:val="center"/>
                </w:tcPr>
                <w:p>
                  <w:pPr>
                    <w:snapToGrid w:val="0"/>
                    <w:spacing w:line="0" w:lineRule="atLeast"/>
                    <w:jc w:val="center"/>
                    <w:rPr>
                      <w:sz w:val="21"/>
                      <w:szCs w:val="21"/>
                    </w:rPr>
                  </w:pPr>
                  <w:r>
                    <w:rPr>
                      <w:sz w:val="21"/>
                      <w:szCs w:val="21"/>
                    </w:rPr>
                    <w:t>设置减振基座、安装减振垫、厂房隔声</w:t>
                  </w:r>
                </w:p>
              </w:tc>
              <w:tc>
                <w:tcPr>
                  <w:tcW w:w="1100" w:type="dxa"/>
                  <w:vAlign w:val="center"/>
                </w:tcPr>
                <w:p>
                  <w:pPr>
                    <w:widowControl/>
                    <w:spacing w:line="0" w:lineRule="atLeast"/>
                    <w:jc w:val="center"/>
                    <w:textAlignment w:val="center"/>
                    <w:rPr>
                      <w:sz w:val="21"/>
                      <w:szCs w:val="21"/>
                    </w:rPr>
                  </w:pPr>
                </w:p>
              </w:tc>
              <w:tc>
                <w:tcPr>
                  <w:tcW w:w="830" w:type="dxa"/>
                  <w:vAlign w:val="center"/>
                </w:tcPr>
                <w:p>
                  <w:pPr>
                    <w:spacing w:line="0" w:lineRule="atLeast"/>
                    <w:jc w:val="center"/>
                    <w:rPr>
                      <w:sz w:val="21"/>
                      <w:szCs w:val="21"/>
                      <w:u w:val="single"/>
                    </w:rPr>
                  </w:pPr>
                  <w:r>
                    <w:rPr>
                      <w:rFonts w:hint="eastAsia"/>
                      <w:sz w:val="21"/>
                      <w:szCs w:val="21"/>
                      <w:u w:val="single"/>
                    </w:rPr>
                    <w:t>生产车间</w:t>
                  </w:r>
                </w:p>
              </w:tc>
              <w:tc>
                <w:tcPr>
                  <w:tcW w:w="830" w:type="dxa"/>
                  <w:vAlign w:val="center"/>
                </w:tcPr>
                <w:p>
                  <w:pPr>
                    <w:widowControl/>
                    <w:spacing w:line="0" w:lineRule="atLeast"/>
                    <w:jc w:val="center"/>
                    <w:textAlignment w:val="center"/>
                    <w:rPr>
                      <w:sz w:val="21"/>
                      <w:szCs w:val="21"/>
                      <w:u w:val="single"/>
                    </w:rPr>
                  </w:pPr>
                  <w:r>
                    <w:rPr>
                      <w:rFonts w:hint="eastAsia"/>
                      <w:sz w:val="21"/>
                      <w:szCs w:val="21"/>
                      <w:u w:val="single"/>
                    </w:rPr>
                    <w:t>室内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751" w:hRule="atLeast"/>
                <w:jc w:val="center"/>
              </w:trPr>
              <w:tc>
                <w:tcPr>
                  <w:tcW w:w="958" w:type="dxa"/>
                  <w:vAlign w:val="center"/>
                </w:tcPr>
                <w:p>
                  <w:pPr>
                    <w:snapToGrid w:val="0"/>
                    <w:spacing w:line="0" w:lineRule="atLeast"/>
                    <w:jc w:val="center"/>
                    <w:rPr>
                      <w:rFonts w:cs="Calibri"/>
                      <w:sz w:val="21"/>
                    </w:rPr>
                  </w:pPr>
                  <w:r>
                    <w:rPr>
                      <w:rFonts w:hint="eastAsia" w:cs="Calibri"/>
                      <w:sz w:val="21"/>
                    </w:rPr>
                    <w:t>滚筒</w:t>
                  </w:r>
                  <w:r>
                    <w:rPr>
                      <w:rFonts w:cs="Calibri"/>
                      <w:sz w:val="21"/>
                    </w:rPr>
                    <w:t>筛</w:t>
                  </w:r>
                </w:p>
              </w:tc>
              <w:tc>
                <w:tcPr>
                  <w:tcW w:w="586" w:type="dxa"/>
                  <w:vAlign w:val="center"/>
                </w:tcPr>
                <w:p>
                  <w:pPr>
                    <w:snapToGrid w:val="0"/>
                    <w:spacing w:line="0" w:lineRule="atLeast"/>
                    <w:jc w:val="center"/>
                    <w:rPr>
                      <w:sz w:val="21"/>
                      <w:szCs w:val="21"/>
                    </w:rPr>
                  </w:pPr>
                  <w:r>
                    <w:rPr>
                      <w:rFonts w:hint="eastAsia"/>
                      <w:sz w:val="21"/>
                      <w:szCs w:val="21"/>
                    </w:rPr>
                    <w:t>1</w:t>
                  </w:r>
                </w:p>
              </w:tc>
              <w:tc>
                <w:tcPr>
                  <w:tcW w:w="1747" w:type="dxa"/>
                  <w:vAlign w:val="center"/>
                </w:tcPr>
                <w:p>
                  <w:pPr>
                    <w:snapToGrid w:val="0"/>
                    <w:spacing w:line="0" w:lineRule="atLeast"/>
                    <w:jc w:val="center"/>
                    <w:rPr>
                      <w:sz w:val="21"/>
                      <w:szCs w:val="21"/>
                    </w:rPr>
                  </w:pPr>
                  <w:r>
                    <w:rPr>
                      <w:rFonts w:hint="eastAsia"/>
                      <w:sz w:val="21"/>
                      <w:szCs w:val="21"/>
                    </w:rPr>
                    <w:t>厂区南侧</w:t>
                  </w:r>
                </w:p>
                <w:p>
                  <w:pPr>
                    <w:snapToGrid w:val="0"/>
                    <w:spacing w:line="0" w:lineRule="atLeast"/>
                    <w:jc w:val="center"/>
                    <w:rPr>
                      <w:sz w:val="21"/>
                      <w:szCs w:val="21"/>
                    </w:rPr>
                  </w:pPr>
                  <w:r>
                    <w:rPr>
                      <w:rFonts w:hint="eastAsia"/>
                      <w:sz w:val="21"/>
                      <w:szCs w:val="21"/>
                    </w:rPr>
                    <w:t>厂房</w:t>
                  </w:r>
                  <w:r>
                    <w:rPr>
                      <w:sz w:val="21"/>
                      <w:szCs w:val="21"/>
                    </w:rPr>
                    <w:t>4</w:t>
                  </w:r>
                  <w:r>
                    <w:rPr>
                      <w:rFonts w:hint="eastAsia"/>
                      <w:sz w:val="21"/>
                      <w:szCs w:val="21"/>
                    </w:rPr>
                    <w:t>#</w:t>
                  </w:r>
                </w:p>
              </w:tc>
              <w:tc>
                <w:tcPr>
                  <w:tcW w:w="962" w:type="dxa"/>
                  <w:vAlign w:val="center"/>
                </w:tcPr>
                <w:p>
                  <w:pPr>
                    <w:snapToGrid w:val="0"/>
                    <w:spacing w:line="0" w:lineRule="atLeast"/>
                    <w:jc w:val="center"/>
                    <w:rPr>
                      <w:sz w:val="21"/>
                      <w:szCs w:val="21"/>
                    </w:rPr>
                  </w:pPr>
                  <w:r>
                    <w:rPr>
                      <w:rFonts w:hint="eastAsia"/>
                      <w:sz w:val="21"/>
                      <w:szCs w:val="21"/>
                    </w:rPr>
                    <w:t>8</w:t>
                  </w:r>
                  <w:r>
                    <w:rPr>
                      <w:sz w:val="21"/>
                      <w:szCs w:val="21"/>
                    </w:rPr>
                    <w:t>5</w:t>
                  </w:r>
                </w:p>
              </w:tc>
              <w:tc>
                <w:tcPr>
                  <w:tcW w:w="1276" w:type="dxa"/>
                  <w:vAlign w:val="center"/>
                </w:tcPr>
                <w:p>
                  <w:pPr>
                    <w:snapToGrid w:val="0"/>
                    <w:spacing w:line="0" w:lineRule="atLeast"/>
                    <w:jc w:val="center"/>
                    <w:rPr>
                      <w:sz w:val="21"/>
                      <w:szCs w:val="21"/>
                    </w:rPr>
                  </w:pPr>
                  <w:r>
                    <w:rPr>
                      <w:sz w:val="21"/>
                      <w:szCs w:val="21"/>
                    </w:rPr>
                    <w:t>设置减振基座、安装减振垫、厂房隔声</w:t>
                  </w:r>
                </w:p>
              </w:tc>
              <w:tc>
                <w:tcPr>
                  <w:tcW w:w="1100" w:type="dxa"/>
                  <w:vAlign w:val="center"/>
                </w:tcPr>
                <w:p>
                  <w:pPr>
                    <w:widowControl/>
                    <w:spacing w:line="0" w:lineRule="atLeast"/>
                    <w:jc w:val="center"/>
                    <w:textAlignment w:val="center"/>
                    <w:rPr>
                      <w:sz w:val="21"/>
                      <w:szCs w:val="21"/>
                    </w:rPr>
                  </w:pPr>
                </w:p>
              </w:tc>
              <w:tc>
                <w:tcPr>
                  <w:tcW w:w="830" w:type="dxa"/>
                  <w:vAlign w:val="center"/>
                </w:tcPr>
                <w:p>
                  <w:pPr>
                    <w:spacing w:line="0" w:lineRule="atLeast"/>
                    <w:jc w:val="center"/>
                    <w:rPr>
                      <w:sz w:val="21"/>
                      <w:szCs w:val="21"/>
                      <w:u w:val="single"/>
                    </w:rPr>
                  </w:pPr>
                  <w:r>
                    <w:rPr>
                      <w:rFonts w:hint="eastAsia"/>
                      <w:sz w:val="21"/>
                      <w:szCs w:val="21"/>
                      <w:u w:val="single"/>
                    </w:rPr>
                    <w:t>生产车间</w:t>
                  </w:r>
                </w:p>
              </w:tc>
              <w:tc>
                <w:tcPr>
                  <w:tcW w:w="830" w:type="dxa"/>
                  <w:vAlign w:val="center"/>
                </w:tcPr>
                <w:p>
                  <w:pPr>
                    <w:widowControl/>
                    <w:spacing w:line="0" w:lineRule="atLeast"/>
                    <w:jc w:val="center"/>
                    <w:textAlignment w:val="center"/>
                    <w:rPr>
                      <w:sz w:val="21"/>
                      <w:szCs w:val="21"/>
                      <w:u w:val="single"/>
                    </w:rPr>
                  </w:pPr>
                  <w:r>
                    <w:rPr>
                      <w:rFonts w:hint="eastAsia"/>
                      <w:sz w:val="21"/>
                      <w:szCs w:val="21"/>
                      <w:u w:val="single"/>
                    </w:rPr>
                    <w:t>室内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958" w:type="dxa"/>
                  <w:vAlign w:val="center"/>
                </w:tcPr>
                <w:p>
                  <w:pPr>
                    <w:widowControl/>
                    <w:spacing w:line="0" w:lineRule="atLeast"/>
                    <w:jc w:val="center"/>
                    <w:rPr>
                      <w:sz w:val="21"/>
                      <w:szCs w:val="21"/>
                    </w:rPr>
                  </w:pPr>
                  <w:r>
                    <w:rPr>
                      <w:rFonts w:cs="Calibri"/>
                      <w:sz w:val="21"/>
                    </w:rPr>
                    <w:t>输送带</w:t>
                  </w:r>
                </w:p>
              </w:tc>
              <w:tc>
                <w:tcPr>
                  <w:tcW w:w="586" w:type="dxa"/>
                  <w:vAlign w:val="center"/>
                </w:tcPr>
                <w:p>
                  <w:pPr>
                    <w:widowControl/>
                    <w:spacing w:line="0" w:lineRule="atLeast"/>
                    <w:jc w:val="center"/>
                    <w:rPr>
                      <w:sz w:val="21"/>
                      <w:szCs w:val="21"/>
                    </w:rPr>
                  </w:pPr>
                  <w:r>
                    <w:rPr>
                      <w:sz w:val="21"/>
                      <w:szCs w:val="21"/>
                    </w:rPr>
                    <w:t>20</w:t>
                  </w:r>
                </w:p>
              </w:tc>
              <w:tc>
                <w:tcPr>
                  <w:tcW w:w="1747" w:type="dxa"/>
                  <w:vAlign w:val="center"/>
                </w:tcPr>
                <w:p>
                  <w:pPr>
                    <w:snapToGrid w:val="0"/>
                    <w:spacing w:line="0" w:lineRule="atLeast"/>
                    <w:jc w:val="center"/>
                    <w:rPr>
                      <w:sz w:val="21"/>
                      <w:szCs w:val="21"/>
                    </w:rPr>
                  </w:pPr>
                </w:p>
              </w:tc>
              <w:tc>
                <w:tcPr>
                  <w:tcW w:w="962" w:type="dxa"/>
                  <w:vAlign w:val="center"/>
                </w:tcPr>
                <w:p>
                  <w:pPr>
                    <w:widowControl/>
                    <w:spacing w:line="0" w:lineRule="atLeast"/>
                    <w:jc w:val="center"/>
                    <w:textAlignment w:val="center"/>
                    <w:rPr>
                      <w:sz w:val="21"/>
                      <w:szCs w:val="21"/>
                    </w:rPr>
                  </w:pPr>
                  <w:r>
                    <w:rPr>
                      <w:sz w:val="21"/>
                      <w:szCs w:val="21"/>
                    </w:rPr>
                    <w:t>80</w:t>
                  </w:r>
                </w:p>
              </w:tc>
              <w:tc>
                <w:tcPr>
                  <w:tcW w:w="1276" w:type="dxa"/>
                  <w:vAlign w:val="center"/>
                </w:tcPr>
                <w:p>
                  <w:pPr>
                    <w:snapToGrid w:val="0"/>
                    <w:spacing w:line="0" w:lineRule="atLeast"/>
                    <w:jc w:val="center"/>
                    <w:rPr>
                      <w:sz w:val="21"/>
                      <w:szCs w:val="21"/>
                    </w:rPr>
                  </w:pPr>
                  <w:r>
                    <w:rPr>
                      <w:sz w:val="21"/>
                      <w:szCs w:val="21"/>
                    </w:rPr>
                    <w:t>设置减振基座、安装减振垫</w:t>
                  </w:r>
                </w:p>
              </w:tc>
              <w:tc>
                <w:tcPr>
                  <w:tcW w:w="1100" w:type="dxa"/>
                  <w:vAlign w:val="center"/>
                </w:tcPr>
                <w:p>
                  <w:pPr>
                    <w:widowControl/>
                    <w:spacing w:line="0" w:lineRule="atLeast"/>
                    <w:jc w:val="center"/>
                    <w:textAlignment w:val="center"/>
                    <w:rPr>
                      <w:sz w:val="21"/>
                      <w:szCs w:val="21"/>
                    </w:rPr>
                  </w:pPr>
                  <w:r>
                    <w:rPr>
                      <w:rFonts w:hint="eastAsia"/>
                      <w:sz w:val="21"/>
                      <w:szCs w:val="21"/>
                    </w:rPr>
                    <w:t>20</w:t>
                  </w:r>
                </w:p>
              </w:tc>
              <w:tc>
                <w:tcPr>
                  <w:tcW w:w="830" w:type="dxa"/>
                  <w:vAlign w:val="center"/>
                </w:tcPr>
                <w:p>
                  <w:pPr>
                    <w:spacing w:line="0" w:lineRule="atLeast"/>
                    <w:jc w:val="center"/>
                    <w:rPr>
                      <w:sz w:val="21"/>
                      <w:szCs w:val="21"/>
                      <w:u w:val="single"/>
                    </w:rPr>
                  </w:pPr>
                  <w:r>
                    <w:rPr>
                      <w:rFonts w:hint="eastAsia"/>
                      <w:sz w:val="21"/>
                      <w:szCs w:val="21"/>
                      <w:u w:val="single"/>
                    </w:rPr>
                    <w:t>生产车间</w:t>
                  </w:r>
                </w:p>
              </w:tc>
              <w:tc>
                <w:tcPr>
                  <w:tcW w:w="830" w:type="dxa"/>
                  <w:vAlign w:val="center"/>
                </w:tcPr>
                <w:p>
                  <w:pPr>
                    <w:widowControl/>
                    <w:spacing w:line="0" w:lineRule="atLeast"/>
                    <w:jc w:val="center"/>
                    <w:textAlignment w:val="center"/>
                    <w:rPr>
                      <w:sz w:val="21"/>
                      <w:szCs w:val="21"/>
                      <w:u w:val="single"/>
                    </w:rPr>
                  </w:pPr>
                  <w:r>
                    <w:rPr>
                      <w:sz w:val="21"/>
                      <w:szCs w:val="21"/>
                      <w:u w:val="single"/>
                    </w:rPr>
                    <w:t>室内</w:t>
                  </w:r>
                </w:p>
              </w:tc>
            </w:tr>
          </w:tbl>
          <w:p>
            <w:pPr>
              <w:adjustRightInd w:val="0"/>
              <w:spacing w:line="360" w:lineRule="auto"/>
              <w:ind w:firstLine="240" w:firstLineChars="100"/>
              <w:rPr>
                <w:sz w:val="24"/>
              </w:rPr>
            </w:pPr>
          </w:p>
          <w:p>
            <w:pPr>
              <w:adjustRightInd w:val="0"/>
              <w:spacing w:line="360" w:lineRule="auto"/>
              <w:ind w:firstLine="240" w:firstLineChars="100"/>
              <w:rPr>
                <w:sz w:val="24"/>
              </w:rPr>
            </w:pPr>
            <w:r>
              <w:rPr>
                <w:sz w:val="24"/>
              </w:rPr>
              <w:t>（2）防治措施</w:t>
            </w:r>
          </w:p>
          <w:p>
            <w:pPr>
              <w:adjustRightInd w:val="0"/>
              <w:spacing w:line="360" w:lineRule="auto"/>
              <w:ind w:firstLine="480" w:firstLineChars="200"/>
              <w:rPr>
                <w:sz w:val="24"/>
              </w:rPr>
            </w:pPr>
            <w:r>
              <w:rPr>
                <w:sz w:val="24"/>
              </w:rPr>
              <w:t>本环评建议建设单位需要采取以下的隔声、降噪措施：</w:t>
            </w:r>
          </w:p>
          <w:p>
            <w:pPr>
              <w:pStyle w:val="53"/>
              <w:numPr>
                <w:ilvl w:val="0"/>
                <w:numId w:val="3"/>
              </w:numPr>
              <w:spacing w:line="360" w:lineRule="auto"/>
              <w:ind w:left="0" w:firstLine="480"/>
              <w:rPr>
                <w:sz w:val="24"/>
                <w:u w:val="single"/>
              </w:rPr>
            </w:pPr>
            <w:r>
              <w:rPr>
                <w:sz w:val="24"/>
                <w:u w:val="single"/>
              </w:rPr>
              <w:t>总平面布置：从总平面布置的角度出发，将</w:t>
            </w:r>
            <w:r>
              <w:rPr>
                <w:rFonts w:hint="eastAsia"/>
                <w:sz w:val="24"/>
                <w:u w:val="single"/>
              </w:rPr>
              <w:t>加工</w:t>
            </w:r>
            <w:r>
              <w:rPr>
                <w:sz w:val="24"/>
                <w:u w:val="single"/>
              </w:rPr>
              <w:t>设施设置于厂区</w:t>
            </w:r>
            <w:r>
              <w:rPr>
                <w:rFonts w:hint="eastAsia"/>
                <w:sz w:val="24"/>
                <w:u w:val="single"/>
              </w:rPr>
              <w:t>西南</w:t>
            </w:r>
            <w:r>
              <w:rPr>
                <w:sz w:val="24"/>
                <w:u w:val="single"/>
              </w:rPr>
              <w:t>部，并在周围种植绿化带，以阻隔噪声的传播和干扰。同时在工厂总体布置上利用建筑物、构筑物来阻隔声波的传播。本项目采用的</w:t>
            </w:r>
            <w:r>
              <w:rPr>
                <w:rFonts w:hint="eastAsia"/>
                <w:sz w:val="24"/>
                <w:u w:val="single"/>
              </w:rPr>
              <w:t>生产车间</w:t>
            </w:r>
            <w:r>
              <w:rPr>
                <w:sz w:val="24"/>
                <w:u w:val="single"/>
              </w:rPr>
              <w:t>虽然是处于密闭状态下进行生产，具有一定降噪效果，但搅拌</w:t>
            </w:r>
            <w:r>
              <w:rPr>
                <w:rFonts w:hint="eastAsia"/>
                <w:sz w:val="24"/>
                <w:u w:val="single"/>
              </w:rPr>
              <w:t>厂房</w:t>
            </w:r>
            <w:r>
              <w:rPr>
                <w:sz w:val="24"/>
                <w:u w:val="single"/>
              </w:rPr>
              <w:t>在生产时尽量减少车间门窗的开启频次，利用墙壁的作用，使噪声受到不同程度的隔绝和吸收，做到尽可能屏蔽声源，减少对环境的影响。同时在工厂总体布置上利用建筑物、构筑物来阻隔声波的传播。</w:t>
            </w:r>
            <w:r>
              <w:rPr>
                <w:rFonts w:hint="eastAsia"/>
                <w:sz w:val="24"/>
                <w:u w:val="single"/>
              </w:rPr>
              <w:t>在破碎生产线厂房靠近清政老年公寓一侧加装隔音板，不设置窗户。</w:t>
            </w:r>
          </w:p>
          <w:p>
            <w:pPr>
              <w:spacing w:line="360" w:lineRule="auto"/>
              <w:ind w:firstLine="480" w:firstLineChars="200"/>
              <w:rPr>
                <w:sz w:val="24"/>
              </w:rPr>
            </w:pPr>
            <w:r>
              <w:rPr>
                <w:rFonts w:hint="eastAsia" w:ascii="宋体" w:hAnsi="宋体" w:cs="宋体"/>
                <w:sz w:val="24"/>
              </w:rPr>
              <w:t>②</w:t>
            </w:r>
            <w:r>
              <w:rPr>
                <w:sz w:val="24"/>
              </w:rPr>
              <w:t xml:space="preserve">加强治理：项目应选用低噪声设备，并设置减震基础，对于输送配套设施设置封闭机房；而对于空气动力性噪声的机械设备，如风机等进出风口加装消声器。 </w:t>
            </w:r>
          </w:p>
          <w:p>
            <w:pPr>
              <w:spacing w:line="360" w:lineRule="auto"/>
              <w:ind w:firstLine="480" w:firstLineChars="200"/>
              <w:rPr>
                <w:sz w:val="24"/>
              </w:rPr>
            </w:pPr>
            <w:r>
              <w:rPr>
                <w:rFonts w:hint="eastAsia" w:ascii="宋体" w:hAnsi="宋体" w:cs="宋体"/>
                <w:sz w:val="24"/>
              </w:rPr>
              <w:t>③</w:t>
            </w:r>
            <w:r>
              <w:rPr>
                <w:sz w:val="24"/>
              </w:rPr>
              <w:t>加强管理：建立设备定期维护，保养的管理制度，以防止设备故障形成的非正常生产噪声，同时确保环保措施发挥最佳有效的功能；加强职工环保意识教育，提倡文明生产，防止人为噪声；强化行车管理制度，设置降噪标准，严禁鸣号，进入厂区低速行驶，最大限度减少流动噪声源。</w:t>
            </w:r>
          </w:p>
          <w:p>
            <w:pPr>
              <w:spacing w:line="360" w:lineRule="auto"/>
              <w:ind w:firstLine="480" w:firstLineChars="200"/>
              <w:rPr>
                <w:sz w:val="24"/>
              </w:rPr>
            </w:pPr>
            <w:r>
              <w:rPr>
                <w:rFonts w:hint="eastAsia" w:ascii="宋体" w:hAnsi="宋体" w:cs="宋体"/>
                <w:sz w:val="24"/>
              </w:rPr>
              <w:t>④</w:t>
            </w:r>
            <w:r>
              <w:rPr>
                <w:sz w:val="24"/>
              </w:rPr>
              <w:t>加强厂区绿化：在本项目厂内各噪声源与厂界设置隔离带，在隔离带种植花草树木，进行厂区绿化，厂内各噪声源与厂界设置至少1m的隔离带，并建挡墙，以进一步减轻设备噪声对环境的影响。</w:t>
            </w:r>
          </w:p>
          <w:p>
            <w:pPr>
              <w:spacing w:line="360" w:lineRule="auto"/>
              <w:ind w:firstLine="480" w:firstLineChars="200"/>
              <w:rPr>
                <w:sz w:val="24"/>
              </w:rPr>
            </w:pPr>
            <w:r>
              <w:rPr>
                <w:rFonts w:hint="eastAsia" w:ascii="宋体" w:hAnsi="宋体" w:cs="宋体"/>
                <w:sz w:val="24"/>
              </w:rPr>
              <w:t>⑤</w:t>
            </w:r>
            <w:r>
              <w:rPr>
                <w:sz w:val="24"/>
              </w:rPr>
              <w:t>生产时间安排：项目应安排在昼间进行生产。</w:t>
            </w:r>
          </w:p>
          <w:p>
            <w:pPr>
              <w:spacing w:line="360" w:lineRule="auto"/>
              <w:ind w:firstLine="480" w:firstLineChars="200"/>
              <w:rPr>
                <w:sz w:val="24"/>
              </w:rPr>
            </w:pPr>
            <w:r>
              <w:rPr>
                <w:sz w:val="24"/>
              </w:rPr>
              <w:t>在实行以上措施后，可以大大减轻生产噪声对周围环境的影响，预计项目生产噪声对周围环境影响不大。</w:t>
            </w:r>
          </w:p>
          <w:p>
            <w:pPr>
              <w:spacing w:line="360" w:lineRule="auto"/>
              <w:ind w:firstLine="480" w:firstLineChars="200"/>
              <w:rPr>
                <w:sz w:val="24"/>
              </w:rPr>
            </w:pPr>
            <w:r>
              <w:rPr>
                <w:sz w:val="24"/>
              </w:rPr>
              <w:t>（3）噪声预测</w:t>
            </w:r>
          </w:p>
          <w:p>
            <w:pPr>
              <w:spacing w:line="360" w:lineRule="auto"/>
              <w:ind w:firstLine="480" w:firstLineChars="200"/>
              <w:rPr>
                <w:rFonts w:cs="Calibri"/>
                <w:sz w:val="24"/>
              </w:rPr>
            </w:pPr>
            <w:r>
              <w:rPr>
                <w:rFonts w:cs="Calibri"/>
                <w:sz w:val="24"/>
              </w:rPr>
              <w:t>根据《环境影响评价技术导则 声环境》（HJ2.4—2009）中对噪声源强的分类，项目噪声源按声源性质可以分为流动声源和固定声源两大类，机动车辆为流动声源，场内固定的产噪设备为固定声源。在本项目中，项目工业噪声源强均为固定声源。因此，本项目根据导则对工业噪声预测。</w:t>
            </w:r>
          </w:p>
          <w:p>
            <w:pPr>
              <w:spacing w:line="360" w:lineRule="auto"/>
              <w:ind w:firstLine="480" w:firstLineChars="200"/>
              <w:rPr>
                <w:rFonts w:cs="Calibri"/>
                <w:sz w:val="24"/>
              </w:rPr>
            </w:pPr>
            <w:r>
              <w:rPr>
                <w:rFonts w:cs="Calibri"/>
                <w:sz w:val="24"/>
              </w:rPr>
              <w:t>1）噪声源源强的选择原则</w:t>
            </w:r>
          </w:p>
          <w:p>
            <w:pPr>
              <w:spacing w:line="360" w:lineRule="auto"/>
              <w:ind w:firstLine="480" w:firstLineChars="200"/>
              <w:rPr>
                <w:rFonts w:cs="Calibri"/>
                <w:sz w:val="24"/>
              </w:rPr>
            </w:pPr>
            <w:r>
              <w:rPr>
                <w:rFonts w:cs="Calibri"/>
                <w:sz w:val="24"/>
              </w:rPr>
              <w:t xml:space="preserve"> a）本项目机械设备较多，噪声源较简单，但各种设备数量较多，且不少设备属于强噪声设备，有些设备噪声给出的声压级有一个范围，本次评价预测时候按平均值考虑。</w:t>
            </w:r>
          </w:p>
          <w:p>
            <w:pPr>
              <w:spacing w:line="360" w:lineRule="auto"/>
              <w:ind w:firstLine="480" w:firstLineChars="200"/>
              <w:rPr>
                <w:rFonts w:cs="Calibri"/>
                <w:sz w:val="24"/>
              </w:rPr>
            </w:pPr>
            <w:r>
              <w:rPr>
                <w:rFonts w:cs="Calibri"/>
                <w:sz w:val="24"/>
              </w:rPr>
              <w:t>b）高噪声设备和低噪声设备的户外噪声级相差较大，按照噪声级叠加规律，相差10dB以上的多个噪声源，可不用考虑低噪声的影响。因此，本次评价在预测时按此规律筛选，只考虑高噪声设备的影响。</w:t>
            </w:r>
          </w:p>
          <w:p>
            <w:pPr>
              <w:spacing w:line="360" w:lineRule="auto"/>
              <w:ind w:firstLine="480" w:firstLineChars="200"/>
              <w:rPr>
                <w:rFonts w:cs="Calibri"/>
                <w:sz w:val="24"/>
              </w:rPr>
            </w:pPr>
            <w:bookmarkStart w:id="15" w:name="_Toc329264018"/>
            <w:r>
              <w:rPr>
                <w:rFonts w:cs="Calibri"/>
                <w:sz w:val="24"/>
              </w:rPr>
              <w:t>2）预测模式</w:t>
            </w:r>
            <w:bookmarkEnd w:id="15"/>
            <w:r>
              <w:rPr>
                <w:rFonts w:cs="Calibri"/>
                <w:sz w:val="24"/>
              </w:rPr>
              <w:t>的选取</w:t>
            </w:r>
          </w:p>
          <w:p>
            <w:pPr>
              <w:spacing w:line="360" w:lineRule="auto"/>
              <w:ind w:firstLine="480" w:firstLineChars="200"/>
              <w:rPr>
                <w:rFonts w:cs="Calibri"/>
                <w:sz w:val="24"/>
              </w:rPr>
            </w:pPr>
            <w:r>
              <w:rPr>
                <w:rFonts w:cs="Calibri"/>
                <w:sz w:val="24"/>
              </w:rPr>
              <w:t>根据《环境影响评价技术导则 声环境》（HJ2.4-2009）的技术要求，本次评价采取导则上推荐模式。</w:t>
            </w:r>
          </w:p>
          <w:p>
            <w:pPr>
              <w:spacing w:line="360" w:lineRule="auto"/>
              <w:ind w:firstLine="480" w:firstLineChars="200"/>
              <w:rPr>
                <w:rFonts w:cs="Calibri"/>
                <w:sz w:val="24"/>
              </w:rPr>
            </w:pPr>
            <w:bookmarkStart w:id="16" w:name="_Toc329264019"/>
            <w:r>
              <w:rPr>
                <w:rFonts w:cs="Calibri"/>
                <w:sz w:val="24"/>
              </w:rPr>
              <w:t>多个噪声源叠加的综合噪声计算公式如下：</w:t>
            </w:r>
          </w:p>
          <w:p>
            <w:pPr>
              <w:tabs>
                <w:tab w:val="center" w:pos="4780"/>
              </w:tabs>
              <w:spacing w:line="360" w:lineRule="auto"/>
              <w:ind w:firstLine="480"/>
              <w:rPr>
                <w:sz w:val="24"/>
                <w:vertAlign w:val="subscript"/>
              </w:rPr>
            </w:pPr>
            <w:r>
              <w:rPr>
                <w:position w:val="-28"/>
                <w:sz w:val="24"/>
                <w:vertAlign w:val="subscript"/>
              </w:rPr>
              <w:pict>
                <v:shape id="_x0000_i1027" o:spt="75" type="#_x0000_t75" style="height:36pt;width:94.5pt;" filled="f" o:preferrelative="t" stroked="f" coordsize="21600,21600">
                  <v:path/>
                  <v:fill on="f" focussize="0,0"/>
                  <v:stroke on="f" joinstyle="miter"/>
                  <v:imagedata r:id="rId13" o:title=""/>
                  <o:lock v:ext="edit" aspectratio="t"/>
                  <w10:wrap type="none"/>
                  <w10:anchorlock/>
                </v:shape>
              </w:pict>
            </w:r>
          </w:p>
          <w:p>
            <w:pPr>
              <w:spacing w:line="360" w:lineRule="auto"/>
              <w:ind w:firstLine="480"/>
              <w:rPr>
                <w:sz w:val="24"/>
              </w:rPr>
            </w:pPr>
            <w:r>
              <w:rPr>
                <w:sz w:val="24"/>
              </w:rPr>
              <w:t>式中：L</w:t>
            </w:r>
            <w:r>
              <w:rPr>
                <w:sz w:val="24"/>
                <w:vertAlign w:val="subscript"/>
              </w:rPr>
              <w:t>A</w:t>
            </w:r>
            <w:r>
              <w:rPr>
                <w:sz w:val="24"/>
              </w:rPr>
              <w:t>——多个噪声源叠加的综合噪声声压级，dB(A)；</w:t>
            </w:r>
          </w:p>
          <w:p>
            <w:pPr>
              <w:spacing w:line="360" w:lineRule="auto"/>
              <w:ind w:firstLine="480"/>
              <w:rPr>
                <w:sz w:val="24"/>
              </w:rPr>
            </w:pPr>
            <w:r>
              <w:rPr>
                <w:sz w:val="24"/>
              </w:rPr>
              <w:t xml:space="preserve">      L</w:t>
            </w:r>
            <w:r>
              <w:rPr>
                <w:sz w:val="24"/>
                <w:vertAlign w:val="subscript"/>
              </w:rPr>
              <w:t>i</w:t>
            </w:r>
            <w:r>
              <w:rPr>
                <w:sz w:val="24"/>
              </w:rPr>
              <w:t>——第i个噪声源的声压级，dB(A)；</w:t>
            </w:r>
          </w:p>
          <w:p>
            <w:pPr>
              <w:spacing w:line="360" w:lineRule="auto"/>
              <w:ind w:firstLine="480"/>
              <w:rPr>
                <w:sz w:val="24"/>
              </w:rPr>
            </w:pPr>
            <w:r>
              <w:rPr>
                <w:sz w:val="24"/>
              </w:rPr>
              <w:t xml:space="preserve">      n——噪声源的个数。</w:t>
            </w:r>
          </w:p>
          <w:p>
            <w:pPr>
              <w:spacing w:line="360" w:lineRule="auto"/>
              <w:ind w:left="730" w:leftChars="228"/>
              <w:rPr>
                <w:sz w:val="24"/>
              </w:rPr>
            </w:pPr>
            <w:r>
              <w:rPr>
                <w:sz w:val="24"/>
              </w:rPr>
              <w:t>对营运期噪声采用点源模式进行预测，点源衰减模式为：</w:t>
            </w:r>
          </w:p>
          <w:p>
            <w:pPr>
              <w:spacing w:line="360" w:lineRule="auto"/>
              <w:ind w:firstLine="480"/>
              <w:rPr>
                <w:sz w:val="24"/>
                <w:vertAlign w:val="subscript"/>
              </w:rPr>
            </w:pPr>
            <w:r>
              <w:rPr>
                <w:position w:val="-12"/>
                <w:sz w:val="24"/>
                <w:vertAlign w:val="subscript"/>
              </w:rPr>
              <w:pict>
                <v:shape id="_x0000_i1028" o:spt="75" type="#_x0000_t75" style="height:18pt;width:109.5pt;" filled="f" o:preferrelative="t" stroked="f" coordsize="21600,21600">
                  <v:path/>
                  <v:fill on="f" focussize="0,0"/>
                  <v:stroke on="f" joinstyle="miter"/>
                  <v:imagedata r:id="rId14" o:title=""/>
                  <o:lock v:ext="edit" aspectratio="t"/>
                  <w10:wrap type="none"/>
                  <w10:anchorlock/>
                </v:shape>
              </w:pict>
            </w:r>
          </w:p>
          <w:p>
            <w:pPr>
              <w:spacing w:line="360" w:lineRule="auto"/>
              <w:ind w:firstLine="480"/>
              <w:rPr>
                <w:sz w:val="24"/>
              </w:rPr>
            </w:pPr>
            <w:r>
              <w:rPr>
                <w:sz w:val="24"/>
              </w:rPr>
              <w:t>式中：L</w:t>
            </w:r>
            <w:r>
              <w:rPr>
                <w:sz w:val="24"/>
                <w:vertAlign w:val="subscript"/>
              </w:rPr>
              <w:t>A</w:t>
            </w:r>
            <w:r>
              <w:rPr>
                <w:sz w:val="24"/>
              </w:rPr>
              <w:t>——距声源为r</w:t>
            </w:r>
            <w:r>
              <w:rPr>
                <w:sz w:val="24"/>
                <w:vertAlign w:val="subscript"/>
              </w:rPr>
              <w:t>a</w:t>
            </w:r>
            <w:r>
              <w:rPr>
                <w:sz w:val="24"/>
              </w:rPr>
              <w:t>米处的声级，dB(A)；</w:t>
            </w:r>
          </w:p>
          <w:p>
            <w:pPr>
              <w:spacing w:line="360" w:lineRule="auto"/>
              <w:ind w:firstLine="480"/>
              <w:rPr>
                <w:sz w:val="24"/>
              </w:rPr>
            </w:pPr>
            <w:r>
              <w:rPr>
                <w:sz w:val="24"/>
              </w:rPr>
              <w:t xml:space="preserve">      L</w:t>
            </w:r>
            <w:r>
              <w:rPr>
                <w:sz w:val="24"/>
                <w:vertAlign w:val="subscript"/>
              </w:rPr>
              <w:t>0</w:t>
            </w:r>
            <w:r>
              <w:rPr>
                <w:sz w:val="24"/>
              </w:rPr>
              <w:t>——距声源为r</w:t>
            </w:r>
            <w:r>
              <w:rPr>
                <w:sz w:val="24"/>
                <w:vertAlign w:val="subscript"/>
              </w:rPr>
              <w:t>0</w:t>
            </w:r>
            <w:r>
              <w:rPr>
                <w:sz w:val="24"/>
              </w:rPr>
              <w:t>米处的声级，dB(A)；</w:t>
            </w:r>
          </w:p>
          <w:p>
            <w:pPr>
              <w:spacing w:line="360" w:lineRule="auto"/>
              <w:ind w:firstLine="480"/>
              <w:rPr>
                <w:sz w:val="24"/>
              </w:rPr>
            </w:pPr>
            <w:r>
              <w:rPr>
                <w:spacing w:val="2"/>
                <w:sz w:val="24"/>
              </w:rPr>
              <w:t>因项目工作面的设备相对比较集中，故本评价可将工作面看作一个点声源。</w:t>
            </w:r>
          </w:p>
          <w:p>
            <w:pPr>
              <w:adjustRightInd w:val="0"/>
              <w:spacing w:line="360" w:lineRule="auto"/>
              <w:ind w:firstLine="480" w:firstLineChars="200"/>
              <w:rPr>
                <w:sz w:val="24"/>
              </w:rPr>
            </w:pPr>
            <w:r>
              <w:rPr>
                <w:sz w:val="24"/>
              </w:rPr>
              <w:t>3） 预测结果</w:t>
            </w:r>
            <w:bookmarkEnd w:id="16"/>
          </w:p>
          <w:p>
            <w:pPr>
              <w:spacing w:line="360" w:lineRule="auto"/>
              <w:ind w:firstLine="480" w:firstLineChars="200"/>
              <w:rPr>
                <w:rFonts w:cs="Calibri"/>
                <w:sz w:val="24"/>
              </w:rPr>
            </w:pPr>
            <w:r>
              <w:rPr>
                <w:rFonts w:cs="Calibri"/>
                <w:sz w:val="24"/>
              </w:rPr>
              <w:t>噪声预测结果及影响分析根据噪声预测模式，场界四周噪声贡献值见表20</w:t>
            </w:r>
            <w:r>
              <w:rPr>
                <w:rFonts w:hint="eastAsia" w:cs="Calibri"/>
                <w:sz w:val="24"/>
              </w:rPr>
              <w:t>。</w:t>
            </w:r>
          </w:p>
          <w:p>
            <w:pPr>
              <w:jc w:val="center"/>
              <w:rPr>
                <w:rFonts w:cs="Calibri"/>
                <w:b/>
                <w:sz w:val="21"/>
              </w:rPr>
            </w:pPr>
            <w:r>
              <w:rPr>
                <w:rFonts w:cs="Calibri"/>
                <w:b/>
                <w:sz w:val="21"/>
              </w:rPr>
              <w:t>表 20</w:t>
            </w:r>
            <w:r>
              <w:rPr>
                <w:rFonts w:hint="eastAsia" w:cs="Calibri"/>
                <w:b/>
                <w:sz w:val="21"/>
              </w:rPr>
              <w:t xml:space="preserve"> </w:t>
            </w:r>
            <w:r>
              <w:rPr>
                <w:rFonts w:cs="Calibri"/>
                <w:b/>
                <w:sz w:val="21"/>
              </w:rPr>
              <w:t>项目场界噪声预测结果一览表</w:t>
            </w:r>
            <w:r>
              <w:rPr>
                <w:rFonts w:cs="Calibri"/>
                <w:b/>
                <w:sz w:val="21"/>
              </w:rPr>
              <w:tab/>
            </w:r>
            <w:r>
              <w:rPr>
                <w:rFonts w:cs="Calibri"/>
                <w:b/>
                <w:sz w:val="21"/>
              </w:rPr>
              <w:t>单位： dB(A)</w:t>
            </w:r>
          </w:p>
          <w:p>
            <w:pPr>
              <w:spacing w:line="50" w:lineRule="exact"/>
              <w:jc w:val="left"/>
              <w:rPr>
                <w:rFonts w:ascii="Calibri" w:hAnsi="Calibri" w:cs="Calibri"/>
                <w:sz w:val="5"/>
                <w:szCs w:val="5"/>
              </w:rPr>
            </w:pPr>
          </w:p>
          <w:tbl>
            <w:tblPr>
              <w:tblStyle w:val="18"/>
              <w:tblW w:w="8283"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94"/>
              <w:gridCol w:w="3397"/>
              <w:gridCol w:w="2363"/>
              <w:gridCol w:w="172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94" w:type="dxa"/>
                  <w:vMerge w:val="restart"/>
                  <w:tcBorders>
                    <w:tl2br w:val="nil"/>
                    <w:tr2bl w:val="nil"/>
                  </w:tcBorders>
                  <w:vAlign w:val="center"/>
                </w:tcPr>
                <w:p>
                  <w:pPr>
                    <w:jc w:val="center"/>
                    <w:rPr>
                      <w:rFonts w:cs="Calibri"/>
                      <w:sz w:val="21"/>
                    </w:rPr>
                  </w:pPr>
                  <w:r>
                    <w:rPr>
                      <w:rFonts w:cs="Calibri"/>
                      <w:sz w:val="21"/>
                    </w:rPr>
                    <w:t>序号</w:t>
                  </w:r>
                </w:p>
              </w:tc>
              <w:tc>
                <w:tcPr>
                  <w:tcW w:w="3397" w:type="dxa"/>
                  <w:vMerge w:val="restart"/>
                  <w:tcBorders>
                    <w:tl2br w:val="nil"/>
                    <w:tr2bl w:val="nil"/>
                  </w:tcBorders>
                  <w:vAlign w:val="center"/>
                </w:tcPr>
                <w:p>
                  <w:pPr>
                    <w:jc w:val="center"/>
                    <w:rPr>
                      <w:rFonts w:cs="Calibri"/>
                      <w:sz w:val="21"/>
                    </w:rPr>
                  </w:pPr>
                  <w:r>
                    <w:rPr>
                      <w:rFonts w:hint="eastAsia" w:cs="Calibri"/>
                      <w:sz w:val="21"/>
                    </w:rPr>
                    <w:t>点位</w:t>
                  </w:r>
                </w:p>
              </w:tc>
              <w:tc>
                <w:tcPr>
                  <w:tcW w:w="2363" w:type="dxa"/>
                  <w:vMerge w:val="restart"/>
                  <w:tcBorders>
                    <w:tl2br w:val="nil"/>
                    <w:tr2bl w:val="nil"/>
                  </w:tcBorders>
                  <w:vAlign w:val="center"/>
                </w:tcPr>
                <w:p>
                  <w:pPr>
                    <w:jc w:val="center"/>
                    <w:rPr>
                      <w:rFonts w:cs="Calibri"/>
                      <w:sz w:val="21"/>
                    </w:rPr>
                  </w:pPr>
                  <w:r>
                    <w:rPr>
                      <w:rFonts w:cs="Calibri"/>
                      <w:sz w:val="21"/>
                    </w:rPr>
                    <w:t>预测点距项目边界距离</w:t>
                  </w:r>
                </w:p>
              </w:tc>
              <w:tc>
                <w:tcPr>
                  <w:tcW w:w="1729" w:type="dxa"/>
                  <w:vMerge w:val="restart"/>
                  <w:tcBorders>
                    <w:tl2br w:val="nil"/>
                    <w:tr2bl w:val="nil"/>
                  </w:tcBorders>
                  <w:vAlign w:val="center"/>
                </w:tcPr>
                <w:p>
                  <w:pPr>
                    <w:jc w:val="center"/>
                    <w:rPr>
                      <w:rFonts w:cs="Calibri"/>
                      <w:sz w:val="21"/>
                    </w:rPr>
                  </w:pPr>
                  <w:r>
                    <w:rPr>
                      <w:rFonts w:hint="eastAsia" w:cs="Calibri"/>
                      <w:sz w:val="21"/>
                    </w:rPr>
                    <w:t>贡献</w:t>
                  </w:r>
                  <w:r>
                    <w:rPr>
                      <w:rFonts w:cs="Calibri"/>
                      <w:sz w:val="21"/>
                    </w:rPr>
                    <w:t>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jc w:val="center"/>
              </w:trPr>
              <w:tc>
                <w:tcPr>
                  <w:tcW w:w="794" w:type="dxa"/>
                  <w:vMerge w:val="continue"/>
                  <w:tcBorders>
                    <w:tl2br w:val="nil"/>
                    <w:tr2bl w:val="nil"/>
                  </w:tcBorders>
                  <w:vAlign w:val="center"/>
                </w:tcPr>
                <w:p>
                  <w:pPr>
                    <w:jc w:val="center"/>
                    <w:rPr>
                      <w:rFonts w:cs="Calibri"/>
                      <w:sz w:val="21"/>
                    </w:rPr>
                  </w:pPr>
                </w:p>
              </w:tc>
              <w:tc>
                <w:tcPr>
                  <w:tcW w:w="3397" w:type="dxa"/>
                  <w:vMerge w:val="continue"/>
                  <w:tcBorders>
                    <w:tl2br w:val="nil"/>
                    <w:tr2bl w:val="nil"/>
                  </w:tcBorders>
                  <w:vAlign w:val="center"/>
                </w:tcPr>
                <w:p>
                  <w:pPr>
                    <w:jc w:val="center"/>
                    <w:rPr>
                      <w:rFonts w:cs="Calibri"/>
                      <w:sz w:val="21"/>
                    </w:rPr>
                  </w:pPr>
                </w:p>
              </w:tc>
              <w:tc>
                <w:tcPr>
                  <w:tcW w:w="2363" w:type="dxa"/>
                  <w:vMerge w:val="continue"/>
                  <w:tcBorders>
                    <w:tl2br w:val="nil"/>
                    <w:tr2bl w:val="nil"/>
                  </w:tcBorders>
                  <w:vAlign w:val="center"/>
                </w:tcPr>
                <w:p>
                  <w:pPr>
                    <w:jc w:val="center"/>
                    <w:rPr>
                      <w:rFonts w:cs="Calibri"/>
                      <w:sz w:val="21"/>
                    </w:rPr>
                  </w:pPr>
                </w:p>
              </w:tc>
              <w:tc>
                <w:tcPr>
                  <w:tcW w:w="1729" w:type="dxa"/>
                  <w:vMerge w:val="continue"/>
                  <w:tcBorders>
                    <w:tl2br w:val="nil"/>
                    <w:tr2bl w:val="nil"/>
                  </w:tcBorders>
                  <w:vAlign w:val="center"/>
                </w:tcPr>
                <w:p>
                  <w:pPr>
                    <w:jc w:val="center"/>
                    <w:rPr>
                      <w:rFonts w:cs="Calibri"/>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94" w:type="dxa"/>
                  <w:tcBorders>
                    <w:tl2br w:val="nil"/>
                    <w:tr2bl w:val="nil"/>
                  </w:tcBorders>
                  <w:vAlign w:val="center"/>
                </w:tcPr>
                <w:p>
                  <w:pPr>
                    <w:jc w:val="center"/>
                    <w:rPr>
                      <w:rFonts w:cs="Calibri"/>
                      <w:sz w:val="21"/>
                    </w:rPr>
                  </w:pPr>
                  <w:r>
                    <w:rPr>
                      <w:rFonts w:cs="Calibri"/>
                      <w:sz w:val="21"/>
                    </w:rPr>
                    <w:t>1</w:t>
                  </w:r>
                </w:p>
              </w:tc>
              <w:tc>
                <w:tcPr>
                  <w:tcW w:w="3397" w:type="dxa"/>
                  <w:tcBorders>
                    <w:tl2br w:val="nil"/>
                    <w:tr2bl w:val="nil"/>
                  </w:tcBorders>
                  <w:vAlign w:val="center"/>
                </w:tcPr>
                <w:p>
                  <w:pPr>
                    <w:jc w:val="center"/>
                    <w:rPr>
                      <w:rFonts w:cs="Calibri"/>
                      <w:sz w:val="21"/>
                    </w:rPr>
                  </w:pPr>
                  <w:r>
                    <w:rPr>
                      <w:rFonts w:cs="Calibri"/>
                      <w:sz w:val="21"/>
                    </w:rPr>
                    <w:t>东场界</w:t>
                  </w:r>
                </w:p>
              </w:tc>
              <w:tc>
                <w:tcPr>
                  <w:tcW w:w="2363" w:type="dxa"/>
                  <w:tcBorders>
                    <w:tl2br w:val="nil"/>
                    <w:tr2bl w:val="nil"/>
                  </w:tcBorders>
                  <w:vAlign w:val="center"/>
                </w:tcPr>
                <w:p>
                  <w:pPr>
                    <w:jc w:val="center"/>
                    <w:rPr>
                      <w:rFonts w:cs="Calibri"/>
                      <w:sz w:val="21"/>
                    </w:rPr>
                  </w:pPr>
                  <w:r>
                    <w:rPr>
                      <w:rFonts w:cs="Calibri"/>
                      <w:sz w:val="21"/>
                    </w:rPr>
                    <w:t>1m</w:t>
                  </w:r>
                </w:p>
              </w:tc>
              <w:tc>
                <w:tcPr>
                  <w:tcW w:w="1729" w:type="dxa"/>
                  <w:tcBorders>
                    <w:tl2br w:val="nil"/>
                    <w:tr2bl w:val="nil"/>
                  </w:tcBorders>
                  <w:vAlign w:val="center"/>
                </w:tcPr>
                <w:p>
                  <w:pPr>
                    <w:snapToGrid w:val="0"/>
                    <w:jc w:val="center"/>
                    <w:rPr>
                      <w:rFonts w:ascii="Calibri" w:hAnsi="Calibri" w:cs="Calibri"/>
                      <w:sz w:val="21"/>
                    </w:rPr>
                  </w:pPr>
                  <w:r>
                    <w:rPr>
                      <w:rFonts w:hint="eastAsia" w:ascii="Calibri" w:hAnsi="Calibri" w:cs="Calibri"/>
                      <w:sz w:val="21"/>
                      <w:szCs w:val="21"/>
                    </w:rPr>
                    <w:t>59.91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94" w:type="dxa"/>
                  <w:tcBorders>
                    <w:tl2br w:val="nil"/>
                    <w:tr2bl w:val="nil"/>
                  </w:tcBorders>
                  <w:vAlign w:val="center"/>
                </w:tcPr>
                <w:p>
                  <w:pPr>
                    <w:jc w:val="center"/>
                    <w:rPr>
                      <w:rFonts w:cs="Calibri"/>
                      <w:sz w:val="21"/>
                    </w:rPr>
                  </w:pPr>
                  <w:r>
                    <w:rPr>
                      <w:rFonts w:hint="eastAsia" w:cs="Calibri"/>
                      <w:sz w:val="21"/>
                    </w:rPr>
                    <w:t>2</w:t>
                  </w:r>
                </w:p>
              </w:tc>
              <w:tc>
                <w:tcPr>
                  <w:tcW w:w="3397" w:type="dxa"/>
                  <w:tcBorders>
                    <w:tl2br w:val="nil"/>
                    <w:tr2bl w:val="nil"/>
                  </w:tcBorders>
                  <w:vAlign w:val="center"/>
                </w:tcPr>
                <w:p>
                  <w:pPr>
                    <w:jc w:val="center"/>
                    <w:rPr>
                      <w:rFonts w:cs="Calibri"/>
                      <w:sz w:val="21"/>
                    </w:rPr>
                  </w:pPr>
                  <w:r>
                    <w:rPr>
                      <w:rFonts w:cs="Calibri"/>
                      <w:sz w:val="21"/>
                    </w:rPr>
                    <w:t>西场界</w:t>
                  </w:r>
                </w:p>
              </w:tc>
              <w:tc>
                <w:tcPr>
                  <w:tcW w:w="2363" w:type="dxa"/>
                  <w:tcBorders>
                    <w:tl2br w:val="nil"/>
                    <w:tr2bl w:val="nil"/>
                  </w:tcBorders>
                  <w:vAlign w:val="center"/>
                </w:tcPr>
                <w:p>
                  <w:pPr>
                    <w:jc w:val="center"/>
                    <w:rPr>
                      <w:rFonts w:cs="Calibri"/>
                      <w:sz w:val="21"/>
                    </w:rPr>
                  </w:pPr>
                  <w:r>
                    <w:rPr>
                      <w:rFonts w:cs="Calibri"/>
                      <w:sz w:val="21"/>
                    </w:rPr>
                    <w:t>1m</w:t>
                  </w:r>
                </w:p>
              </w:tc>
              <w:tc>
                <w:tcPr>
                  <w:tcW w:w="1729" w:type="dxa"/>
                  <w:tcBorders>
                    <w:tl2br w:val="nil"/>
                    <w:tr2bl w:val="nil"/>
                  </w:tcBorders>
                  <w:vAlign w:val="center"/>
                </w:tcPr>
                <w:p>
                  <w:pPr>
                    <w:snapToGrid w:val="0"/>
                    <w:jc w:val="center"/>
                    <w:rPr>
                      <w:rFonts w:ascii="Calibri" w:hAnsi="Calibri" w:cs="Calibri"/>
                      <w:sz w:val="21"/>
                    </w:rPr>
                  </w:pPr>
                  <w:r>
                    <w:rPr>
                      <w:rFonts w:hint="eastAsia" w:ascii="Calibri" w:hAnsi="Calibri" w:cs="Calibri"/>
                      <w:sz w:val="21"/>
                      <w:szCs w:val="21"/>
                    </w:rPr>
                    <w:t>50.36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94" w:type="dxa"/>
                  <w:tcBorders>
                    <w:tl2br w:val="nil"/>
                    <w:tr2bl w:val="nil"/>
                  </w:tcBorders>
                  <w:vAlign w:val="center"/>
                </w:tcPr>
                <w:p>
                  <w:pPr>
                    <w:jc w:val="center"/>
                    <w:rPr>
                      <w:rFonts w:cs="Calibri"/>
                      <w:sz w:val="21"/>
                    </w:rPr>
                  </w:pPr>
                  <w:r>
                    <w:rPr>
                      <w:rFonts w:hint="eastAsia" w:cs="Calibri"/>
                      <w:sz w:val="21"/>
                    </w:rPr>
                    <w:t>3</w:t>
                  </w:r>
                </w:p>
              </w:tc>
              <w:tc>
                <w:tcPr>
                  <w:tcW w:w="3397" w:type="dxa"/>
                  <w:tcBorders>
                    <w:tl2br w:val="nil"/>
                    <w:tr2bl w:val="nil"/>
                  </w:tcBorders>
                  <w:vAlign w:val="center"/>
                </w:tcPr>
                <w:p>
                  <w:pPr>
                    <w:jc w:val="center"/>
                    <w:rPr>
                      <w:rFonts w:cs="Calibri"/>
                      <w:sz w:val="21"/>
                    </w:rPr>
                  </w:pPr>
                  <w:r>
                    <w:rPr>
                      <w:rFonts w:cs="Calibri"/>
                      <w:sz w:val="21"/>
                    </w:rPr>
                    <w:t>北场界</w:t>
                  </w:r>
                </w:p>
              </w:tc>
              <w:tc>
                <w:tcPr>
                  <w:tcW w:w="2363" w:type="dxa"/>
                  <w:tcBorders>
                    <w:tl2br w:val="nil"/>
                    <w:tr2bl w:val="nil"/>
                  </w:tcBorders>
                  <w:vAlign w:val="center"/>
                </w:tcPr>
                <w:p>
                  <w:pPr>
                    <w:jc w:val="center"/>
                    <w:rPr>
                      <w:rFonts w:cs="Calibri"/>
                      <w:sz w:val="21"/>
                    </w:rPr>
                  </w:pPr>
                  <w:r>
                    <w:rPr>
                      <w:rFonts w:cs="Calibri"/>
                      <w:sz w:val="21"/>
                    </w:rPr>
                    <w:t>1m</w:t>
                  </w:r>
                </w:p>
              </w:tc>
              <w:tc>
                <w:tcPr>
                  <w:tcW w:w="1729" w:type="dxa"/>
                  <w:tcBorders>
                    <w:tl2br w:val="nil"/>
                    <w:tr2bl w:val="nil"/>
                  </w:tcBorders>
                  <w:vAlign w:val="center"/>
                </w:tcPr>
                <w:p>
                  <w:pPr>
                    <w:snapToGrid w:val="0"/>
                    <w:jc w:val="center"/>
                    <w:rPr>
                      <w:rFonts w:ascii="Calibri" w:hAnsi="Calibri" w:cs="Calibri"/>
                      <w:sz w:val="21"/>
                    </w:rPr>
                  </w:pPr>
                  <w:r>
                    <w:rPr>
                      <w:rFonts w:hint="eastAsia" w:ascii="Calibri" w:hAnsi="Calibri" w:cs="Calibri"/>
                      <w:sz w:val="21"/>
                      <w:szCs w:val="21"/>
                    </w:rPr>
                    <w:t>58.78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794" w:type="dxa"/>
                  <w:tcBorders>
                    <w:tl2br w:val="nil"/>
                    <w:tr2bl w:val="nil"/>
                  </w:tcBorders>
                  <w:vAlign w:val="center"/>
                </w:tcPr>
                <w:p>
                  <w:pPr>
                    <w:jc w:val="center"/>
                    <w:rPr>
                      <w:rFonts w:cs="Calibri"/>
                      <w:sz w:val="21"/>
                    </w:rPr>
                  </w:pPr>
                  <w:r>
                    <w:rPr>
                      <w:rFonts w:hint="eastAsia" w:cs="Calibri"/>
                      <w:sz w:val="21"/>
                    </w:rPr>
                    <w:t>4</w:t>
                  </w:r>
                </w:p>
              </w:tc>
              <w:tc>
                <w:tcPr>
                  <w:tcW w:w="3397" w:type="dxa"/>
                  <w:tcBorders>
                    <w:tl2br w:val="nil"/>
                    <w:tr2bl w:val="nil"/>
                  </w:tcBorders>
                  <w:vAlign w:val="center"/>
                </w:tcPr>
                <w:p>
                  <w:pPr>
                    <w:jc w:val="center"/>
                    <w:rPr>
                      <w:rFonts w:cs="Calibri"/>
                      <w:sz w:val="21"/>
                    </w:rPr>
                  </w:pPr>
                  <w:r>
                    <w:rPr>
                      <w:rFonts w:cs="Calibri"/>
                      <w:sz w:val="21"/>
                    </w:rPr>
                    <w:t>南场界</w:t>
                  </w:r>
                </w:p>
              </w:tc>
              <w:tc>
                <w:tcPr>
                  <w:tcW w:w="2363" w:type="dxa"/>
                  <w:tcBorders>
                    <w:tl2br w:val="nil"/>
                    <w:tr2bl w:val="nil"/>
                  </w:tcBorders>
                  <w:vAlign w:val="center"/>
                </w:tcPr>
                <w:p>
                  <w:pPr>
                    <w:jc w:val="center"/>
                    <w:rPr>
                      <w:rFonts w:cs="Calibri"/>
                      <w:sz w:val="21"/>
                    </w:rPr>
                  </w:pPr>
                  <w:r>
                    <w:rPr>
                      <w:rFonts w:cs="Calibri"/>
                      <w:sz w:val="21"/>
                    </w:rPr>
                    <w:t>1m</w:t>
                  </w:r>
                </w:p>
              </w:tc>
              <w:tc>
                <w:tcPr>
                  <w:tcW w:w="1729" w:type="dxa"/>
                  <w:tcBorders>
                    <w:tl2br w:val="nil"/>
                    <w:tr2bl w:val="nil"/>
                  </w:tcBorders>
                  <w:vAlign w:val="center"/>
                </w:tcPr>
                <w:p>
                  <w:pPr>
                    <w:snapToGrid w:val="0"/>
                    <w:jc w:val="center"/>
                    <w:rPr>
                      <w:rFonts w:ascii="Calibri" w:hAnsi="Calibri" w:cs="Calibri"/>
                      <w:sz w:val="21"/>
                      <w:szCs w:val="21"/>
                    </w:rPr>
                  </w:pPr>
                  <w:r>
                    <w:rPr>
                      <w:rFonts w:hint="eastAsia" w:ascii="Calibri" w:hAnsi="Calibri" w:cs="Calibri"/>
                      <w:sz w:val="21"/>
                      <w:szCs w:val="21"/>
                    </w:rPr>
                    <w:t>50.3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4191" w:type="dxa"/>
                  <w:gridSpan w:val="2"/>
                  <w:tcBorders>
                    <w:tl2br w:val="nil"/>
                    <w:tr2bl w:val="nil"/>
                  </w:tcBorders>
                  <w:vAlign w:val="center"/>
                </w:tcPr>
                <w:p>
                  <w:pPr>
                    <w:jc w:val="center"/>
                    <w:rPr>
                      <w:rFonts w:cs="Calibri"/>
                      <w:sz w:val="21"/>
                    </w:rPr>
                  </w:pPr>
                  <w:r>
                    <w:rPr>
                      <w:rFonts w:cs="Calibri"/>
                      <w:sz w:val="21"/>
                    </w:rPr>
                    <w:t>评价标准（</w:t>
                  </w:r>
                  <w:r>
                    <w:rPr>
                      <w:rFonts w:hint="eastAsia" w:cs="Calibri"/>
                      <w:sz w:val="21"/>
                    </w:rPr>
                    <w:t>2</w:t>
                  </w:r>
                  <w:r>
                    <w:rPr>
                      <w:rFonts w:cs="Calibri"/>
                      <w:sz w:val="21"/>
                    </w:rPr>
                    <w:t>类）</w:t>
                  </w:r>
                </w:p>
              </w:tc>
              <w:tc>
                <w:tcPr>
                  <w:tcW w:w="4092" w:type="dxa"/>
                  <w:gridSpan w:val="2"/>
                  <w:tcBorders>
                    <w:tl2br w:val="nil"/>
                    <w:tr2bl w:val="nil"/>
                  </w:tcBorders>
                  <w:vAlign w:val="center"/>
                </w:tcPr>
                <w:p>
                  <w:pPr>
                    <w:snapToGrid w:val="0"/>
                    <w:jc w:val="center"/>
                    <w:rPr>
                      <w:rFonts w:ascii="Calibri" w:hAnsi="Calibri" w:cs="Calibri"/>
                      <w:sz w:val="21"/>
                    </w:rPr>
                  </w:pPr>
                  <w:r>
                    <w:rPr>
                      <w:rFonts w:ascii="Calibri" w:hAnsi="Calibri" w:cs="Calibri"/>
                      <w:sz w:val="21"/>
                    </w:rPr>
                    <w:t>昼间</w:t>
                  </w:r>
                  <w:r>
                    <w:rPr>
                      <w:rFonts w:hint="eastAsia" w:ascii="Calibri" w:hAnsi="Calibri" w:cs="Calibri"/>
                      <w:sz w:val="21"/>
                    </w:rPr>
                    <w:t>60</w:t>
                  </w:r>
                  <w:r>
                    <w:rPr>
                      <w:rFonts w:ascii="Calibri" w:hAnsi="Calibri" w:cs="Calibri"/>
                      <w:sz w:val="21"/>
                    </w:rPr>
                    <w:t>dB（A）；夜间</w:t>
                  </w:r>
                  <w:r>
                    <w:rPr>
                      <w:rFonts w:hint="eastAsia" w:ascii="Calibri" w:hAnsi="Calibri" w:cs="Calibri"/>
                      <w:sz w:val="21"/>
                    </w:rPr>
                    <w:t>50</w:t>
                  </w:r>
                  <w:r>
                    <w:rPr>
                      <w:rFonts w:ascii="Calibri" w:hAnsi="Calibri" w:cs="Calibri"/>
                      <w:sz w:val="21"/>
                    </w:rPr>
                    <w:t xml:space="preserve"> dB（A）</w:t>
                  </w:r>
                </w:p>
              </w:tc>
            </w:tr>
          </w:tbl>
          <w:p>
            <w:pPr>
              <w:spacing w:line="360" w:lineRule="auto"/>
              <w:ind w:firstLine="480" w:firstLineChars="200"/>
              <w:rPr>
                <w:rFonts w:cs="Calibri"/>
                <w:sz w:val="24"/>
              </w:rPr>
            </w:pPr>
            <w:r>
              <w:rPr>
                <w:rFonts w:cs="Calibri"/>
                <w:sz w:val="24"/>
              </w:rPr>
              <w:t>从以上预测结果可知，本项目营运期间</w:t>
            </w:r>
            <w:r>
              <w:rPr>
                <w:rFonts w:hint="eastAsia" w:cs="Calibri"/>
                <w:sz w:val="24"/>
              </w:rPr>
              <w:t>项目厂界</w:t>
            </w:r>
            <w:r>
              <w:rPr>
                <w:rFonts w:cs="Calibri"/>
                <w:sz w:val="24"/>
              </w:rPr>
              <w:t>噪声</w:t>
            </w:r>
            <w:r>
              <w:rPr>
                <w:rFonts w:hint="eastAsia" w:cs="Calibri"/>
                <w:sz w:val="24"/>
              </w:rPr>
              <w:t>预测值符合</w:t>
            </w:r>
            <w:r>
              <w:rPr>
                <w:rFonts w:cs="Calibri"/>
                <w:sz w:val="24"/>
              </w:rPr>
              <w:t>《工业企业厂界环境噪声排放标准》</w:t>
            </w:r>
            <w:r>
              <w:rPr>
                <w:rFonts w:hint="eastAsia" w:cs="Calibri"/>
                <w:sz w:val="24"/>
              </w:rPr>
              <w:t>（</w:t>
            </w:r>
            <w:r>
              <w:rPr>
                <w:rFonts w:cs="Calibri"/>
                <w:sz w:val="24"/>
              </w:rPr>
              <w:t>GB12348-2008</w:t>
            </w:r>
            <w:r>
              <w:rPr>
                <w:rFonts w:hint="eastAsia" w:cs="Calibri"/>
                <w:sz w:val="24"/>
              </w:rPr>
              <w:t>）</w:t>
            </w:r>
            <w:r>
              <w:rPr>
                <w:rFonts w:cs="Calibri"/>
                <w:sz w:val="24"/>
              </w:rPr>
              <w:t>中</w:t>
            </w:r>
            <w:r>
              <w:rPr>
                <w:rFonts w:hint="eastAsia" w:cs="Calibri"/>
                <w:sz w:val="24"/>
              </w:rPr>
              <w:t>2类昼间标准。项目</w:t>
            </w:r>
            <w:r>
              <w:rPr>
                <w:sz w:val="24"/>
              </w:rPr>
              <w:t>禁止高噪声设备夜间运行</w:t>
            </w:r>
            <w:r>
              <w:rPr>
                <w:rFonts w:hint="eastAsia"/>
                <w:sz w:val="24"/>
              </w:rPr>
              <w:t>。</w:t>
            </w:r>
          </w:p>
          <w:p>
            <w:pPr>
              <w:spacing w:line="360" w:lineRule="auto"/>
              <w:ind w:firstLine="482" w:firstLineChars="200"/>
              <w:rPr>
                <w:rFonts w:cs="Calibri"/>
                <w:b/>
                <w:sz w:val="24"/>
              </w:rPr>
            </w:pPr>
            <w:r>
              <w:rPr>
                <w:rFonts w:cs="Calibri"/>
                <w:b/>
                <w:sz w:val="24"/>
              </w:rPr>
              <w:t>运输沿线的环境影响分析</w:t>
            </w:r>
          </w:p>
          <w:p>
            <w:pPr>
              <w:spacing w:line="360" w:lineRule="auto"/>
              <w:ind w:firstLine="480" w:firstLineChars="200"/>
              <w:rPr>
                <w:rFonts w:cs="Calibri"/>
                <w:sz w:val="24"/>
              </w:rPr>
            </w:pPr>
            <w:r>
              <w:rPr>
                <w:rFonts w:cs="Calibri"/>
                <w:sz w:val="24"/>
              </w:rPr>
              <w:t>根据项目工程特征，项目原辅材料及成品</w:t>
            </w:r>
            <w:r>
              <w:rPr>
                <w:rFonts w:hint="eastAsia" w:cs="Calibri"/>
                <w:sz w:val="24"/>
              </w:rPr>
              <w:t xml:space="preserve"> </w:t>
            </w:r>
            <w:r>
              <w:rPr>
                <w:rFonts w:cs="Calibri"/>
                <w:sz w:val="24"/>
              </w:rPr>
              <w:t xml:space="preserve">运输量较大，项目平均每天发空车、重载较多。因此，评价建议采取如下噪声防治措施： </w:t>
            </w:r>
          </w:p>
          <w:p>
            <w:pPr>
              <w:spacing w:line="360" w:lineRule="auto"/>
              <w:ind w:firstLine="480" w:firstLineChars="200"/>
              <w:rPr>
                <w:rFonts w:cs="Calibri"/>
                <w:sz w:val="24"/>
              </w:rPr>
            </w:pPr>
            <w:r>
              <w:rPr>
                <w:rFonts w:cs="Calibri"/>
                <w:sz w:val="24"/>
              </w:rPr>
              <w:t xml:space="preserve">（1）严禁车辆超速、超载、超高运输，在经过集中居民区时应低速行驶，并严禁鸣笛； </w:t>
            </w:r>
          </w:p>
          <w:p>
            <w:pPr>
              <w:spacing w:line="360" w:lineRule="auto"/>
              <w:ind w:firstLine="480" w:firstLineChars="200"/>
              <w:rPr>
                <w:rFonts w:cs="Calibri"/>
                <w:sz w:val="24"/>
              </w:rPr>
            </w:pPr>
            <w:r>
              <w:rPr>
                <w:rFonts w:cs="Calibri"/>
                <w:sz w:val="24"/>
              </w:rPr>
              <w:t>（2）采用加盖运输车辆运输</w:t>
            </w:r>
            <w:r>
              <w:rPr>
                <w:rFonts w:hint="eastAsia" w:cs="Calibri"/>
                <w:sz w:val="24"/>
              </w:rPr>
              <w:t>砂</w:t>
            </w:r>
            <w:r>
              <w:rPr>
                <w:rFonts w:cs="Calibri"/>
                <w:sz w:val="24"/>
              </w:rPr>
              <w:t xml:space="preserve">料； </w:t>
            </w:r>
          </w:p>
          <w:p>
            <w:pPr>
              <w:spacing w:line="360" w:lineRule="auto"/>
              <w:ind w:firstLine="480" w:firstLineChars="200"/>
              <w:rPr>
                <w:rFonts w:cs="Calibri"/>
                <w:sz w:val="24"/>
              </w:rPr>
            </w:pPr>
            <w:r>
              <w:rPr>
                <w:rFonts w:cs="Calibri"/>
                <w:sz w:val="24"/>
              </w:rPr>
              <w:t xml:space="preserve">（3）合理安排作业时间，尽量减少夜间运输频次； </w:t>
            </w:r>
          </w:p>
          <w:p>
            <w:pPr>
              <w:spacing w:line="360" w:lineRule="auto"/>
              <w:ind w:firstLine="480" w:firstLineChars="200"/>
              <w:rPr>
                <w:rFonts w:cs="Calibri"/>
                <w:sz w:val="24"/>
              </w:rPr>
            </w:pPr>
            <w:r>
              <w:rPr>
                <w:rFonts w:cs="Calibri"/>
                <w:sz w:val="24"/>
              </w:rPr>
              <w:t xml:space="preserve">（4）加强对运输车辆的日常维护，避免因故障运行而产生高强度噪声； </w:t>
            </w:r>
          </w:p>
          <w:p>
            <w:pPr>
              <w:spacing w:line="360" w:lineRule="auto"/>
              <w:ind w:firstLine="480" w:firstLineChars="200"/>
              <w:rPr>
                <w:rFonts w:cs="Calibri"/>
                <w:sz w:val="24"/>
              </w:rPr>
            </w:pPr>
            <w:r>
              <w:rPr>
                <w:rFonts w:cs="Calibri"/>
                <w:sz w:val="24"/>
              </w:rPr>
              <w:t xml:space="preserve">（5）加强运输道路的维护，对路面破损路段进行硬化修复。 </w:t>
            </w:r>
          </w:p>
          <w:p>
            <w:pPr>
              <w:spacing w:line="360" w:lineRule="auto"/>
              <w:ind w:firstLine="480" w:firstLineChars="200"/>
              <w:rPr>
                <w:rFonts w:cs="Calibri"/>
                <w:sz w:val="24"/>
              </w:rPr>
            </w:pPr>
            <w:r>
              <w:rPr>
                <w:rFonts w:cs="Calibri"/>
                <w:sz w:val="24"/>
              </w:rPr>
              <w:t>在采取上述措施后，可将项目运输车辆产生的噪声降低到最低程度，减小对沿线居民的影响。</w:t>
            </w:r>
          </w:p>
          <w:p>
            <w:pPr>
              <w:spacing w:line="360" w:lineRule="auto"/>
              <w:ind w:firstLine="480" w:firstLineChars="200"/>
              <w:rPr>
                <w:rFonts w:cs="Calibri"/>
                <w:sz w:val="24"/>
              </w:rPr>
            </w:pPr>
            <w:r>
              <w:rPr>
                <w:rFonts w:cs="Calibri"/>
                <w:sz w:val="24"/>
              </w:rPr>
              <w:t>综上所述可知，本项目投入运营后通过对生产区（固定噪声源）产生的噪声进行预测可知，生产区厂界</w:t>
            </w:r>
            <w:r>
              <w:rPr>
                <w:rFonts w:hint="eastAsia" w:cs="Calibri"/>
                <w:sz w:val="24"/>
              </w:rPr>
              <w:t>噪声</w:t>
            </w:r>
            <w:r>
              <w:rPr>
                <w:rFonts w:cs="Calibri"/>
                <w:sz w:val="24"/>
              </w:rPr>
              <w:t>昼间能达到《工业企业厂界环境噪声排放标准》（GB 12348-2008）2类标准</w:t>
            </w:r>
            <w:r>
              <w:rPr>
                <w:rFonts w:hint="eastAsia" w:cs="Calibri"/>
                <w:sz w:val="24"/>
              </w:rPr>
              <w:t>，</w:t>
            </w:r>
            <w:r>
              <w:rPr>
                <w:rFonts w:cs="Calibri"/>
                <w:sz w:val="24"/>
              </w:rPr>
              <w:t>因此本项目不需设置噪声控制距离。在对运输车辆采取相关噪声防治措施后，可较大的减少对运输沿线居民的影响。</w:t>
            </w:r>
          </w:p>
          <w:p>
            <w:pPr>
              <w:spacing w:line="360" w:lineRule="auto"/>
              <w:ind w:firstLine="482" w:firstLineChars="200"/>
              <w:rPr>
                <w:rFonts w:cs="Calibri"/>
                <w:b/>
                <w:sz w:val="24"/>
              </w:rPr>
            </w:pPr>
            <w:r>
              <w:rPr>
                <w:rFonts w:cs="Calibri"/>
                <w:b/>
                <w:sz w:val="24"/>
              </w:rPr>
              <w:t>4、固体废弃物影响分析</w:t>
            </w:r>
          </w:p>
          <w:p>
            <w:pPr>
              <w:spacing w:line="360" w:lineRule="auto"/>
              <w:ind w:firstLine="480" w:firstLineChars="200"/>
              <w:rPr>
                <w:rFonts w:cs="Calibri"/>
                <w:sz w:val="24"/>
              </w:rPr>
            </w:pPr>
            <w:r>
              <w:rPr>
                <w:rFonts w:cs="Calibri"/>
                <w:sz w:val="24"/>
              </w:rPr>
              <w:t>本项目生产过程中的固体废物主要包括：生活垃圾、</w:t>
            </w:r>
            <w:r>
              <w:rPr>
                <w:rFonts w:hint="eastAsia" w:cs="Calibri"/>
                <w:sz w:val="24"/>
              </w:rPr>
              <w:t>收集到的粉尘、沉淀池沉渣</w:t>
            </w:r>
            <w:r>
              <w:rPr>
                <w:rFonts w:cs="Calibri"/>
                <w:sz w:val="24"/>
              </w:rPr>
              <w:t>等一般工业固体废物和</w:t>
            </w:r>
            <w:r>
              <w:rPr>
                <w:rFonts w:hint="eastAsia" w:cs="Calibri"/>
                <w:sz w:val="24"/>
              </w:rPr>
              <w:t>废矿物油</w:t>
            </w:r>
            <w:r>
              <w:rPr>
                <w:rFonts w:cs="Calibri"/>
                <w:sz w:val="24"/>
              </w:rPr>
              <w:t>等危险废物。</w:t>
            </w:r>
          </w:p>
          <w:p>
            <w:pPr>
              <w:jc w:val="center"/>
              <w:rPr>
                <w:rFonts w:cs="Calibri"/>
                <w:b/>
                <w:sz w:val="21"/>
              </w:rPr>
            </w:pPr>
            <w:r>
              <w:rPr>
                <w:rFonts w:cs="Calibri"/>
                <w:b/>
                <w:sz w:val="21"/>
              </w:rPr>
              <w:t>表21 项目固废产生处置情况表</w:t>
            </w:r>
            <w:bookmarkStart w:id="17" w:name="_Toc63759876"/>
          </w:p>
          <w:tbl>
            <w:tblPr>
              <w:tblStyle w:val="18"/>
              <w:tblW w:w="828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1"/>
              <w:gridCol w:w="1871"/>
              <w:gridCol w:w="1397"/>
              <w:gridCol w:w="2037"/>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41" w:type="dxa"/>
                  <w:vAlign w:val="center"/>
                </w:tcPr>
                <w:p>
                  <w:pPr>
                    <w:jc w:val="center"/>
                    <w:rPr>
                      <w:rFonts w:cs="Calibri"/>
                      <w:sz w:val="21"/>
                    </w:rPr>
                  </w:pPr>
                  <w:r>
                    <w:rPr>
                      <w:rFonts w:cs="Calibri"/>
                      <w:sz w:val="21"/>
                    </w:rPr>
                    <w:t>固废类型</w:t>
                  </w:r>
                </w:p>
              </w:tc>
              <w:tc>
                <w:tcPr>
                  <w:tcW w:w="1871" w:type="dxa"/>
                  <w:vAlign w:val="center"/>
                </w:tcPr>
                <w:p>
                  <w:pPr>
                    <w:jc w:val="center"/>
                    <w:rPr>
                      <w:rFonts w:cs="Calibri"/>
                      <w:sz w:val="21"/>
                    </w:rPr>
                  </w:pPr>
                  <w:r>
                    <w:rPr>
                      <w:rFonts w:cs="Calibri"/>
                      <w:sz w:val="21"/>
                    </w:rPr>
                    <w:t>性质</w:t>
                  </w:r>
                </w:p>
              </w:tc>
              <w:tc>
                <w:tcPr>
                  <w:tcW w:w="1397" w:type="dxa"/>
                  <w:vAlign w:val="center"/>
                </w:tcPr>
                <w:p>
                  <w:pPr>
                    <w:jc w:val="center"/>
                    <w:rPr>
                      <w:rFonts w:cs="Calibri"/>
                      <w:sz w:val="21"/>
                    </w:rPr>
                  </w:pPr>
                  <w:r>
                    <w:rPr>
                      <w:rFonts w:cs="Calibri"/>
                      <w:sz w:val="21"/>
                    </w:rPr>
                    <w:t>产生量</w:t>
                  </w:r>
                </w:p>
              </w:tc>
              <w:tc>
                <w:tcPr>
                  <w:tcW w:w="2037" w:type="dxa"/>
                  <w:vAlign w:val="center"/>
                </w:tcPr>
                <w:p>
                  <w:pPr>
                    <w:jc w:val="center"/>
                    <w:rPr>
                      <w:rFonts w:cs="Calibri"/>
                      <w:sz w:val="21"/>
                    </w:rPr>
                  </w:pPr>
                  <w:r>
                    <w:rPr>
                      <w:rFonts w:cs="Calibri"/>
                      <w:sz w:val="21"/>
                    </w:rPr>
                    <w:t>处置措施</w:t>
                  </w:r>
                </w:p>
              </w:tc>
              <w:tc>
                <w:tcPr>
                  <w:tcW w:w="1037" w:type="dxa"/>
                  <w:vAlign w:val="center"/>
                </w:tcPr>
                <w:p>
                  <w:pPr>
                    <w:jc w:val="center"/>
                    <w:rPr>
                      <w:rFonts w:cs="Calibri"/>
                      <w:sz w:val="21"/>
                    </w:rPr>
                  </w:pPr>
                  <w:r>
                    <w:rPr>
                      <w:rFonts w:cs="Calibri"/>
                      <w:sz w:val="21"/>
                    </w:rPr>
                    <w:t>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41" w:type="dxa"/>
                  <w:vAlign w:val="center"/>
                </w:tcPr>
                <w:p>
                  <w:pPr>
                    <w:jc w:val="center"/>
                    <w:rPr>
                      <w:rFonts w:cs="Calibri"/>
                      <w:sz w:val="21"/>
                    </w:rPr>
                  </w:pPr>
                  <w:r>
                    <w:rPr>
                      <w:rFonts w:cs="Calibri"/>
                      <w:sz w:val="21"/>
                    </w:rPr>
                    <w:t>收集</w:t>
                  </w:r>
                  <w:r>
                    <w:rPr>
                      <w:rFonts w:hint="eastAsia" w:cs="Calibri"/>
                      <w:sz w:val="21"/>
                    </w:rPr>
                    <w:t>到的</w:t>
                  </w:r>
                  <w:r>
                    <w:rPr>
                      <w:rFonts w:cs="Calibri"/>
                      <w:sz w:val="21"/>
                    </w:rPr>
                    <w:t>粉尘</w:t>
                  </w:r>
                </w:p>
              </w:tc>
              <w:tc>
                <w:tcPr>
                  <w:tcW w:w="1871" w:type="dxa"/>
                  <w:vAlign w:val="center"/>
                </w:tcPr>
                <w:p>
                  <w:pPr>
                    <w:jc w:val="center"/>
                    <w:rPr>
                      <w:rFonts w:cs="Calibri"/>
                      <w:sz w:val="21"/>
                    </w:rPr>
                  </w:pPr>
                  <w:r>
                    <w:rPr>
                      <w:rFonts w:cs="Calibri"/>
                      <w:sz w:val="21"/>
                    </w:rPr>
                    <w:t>一般固废</w:t>
                  </w:r>
                </w:p>
              </w:tc>
              <w:tc>
                <w:tcPr>
                  <w:tcW w:w="1397" w:type="dxa"/>
                  <w:vAlign w:val="center"/>
                </w:tcPr>
                <w:p>
                  <w:pPr>
                    <w:jc w:val="center"/>
                    <w:rPr>
                      <w:rFonts w:cs="Calibri"/>
                      <w:sz w:val="21"/>
                    </w:rPr>
                  </w:pPr>
                  <w:r>
                    <w:rPr>
                      <w:rFonts w:hint="eastAsia" w:cs="Calibri"/>
                      <w:sz w:val="21"/>
                    </w:rPr>
                    <w:t>326.744</w:t>
                  </w:r>
                  <w:r>
                    <w:rPr>
                      <w:rFonts w:cs="Calibri"/>
                      <w:sz w:val="21"/>
                    </w:rPr>
                    <w:t>t/a</w:t>
                  </w:r>
                </w:p>
              </w:tc>
              <w:tc>
                <w:tcPr>
                  <w:tcW w:w="2037" w:type="dxa"/>
                  <w:vAlign w:val="center"/>
                </w:tcPr>
                <w:p>
                  <w:pPr>
                    <w:jc w:val="center"/>
                    <w:rPr>
                      <w:rFonts w:cs="Calibri"/>
                      <w:sz w:val="21"/>
                    </w:rPr>
                  </w:pPr>
                  <w:r>
                    <w:rPr>
                      <w:rFonts w:hint="eastAsia" w:cs="Calibri"/>
                      <w:sz w:val="21"/>
                    </w:rPr>
                    <w:t>回用于生产</w:t>
                  </w:r>
                </w:p>
              </w:tc>
              <w:tc>
                <w:tcPr>
                  <w:tcW w:w="1037" w:type="dxa"/>
                  <w:vMerge w:val="restart"/>
                  <w:vAlign w:val="center"/>
                </w:tcPr>
                <w:p>
                  <w:pPr>
                    <w:jc w:val="center"/>
                    <w:rPr>
                      <w:rFonts w:cs="Calibri"/>
                      <w:sz w:val="21"/>
                    </w:rPr>
                  </w:pPr>
                  <w:r>
                    <w:rPr>
                      <w:rFonts w:cs="Calibri"/>
                      <w:sz w:val="21"/>
                    </w:rPr>
                    <w:t>无害化处置达到环保要求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41" w:type="dxa"/>
                  <w:vAlign w:val="center"/>
                </w:tcPr>
                <w:p>
                  <w:pPr>
                    <w:jc w:val="center"/>
                    <w:rPr>
                      <w:rFonts w:cs="Calibri"/>
                      <w:sz w:val="21"/>
                    </w:rPr>
                  </w:pPr>
                  <w:r>
                    <w:rPr>
                      <w:rFonts w:hint="eastAsia" w:cs="Calibri"/>
                      <w:sz w:val="21"/>
                    </w:rPr>
                    <w:t>沉淀池沉渣</w:t>
                  </w:r>
                </w:p>
              </w:tc>
              <w:tc>
                <w:tcPr>
                  <w:tcW w:w="1871" w:type="dxa"/>
                  <w:vAlign w:val="center"/>
                </w:tcPr>
                <w:p>
                  <w:pPr>
                    <w:jc w:val="center"/>
                    <w:rPr>
                      <w:rFonts w:cs="Calibri"/>
                      <w:sz w:val="21"/>
                    </w:rPr>
                  </w:pPr>
                  <w:r>
                    <w:rPr>
                      <w:rFonts w:cs="Calibri"/>
                      <w:sz w:val="21"/>
                    </w:rPr>
                    <w:t>一般固废</w:t>
                  </w:r>
                </w:p>
              </w:tc>
              <w:tc>
                <w:tcPr>
                  <w:tcW w:w="1397" w:type="dxa"/>
                  <w:vAlign w:val="center"/>
                </w:tcPr>
                <w:p>
                  <w:pPr>
                    <w:jc w:val="center"/>
                    <w:rPr>
                      <w:rFonts w:cs="Calibri"/>
                      <w:sz w:val="21"/>
                    </w:rPr>
                  </w:pPr>
                  <w:r>
                    <w:rPr>
                      <w:rFonts w:hint="eastAsia" w:cs="Calibri"/>
                      <w:sz w:val="21"/>
                    </w:rPr>
                    <w:t>8.4</w:t>
                  </w:r>
                  <w:r>
                    <w:rPr>
                      <w:rFonts w:cs="Calibri"/>
                      <w:sz w:val="21"/>
                    </w:rPr>
                    <w:t>t/a</w:t>
                  </w:r>
                </w:p>
              </w:tc>
              <w:tc>
                <w:tcPr>
                  <w:tcW w:w="2037" w:type="dxa"/>
                  <w:vAlign w:val="center"/>
                </w:tcPr>
                <w:p>
                  <w:pPr>
                    <w:jc w:val="center"/>
                    <w:rPr>
                      <w:rFonts w:cs="Calibri"/>
                      <w:sz w:val="21"/>
                    </w:rPr>
                  </w:pPr>
                  <w:r>
                    <w:rPr>
                      <w:rFonts w:hint="eastAsia" w:cs="Calibri"/>
                      <w:sz w:val="21"/>
                    </w:rPr>
                    <w:t>收集后暂存后，作为建筑材料外售</w:t>
                  </w:r>
                </w:p>
              </w:tc>
              <w:tc>
                <w:tcPr>
                  <w:tcW w:w="1037"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41" w:type="dxa"/>
                  <w:vAlign w:val="center"/>
                </w:tcPr>
                <w:p>
                  <w:pPr>
                    <w:jc w:val="center"/>
                    <w:rPr>
                      <w:rFonts w:cs="Calibri"/>
                      <w:sz w:val="21"/>
                    </w:rPr>
                  </w:pPr>
                  <w:r>
                    <w:rPr>
                      <w:rFonts w:cs="Calibri"/>
                      <w:sz w:val="21"/>
                    </w:rPr>
                    <w:t>生活垃圾</w:t>
                  </w:r>
                </w:p>
              </w:tc>
              <w:tc>
                <w:tcPr>
                  <w:tcW w:w="1871" w:type="dxa"/>
                  <w:vAlign w:val="center"/>
                </w:tcPr>
                <w:p>
                  <w:pPr>
                    <w:jc w:val="center"/>
                    <w:rPr>
                      <w:rFonts w:cs="Calibri"/>
                      <w:sz w:val="21"/>
                    </w:rPr>
                  </w:pPr>
                  <w:r>
                    <w:rPr>
                      <w:rFonts w:cs="Calibri"/>
                      <w:sz w:val="21"/>
                    </w:rPr>
                    <w:t>一般固废</w:t>
                  </w:r>
                </w:p>
              </w:tc>
              <w:tc>
                <w:tcPr>
                  <w:tcW w:w="1397" w:type="dxa"/>
                  <w:vAlign w:val="center"/>
                </w:tcPr>
                <w:p>
                  <w:pPr>
                    <w:jc w:val="center"/>
                    <w:rPr>
                      <w:rFonts w:cs="Calibri"/>
                      <w:sz w:val="21"/>
                    </w:rPr>
                  </w:pPr>
                  <w:r>
                    <w:rPr>
                      <w:rFonts w:hint="eastAsia" w:cs="Calibri"/>
                      <w:sz w:val="21"/>
                    </w:rPr>
                    <w:t>6</w:t>
                  </w:r>
                  <w:r>
                    <w:rPr>
                      <w:rFonts w:cs="Calibri"/>
                      <w:sz w:val="21"/>
                    </w:rPr>
                    <w:t>t/a</w:t>
                  </w:r>
                </w:p>
              </w:tc>
              <w:tc>
                <w:tcPr>
                  <w:tcW w:w="2037" w:type="dxa"/>
                  <w:vAlign w:val="center"/>
                </w:tcPr>
                <w:p>
                  <w:pPr>
                    <w:jc w:val="center"/>
                    <w:rPr>
                      <w:rFonts w:cs="Calibri"/>
                      <w:sz w:val="21"/>
                    </w:rPr>
                  </w:pPr>
                  <w:r>
                    <w:rPr>
                      <w:rFonts w:cs="Calibri"/>
                      <w:sz w:val="21"/>
                    </w:rPr>
                    <w:t>垃圾收集桶、定期交由环卫部门处理处置</w:t>
                  </w:r>
                </w:p>
              </w:tc>
              <w:tc>
                <w:tcPr>
                  <w:tcW w:w="1037"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41" w:type="dxa"/>
                  <w:vAlign w:val="center"/>
                </w:tcPr>
                <w:p>
                  <w:pPr>
                    <w:jc w:val="center"/>
                    <w:rPr>
                      <w:rFonts w:cs="Calibri"/>
                      <w:sz w:val="21"/>
                    </w:rPr>
                  </w:pPr>
                  <w:r>
                    <w:rPr>
                      <w:rFonts w:cs="Calibri"/>
                      <w:sz w:val="21"/>
                    </w:rPr>
                    <w:t>废矿物油</w:t>
                  </w:r>
                </w:p>
                <w:p>
                  <w:pPr>
                    <w:jc w:val="center"/>
                    <w:rPr>
                      <w:rFonts w:cs="Calibri"/>
                      <w:sz w:val="21"/>
                    </w:rPr>
                  </w:pPr>
                  <w:r>
                    <w:rPr>
                      <w:rFonts w:cs="Calibri"/>
                      <w:sz w:val="21"/>
                    </w:rPr>
                    <w:t>代码：900-</w:t>
                  </w:r>
                  <w:r>
                    <w:rPr>
                      <w:rFonts w:hint="eastAsia" w:cs="Calibri"/>
                      <w:sz w:val="21"/>
                    </w:rPr>
                    <w:t>214</w:t>
                  </w:r>
                  <w:r>
                    <w:rPr>
                      <w:rFonts w:cs="Calibri"/>
                      <w:sz w:val="21"/>
                    </w:rPr>
                    <w:t>-</w:t>
                  </w:r>
                  <w:r>
                    <w:rPr>
                      <w:rFonts w:hint="eastAsia" w:cs="Calibri"/>
                      <w:sz w:val="21"/>
                    </w:rPr>
                    <w:t>08</w:t>
                  </w:r>
                </w:p>
              </w:tc>
              <w:tc>
                <w:tcPr>
                  <w:tcW w:w="1871" w:type="dxa"/>
                  <w:vAlign w:val="center"/>
                </w:tcPr>
                <w:p>
                  <w:pPr>
                    <w:jc w:val="center"/>
                    <w:rPr>
                      <w:rFonts w:cs="Calibri"/>
                      <w:sz w:val="21"/>
                    </w:rPr>
                  </w:pPr>
                  <w:r>
                    <w:rPr>
                      <w:rFonts w:cs="Calibri"/>
                      <w:sz w:val="21"/>
                    </w:rPr>
                    <w:t>危险固废编号HW</w:t>
                  </w:r>
                  <w:r>
                    <w:rPr>
                      <w:rFonts w:hint="eastAsia" w:cs="Calibri"/>
                      <w:sz w:val="21"/>
                    </w:rPr>
                    <w:t>08</w:t>
                  </w:r>
                </w:p>
              </w:tc>
              <w:tc>
                <w:tcPr>
                  <w:tcW w:w="1397" w:type="dxa"/>
                  <w:vAlign w:val="center"/>
                </w:tcPr>
                <w:p>
                  <w:pPr>
                    <w:jc w:val="center"/>
                    <w:rPr>
                      <w:rFonts w:cs="Calibri"/>
                      <w:sz w:val="21"/>
                    </w:rPr>
                  </w:pPr>
                  <w:r>
                    <w:rPr>
                      <w:rFonts w:cs="Calibri"/>
                      <w:sz w:val="21"/>
                    </w:rPr>
                    <w:t>0.</w:t>
                  </w:r>
                  <w:r>
                    <w:rPr>
                      <w:rFonts w:hint="eastAsia" w:cs="Calibri"/>
                      <w:sz w:val="21"/>
                    </w:rPr>
                    <w:t>01</w:t>
                  </w:r>
                  <w:r>
                    <w:rPr>
                      <w:rFonts w:cs="Calibri"/>
                      <w:sz w:val="21"/>
                    </w:rPr>
                    <w:t>t/a</w:t>
                  </w:r>
                </w:p>
              </w:tc>
              <w:tc>
                <w:tcPr>
                  <w:tcW w:w="2037" w:type="dxa"/>
                  <w:vAlign w:val="center"/>
                </w:tcPr>
                <w:p>
                  <w:pPr>
                    <w:jc w:val="center"/>
                    <w:rPr>
                      <w:rFonts w:cs="Calibri"/>
                      <w:sz w:val="21"/>
                    </w:rPr>
                  </w:pPr>
                  <w:r>
                    <w:rPr>
                      <w:rFonts w:cs="Calibri"/>
                      <w:sz w:val="21"/>
                    </w:rPr>
                    <w:t>设置危废储存间，送有资质的单位回收处理</w:t>
                  </w:r>
                </w:p>
              </w:tc>
              <w:tc>
                <w:tcPr>
                  <w:tcW w:w="1037" w:type="dxa"/>
                  <w:vMerge w:val="continue"/>
                  <w:vAlign w:val="center"/>
                </w:tcPr>
                <w:p>
                  <w:pPr>
                    <w:jc w:val="center"/>
                    <w:rPr>
                      <w:rFonts w:cs="Calibri"/>
                      <w:sz w:val="21"/>
                    </w:rPr>
                  </w:pPr>
                </w:p>
              </w:tc>
            </w:tr>
            <w:bookmarkEnd w:id="17"/>
          </w:tbl>
          <w:p>
            <w:pPr>
              <w:numPr>
                <w:ilvl w:val="0"/>
                <w:numId w:val="4"/>
              </w:numPr>
              <w:spacing w:line="360" w:lineRule="auto"/>
              <w:ind w:firstLine="480" w:firstLineChars="200"/>
              <w:rPr>
                <w:sz w:val="24"/>
              </w:rPr>
            </w:pPr>
            <w:r>
              <w:rPr>
                <w:sz w:val="24"/>
              </w:rPr>
              <w:t>危险废物处置措施</w:t>
            </w:r>
          </w:p>
          <w:p>
            <w:pPr>
              <w:jc w:val="center"/>
              <w:rPr>
                <w:b/>
                <w:sz w:val="21"/>
              </w:rPr>
            </w:pPr>
            <w:r>
              <w:rPr>
                <w:b/>
                <w:sz w:val="21"/>
              </w:rPr>
              <w:t>表22  工程分析中危险废物汇总表</w:t>
            </w:r>
          </w:p>
          <w:tbl>
            <w:tblPr>
              <w:tblStyle w:val="18"/>
              <w:tblW w:w="828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
              <w:gridCol w:w="648"/>
              <w:gridCol w:w="776"/>
              <w:gridCol w:w="1196"/>
              <w:gridCol w:w="846"/>
              <w:gridCol w:w="716"/>
              <w:gridCol w:w="439"/>
              <w:gridCol w:w="554"/>
              <w:gridCol w:w="482"/>
              <w:gridCol w:w="426"/>
              <w:gridCol w:w="481"/>
              <w:gridCol w:w="12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0" w:type="dxa"/>
                  <w:tcBorders>
                    <w:tl2br w:val="nil"/>
                    <w:tr2bl w:val="nil"/>
                  </w:tcBorders>
                  <w:vAlign w:val="center"/>
                </w:tcPr>
                <w:p>
                  <w:pPr>
                    <w:jc w:val="center"/>
                    <w:rPr>
                      <w:rFonts w:cs="Calibri"/>
                      <w:sz w:val="21"/>
                    </w:rPr>
                  </w:pPr>
                  <w:r>
                    <w:rPr>
                      <w:rFonts w:hint="eastAsia" w:cs="Calibri"/>
                      <w:sz w:val="21"/>
                    </w:rPr>
                    <w:t>序号</w:t>
                  </w:r>
                </w:p>
              </w:tc>
              <w:tc>
                <w:tcPr>
                  <w:tcW w:w="648" w:type="dxa"/>
                  <w:tcBorders>
                    <w:tl2br w:val="nil"/>
                    <w:tr2bl w:val="nil"/>
                  </w:tcBorders>
                  <w:vAlign w:val="center"/>
                </w:tcPr>
                <w:p>
                  <w:pPr>
                    <w:jc w:val="center"/>
                    <w:rPr>
                      <w:rFonts w:cs="Calibri"/>
                      <w:sz w:val="21"/>
                    </w:rPr>
                  </w:pPr>
                  <w:r>
                    <w:rPr>
                      <w:rFonts w:hint="eastAsia" w:cs="Calibri"/>
                      <w:sz w:val="21"/>
                    </w:rPr>
                    <w:t>危险废物名称</w:t>
                  </w:r>
                </w:p>
              </w:tc>
              <w:tc>
                <w:tcPr>
                  <w:tcW w:w="776" w:type="dxa"/>
                  <w:tcBorders>
                    <w:tl2br w:val="nil"/>
                    <w:tr2bl w:val="nil"/>
                  </w:tcBorders>
                  <w:vAlign w:val="center"/>
                </w:tcPr>
                <w:p>
                  <w:pPr>
                    <w:jc w:val="center"/>
                    <w:rPr>
                      <w:rFonts w:cs="Calibri"/>
                      <w:sz w:val="21"/>
                    </w:rPr>
                  </w:pPr>
                  <w:r>
                    <w:rPr>
                      <w:rFonts w:hint="eastAsia" w:cs="Calibri"/>
                      <w:sz w:val="21"/>
                    </w:rPr>
                    <w:t>危险废物类别</w:t>
                  </w:r>
                </w:p>
              </w:tc>
              <w:tc>
                <w:tcPr>
                  <w:tcW w:w="1196" w:type="dxa"/>
                  <w:tcBorders>
                    <w:tl2br w:val="nil"/>
                    <w:tr2bl w:val="nil"/>
                  </w:tcBorders>
                  <w:vAlign w:val="center"/>
                </w:tcPr>
                <w:p>
                  <w:pPr>
                    <w:jc w:val="center"/>
                    <w:rPr>
                      <w:rFonts w:cs="Calibri"/>
                      <w:sz w:val="21"/>
                    </w:rPr>
                  </w:pPr>
                  <w:r>
                    <w:rPr>
                      <w:rFonts w:hint="eastAsia" w:cs="Calibri"/>
                      <w:sz w:val="21"/>
                    </w:rPr>
                    <w:t>危险废物代码</w:t>
                  </w:r>
                </w:p>
              </w:tc>
              <w:tc>
                <w:tcPr>
                  <w:tcW w:w="846" w:type="dxa"/>
                  <w:tcBorders>
                    <w:tl2br w:val="nil"/>
                    <w:tr2bl w:val="nil"/>
                  </w:tcBorders>
                  <w:vAlign w:val="center"/>
                </w:tcPr>
                <w:p>
                  <w:pPr>
                    <w:jc w:val="center"/>
                    <w:rPr>
                      <w:rFonts w:cs="Calibri"/>
                      <w:sz w:val="21"/>
                    </w:rPr>
                  </w:pPr>
                  <w:r>
                    <w:rPr>
                      <w:rFonts w:hint="eastAsia" w:cs="Calibri"/>
                      <w:sz w:val="21"/>
                    </w:rPr>
                    <w:t>产生量（t/a）</w:t>
                  </w:r>
                </w:p>
              </w:tc>
              <w:tc>
                <w:tcPr>
                  <w:tcW w:w="716" w:type="dxa"/>
                  <w:tcBorders>
                    <w:tl2br w:val="nil"/>
                    <w:tr2bl w:val="nil"/>
                  </w:tcBorders>
                  <w:vAlign w:val="center"/>
                </w:tcPr>
                <w:p>
                  <w:pPr>
                    <w:jc w:val="center"/>
                    <w:rPr>
                      <w:rFonts w:cs="Calibri"/>
                      <w:sz w:val="21"/>
                    </w:rPr>
                  </w:pPr>
                  <w:r>
                    <w:rPr>
                      <w:rFonts w:hint="eastAsia" w:cs="Calibri"/>
                      <w:sz w:val="21"/>
                    </w:rPr>
                    <w:t>产生工序及装置</w:t>
                  </w:r>
                </w:p>
              </w:tc>
              <w:tc>
                <w:tcPr>
                  <w:tcW w:w="439" w:type="dxa"/>
                  <w:tcBorders>
                    <w:tl2br w:val="nil"/>
                    <w:tr2bl w:val="nil"/>
                  </w:tcBorders>
                  <w:vAlign w:val="center"/>
                </w:tcPr>
                <w:p>
                  <w:pPr>
                    <w:jc w:val="center"/>
                    <w:rPr>
                      <w:rFonts w:cs="Calibri"/>
                      <w:sz w:val="21"/>
                    </w:rPr>
                  </w:pPr>
                  <w:r>
                    <w:rPr>
                      <w:rFonts w:hint="eastAsia" w:cs="Calibri"/>
                      <w:sz w:val="21"/>
                    </w:rPr>
                    <w:t>形态</w:t>
                  </w:r>
                </w:p>
              </w:tc>
              <w:tc>
                <w:tcPr>
                  <w:tcW w:w="554" w:type="dxa"/>
                  <w:tcBorders>
                    <w:tl2br w:val="nil"/>
                    <w:tr2bl w:val="nil"/>
                  </w:tcBorders>
                  <w:vAlign w:val="center"/>
                </w:tcPr>
                <w:p>
                  <w:pPr>
                    <w:jc w:val="center"/>
                    <w:rPr>
                      <w:rFonts w:cs="Calibri"/>
                      <w:sz w:val="21"/>
                    </w:rPr>
                  </w:pPr>
                  <w:r>
                    <w:rPr>
                      <w:rFonts w:hint="eastAsia" w:cs="Calibri"/>
                      <w:sz w:val="21"/>
                    </w:rPr>
                    <w:t>主要成分</w:t>
                  </w:r>
                </w:p>
              </w:tc>
              <w:tc>
                <w:tcPr>
                  <w:tcW w:w="482" w:type="dxa"/>
                  <w:tcBorders>
                    <w:tl2br w:val="nil"/>
                    <w:tr2bl w:val="nil"/>
                  </w:tcBorders>
                  <w:vAlign w:val="center"/>
                </w:tcPr>
                <w:p>
                  <w:pPr>
                    <w:jc w:val="center"/>
                    <w:rPr>
                      <w:rFonts w:cs="Calibri"/>
                      <w:sz w:val="21"/>
                    </w:rPr>
                  </w:pPr>
                  <w:r>
                    <w:rPr>
                      <w:rFonts w:hint="eastAsia" w:cs="Calibri"/>
                      <w:sz w:val="21"/>
                    </w:rPr>
                    <w:t>有害成分</w:t>
                  </w:r>
                </w:p>
              </w:tc>
              <w:tc>
                <w:tcPr>
                  <w:tcW w:w="426" w:type="dxa"/>
                  <w:tcBorders>
                    <w:tl2br w:val="nil"/>
                    <w:tr2bl w:val="nil"/>
                  </w:tcBorders>
                  <w:vAlign w:val="center"/>
                </w:tcPr>
                <w:p>
                  <w:pPr>
                    <w:jc w:val="center"/>
                    <w:rPr>
                      <w:rFonts w:cs="Calibri"/>
                      <w:sz w:val="21"/>
                    </w:rPr>
                  </w:pPr>
                  <w:r>
                    <w:rPr>
                      <w:rFonts w:hint="eastAsia" w:cs="Calibri"/>
                      <w:sz w:val="21"/>
                    </w:rPr>
                    <w:t>产废周期</w:t>
                  </w:r>
                </w:p>
              </w:tc>
              <w:tc>
                <w:tcPr>
                  <w:tcW w:w="481" w:type="dxa"/>
                  <w:tcBorders>
                    <w:tl2br w:val="nil"/>
                    <w:tr2bl w:val="nil"/>
                  </w:tcBorders>
                  <w:vAlign w:val="center"/>
                </w:tcPr>
                <w:p>
                  <w:pPr>
                    <w:jc w:val="center"/>
                    <w:rPr>
                      <w:rFonts w:cs="Calibri"/>
                      <w:sz w:val="21"/>
                    </w:rPr>
                  </w:pPr>
                  <w:r>
                    <w:rPr>
                      <w:rFonts w:hint="eastAsia" w:cs="Calibri"/>
                      <w:sz w:val="21"/>
                    </w:rPr>
                    <w:t>危险</w:t>
                  </w:r>
                </w:p>
                <w:p>
                  <w:pPr>
                    <w:jc w:val="center"/>
                    <w:rPr>
                      <w:rFonts w:cs="Calibri"/>
                      <w:sz w:val="21"/>
                    </w:rPr>
                  </w:pPr>
                  <w:r>
                    <w:rPr>
                      <w:rFonts w:hint="eastAsia" w:cs="Calibri"/>
                      <w:sz w:val="21"/>
                    </w:rPr>
                    <w:t>特性</w:t>
                  </w:r>
                </w:p>
              </w:tc>
              <w:tc>
                <w:tcPr>
                  <w:tcW w:w="1269" w:type="dxa"/>
                  <w:tcBorders>
                    <w:tl2br w:val="nil"/>
                    <w:tr2bl w:val="nil"/>
                  </w:tcBorders>
                  <w:vAlign w:val="center"/>
                </w:tcPr>
                <w:p>
                  <w:pPr>
                    <w:jc w:val="center"/>
                    <w:rPr>
                      <w:rFonts w:cs="Calibri"/>
                      <w:sz w:val="21"/>
                    </w:rPr>
                  </w:pPr>
                  <w:r>
                    <w:rPr>
                      <w:rFonts w:hint="eastAsia" w:cs="Calibri"/>
                      <w:sz w:val="21"/>
                    </w:rPr>
                    <w:t>污染防治措施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0" w:type="dxa"/>
                  <w:tcBorders>
                    <w:tl2br w:val="nil"/>
                    <w:tr2bl w:val="nil"/>
                  </w:tcBorders>
                  <w:vAlign w:val="center"/>
                </w:tcPr>
                <w:p>
                  <w:pPr>
                    <w:jc w:val="center"/>
                    <w:rPr>
                      <w:rFonts w:cs="Calibri"/>
                      <w:sz w:val="21"/>
                    </w:rPr>
                  </w:pPr>
                  <w:r>
                    <w:rPr>
                      <w:rFonts w:cs="Calibri"/>
                      <w:sz w:val="21"/>
                    </w:rPr>
                    <w:t>1</w:t>
                  </w:r>
                </w:p>
              </w:tc>
              <w:tc>
                <w:tcPr>
                  <w:tcW w:w="648" w:type="dxa"/>
                  <w:tcBorders>
                    <w:tl2br w:val="nil"/>
                    <w:tr2bl w:val="nil"/>
                  </w:tcBorders>
                  <w:vAlign w:val="center"/>
                </w:tcPr>
                <w:p>
                  <w:pPr>
                    <w:jc w:val="center"/>
                    <w:rPr>
                      <w:rFonts w:cs="Calibri"/>
                      <w:sz w:val="21"/>
                    </w:rPr>
                  </w:pPr>
                  <w:r>
                    <w:rPr>
                      <w:rFonts w:cs="Calibri"/>
                      <w:sz w:val="21"/>
                    </w:rPr>
                    <w:t>废矿物油</w:t>
                  </w:r>
                </w:p>
              </w:tc>
              <w:tc>
                <w:tcPr>
                  <w:tcW w:w="776" w:type="dxa"/>
                  <w:tcBorders>
                    <w:tl2br w:val="nil"/>
                    <w:tr2bl w:val="nil"/>
                  </w:tcBorders>
                  <w:vAlign w:val="center"/>
                </w:tcPr>
                <w:p>
                  <w:pPr>
                    <w:jc w:val="center"/>
                    <w:rPr>
                      <w:rFonts w:cs="Calibri"/>
                      <w:sz w:val="21"/>
                    </w:rPr>
                  </w:pPr>
                  <w:r>
                    <w:rPr>
                      <w:rFonts w:cs="Calibri"/>
                      <w:sz w:val="21"/>
                    </w:rPr>
                    <w:t>HW</w:t>
                  </w:r>
                  <w:r>
                    <w:rPr>
                      <w:rFonts w:hint="eastAsia" w:cs="Calibri"/>
                      <w:sz w:val="21"/>
                    </w:rPr>
                    <w:t>08</w:t>
                  </w:r>
                </w:p>
              </w:tc>
              <w:tc>
                <w:tcPr>
                  <w:tcW w:w="1196" w:type="dxa"/>
                  <w:tcBorders>
                    <w:tl2br w:val="nil"/>
                    <w:tr2bl w:val="nil"/>
                  </w:tcBorders>
                  <w:vAlign w:val="center"/>
                </w:tcPr>
                <w:p>
                  <w:pPr>
                    <w:jc w:val="center"/>
                    <w:rPr>
                      <w:rFonts w:cs="Calibri"/>
                      <w:sz w:val="21"/>
                    </w:rPr>
                  </w:pPr>
                  <w:r>
                    <w:rPr>
                      <w:rFonts w:hint="eastAsia" w:cs="Calibri"/>
                      <w:sz w:val="21"/>
                    </w:rPr>
                    <w:t>900-214-08</w:t>
                  </w:r>
                </w:p>
              </w:tc>
              <w:tc>
                <w:tcPr>
                  <w:tcW w:w="846" w:type="dxa"/>
                  <w:tcBorders>
                    <w:tl2br w:val="nil"/>
                    <w:tr2bl w:val="nil"/>
                  </w:tcBorders>
                  <w:vAlign w:val="center"/>
                </w:tcPr>
                <w:p>
                  <w:pPr>
                    <w:jc w:val="center"/>
                    <w:rPr>
                      <w:rFonts w:cs="Calibri"/>
                      <w:sz w:val="21"/>
                    </w:rPr>
                  </w:pPr>
                  <w:r>
                    <w:rPr>
                      <w:rFonts w:hint="eastAsia" w:cs="Calibri"/>
                      <w:sz w:val="21"/>
                    </w:rPr>
                    <w:t>0.01</w:t>
                  </w:r>
                </w:p>
              </w:tc>
              <w:tc>
                <w:tcPr>
                  <w:tcW w:w="716" w:type="dxa"/>
                  <w:tcBorders>
                    <w:tl2br w:val="nil"/>
                    <w:tr2bl w:val="nil"/>
                  </w:tcBorders>
                  <w:vAlign w:val="center"/>
                </w:tcPr>
                <w:p>
                  <w:pPr>
                    <w:jc w:val="center"/>
                    <w:rPr>
                      <w:rFonts w:cs="Calibri"/>
                      <w:sz w:val="21"/>
                    </w:rPr>
                  </w:pPr>
                  <w:r>
                    <w:rPr>
                      <w:rFonts w:hint="eastAsia" w:cs="Calibri"/>
                      <w:sz w:val="21"/>
                    </w:rPr>
                    <w:t>设备维护保养</w:t>
                  </w:r>
                </w:p>
              </w:tc>
              <w:tc>
                <w:tcPr>
                  <w:tcW w:w="439" w:type="dxa"/>
                  <w:tcBorders>
                    <w:tl2br w:val="nil"/>
                    <w:tr2bl w:val="nil"/>
                  </w:tcBorders>
                  <w:vAlign w:val="center"/>
                </w:tcPr>
                <w:p>
                  <w:pPr>
                    <w:jc w:val="center"/>
                    <w:rPr>
                      <w:rFonts w:cs="Calibri"/>
                      <w:sz w:val="21"/>
                    </w:rPr>
                  </w:pPr>
                  <w:r>
                    <w:rPr>
                      <w:rFonts w:hint="eastAsia" w:cs="Calibri"/>
                      <w:sz w:val="21"/>
                    </w:rPr>
                    <w:t>液态</w:t>
                  </w:r>
                </w:p>
              </w:tc>
              <w:tc>
                <w:tcPr>
                  <w:tcW w:w="554" w:type="dxa"/>
                  <w:tcBorders>
                    <w:tl2br w:val="nil"/>
                    <w:tr2bl w:val="nil"/>
                  </w:tcBorders>
                  <w:vAlign w:val="center"/>
                </w:tcPr>
                <w:p>
                  <w:pPr>
                    <w:jc w:val="center"/>
                    <w:rPr>
                      <w:rFonts w:cs="Calibri"/>
                      <w:sz w:val="21"/>
                    </w:rPr>
                  </w:pPr>
                  <w:r>
                    <w:rPr>
                      <w:rFonts w:hint="eastAsia" w:cs="Calibri"/>
                      <w:sz w:val="21"/>
                    </w:rPr>
                    <w:t>油污</w:t>
                  </w:r>
                </w:p>
              </w:tc>
              <w:tc>
                <w:tcPr>
                  <w:tcW w:w="482" w:type="dxa"/>
                  <w:tcBorders>
                    <w:tl2br w:val="nil"/>
                    <w:tr2bl w:val="nil"/>
                  </w:tcBorders>
                  <w:vAlign w:val="center"/>
                </w:tcPr>
                <w:p>
                  <w:pPr>
                    <w:jc w:val="center"/>
                    <w:rPr>
                      <w:rFonts w:cs="Calibri"/>
                      <w:sz w:val="21"/>
                    </w:rPr>
                  </w:pPr>
                  <w:r>
                    <w:rPr>
                      <w:rFonts w:hint="eastAsia" w:cs="Calibri"/>
                      <w:sz w:val="21"/>
                    </w:rPr>
                    <w:t>油污</w:t>
                  </w:r>
                </w:p>
              </w:tc>
              <w:tc>
                <w:tcPr>
                  <w:tcW w:w="426" w:type="dxa"/>
                  <w:tcBorders>
                    <w:tl2br w:val="nil"/>
                    <w:tr2bl w:val="nil"/>
                  </w:tcBorders>
                  <w:vAlign w:val="center"/>
                </w:tcPr>
                <w:p>
                  <w:pPr>
                    <w:jc w:val="center"/>
                    <w:rPr>
                      <w:rFonts w:cs="Calibri"/>
                      <w:sz w:val="21"/>
                    </w:rPr>
                  </w:pPr>
                  <w:r>
                    <w:rPr>
                      <w:rFonts w:hint="eastAsia" w:cs="Calibri"/>
                      <w:sz w:val="21"/>
                    </w:rPr>
                    <w:t>一年</w:t>
                  </w:r>
                </w:p>
              </w:tc>
              <w:tc>
                <w:tcPr>
                  <w:tcW w:w="481" w:type="dxa"/>
                  <w:tcBorders>
                    <w:tl2br w:val="nil"/>
                    <w:tr2bl w:val="nil"/>
                  </w:tcBorders>
                  <w:vAlign w:val="center"/>
                </w:tcPr>
                <w:p>
                  <w:pPr>
                    <w:jc w:val="center"/>
                    <w:rPr>
                      <w:rFonts w:cs="Calibri"/>
                      <w:sz w:val="21"/>
                    </w:rPr>
                  </w:pPr>
                  <w:r>
                    <w:rPr>
                      <w:rFonts w:hint="eastAsia" w:cs="Calibri"/>
                      <w:sz w:val="21"/>
                    </w:rPr>
                    <w:t>有毒</w:t>
                  </w:r>
                </w:p>
              </w:tc>
              <w:tc>
                <w:tcPr>
                  <w:tcW w:w="1269" w:type="dxa"/>
                  <w:tcBorders>
                    <w:tl2br w:val="nil"/>
                    <w:tr2bl w:val="nil"/>
                  </w:tcBorders>
                  <w:vAlign w:val="center"/>
                </w:tcPr>
                <w:p>
                  <w:pPr>
                    <w:jc w:val="center"/>
                    <w:rPr>
                      <w:rFonts w:cs="Calibri"/>
                      <w:sz w:val="21"/>
                    </w:rPr>
                  </w:pPr>
                  <w:r>
                    <w:rPr>
                      <w:rFonts w:cs="Calibri"/>
                      <w:sz w:val="21"/>
                    </w:rPr>
                    <w:t>设置危废储存间，送有资质的单位回收处理</w:t>
                  </w:r>
                </w:p>
              </w:tc>
            </w:tr>
          </w:tbl>
          <w:p>
            <w:pPr>
              <w:spacing w:line="360" w:lineRule="auto"/>
              <w:ind w:firstLine="480" w:firstLineChars="200"/>
              <w:rPr>
                <w:sz w:val="24"/>
              </w:rPr>
            </w:pPr>
            <w:r>
              <w:rPr>
                <w:sz w:val="24"/>
              </w:rPr>
              <w:t>项目营运过程中废矿物油等属于危险固废，</w:t>
            </w:r>
            <w:r>
              <w:rPr>
                <w:rFonts w:cs="Calibri"/>
                <w:sz w:val="24"/>
              </w:rPr>
              <w:t>应集中收集后委托有资质的处理单位进行处理。本项目危险废物临时贮存场所的建设必须满足《危险废物贮存污染控制标准》(GB18597-2001)及其2013年修改单的相关要求，项目危废固废暂存场所设在</w:t>
            </w:r>
            <w:r>
              <w:rPr>
                <w:rFonts w:hint="eastAsia" w:cs="Calibri"/>
                <w:sz w:val="24"/>
              </w:rPr>
              <w:t>成品仓库</w:t>
            </w:r>
            <w:r>
              <w:rPr>
                <w:rFonts w:cs="Calibri"/>
                <w:sz w:val="24"/>
              </w:rPr>
              <w:t>的</w:t>
            </w:r>
            <w:r>
              <w:rPr>
                <w:rFonts w:hint="eastAsia" w:cs="Calibri"/>
                <w:sz w:val="24"/>
              </w:rPr>
              <w:t>南</w:t>
            </w:r>
            <w:r>
              <w:rPr>
                <w:rFonts w:cs="Calibri"/>
                <w:sz w:val="24"/>
              </w:rPr>
              <w:t>部，面积约</w:t>
            </w:r>
            <w:r>
              <w:rPr>
                <w:rFonts w:hint="eastAsia" w:cs="Calibri"/>
                <w:sz w:val="24"/>
              </w:rPr>
              <w:t>5</w:t>
            </w:r>
            <w:r>
              <w:rPr>
                <w:rFonts w:cs="Calibri"/>
                <w:sz w:val="24"/>
              </w:rPr>
              <w:t>m</w:t>
            </w:r>
            <w:r>
              <w:rPr>
                <w:rFonts w:cs="Calibri"/>
                <w:sz w:val="24"/>
                <w:vertAlign w:val="superscript"/>
              </w:rPr>
              <w:t>2</w:t>
            </w:r>
            <w:r>
              <w:rPr>
                <w:rFonts w:cs="Calibri"/>
                <w:sz w:val="24"/>
              </w:rPr>
              <w:t>。</w:t>
            </w:r>
          </w:p>
          <w:p>
            <w:pPr>
              <w:spacing w:line="360" w:lineRule="auto"/>
              <w:ind w:firstLine="480" w:firstLineChars="200"/>
              <w:rPr>
                <w:rFonts w:cs="Calibri"/>
                <w:sz w:val="24"/>
              </w:rPr>
            </w:pPr>
            <w:r>
              <w:rPr>
                <w:rFonts w:cs="Calibri"/>
                <w:sz w:val="24"/>
              </w:rPr>
              <w:t>对危险废物的收集、暂存和运输按国家标准有如下要求：</w:t>
            </w:r>
          </w:p>
          <w:p>
            <w:pPr>
              <w:spacing w:line="360" w:lineRule="auto"/>
              <w:ind w:firstLine="480" w:firstLineChars="200"/>
              <w:rPr>
                <w:rFonts w:cs="Calibri"/>
                <w:sz w:val="24"/>
              </w:rPr>
            </w:pPr>
            <w:r>
              <w:rPr>
                <w:rFonts w:cs="Calibri"/>
                <w:sz w:val="24"/>
              </w:rPr>
              <w:fldChar w:fldCharType="begin"/>
            </w:r>
            <w:r>
              <w:rPr>
                <w:rFonts w:cs="Calibri"/>
                <w:sz w:val="24"/>
              </w:rPr>
              <w:instrText xml:space="preserve"> = 1 \* GB3 </w:instrText>
            </w:r>
            <w:r>
              <w:rPr>
                <w:rFonts w:cs="Calibri"/>
                <w:sz w:val="24"/>
              </w:rPr>
              <w:fldChar w:fldCharType="separate"/>
            </w:r>
            <w:r>
              <w:rPr>
                <w:rFonts w:hint="eastAsia" w:ascii="宋体" w:hAnsi="宋体" w:cs="宋体"/>
                <w:sz w:val="24"/>
              </w:rPr>
              <w:t>①</w:t>
            </w:r>
            <w:r>
              <w:rPr>
                <w:rFonts w:cs="Calibri"/>
                <w:sz w:val="24"/>
              </w:rPr>
              <w:fldChar w:fldCharType="end"/>
            </w:r>
            <w:r>
              <w:rPr>
                <w:rFonts w:cs="Calibri"/>
                <w:sz w:val="24"/>
              </w:rPr>
              <w:t>危险废物的收集包装</w:t>
            </w:r>
          </w:p>
          <w:p>
            <w:pPr>
              <w:spacing w:line="360" w:lineRule="auto"/>
              <w:ind w:firstLine="480" w:firstLineChars="200"/>
              <w:rPr>
                <w:rFonts w:cs="Calibri"/>
                <w:sz w:val="24"/>
              </w:rPr>
            </w:pPr>
            <w:r>
              <w:rPr>
                <w:rFonts w:cs="Calibri"/>
                <w:sz w:val="24"/>
              </w:rPr>
              <w:t>a．有符合要求的包装容器、收集人员的个人防护设备。</w:t>
            </w:r>
          </w:p>
          <w:p>
            <w:pPr>
              <w:spacing w:line="360" w:lineRule="auto"/>
              <w:ind w:firstLine="480" w:firstLineChars="200"/>
              <w:rPr>
                <w:rFonts w:cs="Calibri"/>
                <w:sz w:val="24"/>
              </w:rPr>
            </w:pPr>
            <w:r>
              <w:rPr>
                <w:rFonts w:cs="Calibri"/>
                <w:sz w:val="24"/>
              </w:rPr>
              <w:t>b．危险废物的收集容器应在醒目位置贴有危险废物标签，在收集场所醒目的地方设置危险废物警告标识。</w:t>
            </w:r>
          </w:p>
          <w:p>
            <w:pPr>
              <w:spacing w:line="360" w:lineRule="auto"/>
              <w:ind w:firstLine="480" w:firstLineChars="200"/>
              <w:rPr>
                <w:rFonts w:cs="Calibri"/>
                <w:sz w:val="24"/>
              </w:rPr>
            </w:pPr>
            <w:r>
              <w:rPr>
                <w:rFonts w:cs="Calibri"/>
                <w:sz w:val="24"/>
              </w:rPr>
              <w:t>c．危险废物标签应标明以下信息：主要化学成分或危险废物名称、数量、物理形态、危险类别、安全措施以及危险废物产生单位名称、地址、联系人及电话。</w:t>
            </w:r>
          </w:p>
          <w:p>
            <w:pPr>
              <w:spacing w:line="360" w:lineRule="auto"/>
              <w:ind w:firstLine="480" w:firstLineChars="200"/>
              <w:rPr>
                <w:rFonts w:cs="Calibri"/>
                <w:sz w:val="24"/>
              </w:rPr>
            </w:pPr>
            <w:r>
              <w:rPr>
                <w:rFonts w:cs="Calibri"/>
                <w:sz w:val="24"/>
              </w:rPr>
              <w:fldChar w:fldCharType="begin"/>
            </w:r>
            <w:r>
              <w:rPr>
                <w:rFonts w:cs="Calibri"/>
                <w:sz w:val="24"/>
              </w:rPr>
              <w:instrText xml:space="preserve"> = 2 \* GB3 </w:instrText>
            </w:r>
            <w:r>
              <w:rPr>
                <w:rFonts w:cs="Calibri"/>
                <w:sz w:val="24"/>
              </w:rPr>
              <w:fldChar w:fldCharType="separate"/>
            </w:r>
            <w:r>
              <w:rPr>
                <w:rFonts w:hint="eastAsia" w:ascii="宋体" w:hAnsi="宋体" w:cs="宋体"/>
                <w:sz w:val="24"/>
              </w:rPr>
              <w:t>②</w:t>
            </w:r>
            <w:r>
              <w:rPr>
                <w:rFonts w:cs="Calibri"/>
                <w:sz w:val="24"/>
              </w:rPr>
              <w:fldChar w:fldCharType="end"/>
            </w:r>
            <w:r>
              <w:rPr>
                <w:rFonts w:cs="Calibri"/>
                <w:sz w:val="24"/>
              </w:rPr>
              <w:t>危险废物的暂存要求</w:t>
            </w:r>
          </w:p>
          <w:p>
            <w:pPr>
              <w:spacing w:line="360" w:lineRule="auto"/>
              <w:ind w:firstLine="480" w:firstLineChars="200"/>
              <w:rPr>
                <w:rFonts w:cs="Calibri"/>
                <w:sz w:val="24"/>
              </w:rPr>
            </w:pPr>
            <w:r>
              <w:rPr>
                <w:rFonts w:cs="Calibri"/>
                <w:sz w:val="24"/>
              </w:rPr>
              <w:t>危险废物堆放场所应满足GB18597-2001《危险废物贮存污染控制标准》及其2013年修改单中的有关规定：</w:t>
            </w:r>
          </w:p>
          <w:p>
            <w:pPr>
              <w:spacing w:line="360" w:lineRule="auto"/>
              <w:ind w:firstLine="480" w:firstLineChars="200"/>
              <w:rPr>
                <w:rFonts w:cs="Calibri"/>
                <w:sz w:val="24"/>
              </w:rPr>
            </w:pPr>
            <w:r>
              <w:rPr>
                <w:rFonts w:cs="Calibri"/>
                <w:sz w:val="24"/>
              </w:rPr>
              <w:t>a．按GB15562.2《环境保护图形标识—固体废物贮存（处置）场》设置警示标志。</w:t>
            </w:r>
          </w:p>
          <w:p>
            <w:pPr>
              <w:spacing w:line="360" w:lineRule="auto"/>
              <w:ind w:firstLine="480" w:firstLineChars="200"/>
              <w:rPr>
                <w:rFonts w:cs="Calibri"/>
                <w:sz w:val="24"/>
              </w:rPr>
            </w:pPr>
            <w:r>
              <w:rPr>
                <w:rFonts w:cs="Calibri"/>
                <w:sz w:val="24"/>
              </w:rPr>
              <w:t>b．必须有耐腐蚀的硬化地面和基础防渗层，地面无裂隙；设施底部必须高于地下水最高水位。</w:t>
            </w:r>
          </w:p>
          <w:p>
            <w:pPr>
              <w:spacing w:line="360" w:lineRule="auto"/>
              <w:ind w:firstLine="480" w:firstLineChars="200"/>
              <w:rPr>
                <w:rFonts w:cs="Calibri"/>
                <w:sz w:val="24"/>
              </w:rPr>
            </w:pPr>
            <w:r>
              <w:rPr>
                <w:rFonts w:cs="Calibri"/>
                <w:sz w:val="24"/>
              </w:rPr>
              <w:t>c．要求有必要的防风、防雨、防晒措施。</w:t>
            </w:r>
          </w:p>
          <w:p>
            <w:pPr>
              <w:spacing w:line="360" w:lineRule="auto"/>
              <w:ind w:firstLine="480" w:firstLineChars="200"/>
              <w:rPr>
                <w:rFonts w:cs="Calibri"/>
                <w:sz w:val="24"/>
              </w:rPr>
            </w:pPr>
            <w:r>
              <w:rPr>
                <w:rFonts w:cs="Calibri"/>
                <w:sz w:val="24"/>
              </w:rPr>
              <w:t>d．要有隔离设施或其它防护栅栏。</w:t>
            </w:r>
          </w:p>
          <w:p>
            <w:pPr>
              <w:spacing w:line="360" w:lineRule="auto"/>
              <w:ind w:firstLine="480" w:firstLineChars="200"/>
              <w:rPr>
                <w:rFonts w:cs="Calibri"/>
                <w:sz w:val="24"/>
              </w:rPr>
            </w:pPr>
            <w:r>
              <w:rPr>
                <w:rFonts w:cs="Calibri"/>
                <w:sz w:val="24"/>
              </w:rPr>
              <w:t>e．应配备通讯设备、照明设施、安全防护服装，并设有报警装置和应急防护设施。</w:t>
            </w:r>
          </w:p>
          <w:p>
            <w:pPr>
              <w:spacing w:line="360" w:lineRule="auto"/>
              <w:ind w:firstLine="480" w:firstLineChars="200"/>
              <w:rPr>
                <w:rFonts w:cs="Calibri"/>
                <w:sz w:val="24"/>
              </w:rPr>
            </w:pPr>
            <w:r>
              <w:rPr>
                <w:rFonts w:cs="Calibri"/>
                <w:sz w:val="24"/>
              </w:rPr>
              <w:fldChar w:fldCharType="begin"/>
            </w:r>
            <w:r>
              <w:rPr>
                <w:rFonts w:cs="Calibri"/>
                <w:sz w:val="24"/>
              </w:rPr>
              <w:instrText xml:space="preserve"> = 3 \* GB3 </w:instrText>
            </w:r>
            <w:r>
              <w:rPr>
                <w:rFonts w:cs="Calibri"/>
                <w:sz w:val="24"/>
              </w:rPr>
              <w:fldChar w:fldCharType="separate"/>
            </w:r>
            <w:r>
              <w:rPr>
                <w:rFonts w:hint="eastAsia" w:ascii="宋体" w:hAnsi="宋体" w:cs="宋体"/>
                <w:sz w:val="24"/>
              </w:rPr>
              <w:t>③</w:t>
            </w:r>
            <w:r>
              <w:rPr>
                <w:rFonts w:cs="Calibri"/>
                <w:sz w:val="24"/>
              </w:rPr>
              <w:fldChar w:fldCharType="end"/>
            </w:r>
            <w:r>
              <w:rPr>
                <w:rFonts w:cs="Calibri"/>
                <w:sz w:val="24"/>
              </w:rPr>
              <w:t>危险废物的运输要求</w:t>
            </w:r>
          </w:p>
          <w:p>
            <w:pPr>
              <w:spacing w:line="360" w:lineRule="auto"/>
              <w:ind w:firstLine="480" w:firstLineChars="200"/>
              <w:rPr>
                <w:rFonts w:cs="Calibri"/>
                <w:sz w:val="24"/>
              </w:rPr>
            </w:pPr>
            <w:r>
              <w:rPr>
                <w:rFonts w:cs="Calibri"/>
                <w:sz w:val="24"/>
              </w:rPr>
              <w:t>危险废物的运输应采取危险废物转移“五联单”制度，保证运输安全，防止非法转移和非法处置，保证危险废物的安全监控，防止危险废物污染事故发生。</w:t>
            </w:r>
          </w:p>
          <w:p>
            <w:pPr>
              <w:jc w:val="center"/>
              <w:rPr>
                <w:rFonts w:cs="Calibri"/>
                <w:b/>
                <w:sz w:val="21"/>
              </w:rPr>
            </w:pPr>
            <w:r>
              <w:rPr>
                <w:rFonts w:hint="eastAsia" w:cs="Calibri"/>
                <w:b/>
                <w:sz w:val="21"/>
              </w:rPr>
              <w:t>表</w:t>
            </w:r>
            <w:r>
              <w:rPr>
                <w:rFonts w:cs="Calibri"/>
                <w:b/>
                <w:sz w:val="21"/>
              </w:rPr>
              <w:t>23</w:t>
            </w:r>
            <w:r>
              <w:rPr>
                <w:rFonts w:hint="eastAsia" w:cs="Calibri"/>
                <w:b/>
                <w:sz w:val="21"/>
              </w:rPr>
              <w:t xml:space="preserve"> 建设项目危险废物贮存场所（设施）基本情况样表</w:t>
            </w:r>
          </w:p>
          <w:tbl>
            <w:tblPr>
              <w:tblStyle w:val="18"/>
              <w:tblW w:w="828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069"/>
              <w:gridCol w:w="988"/>
              <w:gridCol w:w="1196"/>
              <w:gridCol w:w="729"/>
              <w:gridCol w:w="1029"/>
              <w:gridCol w:w="739"/>
              <w:gridCol w:w="705"/>
              <w:gridCol w:w="7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3" w:type="dxa"/>
                  <w:vAlign w:val="center"/>
                </w:tcPr>
                <w:p>
                  <w:pPr>
                    <w:jc w:val="center"/>
                    <w:rPr>
                      <w:rFonts w:cs="Calibri"/>
                      <w:sz w:val="21"/>
                    </w:rPr>
                  </w:pPr>
                  <w:r>
                    <w:rPr>
                      <w:rFonts w:hint="eastAsia" w:cs="Calibri"/>
                      <w:sz w:val="21"/>
                    </w:rPr>
                    <w:t>贮存场所</w:t>
                  </w:r>
                </w:p>
                <w:p>
                  <w:pPr>
                    <w:jc w:val="center"/>
                    <w:rPr>
                      <w:rFonts w:cs="Calibri"/>
                      <w:sz w:val="21"/>
                    </w:rPr>
                  </w:pPr>
                  <w:r>
                    <w:rPr>
                      <w:rFonts w:hint="eastAsia" w:cs="Calibri"/>
                      <w:sz w:val="21"/>
                    </w:rPr>
                    <w:t>名称</w:t>
                  </w:r>
                </w:p>
              </w:tc>
              <w:tc>
                <w:tcPr>
                  <w:tcW w:w="1069" w:type="dxa"/>
                  <w:vAlign w:val="center"/>
                </w:tcPr>
                <w:p>
                  <w:pPr>
                    <w:jc w:val="center"/>
                    <w:rPr>
                      <w:rFonts w:cs="Calibri"/>
                      <w:sz w:val="21"/>
                    </w:rPr>
                  </w:pPr>
                  <w:r>
                    <w:rPr>
                      <w:rFonts w:hint="eastAsia" w:cs="Calibri"/>
                      <w:sz w:val="21"/>
                    </w:rPr>
                    <w:t>危险废物名称</w:t>
                  </w:r>
                </w:p>
              </w:tc>
              <w:tc>
                <w:tcPr>
                  <w:tcW w:w="988" w:type="dxa"/>
                  <w:vAlign w:val="center"/>
                </w:tcPr>
                <w:p>
                  <w:pPr>
                    <w:jc w:val="center"/>
                    <w:rPr>
                      <w:rFonts w:cs="Calibri"/>
                      <w:sz w:val="21"/>
                    </w:rPr>
                  </w:pPr>
                  <w:r>
                    <w:rPr>
                      <w:rFonts w:hint="eastAsia" w:cs="Calibri"/>
                      <w:sz w:val="21"/>
                    </w:rPr>
                    <w:t>危险废物类别</w:t>
                  </w:r>
                </w:p>
              </w:tc>
              <w:tc>
                <w:tcPr>
                  <w:tcW w:w="1196" w:type="dxa"/>
                  <w:vAlign w:val="center"/>
                </w:tcPr>
                <w:p>
                  <w:pPr>
                    <w:jc w:val="center"/>
                    <w:rPr>
                      <w:rFonts w:cs="Calibri"/>
                      <w:sz w:val="21"/>
                    </w:rPr>
                  </w:pPr>
                  <w:r>
                    <w:rPr>
                      <w:rFonts w:hint="eastAsia" w:cs="Calibri"/>
                      <w:sz w:val="21"/>
                    </w:rPr>
                    <w:t>危险废物代码</w:t>
                  </w:r>
                </w:p>
              </w:tc>
              <w:tc>
                <w:tcPr>
                  <w:tcW w:w="729" w:type="dxa"/>
                  <w:vAlign w:val="center"/>
                </w:tcPr>
                <w:p>
                  <w:pPr>
                    <w:jc w:val="center"/>
                    <w:rPr>
                      <w:rFonts w:cs="Calibri"/>
                      <w:sz w:val="21"/>
                    </w:rPr>
                  </w:pPr>
                  <w:r>
                    <w:rPr>
                      <w:rFonts w:hint="eastAsia" w:cs="Calibri"/>
                      <w:sz w:val="21"/>
                    </w:rPr>
                    <w:t>位置</w:t>
                  </w:r>
                </w:p>
              </w:tc>
              <w:tc>
                <w:tcPr>
                  <w:tcW w:w="1029" w:type="dxa"/>
                  <w:vAlign w:val="center"/>
                </w:tcPr>
                <w:p>
                  <w:pPr>
                    <w:jc w:val="center"/>
                    <w:rPr>
                      <w:rFonts w:cs="Calibri"/>
                      <w:sz w:val="21"/>
                    </w:rPr>
                  </w:pPr>
                  <w:r>
                    <w:rPr>
                      <w:rFonts w:hint="eastAsia" w:cs="Calibri"/>
                      <w:sz w:val="21"/>
                    </w:rPr>
                    <w:t>占地面积（m</w:t>
                  </w:r>
                  <w:r>
                    <w:rPr>
                      <w:rFonts w:hint="eastAsia" w:cs="Calibri"/>
                      <w:sz w:val="21"/>
                      <w:vertAlign w:val="superscript"/>
                    </w:rPr>
                    <w:t>2</w:t>
                  </w:r>
                  <w:r>
                    <w:rPr>
                      <w:rFonts w:hint="eastAsia" w:cs="Calibri"/>
                      <w:sz w:val="21"/>
                    </w:rPr>
                    <w:t>）</w:t>
                  </w:r>
                </w:p>
              </w:tc>
              <w:tc>
                <w:tcPr>
                  <w:tcW w:w="739" w:type="dxa"/>
                  <w:vAlign w:val="center"/>
                </w:tcPr>
                <w:p>
                  <w:pPr>
                    <w:jc w:val="center"/>
                    <w:rPr>
                      <w:rFonts w:cs="Calibri"/>
                      <w:sz w:val="21"/>
                    </w:rPr>
                  </w:pPr>
                  <w:r>
                    <w:rPr>
                      <w:rFonts w:hint="eastAsia" w:cs="Calibri"/>
                      <w:sz w:val="21"/>
                    </w:rPr>
                    <w:t>贮存方式</w:t>
                  </w:r>
                </w:p>
              </w:tc>
              <w:tc>
                <w:tcPr>
                  <w:tcW w:w="705" w:type="dxa"/>
                  <w:vAlign w:val="center"/>
                </w:tcPr>
                <w:p>
                  <w:pPr>
                    <w:jc w:val="center"/>
                    <w:rPr>
                      <w:rFonts w:cs="Calibri"/>
                      <w:sz w:val="21"/>
                    </w:rPr>
                  </w:pPr>
                  <w:r>
                    <w:rPr>
                      <w:rFonts w:hint="eastAsia" w:cs="Calibri"/>
                      <w:sz w:val="21"/>
                    </w:rPr>
                    <w:t>贮存</w:t>
                  </w:r>
                </w:p>
                <w:p>
                  <w:pPr>
                    <w:jc w:val="center"/>
                    <w:rPr>
                      <w:rFonts w:cs="Calibri"/>
                      <w:sz w:val="21"/>
                    </w:rPr>
                  </w:pPr>
                  <w:r>
                    <w:rPr>
                      <w:rFonts w:hint="eastAsia" w:cs="Calibri"/>
                      <w:sz w:val="21"/>
                    </w:rPr>
                    <w:t>能力</w:t>
                  </w:r>
                </w:p>
              </w:tc>
              <w:tc>
                <w:tcPr>
                  <w:tcW w:w="765" w:type="dxa"/>
                  <w:vAlign w:val="center"/>
                </w:tcPr>
                <w:p>
                  <w:pPr>
                    <w:jc w:val="center"/>
                    <w:rPr>
                      <w:rFonts w:cs="Calibri"/>
                      <w:sz w:val="21"/>
                    </w:rPr>
                  </w:pPr>
                  <w:r>
                    <w:rPr>
                      <w:rFonts w:hint="eastAsia" w:cs="Calibri"/>
                      <w:sz w:val="21"/>
                    </w:rPr>
                    <w:t>贮存</w:t>
                  </w:r>
                </w:p>
                <w:p>
                  <w:pPr>
                    <w:jc w:val="center"/>
                    <w:rPr>
                      <w:rFonts w:cs="Calibri"/>
                      <w:sz w:val="21"/>
                    </w:rPr>
                  </w:pPr>
                  <w:r>
                    <w:rPr>
                      <w:rFonts w:hint="eastAsia" w:cs="Calibri"/>
                      <w:sz w:val="21"/>
                    </w:rPr>
                    <w:t>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63" w:type="dxa"/>
                  <w:vAlign w:val="center"/>
                </w:tcPr>
                <w:p>
                  <w:pPr>
                    <w:jc w:val="center"/>
                    <w:rPr>
                      <w:rFonts w:cs="Calibri"/>
                      <w:sz w:val="21"/>
                    </w:rPr>
                  </w:pPr>
                  <w:r>
                    <w:rPr>
                      <w:rFonts w:hint="eastAsia" w:cs="Calibri"/>
                      <w:sz w:val="21"/>
                    </w:rPr>
                    <w:t>危废暂存间</w:t>
                  </w:r>
                </w:p>
              </w:tc>
              <w:tc>
                <w:tcPr>
                  <w:tcW w:w="1069" w:type="dxa"/>
                  <w:vAlign w:val="center"/>
                </w:tcPr>
                <w:p>
                  <w:pPr>
                    <w:jc w:val="center"/>
                    <w:rPr>
                      <w:rFonts w:cs="Calibri"/>
                      <w:sz w:val="21"/>
                    </w:rPr>
                  </w:pPr>
                  <w:r>
                    <w:rPr>
                      <w:rFonts w:cs="Calibri"/>
                      <w:sz w:val="21"/>
                    </w:rPr>
                    <w:t>废矿物油</w:t>
                  </w:r>
                </w:p>
              </w:tc>
              <w:tc>
                <w:tcPr>
                  <w:tcW w:w="988" w:type="dxa"/>
                  <w:vAlign w:val="center"/>
                </w:tcPr>
                <w:p>
                  <w:pPr>
                    <w:jc w:val="center"/>
                    <w:rPr>
                      <w:rFonts w:cs="Calibri"/>
                      <w:sz w:val="21"/>
                    </w:rPr>
                  </w:pPr>
                  <w:r>
                    <w:rPr>
                      <w:rFonts w:cs="Calibri"/>
                      <w:sz w:val="21"/>
                    </w:rPr>
                    <w:t>HW</w:t>
                  </w:r>
                  <w:r>
                    <w:rPr>
                      <w:rFonts w:hint="eastAsia" w:cs="Calibri"/>
                      <w:sz w:val="21"/>
                    </w:rPr>
                    <w:t>08</w:t>
                  </w:r>
                </w:p>
              </w:tc>
              <w:tc>
                <w:tcPr>
                  <w:tcW w:w="1196" w:type="dxa"/>
                  <w:vAlign w:val="center"/>
                </w:tcPr>
                <w:p>
                  <w:pPr>
                    <w:jc w:val="center"/>
                    <w:rPr>
                      <w:rFonts w:cs="Calibri"/>
                      <w:sz w:val="21"/>
                    </w:rPr>
                  </w:pPr>
                  <w:r>
                    <w:rPr>
                      <w:rFonts w:hint="eastAsia" w:cs="Calibri"/>
                      <w:sz w:val="21"/>
                    </w:rPr>
                    <w:t>900-214-08</w:t>
                  </w:r>
                </w:p>
              </w:tc>
              <w:tc>
                <w:tcPr>
                  <w:tcW w:w="729" w:type="dxa"/>
                  <w:vAlign w:val="center"/>
                </w:tcPr>
                <w:p>
                  <w:pPr>
                    <w:jc w:val="center"/>
                    <w:rPr>
                      <w:rFonts w:cs="Calibri"/>
                      <w:sz w:val="21"/>
                    </w:rPr>
                  </w:pPr>
                  <w:r>
                    <w:rPr>
                      <w:rFonts w:hint="eastAsia" w:cs="Calibri"/>
                      <w:sz w:val="21"/>
                    </w:rPr>
                    <w:t>项目成品仓库南部</w:t>
                  </w:r>
                </w:p>
              </w:tc>
              <w:tc>
                <w:tcPr>
                  <w:tcW w:w="1029" w:type="dxa"/>
                  <w:vAlign w:val="center"/>
                </w:tcPr>
                <w:p>
                  <w:pPr>
                    <w:jc w:val="center"/>
                    <w:rPr>
                      <w:rFonts w:cs="Calibri"/>
                      <w:sz w:val="21"/>
                    </w:rPr>
                  </w:pPr>
                  <w:r>
                    <w:rPr>
                      <w:rFonts w:hint="eastAsia" w:cs="Calibri"/>
                      <w:sz w:val="21"/>
                    </w:rPr>
                    <w:t>5</w:t>
                  </w:r>
                </w:p>
              </w:tc>
              <w:tc>
                <w:tcPr>
                  <w:tcW w:w="739" w:type="dxa"/>
                  <w:vAlign w:val="center"/>
                </w:tcPr>
                <w:p>
                  <w:pPr>
                    <w:jc w:val="center"/>
                    <w:rPr>
                      <w:rFonts w:cs="Calibri"/>
                      <w:sz w:val="21"/>
                    </w:rPr>
                  </w:pPr>
                  <w:r>
                    <w:rPr>
                      <w:rFonts w:hint="eastAsia" w:cs="Calibri"/>
                      <w:sz w:val="21"/>
                    </w:rPr>
                    <w:t>桶装</w:t>
                  </w:r>
                </w:p>
              </w:tc>
              <w:tc>
                <w:tcPr>
                  <w:tcW w:w="705" w:type="dxa"/>
                  <w:vAlign w:val="center"/>
                </w:tcPr>
                <w:p>
                  <w:pPr>
                    <w:jc w:val="center"/>
                    <w:rPr>
                      <w:rFonts w:cs="Calibri"/>
                      <w:sz w:val="21"/>
                    </w:rPr>
                  </w:pPr>
                  <w:r>
                    <w:rPr>
                      <w:rFonts w:hint="eastAsia" w:cs="Calibri"/>
                      <w:sz w:val="21"/>
                    </w:rPr>
                    <w:t>0.01</w:t>
                  </w:r>
                </w:p>
              </w:tc>
              <w:tc>
                <w:tcPr>
                  <w:tcW w:w="765" w:type="dxa"/>
                  <w:vAlign w:val="center"/>
                </w:tcPr>
                <w:p>
                  <w:pPr>
                    <w:jc w:val="center"/>
                    <w:rPr>
                      <w:rFonts w:cs="Calibri"/>
                      <w:sz w:val="21"/>
                    </w:rPr>
                  </w:pPr>
                  <w:r>
                    <w:rPr>
                      <w:rFonts w:hint="eastAsia" w:cs="Calibri"/>
                      <w:sz w:val="21"/>
                    </w:rPr>
                    <w:t>一年</w:t>
                  </w:r>
                </w:p>
              </w:tc>
            </w:tr>
          </w:tbl>
          <w:p>
            <w:pPr>
              <w:spacing w:line="360" w:lineRule="auto"/>
              <w:ind w:firstLine="480" w:firstLineChars="200"/>
              <w:rPr>
                <w:sz w:val="24"/>
              </w:rPr>
            </w:pPr>
            <w:r>
              <w:rPr>
                <w:sz w:val="24"/>
              </w:rPr>
              <w:t>（2）一般工业固废处置措施</w:t>
            </w:r>
          </w:p>
          <w:p>
            <w:pPr>
              <w:spacing w:line="360" w:lineRule="auto"/>
              <w:ind w:firstLine="480" w:firstLineChars="200"/>
              <w:rPr>
                <w:rFonts w:cs="Calibri"/>
                <w:sz w:val="24"/>
              </w:rPr>
            </w:pPr>
            <w:r>
              <w:rPr>
                <w:sz w:val="24"/>
              </w:rPr>
              <w:t>一般工业固废包括收集到的粉尘等集中收集后</w:t>
            </w:r>
            <w:r>
              <w:rPr>
                <w:rFonts w:hint="eastAsia" w:cs="Calibri"/>
                <w:sz w:val="24"/>
              </w:rPr>
              <w:t>回用于生产。</w:t>
            </w:r>
            <w:r>
              <w:rPr>
                <w:rFonts w:hint="eastAsia" w:cs="Calibri"/>
                <w:sz w:val="24"/>
                <w:u w:val="single"/>
              </w:rPr>
              <w:t>沉淀池沉渣作为建筑材料外售。</w:t>
            </w:r>
          </w:p>
          <w:p>
            <w:pPr>
              <w:spacing w:line="360" w:lineRule="auto"/>
              <w:ind w:firstLine="480" w:firstLineChars="200"/>
              <w:rPr>
                <w:sz w:val="24"/>
                <w:u w:val="single"/>
              </w:rPr>
            </w:pPr>
            <w:r>
              <w:rPr>
                <w:sz w:val="24"/>
                <w:u w:val="single"/>
              </w:rPr>
              <w:t>建设单位按照《一般工业固体废物贮存、处置场污染控制标准》（GB18599-2001）及其2013年修改单的相关要求建立固体废物临时的堆放场地，不得随处堆放，禁止危险废物及生活垃混入，固废临时贮存场应满足如下要求：</w:t>
            </w:r>
          </w:p>
          <w:p>
            <w:pPr>
              <w:spacing w:line="360" w:lineRule="auto"/>
              <w:ind w:firstLine="480" w:firstLineChars="200"/>
              <w:rPr>
                <w:sz w:val="24"/>
                <w:u w:val="single"/>
              </w:rPr>
            </w:pPr>
            <w:r>
              <w:rPr>
                <w:sz w:val="24"/>
                <w:u w:val="single"/>
              </w:rPr>
              <w:t>a. 地面应采取硬化措施并满足承载力要求，必要时采取相应措施防止地基下沉。</w:t>
            </w:r>
          </w:p>
          <w:p>
            <w:pPr>
              <w:spacing w:line="360" w:lineRule="auto"/>
              <w:ind w:firstLine="480" w:firstLineChars="200"/>
              <w:rPr>
                <w:sz w:val="24"/>
                <w:u w:val="single"/>
              </w:rPr>
            </w:pPr>
            <w:r>
              <w:rPr>
                <w:sz w:val="24"/>
                <w:u w:val="single"/>
              </w:rPr>
              <w:t>b. 要求设置必要的防风、防雨、防晒措施，堆放场周边应设置导流渠。</w:t>
            </w:r>
          </w:p>
          <w:p>
            <w:pPr>
              <w:spacing w:line="360" w:lineRule="auto"/>
              <w:ind w:firstLine="480" w:firstLineChars="200"/>
              <w:rPr>
                <w:sz w:val="24"/>
                <w:u w:val="single"/>
              </w:rPr>
            </w:pPr>
            <w:r>
              <w:rPr>
                <w:sz w:val="24"/>
                <w:u w:val="single"/>
              </w:rPr>
              <w:t>c. 按《环境保护图形标识—固体废物贮存（处置）场》（GB15562.2）要求设置环境保护图形标志。</w:t>
            </w:r>
          </w:p>
          <w:p>
            <w:pPr>
              <w:spacing w:line="360" w:lineRule="auto"/>
              <w:ind w:firstLine="480" w:firstLineChars="200"/>
              <w:rPr>
                <w:sz w:val="24"/>
                <w:u w:val="single"/>
              </w:rPr>
            </w:pPr>
            <w:r>
              <w:rPr>
                <w:sz w:val="24"/>
                <w:u w:val="single"/>
              </w:rPr>
              <w:t>（3）生活垃圾处置措施</w:t>
            </w:r>
          </w:p>
          <w:p>
            <w:pPr>
              <w:spacing w:line="360" w:lineRule="auto"/>
              <w:ind w:firstLine="480" w:firstLineChars="200"/>
              <w:rPr>
                <w:sz w:val="24"/>
                <w:u w:val="single"/>
              </w:rPr>
            </w:pPr>
            <w:r>
              <w:rPr>
                <w:sz w:val="24"/>
                <w:u w:val="single"/>
              </w:rPr>
              <w:t>项目生活垃圾集中收集（如放置于垃圾桶）后由环卫部门统一清运。</w:t>
            </w:r>
          </w:p>
          <w:p>
            <w:pPr>
              <w:spacing w:line="360" w:lineRule="auto"/>
              <w:ind w:firstLine="480" w:firstLineChars="200"/>
              <w:rPr>
                <w:sz w:val="24"/>
              </w:rPr>
            </w:pPr>
            <w:r>
              <w:rPr>
                <w:sz w:val="24"/>
              </w:rPr>
              <w:t>综上所述，本项目固体废物处理处置符合国家《固体废物污染环境防治法》规定的原则，符合《一般工业固体废物贮存、处置场污染控制标准》（GB18599-2001）及其2013年修改单和《危险废物贮存污染控制标准》（GB18597-2001）及其2013年修改单规定，采取上述措施后，本工程固体废物可得到妥善的处理，对周围环境造成的影响很小。</w:t>
            </w:r>
          </w:p>
          <w:p>
            <w:pPr>
              <w:spacing w:line="360" w:lineRule="auto"/>
              <w:ind w:firstLine="482" w:firstLineChars="200"/>
              <w:rPr>
                <w:rFonts w:cs="Calibri"/>
                <w:b/>
                <w:sz w:val="24"/>
                <w:u w:val="single"/>
              </w:rPr>
            </w:pPr>
            <w:r>
              <w:rPr>
                <w:rFonts w:cs="Calibri"/>
                <w:b/>
                <w:sz w:val="24"/>
              </w:rPr>
              <w:t>5、</w:t>
            </w:r>
            <w:r>
              <w:rPr>
                <w:rFonts w:cs="Calibri"/>
                <w:b/>
                <w:sz w:val="24"/>
                <w:u w:val="single"/>
              </w:rPr>
              <w:t>环境风险分析及防范措施</w:t>
            </w:r>
          </w:p>
          <w:p>
            <w:pPr>
              <w:widowControl/>
              <w:autoSpaceDE w:val="0"/>
              <w:autoSpaceDN w:val="0"/>
              <w:spacing w:line="360" w:lineRule="auto"/>
              <w:ind w:firstLine="360" w:firstLineChars="150"/>
              <w:jc w:val="left"/>
              <w:rPr>
                <w:b/>
                <w:bCs/>
                <w:sz w:val="24"/>
                <w:u w:val="single"/>
              </w:rPr>
            </w:pPr>
            <w:r>
              <w:rPr>
                <w:rFonts w:hint="eastAsia"/>
                <w:sz w:val="24"/>
                <w:u w:val="single"/>
              </w:rPr>
              <w:t>（1）风险识别</w:t>
            </w:r>
          </w:p>
          <w:p>
            <w:pPr>
              <w:spacing w:line="360" w:lineRule="auto"/>
              <w:ind w:firstLine="480" w:firstLineChars="200"/>
              <w:rPr>
                <w:sz w:val="24"/>
                <w:u w:val="single"/>
              </w:rPr>
            </w:pPr>
            <w:r>
              <w:rPr>
                <w:rFonts w:hint="eastAsia"/>
                <w:sz w:val="24"/>
                <w:u w:val="single"/>
              </w:rPr>
              <w:t>公司在生产过程中，采用布袋除尘器对生产过程粉尘废气进行处理，当废气处理装置故障，如布袋除尘器损坏，正负压分配头、振打等机械故障，布袋掉袋或破损等故障，粉尘污染物将会超标外排，会造成环境污染事故。</w:t>
            </w:r>
          </w:p>
          <w:p>
            <w:pPr>
              <w:spacing w:line="360" w:lineRule="auto"/>
              <w:ind w:firstLine="360" w:firstLineChars="150"/>
              <w:rPr>
                <w:sz w:val="24"/>
                <w:u w:val="single"/>
              </w:rPr>
            </w:pPr>
            <w:r>
              <w:rPr>
                <w:rFonts w:hint="eastAsia"/>
                <w:sz w:val="24"/>
                <w:u w:val="single"/>
              </w:rPr>
              <w:t>（2）风险影响分析</w:t>
            </w:r>
          </w:p>
          <w:p>
            <w:pPr>
              <w:spacing w:line="360" w:lineRule="auto"/>
              <w:ind w:firstLine="480" w:firstLineChars="200"/>
              <w:rPr>
                <w:sz w:val="24"/>
                <w:u w:val="single"/>
              </w:rPr>
            </w:pPr>
            <w:r>
              <w:rPr>
                <w:rFonts w:hint="eastAsia"/>
                <w:sz w:val="24"/>
                <w:u w:val="single"/>
              </w:rPr>
              <w:t>布袋除尘器故障导致粉尘污染物事故排放，排放浓度超标，对环境造成污染。</w:t>
            </w:r>
          </w:p>
          <w:p>
            <w:pPr>
              <w:spacing w:line="360" w:lineRule="auto"/>
              <w:ind w:firstLine="360" w:firstLineChars="150"/>
              <w:rPr>
                <w:sz w:val="24"/>
                <w:u w:val="single"/>
              </w:rPr>
            </w:pPr>
            <w:r>
              <w:rPr>
                <w:rFonts w:hint="eastAsia"/>
                <w:sz w:val="24"/>
                <w:u w:val="single"/>
              </w:rPr>
              <w:t>（3）风险防范措施</w:t>
            </w:r>
          </w:p>
          <w:p>
            <w:pPr>
              <w:spacing w:line="360" w:lineRule="auto"/>
              <w:ind w:firstLine="480" w:firstLineChars="200"/>
              <w:rPr>
                <w:sz w:val="24"/>
                <w:u w:val="single"/>
              </w:rPr>
            </w:pPr>
            <w:r>
              <w:rPr>
                <w:rFonts w:hint="eastAsia"/>
                <w:sz w:val="24"/>
                <w:u w:val="single"/>
              </w:rPr>
              <w:t>①除尘系统配套双电源保护系统，确保其处理效率和稳定运行。</w:t>
            </w:r>
          </w:p>
          <w:p>
            <w:pPr>
              <w:spacing w:line="360" w:lineRule="auto"/>
              <w:ind w:firstLine="480" w:firstLineChars="200"/>
              <w:rPr>
                <w:sz w:val="24"/>
                <w:u w:val="single"/>
              </w:rPr>
            </w:pPr>
            <w:r>
              <w:rPr>
                <w:rFonts w:hint="eastAsia"/>
                <w:sz w:val="24"/>
                <w:u w:val="single"/>
              </w:rPr>
              <w:t>②注重除尘设施的维护，使其长期保持最佳工作状况。在定期检修工程主体设备时，同时检查和维护除尘系统，以确保其正常运行。</w:t>
            </w:r>
          </w:p>
          <w:p>
            <w:pPr>
              <w:spacing w:line="360" w:lineRule="auto"/>
              <w:ind w:firstLine="480" w:firstLineChars="200"/>
              <w:rPr>
                <w:sz w:val="24"/>
                <w:u w:val="single"/>
              </w:rPr>
            </w:pPr>
            <w:r>
              <w:rPr>
                <w:rFonts w:hint="eastAsia"/>
                <w:sz w:val="24"/>
                <w:u w:val="single"/>
              </w:rPr>
              <w:t>③一旦发现除尘系统设施运行不正常应立即进行检修，如发生布袋穿孔、破损或脱落，及时处理或更换，除尘系统发生故障，应立即维修；若该设施一时难以修复，应立即采取紧急措施使主体设备停止生产，待净化设施检修完毕能够正常投入使用时，再共同投入使用。</w:t>
            </w:r>
          </w:p>
          <w:p>
            <w:pPr>
              <w:spacing w:line="360" w:lineRule="auto"/>
              <w:ind w:firstLine="480" w:firstLineChars="200"/>
              <w:rPr>
                <w:sz w:val="24"/>
                <w:u w:val="single"/>
              </w:rPr>
            </w:pPr>
            <w:r>
              <w:rPr>
                <w:rFonts w:hint="eastAsia"/>
                <w:sz w:val="24"/>
                <w:u w:val="single"/>
              </w:rPr>
              <w:t>④对除尘系统的易损易耗件应注重备用品的储存，确保设备发生故障时能得到及时的更换。</w:t>
            </w:r>
          </w:p>
          <w:p>
            <w:pPr>
              <w:spacing w:line="360" w:lineRule="auto"/>
              <w:ind w:firstLine="360" w:firstLineChars="150"/>
              <w:rPr>
                <w:sz w:val="24"/>
                <w:u w:val="single"/>
              </w:rPr>
            </w:pPr>
            <w:r>
              <w:rPr>
                <w:sz w:val="24"/>
                <w:u w:val="single"/>
              </w:rPr>
              <w:t>（4）环境风险应急预案</w:t>
            </w:r>
          </w:p>
          <w:p>
            <w:pPr>
              <w:spacing w:line="360" w:lineRule="auto"/>
              <w:ind w:firstLine="480" w:firstLineChars="200"/>
              <w:rPr>
                <w:sz w:val="24"/>
                <w:u w:val="single"/>
              </w:rPr>
            </w:pPr>
            <w:r>
              <w:rPr>
                <w:sz w:val="24"/>
                <w:u w:val="single"/>
              </w:rPr>
              <w:t>根据本项目环境风险评价分析的结果，对于本项目可能造成环境风险的突发性事故制定应急预案纲要，见表 24，供项目决策人参考。</w:t>
            </w:r>
          </w:p>
          <w:p>
            <w:pPr>
              <w:spacing w:line="360" w:lineRule="auto"/>
              <w:ind w:firstLine="482" w:firstLineChars="200"/>
              <w:jc w:val="center"/>
              <w:rPr>
                <w:b/>
                <w:sz w:val="24"/>
                <w:u w:val="single"/>
              </w:rPr>
            </w:pPr>
            <w:bookmarkStart w:id="18" w:name="_Ref499717075"/>
            <w:bookmarkEnd w:id="18"/>
            <w:r>
              <w:rPr>
                <w:b/>
                <w:sz w:val="24"/>
                <w:u w:val="single"/>
              </w:rPr>
              <w:t>表24突发事故应急预案</w:t>
            </w:r>
          </w:p>
          <w:tbl>
            <w:tblPr>
              <w:tblStyle w:val="18"/>
              <w:tblW w:w="828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57"/>
              <w:gridCol w:w="57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b/>
                      <w:bCs/>
                      <w:sz w:val="21"/>
                      <w:szCs w:val="21"/>
                      <w:u w:val="single"/>
                    </w:rPr>
                  </w:pPr>
                  <w:r>
                    <w:rPr>
                      <w:b/>
                      <w:bCs/>
                      <w:sz w:val="21"/>
                      <w:szCs w:val="21"/>
                      <w:u w:val="single"/>
                    </w:rPr>
                    <w:t>序号</w:t>
                  </w:r>
                </w:p>
              </w:tc>
              <w:tc>
                <w:tcPr>
                  <w:tcW w:w="1857" w:type="dxa"/>
                  <w:vAlign w:val="center"/>
                </w:tcPr>
                <w:p>
                  <w:pPr>
                    <w:jc w:val="center"/>
                    <w:rPr>
                      <w:b/>
                      <w:bCs/>
                      <w:sz w:val="21"/>
                      <w:szCs w:val="21"/>
                      <w:u w:val="single"/>
                    </w:rPr>
                  </w:pPr>
                  <w:r>
                    <w:rPr>
                      <w:b/>
                      <w:bCs/>
                      <w:sz w:val="21"/>
                      <w:szCs w:val="21"/>
                      <w:u w:val="single"/>
                    </w:rPr>
                    <w:t>项目</w:t>
                  </w:r>
                </w:p>
              </w:tc>
              <w:tc>
                <w:tcPr>
                  <w:tcW w:w="5717" w:type="dxa"/>
                  <w:vAlign w:val="center"/>
                </w:tcPr>
                <w:p>
                  <w:pPr>
                    <w:jc w:val="center"/>
                    <w:rPr>
                      <w:b/>
                      <w:bCs/>
                      <w:sz w:val="21"/>
                      <w:szCs w:val="21"/>
                      <w:u w:val="single"/>
                    </w:rPr>
                  </w:pPr>
                  <w:r>
                    <w:rPr>
                      <w:b/>
                      <w:bCs/>
                      <w:sz w:val="21"/>
                      <w:szCs w:val="21"/>
                      <w:u w:val="single"/>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r>
                    <w:rPr>
                      <w:sz w:val="21"/>
                      <w:szCs w:val="21"/>
                      <w:u w:val="single"/>
                    </w:rPr>
                    <w:t>1</w:t>
                  </w:r>
                </w:p>
              </w:tc>
              <w:tc>
                <w:tcPr>
                  <w:tcW w:w="1857" w:type="dxa"/>
                  <w:vAlign w:val="center"/>
                </w:tcPr>
                <w:p>
                  <w:pPr>
                    <w:jc w:val="center"/>
                    <w:rPr>
                      <w:sz w:val="21"/>
                      <w:szCs w:val="21"/>
                      <w:u w:val="single"/>
                    </w:rPr>
                  </w:pPr>
                  <w:r>
                    <w:rPr>
                      <w:sz w:val="21"/>
                      <w:szCs w:val="21"/>
                      <w:u w:val="single"/>
                    </w:rPr>
                    <w:t>危险源概况</w:t>
                  </w:r>
                </w:p>
              </w:tc>
              <w:tc>
                <w:tcPr>
                  <w:tcW w:w="5717" w:type="dxa"/>
                  <w:vAlign w:val="center"/>
                </w:tcPr>
                <w:p>
                  <w:pPr>
                    <w:jc w:val="center"/>
                    <w:rPr>
                      <w:sz w:val="21"/>
                      <w:szCs w:val="21"/>
                      <w:u w:val="single"/>
                    </w:rPr>
                  </w:pPr>
                  <w:r>
                    <w:rPr>
                      <w:sz w:val="21"/>
                      <w:szCs w:val="21"/>
                      <w:u w:val="single"/>
                    </w:rPr>
                    <w:t>详述危险源类型、数量、分布及其对环境的风险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r>
                    <w:rPr>
                      <w:sz w:val="21"/>
                      <w:szCs w:val="21"/>
                      <w:u w:val="single"/>
                    </w:rPr>
                    <w:t>2</w:t>
                  </w:r>
                </w:p>
              </w:tc>
              <w:tc>
                <w:tcPr>
                  <w:tcW w:w="1857" w:type="dxa"/>
                  <w:vAlign w:val="center"/>
                </w:tcPr>
                <w:p>
                  <w:pPr>
                    <w:jc w:val="center"/>
                    <w:rPr>
                      <w:sz w:val="21"/>
                      <w:szCs w:val="21"/>
                      <w:u w:val="single"/>
                    </w:rPr>
                  </w:pPr>
                  <w:r>
                    <w:rPr>
                      <w:sz w:val="21"/>
                      <w:szCs w:val="21"/>
                      <w:u w:val="single"/>
                    </w:rPr>
                    <w:t>应急计划区</w:t>
                  </w:r>
                </w:p>
              </w:tc>
              <w:tc>
                <w:tcPr>
                  <w:tcW w:w="5717" w:type="dxa"/>
                  <w:vAlign w:val="center"/>
                </w:tcPr>
                <w:p>
                  <w:pPr>
                    <w:jc w:val="center"/>
                    <w:rPr>
                      <w:sz w:val="21"/>
                      <w:szCs w:val="21"/>
                      <w:u w:val="single"/>
                    </w:rPr>
                  </w:pPr>
                  <w:r>
                    <w:rPr>
                      <w:rFonts w:hint="eastAsia"/>
                      <w:sz w:val="21"/>
                      <w:szCs w:val="21"/>
                      <w:u w:val="single"/>
                    </w:rPr>
                    <w:t>粉料筒仓、搅拌仓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r>
                    <w:rPr>
                      <w:sz w:val="21"/>
                      <w:szCs w:val="21"/>
                      <w:u w:val="single"/>
                    </w:rPr>
                    <w:t>3</w:t>
                  </w:r>
                </w:p>
              </w:tc>
              <w:tc>
                <w:tcPr>
                  <w:tcW w:w="1857" w:type="dxa"/>
                  <w:vAlign w:val="center"/>
                </w:tcPr>
                <w:p>
                  <w:pPr>
                    <w:jc w:val="center"/>
                    <w:rPr>
                      <w:sz w:val="21"/>
                      <w:szCs w:val="21"/>
                      <w:u w:val="single"/>
                    </w:rPr>
                  </w:pPr>
                  <w:r>
                    <w:rPr>
                      <w:sz w:val="21"/>
                      <w:szCs w:val="21"/>
                      <w:u w:val="single"/>
                    </w:rPr>
                    <w:t>应急组织</w:t>
                  </w:r>
                </w:p>
              </w:tc>
              <w:tc>
                <w:tcPr>
                  <w:tcW w:w="5717" w:type="dxa"/>
                  <w:vAlign w:val="center"/>
                </w:tcPr>
                <w:p>
                  <w:pPr>
                    <w:jc w:val="center"/>
                    <w:rPr>
                      <w:sz w:val="21"/>
                      <w:szCs w:val="21"/>
                      <w:u w:val="single"/>
                    </w:rPr>
                  </w:pPr>
                  <w:r>
                    <w:rPr>
                      <w:sz w:val="21"/>
                      <w:szCs w:val="21"/>
                      <w:u w:val="single"/>
                    </w:rPr>
                    <w:t>成立公司应急指挥小组，由公司最高领导层担任小组长，负责现场全面指挥。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r>
                    <w:rPr>
                      <w:sz w:val="21"/>
                      <w:szCs w:val="21"/>
                      <w:u w:val="single"/>
                    </w:rPr>
                    <w:t>4</w:t>
                  </w:r>
                </w:p>
              </w:tc>
              <w:tc>
                <w:tcPr>
                  <w:tcW w:w="1857" w:type="dxa"/>
                  <w:vAlign w:val="center"/>
                </w:tcPr>
                <w:p>
                  <w:pPr>
                    <w:jc w:val="center"/>
                    <w:rPr>
                      <w:sz w:val="21"/>
                      <w:szCs w:val="21"/>
                      <w:u w:val="single"/>
                    </w:rPr>
                  </w:pPr>
                  <w:r>
                    <w:rPr>
                      <w:sz w:val="21"/>
                      <w:szCs w:val="21"/>
                      <w:u w:val="single"/>
                    </w:rPr>
                    <w:t>应急状态分类及应急响应程序</w:t>
                  </w:r>
                </w:p>
              </w:tc>
              <w:tc>
                <w:tcPr>
                  <w:tcW w:w="5717" w:type="dxa"/>
                  <w:vAlign w:val="center"/>
                </w:tcPr>
                <w:p>
                  <w:pPr>
                    <w:jc w:val="center"/>
                    <w:rPr>
                      <w:sz w:val="21"/>
                      <w:szCs w:val="21"/>
                      <w:u w:val="single"/>
                    </w:rPr>
                  </w:pPr>
                  <w:r>
                    <w:rPr>
                      <w:sz w:val="21"/>
                      <w:szCs w:val="21"/>
                      <w:u w:val="single"/>
                    </w:rPr>
                    <w:t>规定环境风险事故的级别及相应的应急状态分类，以此制定相应的应急响应程序。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r>
                    <w:rPr>
                      <w:sz w:val="21"/>
                      <w:szCs w:val="21"/>
                      <w:u w:val="single"/>
                    </w:rPr>
                    <w:t>5</w:t>
                  </w:r>
                </w:p>
              </w:tc>
              <w:tc>
                <w:tcPr>
                  <w:tcW w:w="1857" w:type="dxa"/>
                  <w:vAlign w:val="center"/>
                </w:tcPr>
                <w:p>
                  <w:pPr>
                    <w:jc w:val="center"/>
                    <w:rPr>
                      <w:sz w:val="21"/>
                      <w:szCs w:val="21"/>
                      <w:u w:val="single"/>
                    </w:rPr>
                  </w:pPr>
                  <w:r>
                    <w:rPr>
                      <w:sz w:val="21"/>
                      <w:szCs w:val="21"/>
                      <w:u w:val="single"/>
                    </w:rPr>
                    <w:t>应急设施，设备与材料</w:t>
                  </w:r>
                </w:p>
              </w:tc>
              <w:tc>
                <w:tcPr>
                  <w:tcW w:w="5717" w:type="dxa"/>
                  <w:vAlign w:val="center"/>
                </w:tcPr>
                <w:p>
                  <w:pPr>
                    <w:jc w:val="center"/>
                    <w:rPr>
                      <w:sz w:val="21"/>
                      <w:szCs w:val="21"/>
                      <w:u w:val="single"/>
                    </w:rPr>
                  </w:pPr>
                  <w:r>
                    <w:rPr>
                      <w:sz w:val="21"/>
                      <w:szCs w:val="21"/>
                      <w:u w:val="single"/>
                    </w:rPr>
                    <w:t>防火灾、爆炸事故的应急设施、设备与材料，主要为消防器材、感应装置、警报器等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p>
                <w:p>
                  <w:pPr>
                    <w:jc w:val="center"/>
                    <w:rPr>
                      <w:sz w:val="21"/>
                      <w:szCs w:val="21"/>
                      <w:u w:val="single"/>
                    </w:rPr>
                  </w:pPr>
                  <w:r>
                    <w:rPr>
                      <w:sz w:val="21"/>
                      <w:szCs w:val="21"/>
                      <w:u w:val="single"/>
                    </w:rPr>
                    <w:t>6</w:t>
                  </w:r>
                </w:p>
                <w:p>
                  <w:pPr>
                    <w:jc w:val="center"/>
                    <w:rPr>
                      <w:sz w:val="21"/>
                      <w:szCs w:val="21"/>
                      <w:u w:val="single"/>
                    </w:rPr>
                  </w:pPr>
                </w:p>
              </w:tc>
              <w:tc>
                <w:tcPr>
                  <w:tcW w:w="1857" w:type="dxa"/>
                  <w:vAlign w:val="center"/>
                </w:tcPr>
                <w:p>
                  <w:pPr>
                    <w:jc w:val="center"/>
                    <w:rPr>
                      <w:sz w:val="21"/>
                      <w:szCs w:val="21"/>
                      <w:u w:val="single"/>
                    </w:rPr>
                  </w:pPr>
                  <w:r>
                    <w:rPr>
                      <w:sz w:val="21"/>
                      <w:szCs w:val="21"/>
                      <w:u w:val="single"/>
                    </w:rPr>
                    <w:t>应急通讯、通知和交通</w:t>
                  </w:r>
                </w:p>
              </w:tc>
              <w:tc>
                <w:tcPr>
                  <w:tcW w:w="5717" w:type="dxa"/>
                  <w:vAlign w:val="center"/>
                </w:tcPr>
                <w:p>
                  <w:pPr>
                    <w:jc w:val="center"/>
                    <w:rPr>
                      <w:sz w:val="21"/>
                      <w:szCs w:val="21"/>
                      <w:u w:val="single"/>
                    </w:rPr>
                  </w:pPr>
                  <w:r>
                    <w:rPr>
                      <w:sz w:val="21"/>
                      <w:szCs w:val="21"/>
                      <w:u w:val="single"/>
                    </w:rPr>
                    <w:t>规定应急状态下的通讯、通告方式和交通保障、管理等事项。可充分利用现代化的通信设施，如手机、固定电话、广播、电视等。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p>
                <w:p>
                  <w:pPr>
                    <w:jc w:val="center"/>
                    <w:rPr>
                      <w:sz w:val="21"/>
                      <w:szCs w:val="21"/>
                      <w:u w:val="single"/>
                    </w:rPr>
                  </w:pPr>
                  <w:r>
                    <w:rPr>
                      <w:sz w:val="21"/>
                      <w:szCs w:val="21"/>
                      <w:u w:val="single"/>
                    </w:rPr>
                    <w:t>7</w:t>
                  </w:r>
                </w:p>
              </w:tc>
              <w:tc>
                <w:tcPr>
                  <w:tcW w:w="1857" w:type="dxa"/>
                  <w:vAlign w:val="center"/>
                </w:tcPr>
                <w:p>
                  <w:pPr>
                    <w:jc w:val="center"/>
                    <w:rPr>
                      <w:sz w:val="21"/>
                      <w:szCs w:val="21"/>
                      <w:u w:val="single"/>
                    </w:rPr>
                  </w:pPr>
                  <w:r>
                    <w:rPr>
                      <w:sz w:val="21"/>
                      <w:szCs w:val="21"/>
                      <w:u w:val="single"/>
                    </w:rPr>
                    <w:t>应急防范措施、清除泄漏措施方法和器材</w:t>
                  </w:r>
                </w:p>
              </w:tc>
              <w:tc>
                <w:tcPr>
                  <w:tcW w:w="5717" w:type="dxa"/>
                  <w:vAlign w:val="center"/>
                </w:tcPr>
                <w:p>
                  <w:pPr>
                    <w:jc w:val="center"/>
                    <w:rPr>
                      <w:sz w:val="21"/>
                      <w:szCs w:val="21"/>
                      <w:u w:val="single"/>
                    </w:rPr>
                  </w:pPr>
                  <w:r>
                    <w:rPr>
                      <w:sz w:val="21"/>
                      <w:szCs w:val="21"/>
                      <w:u w:val="single"/>
                    </w:rPr>
                    <w:t>控制事故、防止扩大、蔓延及连锁反应。清除现场泄漏物，降低危害，相应的设施器材配备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r>
                    <w:rPr>
                      <w:sz w:val="21"/>
                      <w:szCs w:val="21"/>
                      <w:u w:val="single"/>
                    </w:rPr>
                    <w:t>8</w:t>
                  </w:r>
                </w:p>
              </w:tc>
              <w:tc>
                <w:tcPr>
                  <w:tcW w:w="1857" w:type="dxa"/>
                  <w:vAlign w:val="center"/>
                </w:tcPr>
                <w:p>
                  <w:pPr>
                    <w:jc w:val="center"/>
                    <w:rPr>
                      <w:sz w:val="21"/>
                      <w:szCs w:val="21"/>
                      <w:u w:val="single"/>
                    </w:rPr>
                  </w:pPr>
                  <w:r>
                    <w:rPr>
                      <w:sz w:val="21"/>
                      <w:szCs w:val="21"/>
                      <w:u w:val="single"/>
                    </w:rPr>
                    <w:t>撤离组织计划、医疗救护与公众健康</w:t>
                  </w:r>
                </w:p>
              </w:tc>
              <w:tc>
                <w:tcPr>
                  <w:tcW w:w="5717" w:type="dxa"/>
                  <w:vAlign w:val="center"/>
                </w:tcPr>
                <w:p>
                  <w:pPr>
                    <w:jc w:val="center"/>
                    <w:rPr>
                      <w:sz w:val="21"/>
                      <w:szCs w:val="21"/>
                      <w:u w:val="single"/>
                    </w:rPr>
                  </w:pPr>
                  <w:r>
                    <w:rPr>
                      <w:sz w:val="21"/>
                      <w:szCs w:val="21"/>
                      <w:u w:val="single"/>
                    </w:rPr>
                    <w:t>现场及邻近装置人员，撤离组织计划及救护。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r>
                    <w:rPr>
                      <w:sz w:val="21"/>
                      <w:szCs w:val="21"/>
                      <w:u w:val="single"/>
                    </w:rPr>
                    <w:t>9</w:t>
                  </w:r>
                </w:p>
              </w:tc>
              <w:tc>
                <w:tcPr>
                  <w:tcW w:w="1857" w:type="dxa"/>
                  <w:vAlign w:val="center"/>
                </w:tcPr>
                <w:p>
                  <w:pPr>
                    <w:jc w:val="center"/>
                    <w:rPr>
                      <w:sz w:val="21"/>
                      <w:szCs w:val="21"/>
                      <w:u w:val="single"/>
                    </w:rPr>
                  </w:pPr>
                  <w:r>
                    <w:rPr>
                      <w:sz w:val="21"/>
                      <w:szCs w:val="21"/>
                      <w:u w:val="single"/>
                    </w:rPr>
                    <w:t>应急状态终止与恢复措施</w:t>
                  </w:r>
                </w:p>
              </w:tc>
              <w:tc>
                <w:tcPr>
                  <w:tcW w:w="5717" w:type="dxa"/>
                  <w:vAlign w:val="center"/>
                </w:tcPr>
                <w:p>
                  <w:pPr>
                    <w:jc w:val="center"/>
                    <w:rPr>
                      <w:sz w:val="21"/>
                      <w:szCs w:val="21"/>
                      <w:u w:val="single"/>
                    </w:rPr>
                  </w:pPr>
                  <w:r>
                    <w:rPr>
                      <w:sz w:val="21"/>
                      <w:szCs w:val="21"/>
                      <w:u w:val="single"/>
                    </w:rPr>
                    <w:t>规定应急状态终止秩序；事故现场善后处理，恢复生产措施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r>
                    <w:rPr>
                      <w:sz w:val="21"/>
                      <w:szCs w:val="21"/>
                      <w:u w:val="single"/>
                    </w:rPr>
                    <w:t>10</w:t>
                  </w:r>
                </w:p>
              </w:tc>
              <w:tc>
                <w:tcPr>
                  <w:tcW w:w="1857" w:type="dxa"/>
                  <w:vAlign w:val="center"/>
                </w:tcPr>
                <w:p>
                  <w:pPr>
                    <w:jc w:val="center"/>
                    <w:rPr>
                      <w:sz w:val="21"/>
                      <w:szCs w:val="21"/>
                      <w:u w:val="single"/>
                    </w:rPr>
                  </w:pPr>
                  <w:r>
                    <w:rPr>
                      <w:sz w:val="21"/>
                      <w:szCs w:val="21"/>
                      <w:u w:val="single"/>
                    </w:rPr>
                    <w:t>公众教育和信息</w:t>
                  </w:r>
                </w:p>
              </w:tc>
              <w:tc>
                <w:tcPr>
                  <w:tcW w:w="5717" w:type="dxa"/>
                  <w:vAlign w:val="center"/>
                </w:tcPr>
                <w:p>
                  <w:pPr>
                    <w:jc w:val="center"/>
                    <w:rPr>
                      <w:sz w:val="21"/>
                      <w:szCs w:val="21"/>
                      <w:u w:val="single"/>
                    </w:rPr>
                  </w:pPr>
                  <w:r>
                    <w:rPr>
                      <w:sz w:val="21"/>
                      <w:szCs w:val="21"/>
                      <w:u w:val="single"/>
                    </w:rPr>
                    <w:t>对企业内员工定期开展公众教育、培训和发布有关信息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sz w:val="21"/>
                      <w:szCs w:val="21"/>
                      <w:u w:val="single"/>
                    </w:rPr>
                  </w:pPr>
                  <w:r>
                    <w:rPr>
                      <w:sz w:val="21"/>
                      <w:szCs w:val="21"/>
                      <w:u w:val="single"/>
                    </w:rPr>
                    <w:t>11</w:t>
                  </w:r>
                </w:p>
              </w:tc>
              <w:tc>
                <w:tcPr>
                  <w:tcW w:w="1857" w:type="dxa"/>
                  <w:vAlign w:val="center"/>
                </w:tcPr>
                <w:p>
                  <w:pPr>
                    <w:jc w:val="center"/>
                    <w:rPr>
                      <w:sz w:val="21"/>
                      <w:szCs w:val="21"/>
                      <w:u w:val="single"/>
                    </w:rPr>
                  </w:pPr>
                  <w:r>
                    <w:rPr>
                      <w:sz w:val="21"/>
                      <w:szCs w:val="21"/>
                      <w:u w:val="single"/>
                    </w:rPr>
                    <w:t>附件</w:t>
                  </w:r>
                </w:p>
              </w:tc>
              <w:tc>
                <w:tcPr>
                  <w:tcW w:w="5717" w:type="dxa"/>
                  <w:vAlign w:val="center"/>
                </w:tcPr>
                <w:p>
                  <w:pPr>
                    <w:jc w:val="center"/>
                    <w:rPr>
                      <w:sz w:val="21"/>
                      <w:szCs w:val="21"/>
                      <w:u w:val="single"/>
                    </w:rPr>
                  </w:pPr>
                  <w:r>
                    <w:rPr>
                      <w:sz w:val="21"/>
                      <w:szCs w:val="21"/>
                      <w:u w:val="single"/>
                    </w:rPr>
                    <w:t>与应急事故有关的多种附件材料的准备和形成</w:t>
                  </w:r>
                </w:p>
              </w:tc>
            </w:tr>
          </w:tbl>
          <w:p>
            <w:pPr>
              <w:spacing w:line="360" w:lineRule="auto"/>
              <w:ind w:firstLine="480" w:firstLineChars="200"/>
              <w:rPr>
                <w:sz w:val="24"/>
                <w:u w:val="single"/>
              </w:rPr>
            </w:pPr>
            <w:r>
              <w:rPr>
                <w:sz w:val="24"/>
                <w:u w:val="single"/>
              </w:rPr>
              <w:t>（5）环境风险小结</w:t>
            </w:r>
          </w:p>
          <w:p>
            <w:pPr>
              <w:spacing w:line="360" w:lineRule="auto"/>
              <w:ind w:firstLine="480" w:firstLineChars="200"/>
              <w:rPr>
                <w:sz w:val="24"/>
                <w:u w:val="single"/>
              </w:rPr>
            </w:pPr>
            <w:r>
              <w:rPr>
                <w:sz w:val="24"/>
                <w:u w:val="single"/>
              </w:rPr>
              <w:t>本项目存在的环境风险主要是废气污染防治设施不能正常运营时出现的事故排放污染风险，不存在重大危险源。在采取本评价要求的风险防范措施后，可大大降低风险事故发生的机率，通过制定项目应急预案和采取事故应急措施，减缓风险事故对环境的影响，本项目所存在的环境风险是可以接受的。</w:t>
            </w:r>
          </w:p>
          <w:p>
            <w:pPr>
              <w:spacing w:line="360" w:lineRule="auto"/>
              <w:ind w:firstLine="482" w:firstLineChars="200"/>
              <w:rPr>
                <w:rFonts w:cs="Calibri"/>
                <w:b/>
                <w:sz w:val="24"/>
              </w:rPr>
            </w:pPr>
            <w:r>
              <w:rPr>
                <w:rFonts w:cs="Calibri"/>
                <w:b/>
                <w:sz w:val="24"/>
              </w:rPr>
              <w:t>6</w:t>
            </w:r>
            <w:r>
              <w:rPr>
                <w:rFonts w:hint="eastAsia" w:cs="Calibri"/>
                <w:b/>
                <w:sz w:val="24"/>
              </w:rPr>
              <w:t>、</w:t>
            </w:r>
            <w:r>
              <w:rPr>
                <w:rFonts w:cs="Calibri"/>
                <w:b/>
                <w:sz w:val="24"/>
              </w:rPr>
              <w:t>应急预案</w:t>
            </w:r>
          </w:p>
          <w:p>
            <w:pPr>
              <w:spacing w:line="360" w:lineRule="auto"/>
              <w:ind w:firstLine="480" w:firstLineChars="200"/>
              <w:rPr>
                <w:rFonts w:cs="Calibri"/>
                <w:sz w:val="24"/>
              </w:rPr>
            </w:pPr>
            <w:r>
              <w:rPr>
                <w:rFonts w:cs="Calibri"/>
                <w:sz w:val="24"/>
              </w:rPr>
              <w:t xml:space="preserve">由于自然灾害或人为原因，当事故灾害不可避免的时候，有效的应急救援行动是唯一可以抵御事故灾害蔓延和减缓灾害后果的有力措施。所以，如果在事故灾害发生前建立完善的应急救援系统，制定周密的救援计划，而在灾害发生的时候采取及时有效的应急救援行动，以及系统恢复和善后处理，可以拯救生命、保护财产、保护环境。 </w:t>
            </w:r>
          </w:p>
          <w:p>
            <w:pPr>
              <w:spacing w:line="360" w:lineRule="auto"/>
              <w:ind w:firstLine="480" w:firstLineChars="200"/>
              <w:rPr>
                <w:rFonts w:cs="Calibri"/>
                <w:sz w:val="24"/>
              </w:rPr>
            </w:pPr>
            <w:r>
              <w:rPr>
                <w:rFonts w:cs="Calibri"/>
                <w:sz w:val="24"/>
              </w:rPr>
              <w:t>事故救援计划应包括以下内容：</w:t>
            </w:r>
            <w:r>
              <w:rPr>
                <w:rFonts w:hint="eastAsia" w:ascii="宋体" w:hAnsi="宋体" w:cs="宋体"/>
                <w:sz w:val="24"/>
              </w:rPr>
              <w:t>①</w:t>
            </w:r>
            <w:r>
              <w:rPr>
                <w:rFonts w:cs="Calibri"/>
                <w:sz w:val="24"/>
              </w:rPr>
              <w:t>应急救援系统的建立和组成；</w:t>
            </w:r>
            <w:r>
              <w:rPr>
                <w:rFonts w:hint="eastAsia" w:ascii="宋体" w:hAnsi="宋体" w:cs="宋体"/>
                <w:sz w:val="24"/>
              </w:rPr>
              <w:t>②</w:t>
            </w:r>
            <w:r>
              <w:rPr>
                <w:rFonts w:cs="Calibri"/>
                <w:sz w:val="24"/>
              </w:rPr>
              <w:t>应急救援计划的制定；</w:t>
            </w:r>
            <w:r>
              <w:rPr>
                <w:rFonts w:hint="eastAsia" w:ascii="宋体" w:hAnsi="宋体" w:cs="宋体"/>
                <w:sz w:val="24"/>
              </w:rPr>
              <w:t>③</w:t>
            </w:r>
            <w:r>
              <w:rPr>
                <w:rFonts w:cs="Calibri"/>
                <w:sz w:val="24"/>
              </w:rPr>
              <w:t>应急培训和演习；</w:t>
            </w:r>
            <w:r>
              <w:rPr>
                <w:rFonts w:hint="eastAsia" w:ascii="宋体" w:hAnsi="宋体" w:cs="宋体"/>
                <w:sz w:val="24"/>
              </w:rPr>
              <w:t>④</w:t>
            </w:r>
            <w:r>
              <w:rPr>
                <w:rFonts w:cs="Calibri"/>
                <w:sz w:val="24"/>
              </w:rPr>
              <w:t>应急救援行动；</w:t>
            </w:r>
            <w:r>
              <w:rPr>
                <w:rFonts w:hint="eastAsia" w:ascii="宋体" w:hAnsi="宋体" w:cs="宋体"/>
                <w:sz w:val="24"/>
              </w:rPr>
              <w:t>⑤</w:t>
            </w:r>
            <w:r>
              <w:rPr>
                <w:rFonts w:cs="Calibri"/>
                <w:sz w:val="24"/>
              </w:rPr>
              <w:t>现场清除与净化；</w:t>
            </w:r>
            <w:r>
              <w:rPr>
                <w:rFonts w:hint="eastAsia" w:ascii="宋体" w:hAnsi="宋体" w:cs="宋体"/>
                <w:sz w:val="24"/>
              </w:rPr>
              <w:t>⑥</w:t>
            </w:r>
            <w:r>
              <w:rPr>
                <w:rFonts w:cs="Calibri"/>
                <w:sz w:val="24"/>
              </w:rPr>
              <w:t>系统的恢复和善后处理</w:t>
            </w:r>
            <w:r>
              <w:rPr>
                <w:rFonts w:hint="eastAsia" w:cs="Calibri"/>
                <w:sz w:val="24"/>
              </w:rPr>
              <w:t>。</w:t>
            </w:r>
          </w:p>
          <w:p>
            <w:pPr>
              <w:jc w:val="center"/>
              <w:rPr>
                <w:rFonts w:cs="Calibri"/>
                <w:b/>
                <w:sz w:val="21"/>
              </w:rPr>
            </w:pPr>
            <w:r>
              <w:rPr>
                <w:rFonts w:hint="eastAsia" w:cs="Calibri"/>
                <w:b/>
                <w:sz w:val="21"/>
              </w:rPr>
              <w:t>表</w:t>
            </w:r>
            <w:r>
              <w:rPr>
                <w:rFonts w:cs="Calibri"/>
                <w:b/>
                <w:sz w:val="21"/>
              </w:rPr>
              <w:t>26</w:t>
            </w:r>
            <w:r>
              <w:rPr>
                <w:rFonts w:hint="eastAsia" w:cs="Calibri"/>
                <w:b/>
                <w:sz w:val="21"/>
              </w:rPr>
              <w:t xml:space="preserve"> 应急预案</w:t>
            </w:r>
          </w:p>
          <w:tbl>
            <w:tblPr>
              <w:tblStyle w:val="18"/>
              <w:tblW w:w="828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966"/>
              <w:gridCol w:w="5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序号</w:t>
                  </w:r>
                </w:p>
              </w:tc>
              <w:tc>
                <w:tcPr>
                  <w:tcW w:w="1966" w:type="dxa"/>
                  <w:vAlign w:val="center"/>
                </w:tcPr>
                <w:p>
                  <w:pPr>
                    <w:jc w:val="center"/>
                    <w:rPr>
                      <w:rFonts w:cs="Calibri"/>
                      <w:sz w:val="21"/>
                    </w:rPr>
                  </w:pPr>
                  <w:r>
                    <w:rPr>
                      <w:rFonts w:cs="Calibri"/>
                      <w:sz w:val="21"/>
                    </w:rPr>
                    <w:t>项目</w:t>
                  </w:r>
                </w:p>
              </w:tc>
              <w:tc>
                <w:tcPr>
                  <w:tcW w:w="5585" w:type="dxa"/>
                  <w:vAlign w:val="center"/>
                </w:tcPr>
                <w:p>
                  <w:pPr>
                    <w:jc w:val="center"/>
                    <w:rPr>
                      <w:rFonts w:cs="Calibri"/>
                      <w:sz w:val="21"/>
                    </w:rPr>
                  </w:pPr>
                  <w:r>
                    <w:rPr>
                      <w:rFonts w:cs="Calibri"/>
                      <w:sz w:val="21"/>
                    </w:rPr>
                    <w:t>预案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1</w:t>
                  </w:r>
                </w:p>
              </w:tc>
              <w:tc>
                <w:tcPr>
                  <w:tcW w:w="1966" w:type="dxa"/>
                  <w:vAlign w:val="center"/>
                </w:tcPr>
                <w:p>
                  <w:pPr>
                    <w:jc w:val="center"/>
                    <w:rPr>
                      <w:rFonts w:cs="Calibri"/>
                      <w:sz w:val="21"/>
                    </w:rPr>
                  </w:pPr>
                  <w:r>
                    <w:rPr>
                      <w:rFonts w:cs="Calibri"/>
                      <w:sz w:val="21"/>
                    </w:rPr>
                    <w:t>应急计划区</w:t>
                  </w:r>
                </w:p>
              </w:tc>
              <w:tc>
                <w:tcPr>
                  <w:tcW w:w="5585" w:type="dxa"/>
                  <w:vAlign w:val="center"/>
                </w:tcPr>
                <w:p>
                  <w:pPr>
                    <w:jc w:val="center"/>
                    <w:rPr>
                      <w:rFonts w:cs="Calibri"/>
                      <w:sz w:val="21"/>
                    </w:rPr>
                  </w:pPr>
                  <w:r>
                    <w:rPr>
                      <w:rFonts w:cs="Calibri"/>
                      <w:sz w:val="21"/>
                    </w:rPr>
                    <w:t>库存区、邻近地区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2</w:t>
                  </w:r>
                </w:p>
              </w:tc>
              <w:tc>
                <w:tcPr>
                  <w:tcW w:w="1966" w:type="dxa"/>
                  <w:vAlign w:val="center"/>
                </w:tcPr>
                <w:p>
                  <w:pPr>
                    <w:jc w:val="center"/>
                    <w:rPr>
                      <w:rFonts w:cs="Calibri"/>
                      <w:sz w:val="21"/>
                    </w:rPr>
                  </w:pPr>
                  <w:r>
                    <w:rPr>
                      <w:rFonts w:cs="Calibri"/>
                      <w:sz w:val="21"/>
                    </w:rPr>
                    <w:t>应急组织</w:t>
                  </w:r>
                </w:p>
              </w:tc>
              <w:tc>
                <w:tcPr>
                  <w:tcW w:w="5585" w:type="dxa"/>
                  <w:vAlign w:val="center"/>
                </w:tcPr>
                <w:p>
                  <w:pPr>
                    <w:jc w:val="center"/>
                    <w:rPr>
                      <w:rFonts w:cs="Calibri"/>
                      <w:sz w:val="21"/>
                    </w:rPr>
                  </w:pPr>
                  <w:r>
                    <w:rPr>
                      <w:rFonts w:cs="Calibri"/>
                      <w:sz w:val="21"/>
                    </w:rPr>
                    <w:t>库存区：由厂区负责人负责现场指挥，专业救援队伍负责事故控制、救援和善后处理。</w:t>
                  </w:r>
                </w:p>
                <w:p>
                  <w:pPr>
                    <w:jc w:val="center"/>
                    <w:rPr>
                      <w:rFonts w:cs="Calibri"/>
                      <w:sz w:val="21"/>
                    </w:rPr>
                  </w:pPr>
                  <w:r>
                    <w:rPr>
                      <w:rFonts w:cs="Calibri"/>
                      <w:sz w:val="21"/>
                    </w:rPr>
                    <w:t>邻近地区：厂区负责人负责厂区附近地区全面指挥、救援、管制和疏散。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3</w:t>
                  </w:r>
                </w:p>
              </w:tc>
              <w:tc>
                <w:tcPr>
                  <w:tcW w:w="1966" w:type="dxa"/>
                  <w:vAlign w:val="center"/>
                </w:tcPr>
                <w:p>
                  <w:pPr>
                    <w:jc w:val="center"/>
                    <w:rPr>
                      <w:rFonts w:cs="Calibri"/>
                      <w:sz w:val="21"/>
                    </w:rPr>
                  </w:pPr>
                  <w:r>
                    <w:rPr>
                      <w:rFonts w:cs="Calibri"/>
                      <w:sz w:val="21"/>
                    </w:rPr>
                    <w:t>应急状态分类应急响应程序</w:t>
                  </w:r>
                </w:p>
              </w:tc>
              <w:tc>
                <w:tcPr>
                  <w:tcW w:w="5585" w:type="dxa"/>
                  <w:vAlign w:val="center"/>
                </w:tcPr>
                <w:p>
                  <w:pPr>
                    <w:jc w:val="center"/>
                    <w:rPr>
                      <w:rFonts w:cs="Calibri"/>
                      <w:sz w:val="21"/>
                    </w:rPr>
                  </w:pPr>
                  <w:r>
                    <w:rPr>
                      <w:rFonts w:cs="Calibri"/>
                      <w:sz w:val="21"/>
                    </w:rPr>
                    <w:t>规定环境风险事故的级别及相应的应急状态分类，以此制定相应的应急响应程序。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4</w:t>
                  </w:r>
                </w:p>
              </w:tc>
              <w:tc>
                <w:tcPr>
                  <w:tcW w:w="1966" w:type="dxa"/>
                  <w:vAlign w:val="center"/>
                </w:tcPr>
                <w:p>
                  <w:pPr>
                    <w:jc w:val="center"/>
                    <w:rPr>
                      <w:rFonts w:cs="Calibri"/>
                      <w:sz w:val="21"/>
                    </w:rPr>
                  </w:pPr>
                  <w:r>
                    <w:rPr>
                      <w:rFonts w:cs="Calibri"/>
                      <w:sz w:val="21"/>
                    </w:rPr>
                    <w:t>应急救援保障</w:t>
                  </w:r>
                </w:p>
              </w:tc>
              <w:tc>
                <w:tcPr>
                  <w:tcW w:w="5585" w:type="dxa"/>
                  <w:vAlign w:val="center"/>
                </w:tcPr>
                <w:p>
                  <w:pPr>
                    <w:jc w:val="center"/>
                    <w:rPr>
                      <w:rFonts w:cs="Calibri"/>
                      <w:sz w:val="21"/>
                    </w:rPr>
                  </w:pPr>
                  <w:r>
                    <w:rPr>
                      <w:rFonts w:cs="Calibri"/>
                      <w:sz w:val="21"/>
                    </w:rPr>
                    <w:t>库存区：防火灾、爆炸事故的应急设施、设备与材料，主要为消防器材、消防服等；储存区泄露，主要是消防锹、沙及中毒人员急救所用的一些药品、器材。</w:t>
                  </w:r>
                  <w:r>
                    <w:rPr>
                      <w:rFonts w:cs="Calibri"/>
                      <w:sz w:val="21"/>
                    </w:rPr>
                    <w:br w:type="textWrapping"/>
                  </w:r>
                  <w:r>
                    <w:rPr>
                      <w:rFonts w:cs="Calibri"/>
                      <w:sz w:val="21"/>
                    </w:rPr>
                    <w:t>邻近地区：火灾应急设施与材料，烧伤、中毒人员急救所用一些药品、器材。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5</w:t>
                  </w:r>
                </w:p>
              </w:tc>
              <w:tc>
                <w:tcPr>
                  <w:tcW w:w="1966" w:type="dxa"/>
                  <w:vAlign w:val="center"/>
                </w:tcPr>
                <w:p>
                  <w:pPr>
                    <w:jc w:val="center"/>
                    <w:rPr>
                      <w:rFonts w:cs="Calibri"/>
                      <w:sz w:val="21"/>
                    </w:rPr>
                  </w:pPr>
                  <w:r>
                    <w:rPr>
                      <w:rFonts w:cs="Calibri"/>
                      <w:sz w:val="21"/>
                    </w:rPr>
                    <w:t>报警、通讯、联络方式</w:t>
                  </w:r>
                </w:p>
              </w:tc>
              <w:tc>
                <w:tcPr>
                  <w:tcW w:w="5585" w:type="dxa"/>
                  <w:vAlign w:val="center"/>
                </w:tcPr>
                <w:p>
                  <w:pPr>
                    <w:jc w:val="center"/>
                    <w:rPr>
                      <w:rFonts w:cs="Calibri"/>
                      <w:sz w:val="21"/>
                    </w:rPr>
                  </w:pPr>
                  <w:r>
                    <w:rPr>
                      <w:rFonts w:cs="Calibri"/>
                      <w:sz w:val="21"/>
                    </w:rPr>
                    <w:t>规定应急状态下的报警通讯方式、通知方式和交通保障管制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6</w:t>
                  </w:r>
                </w:p>
              </w:tc>
              <w:tc>
                <w:tcPr>
                  <w:tcW w:w="1966" w:type="dxa"/>
                  <w:vAlign w:val="center"/>
                </w:tcPr>
                <w:p>
                  <w:pPr>
                    <w:jc w:val="center"/>
                    <w:rPr>
                      <w:rFonts w:cs="Calibri"/>
                      <w:sz w:val="21"/>
                    </w:rPr>
                  </w:pPr>
                  <w:r>
                    <w:rPr>
                      <w:rFonts w:cs="Calibri"/>
                      <w:sz w:val="21"/>
                    </w:rPr>
                    <w:t>应急环境监测、抢险、救援及控制措施</w:t>
                  </w:r>
                </w:p>
              </w:tc>
              <w:tc>
                <w:tcPr>
                  <w:tcW w:w="5585" w:type="dxa"/>
                  <w:vAlign w:val="center"/>
                </w:tcPr>
                <w:p>
                  <w:pPr>
                    <w:jc w:val="center"/>
                    <w:rPr>
                      <w:rFonts w:cs="Calibri"/>
                      <w:sz w:val="21"/>
                    </w:rPr>
                  </w:pPr>
                  <w:r>
                    <w:rPr>
                      <w:rFonts w:cs="Calibri"/>
                      <w:sz w:val="21"/>
                    </w:rPr>
                    <w:t>由专业人员对环境风险事故现场进行应急监测，对事故性质、严重程度等多造成的环境危害后果进行评估，吸取经验教训避免再次发生事故，为指挥部门提供决策依据。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7</w:t>
                  </w:r>
                </w:p>
              </w:tc>
              <w:tc>
                <w:tcPr>
                  <w:tcW w:w="1966" w:type="dxa"/>
                  <w:vAlign w:val="center"/>
                </w:tcPr>
                <w:p>
                  <w:pPr>
                    <w:jc w:val="center"/>
                    <w:rPr>
                      <w:rFonts w:cs="Calibri"/>
                      <w:sz w:val="21"/>
                    </w:rPr>
                  </w:pPr>
                  <w:r>
                    <w:rPr>
                      <w:rFonts w:cs="Calibri"/>
                      <w:sz w:val="21"/>
                    </w:rPr>
                    <w:t>应急预防措施、消除泄漏措施及使用器材</w:t>
                  </w:r>
                </w:p>
              </w:tc>
              <w:tc>
                <w:tcPr>
                  <w:tcW w:w="5585" w:type="dxa"/>
                  <w:vAlign w:val="center"/>
                </w:tcPr>
                <w:p>
                  <w:pPr>
                    <w:jc w:val="center"/>
                    <w:rPr>
                      <w:rFonts w:cs="Calibri"/>
                      <w:sz w:val="21"/>
                    </w:rPr>
                  </w:pPr>
                  <w:r>
                    <w:rPr>
                      <w:rFonts w:cs="Calibri"/>
                      <w:sz w:val="21"/>
                    </w:rPr>
                    <w:t>事故现场：控制事故发展，防止扩大、蔓延及连锁反应；消除现场遗漏物，降低危害；相应的设施器材配备。</w:t>
                  </w:r>
                  <w:r>
                    <w:rPr>
                      <w:rFonts w:cs="Calibri"/>
                      <w:sz w:val="21"/>
                    </w:rPr>
                    <w:br w:type="textWrapping"/>
                  </w:r>
                  <w:r>
                    <w:rPr>
                      <w:rFonts w:cs="Calibri"/>
                      <w:sz w:val="21"/>
                    </w:rPr>
                    <w:t>邻近地区：控制防火区域，控制和消除环境污染的措施及相应的设备配备。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8</w:t>
                  </w:r>
                </w:p>
              </w:tc>
              <w:tc>
                <w:tcPr>
                  <w:tcW w:w="1966" w:type="dxa"/>
                  <w:vAlign w:val="center"/>
                </w:tcPr>
                <w:p>
                  <w:pPr>
                    <w:jc w:val="center"/>
                    <w:rPr>
                      <w:rFonts w:cs="Calibri"/>
                      <w:sz w:val="21"/>
                    </w:rPr>
                  </w:pPr>
                  <w:r>
                    <w:rPr>
                      <w:rFonts w:cs="Calibri"/>
                      <w:sz w:val="21"/>
                    </w:rPr>
                    <w:t>应急剂量控制、撤离组织计划</w:t>
                  </w:r>
                </w:p>
              </w:tc>
              <w:tc>
                <w:tcPr>
                  <w:tcW w:w="5585" w:type="dxa"/>
                  <w:vAlign w:val="center"/>
                </w:tcPr>
                <w:p>
                  <w:pPr>
                    <w:jc w:val="center"/>
                    <w:rPr>
                      <w:rFonts w:cs="Calibri"/>
                      <w:sz w:val="21"/>
                    </w:rPr>
                  </w:pPr>
                  <w:r>
                    <w:rPr>
                      <w:rFonts w:cs="Calibri"/>
                      <w:sz w:val="21"/>
                    </w:rPr>
                    <w:t>事故现场：事故处理人员制定毒物的应急剂量、现场及邻近装置人员的撤离组织计划和应急救护方案。</w:t>
                  </w:r>
                  <w:r>
                    <w:rPr>
                      <w:rFonts w:cs="Calibri"/>
                      <w:sz w:val="21"/>
                    </w:rPr>
                    <w:br w:type="textWrapping"/>
                  </w:r>
                  <w:r>
                    <w:rPr>
                      <w:rFonts w:cs="Calibri"/>
                      <w:sz w:val="21"/>
                    </w:rPr>
                    <w:t>邻近地区：制定受事故影响的邻近地区内人员对毒物的应急剂量、公众的疏散组织计划和紧急救护方案。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9</w:t>
                  </w:r>
                </w:p>
              </w:tc>
              <w:tc>
                <w:tcPr>
                  <w:tcW w:w="1966" w:type="dxa"/>
                  <w:vAlign w:val="center"/>
                </w:tcPr>
                <w:p>
                  <w:pPr>
                    <w:jc w:val="center"/>
                    <w:rPr>
                      <w:rFonts w:cs="Calibri"/>
                      <w:sz w:val="21"/>
                    </w:rPr>
                  </w:pPr>
                  <w:r>
                    <w:rPr>
                      <w:rFonts w:cs="Calibri"/>
                      <w:sz w:val="21"/>
                    </w:rPr>
                    <w:t>应急状态中止与恢复措施</w:t>
                  </w:r>
                </w:p>
              </w:tc>
              <w:tc>
                <w:tcPr>
                  <w:tcW w:w="5585" w:type="dxa"/>
                  <w:vAlign w:val="center"/>
                </w:tcPr>
                <w:p>
                  <w:pPr>
                    <w:jc w:val="center"/>
                    <w:rPr>
                      <w:rFonts w:cs="Calibri"/>
                      <w:sz w:val="21"/>
                    </w:rPr>
                  </w:pPr>
                  <w:r>
                    <w:rPr>
                      <w:rFonts w:cs="Calibri"/>
                      <w:sz w:val="21"/>
                    </w:rPr>
                    <w:t>事故现场：规定应急状态中止程序；事故现场善后处理，恢复正常运行措施。</w:t>
                  </w:r>
                  <w:r>
                    <w:rPr>
                      <w:rFonts w:cs="Calibri"/>
                      <w:sz w:val="21"/>
                    </w:rPr>
                    <w:br w:type="textWrapping"/>
                  </w:r>
                  <w:r>
                    <w:rPr>
                      <w:rFonts w:cs="Calibri"/>
                      <w:sz w:val="21"/>
                    </w:rPr>
                    <w:t>邻近地区：解除事故警戒、公众返回和善后恢复措施。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10</w:t>
                  </w:r>
                </w:p>
              </w:tc>
              <w:tc>
                <w:tcPr>
                  <w:tcW w:w="1966" w:type="dxa"/>
                  <w:vAlign w:val="center"/>
                </w:tcPr>
                <w:p>
                  <w:pPr>
                    <w:jc w:val="center"/>
                    <w:rPr>
                      <w:rFonts w:cs="Calibri"/>
                      <w:sz w:val="21"/>
                    </w:rPr>
                  </w:pPr>
                  <w:r>
                    <w:rPr>
                      <w:rFonts w:cs="Calibri"/>
                      <w:sz w:val="21"/>
                    </w:rPr>
                    <w:t>应急培训计划</w:t>
                  </w:r>
                </w:p>
              </w:tc>
              <w:tc>
                <w:tcPr>
                  <w:tcW w:w="5585" w:type="dxa"/>
                  <w:vAlign w:val="center"/>
                </w:tcPr>
                <w:p>
                  <w:pPr>
                    <w:jc w:val="center"/>
                    <w:rPr>
                      <w:rFonts w:cs="Calibri"/>
                      <w:sz w:val="21"/>
                    </w:rPr>
                  </w:pPr>
                  <w:r>
                    <w:rPr>
                      <w:rFonts w:cs="Calibri"/>
                      <w:sz w:val="21"/>
                    </w:rPr>
                    <w:t>应急计划制定后，平时应安排事故处理人员进行相关知识培训，进行事故应急处理演练；加强站内员工的安全教育。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2" w:type="dxa"/>
                  <w:vAlign w:val="center"/>
                </w:tcPr>
                <w:p>
                  <w:pPr>
                    <w:jc w:val="center"/>
                    <w:rPr>
                      <w:rFonts w:cs="Calibri"/>
                      <w:sz w:val="21"/>
                    </w:rPr>
                  </w:pPr>
                  <w:r>
                    <w:rPr>
                      <w:rFonts w:cs="Calibri"/>
                      <w:sz w:val="21"/>
                    </w:rPr>
                    <w:t>11</w:t>
                  </w:r>
                </w:p>
              </w:tc>
              <w:tc>
                <w:tcPr>
                  <w:tcW w:w="1966" w:type="dxa"/>
                  <w:vAlign w:val="center"/>
                </w:tcPr>
                <w:p>
                  <w:pPr>
                    <w:jc w:val="center"/>
                    <w:rPr>
                      <w:rFonts w:cs="Calibri"/>
                      <w:sz w:val="21"/>
                    </w:rPr>
                  </w:pPr>
                  <w:r>
                    <w:rPr>
                      <w:rFonts w:cs="Calibri"/>
                      <w:sz w:val="21"/>
                    </w:rPr>
                    <w:t>公众教育和信息</w:t>
                  </w:r>
                </w:p>
              </w:tc>
              <w:tc>
                <w:tcPr>
                  <w:tcW w:w="5585" w:type="dxa"/>
                  <w:vAlign w:val="center"/>
                </w:tcPr>
                <w:p>
                  <w:pPr>
                    <w:jc w:val="center"/>
                    <w:rPr>
                      <w:rFonts w:cs="Calibri"/>
                      <w:sz w:val="21"/>
                    </w:rPr>
                  </w:pPr>
                  <w:r>
                    <w:rPr>
                      <w:rFonts w:cs="Calibri"/>
                      <w:sz w:val="21"/>
                    </w:rPr>
                    <w:t>对</w:t>
                  </w:r>
                  <w:r>
                    <w:rPr>
                      <w:rFonts w:hint="eastAsia" w:cs="Calibri"/>
                      <w:sz w:val="21"/>
                    </w:rPr>
                    <w:t>厂区</w:t>
                  </w:r>
                  <w:r>
                    <w:rPr>
                      <w:rFonts w:cs="Calibri"/>
                      <w:sz w:val="21"/>
                    </w:rPr>
                    <w:t>、邻近地区公众开展环境风险事故预防教育、应急知识培训，并定期发布相关信息。</w:t>
                  </w:r>
                </w:p>
              </w:tc>
            </w:tr>
          </w:tbl>
          <w:p>
            <w:pPr>
              <w:spacing w:line="360" w:lineRule="auto"/>
              <w:ind w:firstLine="482" w:firstLineChars="200"/>
              <w:rPr>
                <w:rFonts w:cs="Calibri"/>
                <w:b/>
                <w:sz w:val="24"/>
              </w:rPr>
            </w:pPr>
            <w:r>
              <w:rPr>
                <w:rFonts w:cs="Calibri"/>
                <w:b/>
                <w:sz w:val="24"/>
              </w:rPr>
              <w:t>7、环境管理规划</w:t>
            </w:r>
          </w:p>
          <w:p>
            <w:pPr>
              <w:spacing w:line="360" w:lineRule="auto"/>
              <w:ind w:firstLine="480" w:firstLineChars="200"/>
              <w:rPr>
                <w:rFonts w:cs="Calibri"/>
                <w:sz w:val="24"/>
              </w:rPr>
            </w:pPr>
            <w:r>
              <w:rPr>
                <w:rFonts w:cs="Calibri"/>
                <w:sz w:val="24"/>
              </w:rPr>
              <w:t>项目建成运行后，应将环境管理纳入日常管理中，根据环境保护的有关规定和企业自身特点，制定环境管理的具体内容。</w:t>
            </w:r>
          </w:p>
          <w:p>
            <w:pPr>
              <w:spacing w:line="360" w:lineRule="auto"/>
              <w:ind w:firstLine="480" w:firstLineChars="200"/>
              <w:rPr>
                <w:rFonts w:cs="Calibri"/>
                <w:sz w:val="24"/>
              </w:rPr>
            </w:pPr>
            <w:r>
              <w:rPr>
                <w:rFonts w:cs="Calibri"/>
                <w:sz w:val="24"/>
              </w:rPr>
              <w:t>a、针对对环保设施运行的监督管理，确保环保设施正常运行和连续达标排放。</w:t>
            </w:r>
          </w:p>
          <w:p>
            <w:pPr>
              <w:spacing w:line="360" w:lineRule="auto"/>
              <w:ind w:firstLine="480" w:firstLineChars="200"/>
              <w:rPr>
                <w:rFonts w:cs="Calibri"/>
                <w:sz w:val="24"/>
              </w:rPr>
            </w:pPr>
            <w:r>
              <w:rPr>
                <w:rFonts w:cs="Calibri"/>
                <w:sz w:val="24"/>
              </w:rPr>
              <w:t>b、建立完善的环保设施运行、维护、维修等技术档案，对环保设备实施定期检修。</w:t>
            </w:r>
          </w:p>
          <w:p>
            <w:pPr>
              <w:spacing w:line="360" w:lineRule="auto"/>
              <w:ind w:firstLine="480" w:firstLineChars="200"/>
              <w:rPr>
                <w:rFonts w:cs="Calibri"/>
                <w:sz w:val="24"/>
              </w:rPr>
            </w:pPr>
            <w:r>
              <w:rPr>
                <w:rFonts w:cs="Calibri"/>
                <w:sz w:val="24"/>
              </w:rPr>
              <w:t>c、加强环保人员的技术培训和考核，提高其环保意识和专业技术水平。</w:t>
            </w:r>
          </w:p>
          <w:p>
            <w:pPr>
              <w:spacing w:line="360" w:lineRule="auto"/>
              <w:ind w:firstLine="482" w:firstLineChars="200"/>
              <w:rPr>
                <w:rFonts w:cs="Calibri"/>
                <w:b/>
                <w:sz w:val="24"/>
              </w:rPr>
            </w:pPr>
            <w:r>
              <w:rPr>
                <w:rFonts w:cs="Calibri"/>
                <w:b/>
                <w:sz w:val="24"/>
              </w:rPr>
              <w:t>8、环境监测计划</w:t>
            </w:r>
          </w:p>
          <w:p>
            <w:pPr>
              <w:spacing w:line="360" w:lineRule="auto"/>
              <w:ind w:firstLine="480" w:firstLineChars="200"/>
              <w:rPr>
                <w:rFonts w:cs="Calibri"/>
                <w:sz w:val="24"/>
              </w:rPr>
            </w:pPr>
            <w:r>
              <w:rPr>
                <w:rFonts w:cs="Calibri"/>
                <w:sz w:val="24"/>
              </w:rPr>
              <w:t>为了解项目的环境影响及环境质量变化趋势，应建立污染源分类技术档案和监测档案，为环境污染治理提供必要的依据。环境监测计划安排如下。</w:t>
            </w:r>
          </w:p>
          <w:p>
            <w:pPr>
              <w:jc w:val="center"/>
              <w:rPr>
                <w:rFonts w:cs="Calibri"/>
                <w:b/>
                <w:sz w:val="21"/>
              </w:rPr>
            </w:pPr>
            <w:r>
              <w:rPr>
                <w:rFonts w:cs="Calibri"/>
                <w:b/>
                <w:sz w:val="21"/>
              </w:rPr>
              <w:t>表27  环境监测计划一览表</w:t>
            </w:r>
          </w:p>
          <w:tbl>
            <w:tblPr>
              <w:tblStyle w:val="18"/>
              <w:tblW w:w="828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811"/>
              <w:gridCol w:w="3578"/>
              <w:gridCol w:w="1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36" w:type="dxa"/>
                  <w:vAlign w:val="center"/>
                </w:tcPr>
                <w:p>
                  <w:pPr>
                    <w:jc w:val="center"/>
                    <w:rPr>
                      <w:rFonts w:cs="Calibri"/>
                      <w:sz w:val="21"/>
                    </w:rPr>
                  </w:pPr>
                  <w:r>
                    <w:rPr>
                      <w:rFonts w:cs="Calibri"/>
                      <w:sz w:val="21"/>
                    </w:rPr>
                    <w:t>监测项目</w:t>
                  </w:r>
                </w:p>
              </w:tc>
              <w:tc>
                <w:tcPr>
                  <w:tcW w:w="1811" w:type="dxa"/>
                  <w:vAlign w:val="center"/>
                </w:tcPr>
                <w:p>
                  <w:pPr>
                    <w:jc w:val="center"/>
                    <w:rPr>
                      <w:rFonts w:cs="Calibri"/>
                      <w:sz w:val="21"/>
                    </w:rPr>
                  </w:pPr>
                  <w:r>
                    <w:rPr>
                      <w:rFonts w:cs="Calibri"/>
                      <w:sz w:val="21"/>
                    </w:rPr>
                    <w:t>监测点位</w:t>
                  </w:r>
                </w:p>
              </w:tc>
              <w:tc>
                <w:tcPr>
                  <w:tcW w:w="3578" w:type="dxa"/>
                  <w:vAlign w:val="center"/>
                </w:tcPr>
                <w:p>
                  <w:pPr>
                    <w:jc w:val="center"/>
                    <w:rPr>
                      <w:rFonts w:cs="Calibri"/>
                      <w:sz w:val="21"/>
                    </w:rPr>
                  </w:pPr>
                  <w:r>
                    <w:rPr>
                      <w:rFonts w:cs="Calibri"/>
                      <w:sz w:val="21"/>
                    </w:rPr>
                    <w:t>监测因子</w:t>
                  </w:r>
                </w:p>
              </w:tc>
              <w:tc>
                <w:tcPr>
                  <w:tcW w:w="1458" w:type="dxa"/>
                  <w:vAlign w:val="center"/>
                </w:tcPr>
                <w:p>
                  <w:pPr>
                    <w:jc w:val="center"/>
                    <w:rPr>
                      <w:rFonts w:cs="Calibri"/>
                      <w:sz w:val="21"/>
                    </w:rPr>
                  </w:pPr>
                  <w:r>
                    <w:rPr>
                      <w:rFonts w:cs="Calibri"/>
                      <w:sz w:val="21"/>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36" w:type="dxa"/>
                  <w:vAlign w:val="center"/>
                </w:tcPr>
                <w:p>
                  <w:pPr>
                    <w:jc w:val="center"/>
                    <w:rPr>
                      <w:rFonts w:cs="Calibri"/>
                      <w:sz w:val="21"/>
                    </w:rPr>
                  </w:pPr>
                  <w:r>
                    <w:rPr>
                      <w:rFonts w:hint="eastAsia" w:cs="Calibri"/>
                      <w:sz w:val="21"/>
                    </w:rPr>
                    <w:t>大气</w:t>
                  </w:r>
                </w:p>
              </w:tc>
              <w:tc>
                <w:tcPr>
                  <w:tcW w:w="1811" w:type="dxa"/>
                  <w:vAlign w:val="center"/>
                </w:tcPr>
                <w:p>
                  <w:pPr>
                    <w:jc w:val="center"/>
                    <w:rPr>
                      <w:rFonts w:cs="Calibri"/>
                      <w:sz w:val="21"/>
                    </w:rPr>
                  </w:pPr>
                  <w:r>
                    <w:rPr>
                      <w:rFonts w:hint="eastAsia" w:cs="Calibri"/>
                      <w:sz w:val="21"/>
                    </w:rPr>
                    <w:t>厂界、排气筒</w:t>
                  </w:r>
                </w:p>
              </w:tc>
              <w:tc>
                <w:tcPr>
                  <w:tcW w:w="3578" w:type="dxa"/>
                  <w:vAlign w:val="center"/>
                </w:tcPr>
                <w:p>
                  <w:pPr>
                    <w:jc w:val="center"/>
                    <w:rPr>
                      <w:rFonts w:ascii="Calibri" w:hAnsi="Calibri" w:cs="Calibri"/>
                      <w:sz w:val="21"/>
                    </w:rPr>
                  </w:pPr>
                  <w:r>
                    <w:rPr>
                      <w:rFonts w:ascii="Calibri" w:hAnsi="Calibri" w:cs="Calibri"/>
                      <w:sz w:val="21"/>
                    </w:rPr>
                    <w:t>颗粒物</w:t>
                  </w:r>
                </w:p>
              </w:tc>
              <w:tc>
                <w:tcPr>
                  <w:tcW w:w="1458" w:type="dxa"/>
                  <w:vAlign w:val="center"/>
                </w:tcPr>
                <w:p>
                  <w:pPr>
                    <w:jc w:val="center"/>
                    <w:rPr>
                      <w:rFonts w:cs="Calibri"/>
                      <w:sz w:val="21"/>
                    </w:rPr>
                  </w:pPr>
                  <w:r>
                    <w:rPr>
                      <w:rFonts w:cs="Calibri"/>
                      <w:sz w:val="21"/>
                    </w:rPr>
                    <w:t>每</w:t>
                  </w:r>
                  <w:r>
                    <w:rPr>
                      <w:rFonts w:hint="eastAsia" w:cs="Calibri"/>
                      <w:sz w:val="21"/>
                    </w:rPr>
                    <w:t>半</w:t>
                  </w:r>
                  <w:r>
                    <w:rPr>
                      <w:rFonts w:cs="Calibri"/>
                      <w:sz w:val="21"/>
                    </w:rPr>
                    <w:t>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36" w:type="dxa"/>
                  <w:vAlign w:val="center"/>
                </w:tcPr>
                <w:p>
                  <w:pPr>
                    <w:jc w:val="center"/>
                    <w:rPr>
                      <w:rFonts w:cs="Calibri"/>
                      <w:sz w:val="21"/>
                    </w:rPr>
                  </w:pPr>
                  <w:r>
                    <w:rPr>
                      <w:rFonts w:cs="Calibri"/>
                      <w:sz w:val="21"/>
                    </w:rPr>
                    <w:t>噪声</w:t>
                  </w:r>
                </w:p>
              </w:tc>
              <w:tc>
                <w:tcPr>
                  <w:tcW w:w="1811" w:type="dxa"/>
                  <w:vAlign w:val="center"/>
                </w:tcPr>
                <w:p>
                  <w:pPr>
                    <w:jc w:val="center"/>
                    <w:rPr>
                      <w:rFonts w:cs="Calibri"/>
                      <w:sz w:val="21"/>
                    </w:rPr>
                  </w:pPr>
                  <w:r>
                    <w:rPr>
                      <w:rFonts w:cs="Calibri"/>
                      <w:sz w:val="21"/>
                    </w:rPr>
                    <w:t>厂界</w:t>
                  </w:r>
                </w:p>
              </w:tc>
              <w:tc>
                <w:tcPr>
                  <w:tcW w:w="3578" w:type="dxa"/>
                  <w:vAlign w:val="center"/>
                </w:tcPr>
                <w:p>
                  <w:pPr>
                    <w:jc w:val="center"/>
                    <w:rPr>
                      <w:rFonts w:cs="Calibri"/>
                      <w:sz w:val="21"/>
                    </w:rPr>
                  </w:pPr>
                  <w:r>
                    <w:rPr>
                      <w:rFonts w:cs="Calibri"/>
                      <w:sz w:val="21"/>
                    </w:rPr>
                    <w:t>连续等效A声级</w:t>
                  </w:r>
                </w:p>
              </w:tc>
              <w:tc>
                <w:tcPr>
                  <w:tcW w:w="1458" w:type="dxa"/>
                  <w:vAlign w:val="center"/>
                </w:tcPr>
                <w:p>
                  <w:pPr>
                    <w:jc w:val="center"/>
                    <w:rPr>
                      <w:rFonts w:cs="Calibri"/>
                      <w:sz w:val="21"/>
                    </w:rPr>
                  </w:pPr>
                  <w:r>
                    <w:rPr>
                      <w:rFonts w:cs="Calibri"/>
                      <w:sz w:val="21"/>
                    </w:rPr>
                    <w:t>每</w:t>
                  </w:r>
                  <w:r>
                    <w:rPr>
                      <w:rFonts w:hint="eastAsia" w:cs="Calibri"/>
                      <w:sz w:val="21"/>
                    </w:rPr>
                    <w:t>半</w:t>
                  </w:r>
                  <w:r>
                    <w:rPr>
                      <w:rFonts w:cs="Calibri"/>
                      <w:sz w:val="21"/>
                    </w:rPr>
                    <w:t>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36" w:type="dxa"/>
                  <w:vAlign w:val="center"/>
                </w:tcPr>
                <w:p>
                  <w:pPr>
                    <w:jc w:val="center"/>
                    <w:rPr>
                      <w:rFonts w:cs="Calibri"/>
                      <w:sz w:val="21"/>
                    </w:rPr>
                  </w:pPr>
                  <w:r>
                    <w:rPr>
                      <w:sz w:val="21"/>
                    </w:rPr>
                    <w:t>固废</w:t>
                  </w:r>
                </w:p>
              </w:tc>
              <w:tc>
                <w:tcPr>
                  <w:tcW w:w="1811" w:type="dxa"/>
                  <w:vAlign w:val="center"/>
                </w:tcPr>
                <w:p>
                  <w:pPr>
                    <w:jc w:val="center"/>
                    <w:rPr>
                      <w:rFonts w:cs="Calibri"/>
                      <w:sz w:val="21"/>
                    </w:rPr>
                  </w:pPr>
                  <w:r>
                    <w:rPr>
                      <w:sz w:val="21"/>
                    </w:rPr>
                    <w:t>\</w:t>
                  </w:r>
                </w:p>
              </w:tc>
              <w:tc>
                <w:tcPr>
                  <w:tcW w:w="3578" w:type="dxa"/>
                  <w:vAlign w:val="center"/>
                </w:tcPr>
                <w:p>
                  <w:pPr>
                    <w:jc w:val="center"/>
                    <w:rPr>
                      <w:rFonts w:cs="Calibri"/>
                      <w:sz w:val="21"/>
                    </w:rPr>
                  </w:pPr>
                  <w:r>
                    <w:rPr>
                      <w:sz w:val="21"/>
                    </w:rPr>
                    <w:t>危险废物台账</w:t>
                  </w:r>
                </w:p>
              </w:tc>
              <w:tc>
                <w:tcPr>
                  <w:tcW w:w="1458" w:type="dxa"/>
                  <w:vAlign w:val="center"/>
                </w:tcPr>
                <w:p>
                  <w:pPr>
                    <w:jc w:val="center"/>
                    <w:rPr>
                      <w:rFonts w:cs="Calibri"/>
                      <w:sz w:val="21"/>
                    </w:rPr>
                  </w:pPr>
                  <w:r>
                    <w:rPr>
                      <w:sz w:val="21"/>
                    </w:rPr>
                    <w:t>每年一次</w:t>
                  </w:r>
                </w:p>
              </w:tc>
            </w:tr>
          </w:tbl>
          <w:p>
            <w:pPr>
              <w:spacing w:line="360" w:lineRule="auto"/>
              <w:ind w:firstLine="480" w:firstLineChars="200"/>
              <w:rPr>
                <w:rFonts w:cs="Calibri"/>
                <w:sz w:val="24"/>
              </w:rPr>
            </w:pPr>
            <w:r>
              <w:rPr>
                <w:rFonts w:cs="Calibri"/>
                <w:sz w:val="24"/>
              </w:rPr>
              <w:t>环境监测工作可委托</w:t>
            </w:r>
            <w:r>
              <w:rPr>
                <w:rFonts w:hint="eastAsia" w:cs="Calibri"/>
                <w:sz w:val="24"/>
              </w:rPr>
              <w:t>有监测资质</w:t>
            </w:r>
            <w:r>
              <w:rPr>
                <w:rFonts w:hint="eastAsia"/>
                <w:sz w:val="24"/>
              </w:rPr>
              <w:t>的公司</w:t>
            </w:r>
            <w:r>
              <w:rPr>
                <w:sz w:val="24"/>
              </w:rPr>
              <w:t>监测</w:t>
            </w:r>
            <w:r>
              <w:rPr>
                <w:rFonts w:cs="Calibri"/>
                <w:sz w:val="24"/>
              </w:rPr>
              <w:t>。</w:t>
            </w:r>
          </w:p>
          <w:p>
            <w:pPr>
              <w:spacing w:line="360" w:lineRule="auto"/>
              <w:ind w:firstLine="482" w:firstLineChars="200"/>
              <w:rPr>
                <w:rFonts w:cs="Calibri"/>
                <w:b/>
                <w:sz w:val="24"/>
              </w:rPr>
            </w:pPr>
            <w:r>
              <w:rPr>
                <w:rFonts w:cs="Calibri"/>
                <w:b/>
                <w:sz w:val="24"/>
              </w:rPr>
              <w:t>9、总量控制</w:t>
            </w:r>
          </w:p>
          <w:p>
            <w:pPr>
              <w:spacing w:line="360" w:lineRule="auto"/>
              <w:ind w:firstLine="480" w:firstLineChars="200"/>
              <w:rPr>
                <w:rFonts w:cs="Calibri"/>
                <w:sz w:val="24"/>
              </w:rPr>
            </w:pPr>
            <w:r>
              <w:rPr>
                <w:rFonts w:hint="eastAsia" w:cs="Calibri"/>
                <w:sz w:val="24"/>
              </w:rPr>
              <w:t>根据国家主要污染物排放总量控制技术规范要求、《国家环境保护“十三五”规划基本思路》以及本项目污染物排放特点，项目生产废水不外排至外环境，同时生活污水经化粪池处理后用于周边的农田灌溉，本项目废气排放为粉尘，不在国家总量指标控制因素中，因此，本项目不需要单独申请总量指标。</w:t>
            </w:r>
          </w:p>
          <w:tbl>
            <w:tblPr>
              <w:tblStyle w:val="18"/>
              <w:tblW w:w="828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2958"/>
              <w:gridCol w:w="30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2" w:type="dxa"/>
                  <w:vAlign w:val="center"/>
                </w:tcPr>
                <w:p>
                  <w:pPr>
                    <w:jc w:val="center"/>
                    <w:rPr>
                      <w:rFonts w:cs="Calibri"/>
                      <w:sz w:val="21"/>
                    </w:rPr>
                  </w:pPr>
                  <w:r>
                    <w:rPr>
                      <w:rFonts w:cs="Calibri"/>
                      <w:sz w:val="21"/>
                    </w:rPr>
                    <w:t>污染物</w:t>
                  </w:r>
                </w:p>
              </w:tc>
              <w:tc>
                <w:tcPr>
                  <w:tcW w:w="2958" w:type="dxa"/>
                  <w:vAlign w:val="center"/>
                </w:tcPr>
                <w:p>
                  <w:pPr>
                    <w:jc w:val="center"/>
                    <w:rPr>
                      <w:rFonts w:cs="Calibri"/>
                      <w:sz w:val="21"/>
                    </w:rPr>
                  </w:pPr>
                  <w:r>
                    <w:rPr>
                      <w:rFonts w:cs="Calibri"/>
                      <w:sz w:val="21"/>
                    </w:rPr>
                    <w:t>本项目排放量（t/a）</w:t>
                  </w:r>
                </w:p>
              </w:tc>
              <w:tc>
                <w:tcPr>
                  <w:tcW w:w="3073" w:type="dxa"/>
                  <w:vAlign w:val="center"/>
                </w:tcPr>
                <w:p>
                  <w:pPr>
                    <w:jc w:val="center"/>
                    <w:rPr>
                      <w:rFonts w:cs="Calibri"/>
                      <w:sz w:val="21"/>
                    </w:rPr>
                  </w:pPr>
                  <w:r>
                    <w:rPr>
                      <w:rFonts w:cs="Calibri"/>
                      <w:sz w:val="21"/>
                    </w:rPr>
                    <w:t>总量控制指标建议（t/a）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2" w:type="dxa"/>
                  <w:vAlign w:val="center"/>
                </w:tcPr>
                <w:p>
                  <w:pPr>
                    <w:jc w:val="center"/>
                    <w:rPr>
                      <w:rFonts w:cs="Calibri"/>
                      <w:sz w:val="21"/>
                    </w:rPr>
                  </w:pPr>
                  <w:r>
                    <w:rPr>
                      <w:rFonts w:hint="eastAsia" w:cs="Calibri"/>
                      <w:sz w:val="21"/>
                    </w:rPr>
                    <w:t>粉尘</w:t>
                  </w:r>
                </w:p>
              </w:tc>
              <w:tc>
                <w:tcPr>
                  <w:tcW w:w="2958" w:type="dxa"/>
                  <w:vAlign w:val="center"/>
                </w:tcPr>
                <w:p>
                  <w:pPr>
                    <w:jc w:val="center"/>
                    <w:rPr>
                      <w:rFonts w:cs="Calibri"/>
                      <w:sz w:val="21"/>
                    </w:rPr>
                  </w:pPr>
                  <w:r>
                    <w:rPr>
                      <w:rFonts w:hint="eastAsia" w:cs="Calibri"/>
                      <w:sz w:val="21"/>
                    </w:rPr>
                    <w:t>3.31009</w:t>
                  </w:r>
                </w:p>
              </w:tc>
              <w:tc>
                <w:tcPr>
                  <w:tcW w:w="3073" w:type="dxa"/>
                  <w:vAlign w:val="center"/>
                </w:tcPr>
                <w:p>
                  <w:pPr>
                    <w:jc w:val="center"/>
                    <w:rPr>
                      <w:rFonts w:cs="Calibri"/>
                      <w:sz w:val="21"/>
                    </w:rPr>
                  </w:pPr>
                  <w:r>
                    <w:rPr>
                      <w:rFonts w:hint="eastAsia" w:cs="Calibri"/>
                      <w:sz w:val="21"/>
                    </w:rPr>
                    <w:t>--</w:t>
                  </w:r>
                </w:p>
              </w:tc>
            </w:tr>
          </w:tbl>
          <w:p>
            <w:pPr>
              <w:spacing w:line="360" w:lineRule="auto"/>
              <w:ind w:firstLine="482" w:firstLineChars="200"/>
              <w:rPr>
                <w:rFonts w:cs="Calibri"/>
                <w:b/>
                <w:sz w:val="24"/>
              </w:rPr>
            </w:pPr>
            <w:r>
              <w:rPr>
                <w:rFonts w:hint="eastAsia" w:cs="Calibri"/>
                <w:b/>
                <w:sz w:val="24"/>
              </w:rPr>
              <w:t>1</w:t>
            </w:r>
            <w:r>
              <w:rPr>
                <w:rFonts w:cs="Calibri"/>
                <w:b/>
                <w:sz w:val="24"/>
              </w:rPr>
              <w:t>0、环保投资估算</w:t>
            </w:r>
          </w:p>
          <w:p>
            <w:pPr>
              <w:spacing w:line="360" w:lineRule="auto"/>
              <w:ind w:firstLine="480" w:firstLineChars="200"/>
              <w:rPr>
                <w:rFonts w:cs="Calibri"/>
                <w:sz w:val="24"/>
              </w:rPr>
            </w:pPr>
            <w:r>
              <w:rPr>
                <w:rFonts w:cs="Calibri"/>
                <w:sz w:val="24"/>
              </w:rPr>
              <w:t>该工程总投资约2600</w:t>
            </w:r>
            <w:r>
              <w:rPr>
                <w:rFonts w:hint="eastAsia" w:cs="Calibri"/>
                <w:sz w:val="24"/>
              </w:rPr>
              <w:t>万元</w:t>
            </w:r>
            <w:r>
              <w:rPr>
                <w:rFonts w:cs="Calibri"/>
                <w:sz w:val="24"/>
              </w:rPr>
              <w:t>，其中环保投资约</w:t>
            </w:r>
            <w:r>
              <w:rPr>
                <w:rFonts w:hint="eastAsia" w:cs="Calibri"/>
                <w:sz w:val="24"/>
              </w:rPr>
              <w:t>65</w:t>
            </w:r>
            <w:r>
              <w:rPr>
                <w:rFonts w:cs="Calibri"/>
                <w:sz w:val="24"/>
              </w:rPr>
              <w:t>万，环保投资约占工程总投资的2.5%，环保建设内容如表28所示。</w:t>
            </w:r>
          </w:p>
          <w:p>
            <w:pPr>
              <w:jc w:val="center"/>
              <w:rPr>
                <w:rFonts w:cs="Calibri"/>
                <w:b/>
                <w:sz w:val="21"/>
              </w:rPr>
            </w:pPr>
            <w:r>
              <w:rPr>
                <w:rFonts w:cs="Calibri"/>
                <w:b/>
                <w:sz w:val="21"/>
              </w:rPr>
              <w:t>表28 环保投资估算一览表</w:t>
            </w:r>
          </w:p>
          <w:tbl>
            <w:tblPr>
              <w:tblStyle w:val="18"/>
              <w:tblW w:w="828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26"/>
              <w:gridCol w:w="1200"/>
              <w:gridCol w:w="3911"/>
              <w:gridCol w:w="1314"/>
              <w:gridCol w:w="7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8" w:type="dxa"/>
                  <w:vAlign w:val="center"/>
                </w:tcPr>
                <w:p>
                  <w:pPr>
                    <w:jc w:val="center"/>
                    <w:rPr>
                      <w:rFonts w:cs="Calibri"/>
                      <w:sz w:val="21"/>
                    </w:rPr>
                  </w:pPr>
                  <w:r>
                    <w:rPr>
                      <w:rFonts w:cs="Calibri"/>
                      <w:sz w:val="21"/>
                    </w:rPr>
                    <w:t>序号</w:t>
                  </w:r>
                </w:p>
              </w:tc>
              <w:tc>
                <w:tcPr>
                  <w:tcW w:w="1626" w:type="dxa"/>
                  <w:gridSpan w:val="2"/>
                  <w:vAlign w:val="center"/>
                </w:tcPr>
                <w:p>
                  <w:pPr>
                    <w:jc w:val="center"/>
                    <w:rPr>
                      <w:rFonts w:cs="Calibri"/>
                      <w:sz w:val="21"/>
                    </w:rPr>
                  </w:pPr>
                  <w:r>
                    <w:rPr>
                      <w:rFonts w:cs="Calibri"/>
                      <w:sz w:val="21"/>
                    </w:rPr>
                    <w:t>类别</w:t>
                  </w:r>
                </w:p>
              </w:tc>
              <w:tc>
                <w:tcPr>
                  <w:tcW w:w="3911" w:type="dxa"/>
                  <w:vAlign w:val="center"/>
                </w:tcPr>
                <w:p>
                  <w:pPr>
                    <w:jc w:val="center"/>
                    <w:rPr>
                      <w:rFonts w:cs="Calibri"/>
                      <w:sz w:val="21"/>
                    </w:rPr>
                  </w:pPr>
                  <w:r>
                    <w:rPr>
                      <w:rFonts w:cs="Calibri"/>
                      <w:sz w:val="21"/>
                    </w:rPr>
                    <w:t>治理措施</w:t>
                  </w:r>
                </w:p>
              </w:tc>
              <w:tc>
                <w:tcPr>
                  <w:tcW w:w="1314" w:type="dxa"/>
                  <w:vAlign w:val="center"/>
                </w:tcPr>
                <w:p>
                  <w:pPr>
                    <w:jc w:val="center"/>
                    <w:rPr>
                      <w:rFonts w:cs="Calibri"/>
                      <w:sz w:val="21"/>
                    </w:rPr>
                  </w:pPr>
                  <w:r>
                    <w:rPr>
                      <w:rFonts w:cs="Calibri"/>
                      <w:sz w:val="21"/>
                    </w:rPr>
                    <w:t>投资（万元）</w:t>
                  </w:r>
                </w:p>
              </w:tc>
              <w:tc>
                <w:tcPr>
                  <w:tcW w:w="704" w:type="dxa"/>
                  <w:vAlign w:val="center"/>
                </w:tcPr>
                <w:p>
                  <w:pPr>
                    <w:jc w:val="center"/>
                    <w:rPr>
                      <w:rFonts w:cs="Calibri"/>
                      <w:sz w:val="21"/>
                    </w:rPr>
                  </w:pPr>
                  <w:r>
                    <w:rPr>
                      <w:rFonts w:cs="Calibri"/>
                      <w:sz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vAlign w:val="center"/>
                </w:tcPr>
                <w:p>
                  <w:pPr>
                    <w:jc w:val="center"/>
                    <w:rPr>
                      <w:rFonts w:cs="Calibri"/>
                      <w:sz w:val="21"/>
                    </w:rPr>
                  </w:pPr>
                  <w:r>
                    <w:rPr>
                      <w:rFonts w:hint="eastAsia" w:cs="Calibri"/>
                      <w:sz w:val="21"/>
                    </w:rPr>
                    <w:t>1</w:t>
                  </w:r>
                </w:p>
              </w:tc>
              <w:tc>
                <w:tcPr>
                  <w:tcW w:w="426" w:type="dxa"/>
                  <w:vMerge w:val="restart"/>
                  <w:vAlign w:val="center"/>
                </w:tcPr>
                <w:p>
                  <w:pPr>
                    <w:jc w:val="center"/>
                    <w:rPr>
                      <w:rFonts w:cs="Calibri"/>
                      <w:sz w:val="21"/>
                    </w:rPr>
                  </w:pPr>
                  <w:r>
                    <w:rPr>
                      <w:rFonts w:hint="eastAsia" w:cs="Calibri"/>
                      <w:sz w:val="21"/>
                    </w:rPr>
                    <w:t>大气</w:t>
                  </w:r>
                </w:p>
              </w:tc>
              <w:tc>
                <w:tcPr>
                  <w:tcW w:w="1200" w:type="dxa"/>
                  <w:vMerge w:val="restart"/>
                  <w:vAlign w:val="center"/>
                </w:tcPr>
                <w:p>
                  <w:pPr>
                    <w:jc w:val="center"/>
                    <w:rPr>
                      <w:rFonts w:cs="Calibri"/>
                      <w:sz w:val="21"/>
                    </w:rPr>
                  </w:pPr>
                  <w:r>
                    <w:rPr>
                      <w:rFonts w:cs="Calibri"/>
                      <w:sz w:val="21"/>
                    </w:rPr>
                    <w:t>粉尘</w:t>
                  </w:r>
                </w:p>
              </w:tc>
              <w:tc>
                <w:tcPr>
                  <w:tcW w:w="3911" w:type="dxa"/>
                  <w:vAlign w:val="center"/>
                </w:tcPr>
                <w:p>
                  <w:pPr>
                    <w:jc w:val="center"/>
                    <w:rPr>
                      <w:rFonts w:cs="Calibri"/>
                      <w:sz w:val="21"/>
                    </w:rPr>
                  </w:pPr>
                  <w:r>
                    <w:rPr>
                      <w:rFonts w:cs="Calibri"/>
                      <w:sz w:val="21"/>
                    </w:rPr>
                    <w:t>物料装卸粉尘</w:t>
                  </w:r>
                  <w:r>
                    <w:rPr>
                      <w:rFonts w:hint="eastAsia" w:cs="Calibri"/>
                      <w:sz w:val="21"/>
                    </w:rPr>
                    <w:t>：</w:t>
                  </w:r>
                  <w:r>
                    <w:rPr>
                      <w:rFonts w:cs="Calibri"/>
                      <w:sz w:val="21"/>
                    </w:rPr>
                    <w:t>雾化喷淋系统，加强洒水；</w:t>
                  </w:r>
                </w:p>
                <w:p>
                  <w:pPr>
                    <w:jc w:val="center"/>
                    <w:rPr>
                      <w:rFonts w:cs="Calibri"/>
                      <w:sz w:val="21"/>
                    </w:rPr>
                  </w:pPr>
                  <w:r>
                    <w:rPr>
                      <w:rFonts w:cs="Calibri"/>
                      <w:sz w:val="21"/>
                    </w:rPr>
                    <w:t>传送带安装透明遮挡盖；</w:t>
                  </w:r>
                  <w:r>
                    <w:rPr>
                      <w:rFonts w:hint="eastAsia" w:cs="Calibri"/>
                      <w:sz w:val="21"/>
                    </w:rPr>
                    <w:t>原料、</w:t>
                  </w:r>
                  <w:r>
                    <w:rPr>
                      <w:rFonts w:cs="Calibri"/>
                      <w:sz w:val="21"/>
                    </w:rPr>
                    <w:t>成品</w:t>
                  </w:r>
                  <w:r>
                    <w:rPr>
                      <w:rFonts w:hint="eastAsia" w:cs="Calibri"/>
                      <w:sz w:val="21"/>
                    </w:rPr>
                    <w:t>仓库</w:t>
                  </w:r>
                  <w:r>
                    <w:rPr>
                      <w:rFonts w:cs="Calibri"/>
                      <w:sz w:val="21"/>
                    </w:rPr>
                    <w:t>进行</w:t>
                  </w:r>
                  <w:r>
                    <w:rPr>
                      <w:rFonts w:hint="eastAsia" w:cs="Calibri"/>
                      <w:sz w:val="21"/>
                    </w:rPr>
                    <w:t>全封闭</w:t>
                  </w:r>
                </w:p>
              </w:tc>
              <w:tc>
                <w:tcPr>
                  <w:tcW w:w="1314" w:type="dxa"/>
                  <w:vAlign w:val="center"/>
                </w:tcPr>
                <w:p>
                  <w:pPr>
                    <w:jc w:val="center"/>
                    <w:rPr>
                      <w:rFonts w:cs="Calibri"/>
                      <w:sz w:val="21"/>
                    </w:rPr>
                  </w:pPr>
                  <w:r>
                    <w:rPr>
                      <w:rFonts w:hint="eastAsia" w:cs="Calibri"/>
                      <w:sz w:val="21"/>
                    </w:rPr>
                    <w:t>26</w:t>
                  </w:r>
                </w:p>
              </w:tc>
              <w:tc>
                <w:tcPr>
                  <w:tcW w:w="704" w:type="dxa"/>
                  <w:vAlign w:val="center"/>
                </w:tcPr>
                <w:p>
                  <w:pPr>
                    <w:jc w:val="center"/>
                    <w:rPr>
                      <w:rFonts w:cs="Calibri"/>
                      <w:sz w:val="21"/>
                    </w:rPr>
                  </w:pPr>
                  <w:r>
                    <w:rPr>
                      <w:rFonts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vAlign w:val="center"/>
                </w:tcPr>
                <w:p>
                  <w:pPr>
                    <w:jc w:val="center"/>
                    <w:rPr>
                      <w:rFonts w:cs="Calibri"/>
                      <w:sz w:val="21"/>
                    </w:rPr>
                  </w:pPr>
                  <w:r>
                    <w:rPr>
                      <w:rFonts w:hint="eastAsia" w:cs="Calibri"/>
                      <w:sz w:val="21"/>
                    </w:rPr>
                    <w:t>2</w:t>
                  </w:r>
                </w:p>
              </w:tc>
              <w:tc>
                <w:tcPr>
                  <w:tcW w:w="426" w:type="dxa"/>
                  <w:vMerge w:val="continue"/>
                  <w:vAlign w:val="center"/>
                </w:tcPr>
                <w:p>
                  <w:pPr>
                    <w:jc w:val="center"/>
                    <w:rPr>
                      <w:rFonts w:cs="Calibri"/>
                      <w:sz w:val="21"/>
                    </w:rPr>
                  </w:pPr>
                </w:p>
              </w:tc>
              <w:tc>
                <w:tcPr>
                  <w:tcW w:w="1200" w:type="dxa"/>
                  <w:vMerge w:val="continue"/>
                  <w:vAlign w:val="center"/>
                </w:tcPr>
                <w:p>
                  <w:pPr>
                    <w:jc w:val="center"/>
                    <w:rPr>
                      <w:rFonts w:cs="Calibri"/>
                      <w:sz w:val="21"/>
                    </w:rPr>
                  </w:pPr>
                </w:p>
              </w:tc>
              <w:tc>
                <w:tcPr>
                  <w:tcW w:w="3911" w:type="dxa"/>
                  <w:vAlign w:val="center"/>
                </w:tcPr>
                <w:p>
                  <w:pPr>
                    <w:jc w:val="center"/>
                    <w:rPr>
                      <w:rFonts w:cs="Calibri"/>
                      <w:sz w:val="21"/>
                    </w:rPr>
                  </w:pPr>
                  <w:r>
                    <w:rPr>
                      <w:rFonts w:hint="eastAsia" w:cs="Calibri"/>
                      <w:sz w:val="21"/>
                    </w:rPr>
                    <w:t>破碎加工粉尘：</w:t>
                  </w:r>
                  <w:r>
                    <w:rPr>
                      <w:rFonts w:cs="Calibri"/>
                      <w:sz w:val="21"/>
                    </w:rPr>
                    <w:t>洒水降尘、原料增湿</w:t>
                  </w:r>
                  <w:r>
                    <w:rPr>
                      <w:rFonts w:hint="eastAsia" w:cs="Calibri"/>
                      <w:sz w:val="21"/>
                    </w:rPr>
                    <w:t>、</w:t>
                  </w:r>
                  <w:r>
                    <w:rPr>
                      <w:rFonts w:cs="Calibri"/>
                      <w:sz w:val="21"/>
                    </w:rPr>
                    <w:t>封闭车间</w:t>
                  </w:r>
                </w:p>
              </w:tc>
              <w:tc>
                <w:tcPr>
                  <w:tcW w:w="1314" w:type="dxa"/>
                  <w:vAlign w:val="center"/>
                </w:tcPr>
                <w:p>
                  <w:pPr>
                    <w:jc w:val="center"/>
                    <w:rPr>
                      <w:rFonts w:cs="Calibri"/>
                      <w:sz w:val="21"/>
                    </w:rPr>
                  </w:pPr>
                  <w:r>
                    <w:rPr>
                      <w:rFonts w:hint="eastAsia" w:cs="Calibri"/>
                      <w:sz w:val="21"/>
                    </w:rPr>
                    <w:t>3</w:t>
                  </w:r>
                </w:p>
              </w:tc>
              <w:tc>
                <w:tcPr>
                  <w:tcW w:w="704" w:type="dxa"/>
                  <w:vAlign w:val="center"/>
                </w:tcPr>
                <w:p>
                  <w:pPr>
                    <w:jc w:val="center"/>
                    <w:rPr>
                      <w:rFonts w:cs="Calibri"/>
                      <w:sz w:val="21"/>
                    </w:rPr>
                  </w:pPr>
                  <w:r>
                    <w:rPr>
                      <w:rFonts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vAlign w:val="center"/>
                </w:tcPr>
                <w:p>
                  <w:pPr>
                    <w:jc w:val="center"/>
                    <w:rPr>
                      <w:rFonts w:cs="Calibri"/>
                      <w:sz w:val="21"/>
                    </w:rPr>
                  </w:pPr>
                  <w:r>
                    <w:rPr>
                      <w:rFonts w:hint="eastAsia" w:cs="Calibri"/>
                      <w:sz w:val="21"/>
                    </w:rPr>
                    <w:t>3</w:t>
                  </w:r>
                </w:p>
              </w:tc>
              <w:tc>
                <w:tcPr>
                  <w:tcW w:w="426" w:type="dxa"/>
                  <w:vMerge w:val="continue"/>
                  <w:vAlign w:val="center"/>
                </w:tcPr>
                <w:p>
                  <w:pPr>
                    <w:jc w:val="center"/>
                    <w:rPr>
                      <w:rFonts w:cs="Calibri"/>
                      <w:sz w:val="21"/>
                    </w:rPr>
                  </w:pPr>
                </w:p>
              </w:tc>
              <w:tc>
                <w:tcPr>
                  <w:tcW w:w="1200" w:type="dxa"/>
                  <w:vMerge w:val="continue"/>
                  <w:vAlign w:val="center"/>
                </w:tcPr>
                <w:p>
                  <w:pPr>
                    <w:jc w:val="center"/>
                    <w:rPr>
                      <w:rFonts w:cs="Calibri"/>
                      <w:sz w:val="21"/>
                    </w:rPr>
                  </w:pPr>
                </w:p>
              </w:tc>
              <w:tc>
                <w:tcPr>
                  <w:tcW w:w="3911" w:type="dxa"/>
                  <w:vAlign w:val="center"/>
                </w:tcPr>
                <w:p>
                  <w:pPr>
                    <w:jc w:val="center"/>
                    <w:rPr>
                      <w:rFonts w:cs="Calibri"/>
                      <w:sz w:val="21"/>
                    </w:rPr>
                  </w:pPr>
                  <w:r>
                    <w:rPr>
                      <w:rFonts w:cs="Calibri"/>
                      <w:sz w:val="21"/>
                    </w:rPr>
                    <w:t>搅拌混合</w:t>
                  </w:r>
                  <w:r>
                    <w:rPr>
                      <w:rFonts w:hint="eastAsia" w:cs="Calibri"/>
                      <w:sz w:val="21"/>
                    </w:rPr>
                    <w:t>粉尘</w:t>
                  </w:r>
                  <w:r>
                    <w:rPr>
                      <w:rFonts w:cs="Calibri"/>
                      <w:sz w:val="21"/>
                    </w:rPr>
                    <w:t>：设备配套脉冲除尘器</w:t>
                  </w:r>
                  <w:r>
                    <w:rPr>
                      <w:rFonts w:hint="eastAsia" w:cs="Calibri"/>
                      <w:sz w:val="21"/>
                    </w:rPr>
                    <w:t>+封闭车间</w:t>
                  </w:r>
                  <w:r>
                    <w:rPr>
                      <w:rFonts w:cs="Calibri"/>
                      <w:sz w:val="21"/>
                    </w:rPr>
                    <w:t>+15m高排气筒</w:t>
                  </w:r>
                </w:p>
              </w:tc>
              <w:tc>
                <w:tcPr>
                  <w:tcW w:w="1314" w:type="dxa"/>
                  <w:vAlign w:val="center"/>
                </w:tcPr>
                <w:p>
                  <w:pPr>
                    <w:jc w:val="center"/>
                    <w:rPr>
                      <w:rFonts w:cs="Calibri"/>
                      <w:sz w:val="21"/>
                    </w:rPr>
                  </w:pPr>
                  <w:r>
                    <w:rPr>
                      <w:rFonts w:hint="eastAsia" w:cs="Calibri"/>
                      <w:sz w:val="21"/>
                    </w:rPr>
                    <w:t>3</w:t>
                  </w:r>
                </w:p>
              </w:tc>
              <w:tc>
                <w:tcPr>
                  <w:tcW w:w="704" w:type="dxa"/>
                  <w:vAlign w:val="center"/>
                </w:tcPr>
                <w:p>
                  <w:pPr>
                    <w:jc w:val="center"/>
                    <w:rPr>
                      <w:rFonts w:cs="Calibri"/>
                      <w:sz w:val="21"/>
                    </w:rPr>
                  </w:pPr>
                  <w:r>
                    <w:rPr>
                      <w:rFonts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vAlign w:val="center"/>
                </w:tcPr>
                <w:p>
                  <w:pPr>
                    <w:jc w:val="center"/>
                    <w:rPr>
                      <w:rFonts w:cs="Calibri"/>
                      <w:sz w:val="21"/>
                    </w:rPr>
                  </w:pPr>
                  <w:r>
                    <w:rPr>
                      <w:rFonts w:hint="eastAsia" w:cs="Calibri"/>
                      <w:sz w:val="21"/>
                    </w:rPr>
                    <w:t>4</w:t>
                  </w:r>
                </w:p>
              </w:tc>
              <w:tc>
                <w:tcPr>
                  <w:tcW w:w="426" w:type="dxa"/>
                  <w:vMerge w:val="continue"/>
                  <w:vAlign w:val="center"/>
                </w:tcPr>
                <w:p>
                  <w:pPr>
                    <w:jc w:val="center"/>
                    <w:rPr>
                      <w:rFonts w:cs="Calibri"/>
                      <w:sz w:val="21"/>
                    </w:rPr>
                  </w:pPr>
                </w:p>
              </w:tc>
              <w:tc>
                <w:tcPr>
                  <w:tcW w:w="1200" w:type="dxa"/>
                  <w:vMerge w:val="continue"/>
                  <w:vAlign w:val="center"/>
                </w:tcPr>
                <w:p>
                  <w:pPr>
                    <w:jc w:val="center"/>
                    <w:rPr>
                      <w:rFonts w:cs="Calibri"/>
                      <w:sz w:val="21"/>
                    </w:rPr>
                  </w:pPr>
                </w:p>
              </w:tc>
              <w:tc>
                <w:tcPr>
                  <w:tcW w:w="3911" w:type="dxa"/>
                  <w:vAlign w:val="center"/>
                </w:tcPr>
                <w:p>
                  <w:pPr>
                    <w:jc w:val="center"/>
                    <w:rPr>
                      <w:rFonts w:cs="Calibri"/>
                      <w:sz w:val="21"/>
                    </w:rPr>
                  </w:pPr>
                  <w:r>
                    <w:rPr>
                      <w:rFonts w:cs="Calibri"/>
                      <w:sz w:val="21"/>
                    </w:rPr>
                    <w:t>筒库</w:t>
                  </w:r>
                  <w:r>
                    <w:rPr>
                      <w:rFonts w:hint="eastAsia" w:cs="Calibri"/>
                      <w:sz w:val="21"/>
                    </w:rPr>
                    <w:t>粉尘</w:t>
                  </w:r>
                  <w:r>
                    <w:rPr>
                      <w:rFonts w:cs="Calibri"/>
                      <w:sz w:val="21"/>
                    </w:rPr>
                    <w:t>：设备配套脉冲除尘器</w:t>
                  </w:r>
                  <w:r>
                    <w:rPr>
                      <w:rFonts w:hint="eastAsia" w:cs="Calibri"/>
                      <w:sz w:val="21"/>
                    </w:rPr>
                    <w:t>+呼吸阀</w:t>
                  </w:r>
                </w:p>
              </w:tc>
              <w:tc>
                <w:tcPr>
                  <w:tcW w:w="1314" w:type="dxa"/>
                  <w:vAlign w:val="center"/>
                </w:tcPr>
                <w:p>
                  <w:pPr>
                    <w:jc w:val="center"/>
                    <w:rPr>
                      <w:rFonts w:cs="Calibri"/>
                      <w:sz w:val="21"/>
                    </w:rPr>
                  </w:pPr>
                  <w:r>
                    <w:rPr>
                      <w:rFonts w:cs="Calibri"/>
                      <w:sz w:val="21"/>
                    </w:rPr>
                    <w:t>设备配套设施，不进行重复计算</w:t>
                  </w:r>
                </w:p>
              </w:tc>
              <w:tc>
                <w:tcPr>
                  <w:tcW w:w="704" w:type="dxa"/>
                  <w:vAlign w:val="center"/>
                </w:tcPr>
                <w:p>
                  <w:pPr>
                    <w:jc w:val="center"/>
                    <w:rPr>
                      <w:rFonts w:cs="Calibri"/>
                      <w:sz w:val="21"/>
                    </w:rPr>
                  </w:pPr>
                  <w:r>
                    <w:rPr>
                      <w:rFonts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vAlign w:val="center"/>
                </w:tcPr>
                <w:p>
                  <w:pPr>
                    <w:jc w:val="center"/>
                    <w:rPr>
                      <w:rFonts w:cs="Calibri"/>
                      <w:sz w:val="21"/>
                    </w:rPr>
                  </w:pPr>
                  <w:r>
                    <w:rPr>
                      <w:rFonts w:hint="eastAsia" w:cs="Calibri"/>
                      <w:sz w:val="21"/>
                    </w:rPr>
                    <w:t>5</w:t>
                  </w:r>
                </w:p>
              </w:tc>
              <w:tc>
                <w:tcPr>
                  <w:tcW w:w="426" w:type="dxa"/>
                  <w:vMerge w:val="continue"/>
                  <w:vAlign w:val="center"/>
                </w:tcPr>
                <w:p>
                  <w:pPr>
                    <w:jc w:val="center"/>
                    <w:rPr>
                      <w:rFonts w:cs="Calibri"/>
                      <w:sz w:val="21"/>
                    </w:rPr>
                  </w:pPr>
                </w:p>
              </w:tc>
              <w:tc>
                <w:tcPr>
                  <w:tcW w:w="1200" w:type="dxa"/>
                  <w:vMerge w:val="continue"/>
                  <w:vAlign w:val="center"/>
                </w:tcPr>
                <w:p>
                  <w:pPr>
                    <w:jc w:val="center"/>
                    <w:rPr>
                      <w:rFonts w:cs="Calibri"/>
                      <w:sz w:val="21"/>
                    </w:rPr>
                  </w:pPr>
                </w:p>
              </w:tc>
              <w:tc>
                <w:tcPr>
                  <w:tcW w:w="3911" w:type="dxa"/>
                  <w:vAlign w:val="center"/>
                </w:tcPr>
                <w:p>
                  <w:pPr>
                    <w:jc w:val="center"/>
                    <w:rPr>
                      <w:rFonts w:cs="Calibri"/>
                      <w:sz w:val="21"/>
                    </w:rPr>
                  </w:pPr>
                  <w:r>
                    <w:rPr>
                      <w:rFonts w:cs="Calibri"/>
                      <w:sz w:val="21"/>
                    </w:rPr>
                    <w:t>道路</w:t>
                  </w:r>
                  <w:r>
                    <w:rPr>
                      <w:rFonts w:hint="eastAsia" w:cs="Calibri"/>
                      <w:sz w:val="21"/>
                    </w:rPr>
                    <w:t>运输</w:t>
                  </w:r>
                  <w:r>
                    <w:rPr>
                      <w:rFonts w:cs="Calibri"/>
                      <w:sz w:val="21"/>
                    </w:rPr>
                    <w:t>扬尘</w:t>
                  </w:r>
                  <w:r>
                    <w:rPr>
                      <w:rFonts w:hint="eastAsia" w:cs="Calibri"/>
                      <w:sz w:val="21"/>
                    </w:rPr>
                    <w:t>：洒水措施及道路喷淋设施，地面进行硬化</w:t>
                  </w:r>
                </w:p>
              </w:tc>
              <w:tc>
                <w:tcPr>
                  <w:tcW w:w="1314" w:type="dxa"/>
                  <w:vAlign w:val="center"/>
                </w:tcPr>
                <w:p>
                  <w:pPr>
                    <w:jc w:val="center"/>
                    <w:rPr>
                      <w:rFonts w:cs="Calibri"/>
                      <w:sz w:val="21"/>
                    </w:rPr>
                  </w:pPr>
                  <w:r>
                    <w:rPr>
                      <w:rFonts w:hint="eastAsia" w:cs="Calibri"/>
                      <w:sz w:val="21"/>
                    </w:rPr>
                    <w:t>3</w:t>
                  </w:r>
                </w:p>
              </w:tc>
              <w:tc>
                <w:tcPr>
                  <w:tcW w:w="704" w:type="dxa"/>
                  <w:vAlign w:val="center"/>
                </w:tcPr>
                <w:p>
                  <w:pPr>
                    <w:jc w:val="center"/>
                    <w:rPr>
                      <w:rFonts w:cs="Calibri"/>
                      <w:sz w:val="21"/>
                    </w:rPr>
                  </w:pPr>
                  <w:r>
                    <w:rPr>
                      <w:rFonts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vAlign w:val="center"/>
                </w:tcPr>
                <w:p>
                  <w:pPr>
                    <w:jc w:val="center"/>
                    <w:rPr>
                      <w:rFonts w:cs="Calibri"/>
                      <w:sz w:val="21"/>
                    </w:rPr>
                  </w:pPr>
                  <w:r>
                    <w:rPr>
                      <w:rFonts w:hint="eastAsia" w:cs="Calibri"/>
                      <w:sz w:val="21"/>
                    </w:rPr>
                    <w:t>6</w:t>
                  </w:r>
                </w:p>
              </w:tc>
              <w:tc>
                <w:tcPr>
                  <w:tcW w:w="426" w:type="dxa"/>
                  <w:vMerge w:val="continue"/>
                  <w:vAlign w:val="center"/>
                </w:tcPr>
                <w:p>
                  <w:pPr>
                    <w:jc w:val="center"/>
                    <w:rPr>
                      <w:rFonts w:cs="Calibri"/>
                      <w:sz w:val="21"/>
                    </w:rPr>
                  </w:pPr>
                </w:p>
              </w:tc>
              <w:tc>
                <w:tcPr>
                  <w:tcW w:w="1200" w:type="dxa"/>
                  <w:vAlign w:val="center"/>
                </w:tcPr>
                <w:p>
                  <w:pPr>
                    <w:jc w:val="center"/>
                    <w:rPr>
                      <w:rFonts w:cs="Calibri"/>
                      <w:sz w:val="21"/>
                    </w:rPr>
                  </w:pPr>
                  <w:r>
                    <w:rPr>
                      <w:rFonts w:cs="Calibri"/>
                      <w:sz w:val="21"/>
                    </w:rPr>
                    <w:t>油烟</w:t>
                  </w:r>
                </w:p>
              </w:tc>
              <w:tc>
                <w:tcPr>
                  <w:tcW w:w="3911" w:type="dxa"/>
                  <w:vAlign w:val="center"/>
                </w:tcPr>
                <w:p>
                  <w:pPr>
                    <w:jc w:val="center"/>
                    <w:rPr>
                      <w:rFonts w:cs="Calibri"/>
                      <w:sz w:val="21"/>
                    </w:rPr>
                  </w:pPr>
                  <w:r>
                    <w:rPr>
                      <w:rFonts w:cs="Calibri"/>
                      <w:sz w:val="21"/>
                    </w:rPr>
                    <w:t>油烟净化器+排气筒（高于屋顶）</w:t>
                  </w:r>
                </w:p>
              </w:tc>
              <w:tc>
                <w:tcPr>
                  <w:tcW w:w="1314" w:type="dxa"/>
                  <w:vAlign w:val="center"/>
                </w:tcPr>
                <w:p>
                  <w:pPr>
                    <w:jc w:val="center"/>
                    <w:rPr>
                      <w:rFonts w:cs="Calibri"/>
                      <w:sz w:val="21"/>
                    </w:rPr>
                  </w:pPr>
                  <w:r>
                    <w:rPr>
                      <w:rFonts w:hint="eastAsia" w:cs="Calibri"/>
                      <w:sz w:val="21"/>
                    </w:rPr>
                    <w:t>1</w:t>
                  </w:r>
                </w:p>
              </w:tc>
              <w:tc>
                <w:tcPr>
                  <w:tcW w:w="704" w:type="dxa"/>
                  <w:vAlign w:val="center"/>
                </w:tcPr>
                <w:p>
                  <w:pPr>
                    <w:jc w:val="center"/>
                    <w:rPr>
                      <w:rFonts w:cs="Calibri"/>
                      <w:sz w:val="21"/>
                    </w:rPr>
                  </w:pPr>
                  <w:r>
                    <w:rPr>
                      <w:rFonts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vAlign w:val="center"/>
                </w:tcPr>
                <w:p>
                  <w:pPr>
                    <w:jc w:val="center"/>
                    <w:rPr>
                      <w:rFonts w:cs="Calibri"/>
                      <w:sz w:val="21"/>
                    </w:rPr>
                  </w:pPr>
                  <w:r>
                    <w:rPr>
                      <w:rFonts w:hint="eastAsia" w:cs="Calibri"/>
                      <w:sz w:val="21"/>
                    </w:rPr>
                    <w:t>7</w:t>
                  </w:r>
                </w:p>
              </w:tc>
              <w:tc>
                <w:tcPr>
                  <w:tcW w:w="426" w:type="dxa"/>
                  <w:vMerge w:val="restart"/>
                  <w:vAlign w:val="center"/>
                </w:tcPr>
                <w:p>
                  <w:pPr>
                    <w:jc w:val="center"/>
                    <w:rPr>
                      <w:rFonts w:cs="Calibri"/>
                      <w:sz w:val="21"/>
                    </w:rPr>
                  </w:pPr>
                  <w:r>
                    <w:rPr>
                      <w:rFonts w:cs="Calibri"/>
                      <w:sz w:val="21"/>
                    </w:rPr>
                    <w:t>废水</w:t>
                  </w:r>
                </w:p>
              </w:tc>
              <w:tc>
                <w:tcPr>
                  <w:tcW w:w="1200" w:type="dxa"/>
                  <w:vAlign w:val="center"/>
                </w:tcPr>
                <w:p>
                  <w:pPr>
                    <w:jc w:val="center"/>
                    <w:rPr>
                      <w:rFonts w:cs="Calibri"/>
                      <w:sz w:val="21"/>
                    </w:rPr>
                  </w:pPr>
                  <w:r>
                    <w:rPr>
                      <w:rFonts w:cs="Calibri"/>
                      <w:sz w:val="21"/>
                    </w:rPr>
                    <w:t>生活废水</w:t>
                  </w:r>
                </w:p>
              </w:tc>
              <w:tc>
                <w:tcPr>
                  <w:tcW w:w="3911" w:type="dxa"/>
                  <w:vAlign w:val="center"/>
                </w:tcPr>
                <w:p>
                  <w:pPr>
                    <w:jc w:val="center"/>
                    <w:rPr>
                      <w:rFonts w:cs="Calibri"/>
                      <w:sz w:val="21"/>
                    </w:rPr>
                  </w:pPr>
                  <w:r>
                    <w:rPr>
                      <w:rFonts w:cs="Calibri"/>
                      <w:sz w:val="21"/>
                    </w:rPr>
                    <w:t>化粪池</w:t>
                  </w:r>
                </w:p>
              </w:tc>
              <w:tc>
                <w:tcPr>
                  <w:tcW w:w="1314" w:type="dxa"/>
                  <w:vAlign w:val="center"/>
                </w:tcPr>
                <w:p>
                  <w:pPr>
                    <w:jc w:val="center"/>
                    <w:rPr>
                      <w:rFonts w:cs="Calibri"/>
                      <w:sz w:val="21"/>
                    </w:rPr>
                  </w:pPr>
                  <w:r>
                    <w:rPr>
                      <w:rFonts w:hint="eastAsia" w:cs="Calibri"/>
                      <w:sz w:val="21"/>
                    </w:rPr>
                    <w:t>1</w:t>
                  </w:r>
                </w:p>
              </w:tc>
              <w:tc>
                <w:tcPr>
                  <w:tcW w:w="704" w:type="dxa"/>
                  <w:vAlign w:val="center"/>
                </w:tcPr>
                <w:p>
                  <w:pPr>
                    <w:jc w:val="center"/>
                    <w:rPr>
                      <w:rFonts w:cs="Calibri"/>
                      <w:sz w:val="21"/>
                    </w:rPr>
                  </w:pPr>
                  <w:r>
                    <w:rPr>
                      <w:rFonts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728" w:type="dxa"/>
                  <w:vAlign w:val="center"/>
                </w:tcPr>
                <w:p>
                  <w:pPr>
                    <w:jc w:val="center"/>
                    <w:rPr>
                      <w:rFonts w:cs="Calibri"/>
                      <w:sz w:val="21"/>
                    </w:rPr>
                  </w:pPr>
                  <w:r>
                    <w:rPr>
                      <w:rFonts w:hint="eastAsia" w:cs="Calibri"/>
                      <w:sz w:val="21"/>
                    </w:rPr>
                    <w:t>8</w:t>
                  </w:r>
                </w:p>
              </w:tc>
              <w:tc>
                <w:tcPr>
                  <w:tcW w:w="426" w:type="dxa"/>
                  <w:vMerge w:val="continue"/>
                  <w:vAlign w:val="center"/>
                </w:tcPr>
                <w:p>
                  <w:pPr>
                    <w:jc w:val="center"/>
                    <w:rPr>
                      <w:rFonts w:cs="Calibri"/>
                      <w:sz w:val="21"/>
                    </w:rPr>
                  </w:pPr>
                </w:p>
              </w:tc>
              <w:tc>
                <w:tcPr>
                  <w:tcW w:w="1200" w:type="dxa"/>
                  <w:vAlign w:val="center"/>
                </w:tcPr>
                <w:p>
                  <w:pPr>
                    <w:jc w:val="center"/>
                    <w:rPr>
                      <w:rFonts w:cs="Calibri"/>
                      <w:sz w:val="21"/>
                    </w:rPr>
                  </w:pPr>
                  <w:r>
                    <w:rPr>
                      <w:rFonts w:cs="Calibri"/>
                      <w:sz w:val="21"/>
                    </w:rPr>
                    <w:t>清洗用水</w:t>
                  </w:r>
                </w:p>
              </w:tc>
              <w:tc>
                <w:tcPr>
                  <w:tcW w:w="3911" w:type="dxa"/>
                  <w:vMerge w:val="restart"/>
                  <w:vAlign w:val="center"/>
                </w:tcPr>
                <w:p>
                  <w:pPr>
                    <w:jc w:val="center"/>
                    <w:rPr>
                      <w:rFonts w:cs="Calibri"/>
                      <w:sz w:val="21"/>
                    </w:rPr>
                  </w:pPr>
                  <w:r>
                    <w:rPr>
                      <w:rFonts w:hint="eastAsia" w:cs="Calibri"/>
                      <w:sz w:val="21"/>
                    </w:rPr>
                    <w:t>沉淀池</w:t>
                  </w:r>
                </w:p>
              </w:tc>
              <w:tc>
                <w:tcPr>
                  <w:tcW w:w="1314" w:type="dxa"/>
                  <w:vMerge w:val="restart"/>
                  <w:vAlign w:val="center"/>
                </w:tcPr>
                <w:p>
                  <w:pPr>
                    <w:jc w:val="center"/>
                    <w:rPr>
                      <w:rFonts w:cs="Calibri"/>
                      <w:sz w:val="21"/>
                    </w:rPr>
                  </w:pPr>
                  <w:r>
                    <w:rPr>
                      <w:rFonts w:hint="eastAsia" w:cs="Calibri"/>
                      <w:sz w:val="21"/>
                    </w:rPr>
                    <w:t>8</w:t>
                  </w:r>
                </w:p>
              </w:tc>
              <w:tc>
                <w:tcPr>
                  <w:tcW w:w="704" w:type="dxa"/>
                  <w:vMerge w:val="restart"/>
                  <w:vAlign w:val="center"/>
                </w:tcPr>
                <w:p>
                  <w:pPr>
                    <w:jc w:val="center"/>
                    <w:rPr>
                      <w:rFonts w:cs="Calibri"/>
                      <w:sz w:val="21"/>
                    </w:rPr>
                  </w:pPr>
                  <w:r>
                    <w:rPr>
                      <w:rFonts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728" w:type="dxa"/>
                  <w:vAlign w:val="center"/>
                </w:tcPr>
                <w:p>
                  <w:pPr>
                    <w:jc w:val="center"/>
                    <w:rPr>
                      <w:rFonts w:cs="Calibri"/>
                      <w:sz w:val="21"/>
                    </w:rPr>
                  </w:pPr>
                  <w:r>
                    <w:rPr>
                      <w:rFonts w:hint="eastAsia" w:cs="Calibri"/>
                      <w:sz w:val="21"/>
                    </w:rPr>
                    <w:t>9</w:t>
                  </w:r>
                </w:p>
              </w:tc>
              <w:tc>
                <w:tcPr>
                  <w:tcW w:w="426" w:type="dxa"/>
                  <w:vMerge w:val="continue"/>
                  <w:vAlign w:val="center"/>
                </w:tcPr>
                <w:p>
                  <w:pPr>
                    <w:jc w:val="center"/>
                    <w:rPr>
                      <w:rFonts w:cs="Calibri"/>
                      <w:sz w:val="21"/>
                    </w:rPr>
                  </w:pPr>
                </w:p>
              </w:tc>
              <w:tc>
                <w:tcPr>
                  <w:tcW w:w="1200" w:type="dxa"/>
                  <w:vAlign w:val="center"/>
                </w:tcPr>
                <w:p>
                  <w:pPr>
                    <w:jc w:val="center"/>
                    <w:rPr>
                      <w:rFonts w:cs="Calibri"/>
                      <w:sz w:val="21"/>
                    </w:rPr>
                  </w:pPr>
                  <w:r>
                    <w:rPr>
                      <w:rFonts w:hint="eastAsia" w:cs="Calibri"/>
                      <w:sz w:val="21"/>
                    </w:rPr>
                    <w:t>初期雨水</w:t>
                  </w:r>
                </w:p>
              </w:tc>
              <w:tc>
                <w:tcPr>
                  <w:tcW w:w="3911" w:type="dxa"/>
                  <w:vMerge w:val="continue"/>
                  <w:vAlign w:val="center"/>
                </w:tcPr>
                <w:p>
                  <w:pPr>
                    <w:jc w:val="center"/>
                    <w:rPr>
                      <w:rFonts w:cs="Calibri"/>
                      <w:sz w:val="21"/>
                    </w:rPr>
                  </w:pPr>
                </w:p>
              </w:tc>
              <w:tc>
                <w:tcPr>
                  <w:tcW w:w="1314" w:type="dxa"/>
                  <w:vMerge w:val="continue"/>
                  <w:vAlign w:val="center"/>
                </w:tcPr>
                <w:p>
                  <w:pPr>
                    <w:jc w:val="center"/>
                    <w:rPr>
                      <w:rFonts w:cs="Calibri"/>
                      <w:sz w:val="21"/>
                    </w:rPr>
                  </w:pPr>
                </w:p>
              </w:tc>
              <w:tc>
                <w:tcPr>
                  <w:tcW w:w="704"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728" w:type="dxa"/>
                  <w:vAlign w:val="center"/>
                </w:tcPr>
                <w:p>
                  <w:pPr>
                    <w:jc w:val="center"/>
                    <w:rPr>
                      <w:rFonts w:cs="Calibri"/>
                      <w:sz w:val="21"/>
                    </w:rPr>
                  </w:pPr>
                  <w:r>
                    <w:rPr>
                      <w:rFonts w:hint="eastAsia" w:cs="Calibri"/>
                      <w:sz w:val="21"/>
                    </w:rPr>
                    <w:t>10</w:t>
                  </w:r>
                </w:p>
              </w:tc>
              <w:tc>
                <w:tcPr>
                  <w:tcW w:w="1626" w:type="dxa"/>
                  <w:gridSpan w:val="2"/>
                  <w:vAlign w:val="center"/>
                </w:tcPr>
                <w:p>
                  <w:pPr>
                    <w:jc w:val="center"/>
                    <w:rPr>
                      <w:rFonts w:cs="Calibri"/>
                      <w:sz w:val="21"/>
                    </w:rPr>
                  </w:pPr>
                  <w:r>
                    <w:rPr>
                      <w:rFonts w:cs="Calibri"/>
                      <w:sz w:val="21"/>
                    </w:rPr>
                    <w:t>噪声</w:t>
                  </w:r>
                </w:p>
              </w:tc>
              <w:tc>
                <w:tcPr>
                  <w:tcW w:w="3911" w:type="dxa"/>
                  <w:vAlign w:val="center"/>
                </w:tcPr>
                <w:p>
                  <w:pPr>
                    <w:jc w:val="center"/>
                    <w:rPr>
                      <w:rFonts w:cs="Calibri"/>
                      <w:sz w:val="21"/>
                    </w:rPr>
                  </w:pPr>
                  <w:r>
                    <w:rPr>
                      <w:rFonts w:cs="Calibri"/>
                      <w:sz w:val="21"/>
                    </w:rPr>
                    <w:t>基础减震、隔声等降噪措施</w:t>
                  </w:r>
                </w:p>
              </w:tc>
              <w:tc>
                <w:tcPr>
                  <w:tcW w:w="1314" w:type="dxa"/>
                  <w:vAlign w:val="center"/>
                </w:tcPr>
                <w:p>
                  <w:pPr>
                    <w:jc w:val="center"/>
                    <w:rPr>
                      <w:rFonts w:cs="Calibri"/>
                      <w:sz w:val="21"/>
                    </w:rPr>
                  </w:pPr>
                  <w:r>
                    <w:rPr>
                      <w:rFonts w:hint="eastAsia" w:cs="Calibri"/>
                      <w:sz w:val="21"/>
                    </w:rPr>
                    <w:t>6</w:t>
                  </w:r>
                </w:p>
              </w:tc>
              <w:tc>
                <w:tcPr>
                  <w:tcW w:w="704" w:type="dxa"/>
                  <w:vAlign w:val="center"/>
                </w:tcPr>
                <w:p>
                  <w:pPr>
                    <w:jc w:val="center"/>
                    <w:rPr>
                      <w:rFonts w:cs="Calibri"/>
                      <w:sz w:val="21"/>
                    </w:rPr>
                  </w:pPr>
                  <w:r>
                    <w:rPr>
                      <w:rFonts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vAlign w:val="center"/>
                </w:tcPr>
                <w:p>
                  <w:pPr>
                    <w:jc w:val="center"/>
                    <w:rPr>
                      <w:rFonts w:cs="Calibri"/>
                      <w:sz w:val="21"/>
                    </w:rPr>
                  </w:pPr>
                  <w:r>
                    <w:rPr>
                      <w:rFonts w:hint="eastAsia" w:cs="Calibri"/>
                      <w:sz w:val="21"/>
                    </w:rPr>
                    <w:t>11</w:t>
                  </w:r>
                </w:p>
              </w:tc>
              <w:tc>
                <w:tcPr>
                  <w:tcW w:w="426" w:type="dxa"/>
                  <w:vMerge w:val="restart"/>
                  <w:vAlign w:val="center"/>
                </w:tcPr>
                <w:p>
                  <w:pPr>
                    <w:jc w:val="center"/>
                    <w:rPr>
                      <w:rFonts w:cs="Calibri"/>
                      <w:sz w:val="21"/>
                    </w:rPr>
                  </w:pPr>
                  <w:r>
                    <w:rPr>
                      <w:rFonts w:hint="eastAsia" w:cs="Calibri"/>
                      <w:sz w:val="21"/>
                    </w:rPr>
                    <w:t>固废</w:t>
                  </w:r>
                </w:p>
              </w:tc>
              <w:tc>
                <w:tcPr>
                  <w:tcW w:w="1200" w:type="dxa"/>
                  <w:vAlign w:val="center"/>
                </w:tcPr>
                <w:p>
                  <w:pPr>
                    <w:jc w:val="center"/>
                    <w:rPr>
                      <w:rFonts w:cs="Calibri"/>
                      <w:sz w:val="21"/>
                    </w:rPr>
                  </w:pPr>
                  <w:r>
                    <w:rPr>
                      <w:rFonts w:hint="eastAsia" w:cs="Calibri"/>
                      <w:sz w:val="21"/>
                    </w:rPr>
                    <w:t>生活垃圾</w:t>
                  </w:r>
                </w:p>
              </w:tc>
              <w:tc>
                <w:tcPr>
                  <w:tcW w:w="3911" w:type="dxa"/>
                  <w:vAlign w:val="center"/>
                </w:tcPr>
                <w:p>
                  <w:pPr>
                    <w:jc w:val="center"/>
                    <w:rPr>
                      <w:rFonts w:cs="Calibri"/>
                      <w:sz w:val="21"/>
                    </w:rPr>
                  </w:pPr>
                  <w:r>
                    <w:rPr>
                      <w:rFonts w:hint="eastAsia" w:cs="Calibri"/>
                      <w:sz w:val="21"/>
                    </w:rPr>
                    <w:t>垃圾池</w:t>
                  </w:r>
                </w:p>
              </w:tc>
              <w:tc>
                <w:tcPr>
                  <w:tcW w:w="1314" w:type="dxa"/>
                  <w:vAlign w:val="center"/>
                </w:tcPr>
                <w:p>
                  <w:pPr>
                    <w:jc w:val="center"/>
                    <w:rPr>
                      <w:rFonts w:cs="Calibri"/>
                      <w:sz w:val="21"/>
                    </w:rPr>
                  </w:pPr>
                  <w:r>
                    <w:rPr>
                      <w:rFonts w:hint="eastAsia" w:cs="Calibri"/>
                      <w:sz w:val="21"/>
                    </w:rPr>
                    <w:t>0.5</w:t>
                  </w:r>
                </w:p>
              </w:tc>
              <w:tc>
                <w:tcPr>
                  <w:tcW w:w="704" w:type="dxa"/>
                  <w:vAlign w:val="center"/>
                </w:tcPr>
                <w:p>
                  <w:pPr>
                    <w:jc w:val="center"/>
                    <w:rPr>
                      <w:rFonts w:cs="Calibri"/>
                      <w:sz w:val="21"/>
                    </w:rPr>
                  </w:pPr>
                  <w:r>
                    <w:rPr>
                      <w:rFonts w:hint="eastAsia"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vAlign w:val="center"/>
                </w:tcPr>
                <w:p>
                  <w:pPr>
                    <w:jc w:val="center"/>
                    <w:rPr>
                      <w:rFonts w:cs="Calibri"/>
                      <w:sz w:val="21"/>
                    </w:rPr>
                  </w:pPr>
                  <w:r>
                    <w:rPr>
                      <w:rFonts w:hint="eastAsia" w:cs="Calibri"/>
                      <w:sz w:val="21"/>
                    </w:rPr>
                    <w:t>12</w:t>
                  </w:r>
                </w:p>
              </w:tc>
              <w:tc>
                <w:tcPr>
                  <w:tcW w:w="426" w:type="dxa"/>
                  <w:vMerge w:val="continue"/>
                  <w:vAlign w:val="center"/>
                </w:tcPr>
                <w:p>
                  <w:pPr>
                    <w:jc w:val="center"/>
                    <w:rPr>
                      <w:rFonts w:cs="Calibri"/>
                      <w:sz w:val="21"/>
                    </w:rPr>
                  </w:pPr>
                </w:p>
              </w:tc>
              <w:tc>
                <w:tcPr>
                  <w:tcW w:w="1200" w:type="dxa"/>
                  <w:vAlign w:val="center"/>
                </w:tcPr>
                <w:p>
                  <w:pPr>
                    <w:jc w:val="center"/>
                    <w:rPr>
                      <w:rFonts w:cs="Calibri"/>
                      <w:sz w:val="21"/>
                    </w:rPr>
                  </w:pPr>
                  <w:r>
                    <w:rPr>
                      <w:rFonts w:hint="eastAsia" w:cs="Calibri"/>
                      <w:sz w:val="21"/>
                    </w:rPr>
                    <w:t>危废</w:t>
                  </w:r>
                </w:p>
              </w:tc>
              <w:tc>
                <w:tcPr>
                  <w:tcW w:w="3911" w:type="dxa"/>
                  <w:vAlign w:val="center"/>
                </w:tcPr>
                <w:p>
                  <w:pPr>
                    <w:jc w:val="center"/>
                    <w:rPr>
                      <w:rFonts w:cs="Calibri"/>
                      <w:sz w:val="21"/>
                    </w:rPr>
                  </w:pPr>
                  <w:r>
                    <w:rPr>
                      <w:rFonts w:hint="eastAsia" w:cs="Calibri"/>
                      <w:sz w:val="21"/>
                    </w:rPr>
                    <w:t>危废暂存间</w:t>
                  </w:r>
                </w:p>
              </w:tc>
              <w:tc>
                <w:tcPr>
                  <w:tcW w:w="1314" w:type="dxa"/>
                  <w:vAlign w:val="center"/>
                </w:tcPr>
                <w:p>
                  <w:pPr>
                    <w:jc w:val="center"/>
                    <w:rPr>
                      <w:rFonts w:cs="Calibri"/>
                      <w:sz w:val="21"/>
                    </w:rPr>
                  </w:pPr>
                  <w:r>
                    <w:rPr>
                      <w:rFonts w:hint="eastAsia" w:cs="Calibri"/>
                      <w:sz w:val="21"/>
                    </w:rPr>
                    <w:t>1.5</w:t>
                  </w:r>
                </w:p>
              </w:tc>
              <w:tc>
                <w:tcPr>
                  <w:tcW w:w="704" w:type="dxa"/>
                  <w:vAlign w:val="center"/>
                </w:tcPr>
                <w:p>
                  <w:pPr>
                    <w:jc w:val="center"/>
                    <w:rPr>
                      <w:rFonts w:cs="Calibri"/>
                      <w:sz w:val="21"/>
                    </w:rPr>
                  </w:pPr>
                  <w:r>
                    <w:rPr>
                      <w:rFonts w:hint="eastAsia"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28" w:type="dxa"/>
                  <w:vAlign w:val="center"/>
                </w:tcPr>
                <w:p>
                  <w:pPr>
                    <w:jc w:val="center"/>
                    <w:rPr>
                      <w:rFonts w:cs="Calibri"/>
                      <w:sz w:val="21"/>
                    </w:rPr>
                  </w:pPr>
                  <w:r>
                    <w:rPr>
                      <w:rFonts w:hint="eastAsia" w:cs="Calibri"/>
                      <w:sz w:val="21"/>
                    </w:rPr>
                    <w:t>13</w:t>
                  </w:r>
                </w:p>
              </w:tc>
              <w:tc>
                <w:tcPr>
                  <w:tcW w:w="1626" w:type="dxa"/>
                  <w:gridSpan w:val="2"/>
                  <w:vAlign w:val="center"/>
                </w:tcPr>
                <w:p>
                  <w:pPr>
                    <w:jc w:val="center"/>
                    <w:rPr>
                      <w:rFonts w:cs="Calibri"/>
                      <w:sz w:val="21"/>
                    </w:rPr>
                  </w:pPr>
                  <w:r>
                    <w:rPr>
                      <w:rFonts w:cs="Calibri"/>
                      <w:sz w:val="21"/>
                    </w:rPr>
                    <w:t>绿化</w:t>
                  </w:r>
                </w:p>
              </w:tc>
              <w:tc>
                <w:tcPr>
                  <w:tcW w:w="3911" w:type="dxa"/>
                  <w:vAlign w:val="center"/>
                </w:tcPr>
                <w:p>
                  <w:pPr>
                    <w:jc w:val="center"/>
                    <w:rPr>
                      <w:rFonts w:cs="Calibri"/>
                      <w:sz w:val="21"/>
                    </w:rPr>
                  </w:pPr>
                  <w:r>
                    <w:rPr>
                      <w:rFonts w:cs="Calibri"/>
                      <w:sz w:val="21"/>
                    </w:rPr>
                    <w:t>栽种树木、花草</w:t>
                  </w:r>
                </w:p>
              </w:tc>
              <w:tc>
                <w:tcPr>
                  <w:tcW w:w="1314" w:type="dxa"/>
                  <w:vAlign w:val="center"/>
                </w:tcPr>
                <w:p>
                  <w:pPr>
                    <w:jc w:val="center"/>
                    <w:rPr>
                      <w:rFonts w:cs="Calibri"/>
                      <w:sz w:val="21"/>
                    </w:rPr>
                  </w:pPr>
                  <w:r>
                    <w:rPr>
                      <w:rFonts w:hint="eastAsia" w:cs="Calibri"/>
                      <w:sz w:val="21"/>
                    </w:rPr>
                    <w:t>12</w:t>
                  </w:r>
                </w:p>
              </w:tc>
              <w:tc>
                <w:tcPr>
                  <w:tcW w:w="704" w:type="dxa"/>
                  <w:vAlign w:val="center"/>
                </w:tcPr>
                <w:p>
                  <w:pPr>
                    <w:jc w:val="center"/>
                    <w:rPr>
                      <w:rFonts w:cs="Calibri"/>
                      <w:sz w:val="21"/>
                    </w:rPr>
                  </w:pPr>
                  <w:r>
                    <w:rPr>
                      <w:rFonts w:hint="eastAsia" w:cs="Calibri"/>
                      <w:sz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265" w:type="dxa"/>
                  <w:gridSpan w:val="4"/>
                  <w:vAlign w:val="center"/>
                </w:tcPr>
                <w:p>
                  <w:pPr>
                    <w:jc w:val="center"/>
                    <w:rPr>
                      <w:rFonts w:cs="Calibri"/>
                      <w:sz w:val="21"/>
                    </w:rPr>
                  </w:pPr>
                  <w:r>
                    <w:rPr>
                      <w:rFonts w:cs="Calibri"/>
                      <w:sz w:val="21"/>
                    </w:rPr>
                    <w:t>合计</w:t>
                  </w:r>
                </w:p>
              </w:tc>
              <w:tc>
                <w:tcPr>
                  <w:tcW w:w="1314" w:type="dxa"/>
                  <w:vAlign w:val="center"/>
                </w:tcPr>
                <w:p>
                  <w:pPr>
                    <w:jc w:val="center"/>
                    <w:rPr>
                      <w:rFonts w:cs="Calibri"/>
                      <w:sz w:val="21"/>
                    </w:rPr>
                  </w:pPr>
                  <w:r>
                    <w:rPr>
                      <w:rFonts w:hint="eastAsia" w:cs="Calibri"/>
                      <w:sz w:val="21"/>
                    </w:rPr>
                    <w:t>65</w:t>
                  </w:r>
                </w:p>
              </w:tc>
              <w:tc>
                <w:tcPr>
                  <w:tcW w:w="704" w:type="dxa"/>
                  <w:vAlign w:val="center"/>
                </w:tcPr>
                <w:p>
                  <w:pPr>
                    <w:jc w:val="center"/>
                    <w:rPr>
                      <w:rFonts w:cs="Calibri"/>
                      <w:sz w:val="21"/>
                    </w:rPr>
                  </w:pPr>
                  <w:r>
                    <w:rPr>
                      <w:rFonts w:cs="Calibri"/>
                      <w:sz w:val="21"/>
                    </w:rPr>
                    <w:t>--</w:t>
                  </w:r>
                </w:p>
              </w:tc>
            </w:tr>
          </w:tbl>
          <w:p>
            <w:pPr>
              <w:spacing w:line="360" w:lineRule="auto"/>
              <w:ind w:firstLine="482" w:firstLineChars="200"/>
              <w:rPr>
                <w:rFonts w:cs="Calibri"/>
                <w:b/>
                <w:sz w:val="24"/>
              </w:rPr>
            </w:pPr>
            <w:r>
              <w:rPr>
                <w:rFonts w:hint="eastAsia" w:cs="Calibri"/>
                <w:b/>
                <w:sz w:val="24"/>
              </w:rPr>
              <w:t>1</w:t>
            </w:r>
            <w:r>
              <w:rPr>
                <w:rFonts w:cs="Calibri"/>
                <w:b/>
                <w:sz w:val="24"/>
              </w:rPr>
              <w:t>1、“三同时”验收项目</w:t>
            </w:r>
          </w:p>
          <w:p>
            <w:pPr>
              <w:spacing w:line="360" w:lineRule="auto"/>
              <w:ind w:firstLine="480" w:firstLineChars="200"/>
              <w:rPr>
                <w:rFonts w:cs="Calibri"/>
                <w:sz w:val="24"/>
              </w:rPr>
            </w:pPr>
            <w:r>
              <w:rPr>
                <w:rFonts w:cs="Calibri"/>
                <w:sz w:val="24"/>
              </w:rPr>
              <w:t>根据国家规定，所有企业在建设项目时，必须实行“三同时”原则，即建设项目与环境保护设施必须同时设计、同时施工、同时运行。该项目环保投资主要为废水处理设施、废气处理措施及噪声控制等方面。</w:t>
            </w:r>
          </w:p>
          <w:p>
            <w:pPr>
              <w:jc w:val="center"/>
              <w:rPr>
                <w:rFonts w:cs="Calibri"/>
                <w:b/>
                <w:sz w:val="21"/>
              </w:rPr>
            </w:pPr>
            <w:r>
              <w:rPr>
                <w:rFonts w:cs="Calibri"/>
                <w:b/>
                <w:sz w:val="21"/>
              </w:rPr>
              <w:t>表29  项目环境保护“三同时”验收项目表</w:t>
            </w:r>
          </w:p>
          <w:tbl>
            <w:tblPr>
              <w:tblStyle w:val="18"/>
              <w:tblW w:w="8283"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1034"/>
              <w:gridCol w:w="634"/>
              <w:gridCol w:w="1067"/>
              <w:gridCol w:w="2058"/>
              <w:gridCol w:w="27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Align w:val="center"/>
                </w:tcPr>
                <w:p>
                  <w:pPr>
                    <w:jc w:val="center"/>
                    <w:rPr>
                      <w:rFonts w:cs="Calibri"/>
                      <w:sz w:val="21"/>
                    </w:rPr>
                  </w:pPr>
                  <w:r>
                    <w:rPr>
                      <w:rFonts w:cs="Calibri"/>
                      <w:sz w:val="21"/>
                    </w:rPr>
                    <w:t>污染类型</w:t>
                  </w:r>
                </w:p>
              </w:tc>
              <w:tc>
                <w:tcPr>
                  <w:tcW w:w="1034" w:type="dxa"/>
                  <w:vAlign w:val="center"/>
                </w:tcPr>
                <w:p>
                  <w:pPr>
                    <w:jc w:val="center"/>
                    <w:rPr>
                      <w:rFonts w:cs="Calibri"/>
                      <w:sz w:val="21"/>
                    </w:rPr>
                  </w:pPr>
                  <w:r>
                    <w:rPr>
                      <w:rFonts w:cs="Calibri"/>
                      <w:sz w:val="21"/>
                    </w:rPr>
                    <w:t>排放源</w:t>
                  </w:r>
                </w:p>
              </w:tc>
              <w:tc>
                <w:tcPr>
                  <w:tcW w:w="1701" w:type="dxa"/>
                  <w:gridSpan w:val="2"/>
                  <w:vAlign w:val="center"/>
                </w:tcPr>
                <w:p>
                  <w:pPr>
                    <w:jc w:val="center"/>
                    <w:rPr>
                      <w:rFonts w:cs="Calibri"/>
                      <w:sz w:val="21"/>
                    </w:rPr>
                  </w:pPr>
                  <w:r>
                    <w:rPr>
                      <w:rFonts w:cs="Calibri"/>
                      <w:sz w:val="21"/>
                    </w:rPr>
                    <w:t>监测因子</w:t>
                  </w:r>
                </w:p>
              </w:tc>
              <w:tc>
                <w:tcPr>
                  <w:tcW w:w="2058" w:type="dxa"/>
                  <w:vAlign w:val="center"/>
                </w:tcPr>
                <w:p>
                  <w:pPr>
                    <w:jc w:val="center"/>
                    <w:rPr>
                      <w:rFonts w:cs="Calibri"/>
                      <w:sz w:val="21"/>
                    </w:rPr>
                  </w:pPr>
                  <w:r>
                    <w:rPr>
                      <w:rFonts w:cs="Calibri"/>
                      <w:sz w:val="21"/>
                    </w:rPr>
                    <w:t>防治措施</w:t>
                  </w:r>
                </w:p>
              </w:tc>
              <w:tc>
                <w:tcPr>
                  <w:tcW w:w="2755" w:type="dxa"/>
                  <w:vAlign w:val="center"/>
                </w:tcPr>
                <w:p>
                  <w:pPr>
                    <w:jc w:val="center"/>
                    <w:rPr>
                      <w:rFonts w:cs="Calibri"/>
                      <w:sz w:val="21"/>
                    </w:rPr>
                  </w:pPr>
                  <w:r>
                    <w:rPr>
                      <w:rFonts w:cs="Calibri"/>
                      <w:sz w:val="21"/>
                    </w:rPr>
                    <w:t>验收执行标准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Align w:val="center"/>
                </w:tcPr>
                <w:p>
                  <w:pPr>
                    <w:jc w:val="center"/>
                    <w:rPr>
                      <w:rFonts w:cs="Calibri"/>
                      <w:sz w:val="21"/>
                    </w:rPr>
                  </w:pPr>
                  <w:r>
                    <w:rPr>
                      <w:rFonts w:cs="Calibri"/>
                      <w:sz w:val="21"/>
                    </w:rPr>
                    <w:t>施工期</w:t>
                  </w:r>
                </w:p>
              </w:tc>
              <w:tc>
                <w:tcPr>
                  <w:tcW w:w="1034" w:type="dxa"/>
                  <w:vAlign w:val="center"/>
                </w:tcPr>
                <w:p>
                  <w:pPr>
                    <w:jc w:val="center"/>
                    <w:rPr>
                      <w:rFonts w:cs="Calibri"/>
                      <w:sz w:val="21"/>
                    </w:rPr>
                  </w:pPr>
                  <w:r>
                    <w:rPr>
                      <w:rFonts w:cs="Calibri"/>
                      <w:sz w:val="21"/>
                    </w:rPr>
                    <w:t>施工场地</w:t>
                  </w:r>
                </w:p>
              </w:tc>
              <w:tc>
                <w:tcPr>
                  <w:tcW w:w="1701" w:type="dxa"/>
                  <w:gridSpan w:val="2"/>
                  <w:vAlign w:val="center"/>
                </w:tcPr>
                <w:p>
                  <w:pPr>
                    <w:jc w:val="center"/>
                    <w:rPr>
                      <w:rFonts w:cs="Calibri"/>
                      <w:sz w:val="21"/>
                    </w:rPr>
                  </w:pPr>
                  <w:r>
                    <w:rPr>
                      <w:rFonts w:cs="Calibri"/>
                      <w:sz w:val="21"/>
                    </w:rPr>
                    <w:t>扬尘、污水、噪声、垃圾等</w:t>
                  </w:r>
                </w:p>
              </w:tc>
              <w:tc>
                <w:tcPr>
                  <w:tcW w:w="2058" w:type="dxa"/>
                  <w:vAlign w:val="center"/>
                </w:tcPr>
                <w:p>
                  <w:pPr>
                    <w:jc w:val="center"/>
                    <w:rPr>
                      <w:rFonts w:cs="Calibri"/>
                      <w:sz w:val="21"/>
                    </w:rPr>
                  </w:pPr>
                  <w:r>
                    <w:rPr>
                      <w:rFonts w:cs="Calibri"/>
                      <w:sz w:val="21"/>
                    </w:rPr>
                    <w:t>设围挡、洒水降尘、低噪声设备等</w:t>
                  </w:r>
                </w:p>
              </w:tc>
              <w:tc>
                <w:tcPr>
                  <w:tcW w:w="2755" w:type="dxa"/>
                  <w:vAlign w:val="center"/>
                </w:tcPr>
                <w:p>
                  <w:pPr>
                    <w:jc w:val="center"/>
                    <w:rPr>
                      <w:rFonts w:cs="Calibri"/>
                      <w:sz w:val="21"/>
                    </w:rPr>
                  </w:pPr>
                  <w:r>
                    <w:rPr>
                      <w:rFonts w:cs="Calibri"/>
                      <w:sz w:val="21"/>
                    </w:rPr>
                    <w:t>减轻施工环境影响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5" w:type="dxa"/>
                  <w:vMerge w:val="restart"/>
                  <w:vAlign w:val="center"/>
                </w:tcPr>
                <w:p>
                  <w:pPr>
                    <w:jc w:val="center"/>
                    <w:rPr>
                      <w:rFonts w:cs="Calibri"/>
                      <w:sz w:val="21"/>
                    </w:rPr>
                  </w:pPr>
                  <w:r>
                    <w:rPr>
                      <w:rFonts w:hint="eastAsia" w:cs="Calibri"/>
                      <w:sz w:val="21"/>
                    </w:rPr>
                    <w:t>大气</w:t>
                  </w:r>
                </w:p>
              </w:tc>
              <w:tc>
                <w:tcPr>
                  <w:tcW w:w="1034" w:type="dxa"/>
                  <w:vAlign w:val="center"/>
                </w:tcPr>
                <w:p>
                  <w:pPr>
                    <w:jc w:val="center"/>
                    <w:rPr>
                      <w:rFonts w:cs="Calibri"/>
                      <w:sz w:val="21"/>
                    </w:rPr>
                  </w:pPr>
                  <w:r>
                    <w:rPr>
                      <w:rFonts w:cs="Calibri"/>
                      <w:sz w:val="21"/>
                    </w:rPr>
                    <w:t>物料装卸粉尘</w:t>
                  </w:r>
                </w:p>
              </w:tc>
              <w:tc>
                <w:tcPr>
                  <w:tcW w:w="1701" w:type="dxa"/>
                  <w:gridSpan w:val="2"/>
                  <w:vAlign w:val="center"/>
                </w:tcPr>
                <w:p>
                  <w:pPr>
                    <w:jc w:val="center"/>
                    <w:rPr>
                      <w:rFonts w:cs="Calibri"/>
                      <w:sz w:val="21"/>
                    </w:rPr>
                  </w:pPr>
                  <w:r>
                    <w:rPr>
                      <w:rFonts w:cs="Calibri"/>
                      <w:sz w:val="21"/>
                    </w:rPr>
                    <w:t>粉尘</w:t>
                  </w:r>
                </w:p>
              </w:tc>
              <w:tc>
                <w:tcPr>
                  <w:tcW w:w="2058" w:type="dxa"/>
                  <w:vAlign w:val="center"/>
                </w:tcPr>
                <w:p>
                  <w:pPr>
                    <w:jc w:val="center"/>
                    <w:rPr>
                      <w:rFonts w:cs="Calibri"/>
                      <w:sz w:val="21"/>
                    </w:rPr>
                  </w:pPr>
                  <w:r>
                    <w:rPr>
                      <w:rFonts w:cs="Calibri"/>
                      <w:sz w:val="21"/>
                    </w:rPr>
                    <w:t>篷布遮盖、传送带安装透明遮挡盖</w:t>
                  </w:r>
                </w:p>
              </w:tc>
              <w:tc>
                <w:tcPr>
                  <w:tcW w:w="2755" w:type="dxa"/>
                  <w:vMerge w:val="restart"/>
                  <w:vAlign w:val="center"/>
                </w:tcPr>
                <w:p>
                  <w:pPr>
                    <w:jc w:val="center"/>
                    <w:rPr>
                      <w:rFonts w:cs="Calibri"/>
                      <w:sz w:val="21"/>
                    </w:rPr>
                  </w:pPr>
                  <w:r>
                    <w:rPr>
                      <w:sz w:val="21"/>
                      <w:szCs w:val="21"/>
                    </w:rPr>
                    <w:t>《</w:t>
                  </w:r>
                  <w:r>
                    <w:rPr>
                      <w:rFonts w:hint="eastAsia"/>
                      <w:sz w:val="21"/>
                      <w:szCs w:val="21"/>
                    </w:rPr>
                    <w:t>水泥工业大气污染物排放标准</w:t>
                  </w:r>
                  <w:r>
                    <w:rPr>
                      <w:sz w:val="21"/>
                      <w:szCs w:val="21"/>
                    </w:rPr>
                    <w:t>（</w:t>
                  </w:r>
                  <w:r>
                    <w:rPr>
                      <w:rFonts w:hint="eastAsia"/>
                      <w:sz w:val="21"/>
                      <w:szCs w:val="21"/>
                    </w:rPr>
                    <w:t>GB 4915-2013</w:t>
                  </w:r>
                  <w:r>
                    <w:rPr>
                      <w:sz w:val="21"/>
                      <w:szCs w:val="21"/>
                    </w:rPr>
                    <w:t>）》中表</w:t>
                  </w:r>
                  <w:r>
                    <w:rPr>
                      <w:rFonts w:hint="eastAsia"/>
                      <w:sz w:val="21"/>
                      <w:szCs w:val="21"/>
                    </w:rPr>
                    <w:t>2大气污染物特别排放限值（颗粒物10mg/m</w:t>
                  </w:r>
                  <w:r>
                    <w:rPr>
                      <w:rFonts w:hint="eastAsia"/>
                      <w:sz w:val="21"/>
                      <w:szCs w:val="21"/>
                      <w:vertAlign w:val="superscript"/>
                    </w:rPr>
                    <w:t>3</w:t>
                  </w:r>
                  <w:r>
                    <w:rPr>
                      <w:rFonts w:hint="eastAsia"/>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Align w:val="center"/>
                </w:tcPr>
                <w:p>
                  <w:pPr>
                    <w:jc w:val="center"/>
                    <w:rPr>
                      <w:rFonts w:cs="Calibri"/>
                      <w:sz w:val="21"/>
                    </w:rPr>
                  </w:pPr>
                  <w:r>
                    <w:rPr>
                      <w:rFonts w:hint="eastAsia" w:cs="Calibri"/>
                      <w:sz w:val="21"/>
                    </w:rPr>
                    <w:t>破碎加工粉尘</w:t>
                  </w:r>
                </w:p>
              </w:tc>
              <w:tc>
                <w:tcPr>
                  <w:tcW w:w="1701" w:type="dxa"/>
                  <w:gridSpan w:val="2"/>
                  <w:vAlign w:val="center"/>
                </w:tcPr>
                <w:p>
                  <w:pPr>
                    <w:jc w:val="center"/>
                    <w:rPr>
                      <w:rFonts w:cs="Calibri"/>
                      <w:sz w:val="21"/>
                    </w:rPr>
                  </w:pPr>
                  <w:r>
                    <w:rPr>
                      <w:rFonts w:cs="Calibri"/>
                      <w:sz w:val="21"/>
                    </w:rPr>
                    <w:t>粉尘</w:t>
                  </w:r>
                </w:p>
              </w:tc>
              <w:tc>
                <w:tcPr>
                  <w:tcW w:w="2058" w:type="dxa"/>
                  <w:vAlign w:val="center"/>
                </w:tcPr>
                <w:p>
                  <w:pPr>
                    <w:jc w:val="center"/>
                    <w:rPr>
                      <w:rFonts w:cs="Calibri"/>
                      <w:sz w:val="21"/>
                    </w:rPr>
                  </w:pPr>
                  <w:r>
                    <w:rPr>
                      <w:rFonts w:cs="Calibri"/>
                      <w:sz w:val="21"/>
                    </w:rPr>
                    <w:t>洒水降尘、原料增湿</w:t>
                  </w:r>
                  <w:r>
                    <w:rPr>
                      <w:rFonts w:hint="eastAsia" w:cs="Calibri"/>
                      <w:sz w:val="21"/>
                    </w:rPr>
                    <w:t>、</w:t>
                  </w:r>
                  <w:r>
                    <w:rPr>
                      <w:rFonts w:cs="Calibri"/>
                      <w:sz w:val="21"/>
                    </w:rPr>
                    <w:t>封闭车间</w:t>
                  </w:r>
                </w:p>
              </w:tc>
              <w:tc>
                <w:tcPr>
                  <w:tcW w:w="2755" w:type="dxa"/>
                  <w:vMerge w:val="continue"/>
                  <w:vAlign w:val="center"/>
                </w:tcPr>
                <w:p>
                  <w:pPr>
                    <w:jc w:val="center"/>
                    <w:rPr>
                      <w:rFonts w:cs="Calibri"/>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Align w:val="center"/>
                </w:tcPr>
                <w:p>
                  <w:pPr>
                    <w:jc w:val="center"/>
                    <w:rPr>
                      <w:rFonts w:cs="Calibri"/>
                      <w:sz w:val="21"/>
                    </w:rPr>
                  </w:pPr>
                  <w:r>
                    <w:rPr>
                      <w:rFonts w:cs="Calibri"/>
                      <w:sz w:val="21"/>
                    </w:rPr>
                    <w:t>混合搅拌粉尘</w:t>
                  </w:r>
                </w:p>
              </w:tc>
              <w:tc>
                <w:tcPr>
                  <w:tcW w:w="1701" w:type="dxa"/>
                  <w:gridSpan w:val="2"/>
                  <w:vAlign w:val="center"/>
                </w:tcPr>
                <w:p>
                  <w:pPr>
                    <w:jc w:val="center"/>
                    <w:rPr>
                      <w:rFonts w:cs="Calibri"/>
                      <w:sz w:val="21"/>
                    </w:rPr>
                  </w:pPr>
                  <w:r>
                    <w:rPr>
                      <w:rFonts w:cs="Calibri"/>
                      <w:sz w:val="21"/>
                    </w:rPr>
                    <w:t>粉尘</w:t>
                  </w:r>
                </w:p>
              </w:tc>
              <w:tc>
                <w:tcPr>
                  <w:tcW w:w="2058" w:type="dxa"/>
                  <w:vAlign w:val="center"/>
                </w:tcPr>
                <w:p>
                  <w:pPr>
                    <w:jc w:val="center"/>
                    <w:rPr>
                      <w:rFonts w:cs="Calibri"/>
                      <w:sz w:val="21"/>
                    </w:rPr>
                  </w:pPr>
                  <w:r>
                    <w:rPr>
                      <w:rFonts w:hint="eastAsia" w:cs="Calibri"/>
                      <w:sz w:val="21"/>
                    </w:rPr>
                    <w:t>设备自带</w:t>
                  </w:r>
                  <w:r>
                    <w:rPr>
                      <w:rFonts w:cs="Calibri"/>
                      <w:sz w:val="21"/>
                    </w:rPr>
                    <w:t>脉冲式布袋除尘器+封闭车间+15m高排气筒</w:t>
                  </w:r>
                </w:p>
              </w:tc>
              <w:tc>
                <w:tcPr>
                  <w:tcW w:w="2755" w:type="dxa"/>
                  <w:vMerge w:val="continue"/>
                  <w:vAlign w:val="center"/>
                </w:tcPr>
                <w:p>
                  <w:pPr>
                    <w:jc w:val="center"/>
                    <w:rPr>
                      <w:rFonts w:cs="Calibri"/>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Align w:val="center"/>
                </w:tcPr>
                <w:p>
                  <w:pPr>
                    <w:jc w:val="center"/>
                    <w:rPr>
                      <w:rFonts w:cs="Calibri"/>
                      <w:sz w:val="21"/>
                    </w:rPr>
                  </w:pPr>
                  <w:r>
                    <w:rPr>
                      <w:rFonts w:cs="Calibri"/>
                      <w:sz w:val="21"/>
                    </w:rPr>
                    <w:t>筒库粉尘</w:t>
                  </w:r>
                </w:p>
              </w:tc>
              <w:tc>
                <w:tcPr>
                  <w:tcW w:w="1701" w:type="dxa"/>
                  <w:gridSpan w:val="2"/>
                  <w:vAlign w:val="center"/>
                </w:tcPr>
                <w:p>
                  <w:pPr>
                    <w:jc w:val="center"/>
                    <w:rPr>
                      <w:rFonts w:cs="Calibri"/>
                      <w:sz w:val="21"/>
                    </w:rPr>
                  </w:pPr>
                  <w:r>
                    <w:rPr>
                      <w:rFonts w:cs="Calibri"/>
                      <w:sz w:val="21"/>
                    </w:rPr>
                    <w:t>粉尘</w:t>
                  </w:r>
                </w:p>
              </w:tc>
              <w:tc>
                <w:tcPr>
                  <w:tcW w:w="2058" w:type="dxa"/>
                  <w:vAlign w:val="center"/>
                </w:tcPr>
                <w:p>
                  <w:pPr>
                    <w:jc w:val="center"/>
                    <w:rPr>
                      <w:rFonts w:cs="Calibri"/>
                      <w:sz w:val="21"/>
                    </w:rPr>
                  </w:pPr>
                  <w:r>
                    <w:rPr>
                      <w:rFonts w:hint="eastAsia" w:cs="Calibri"/>
                      <w:sz w:val="21"/>
                    </w:rPr>
                    <w:t>设备自带</w:t>
                  </w:r>
                  <w:r>
                    <w:rPr>
                      <w:rFonts w:cs="Calibri"/>
                      <w:sz w:val="21"/>
                    </w:rPr>
                    <w:t>脉冲式布袋除尘器</w:t>
                  </w:r>
                  <w:r>
                    <w:rPr>
                      <w:rFonts w:hint="eastAsia" w:cs="Calibri"/>
                      <w:sz w:val="21"/>
                    </w:rPr>
                    <w:t>+呼吸阀</w:t>
                  </w:r>
                </w:p>
              </w:tc>
              <w:tc>
                <w:tcPr>
                  <w:tcW w:w="2755" w:type="dxa"/>
                  <w:vMerge w:val="continue"/>
                  <w:vAlign w:val="center"/>
                </w:tcPr>
                <w:p>
                  <w:pPr>
                    <w:jc w:val="center"/>
                    <w:rPr>
                      <w:rFonts w:cs="Calibri"/>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Align w:val="center"/>
                </w:tcPr>
                <w:p>
                  <w:pPr>
                    <w:jc w:val="center"/>
                    <w:rPr>
                      <w:rFonts w:cs="Calibri"/>
                      <w:sz w:val="21"/>
                    </w:rPr>
                  </w:pPr>
                  <w:r>
                    <w:rPr>
                      <w:rFonts w:cs="Calibri"/>
                      <w:sz w:val="21"/>
                    </w:rPr>
                    <w:t>道路</w:t>
                  </w:r>
                  <w:r>
                    <w:rPr>
                      <w:rFonts w:hint="eastAsia" w:cs="Calibri"/>
                      <w:sz w:val="21"/>
                    </w:rPr>
                    <w:t>运输</w:t>
                  </w:r>
                  <w:r>
                    <w:rPr>
                      <w:rFonts w:cs="Calibri"/>
                      <w:sz w:val="21"/>
                    </w:rPr>
                    <w:t>扬尘</w:t>
                  </w:r>
                </w:p>
              </w:tc>
              <w:tc>
                <w:tcPr>
                  <w:tcW w:w="1701" w:type="dxa"/>
                  <w:gridSpan w:val="2"/>
                  <w:vAlign w:val="center"/>
                </w:tcPr>
                <w:p>
                  <w:pPr>
                    <w:jc w:val="center"/>
                    <w:rPr>
                      <w:rFonts w:cs="Calibri"/>
                      <w:sz w:val="21"/>
                    </w:rPr>
                  </w:pPr>
                  <w:r>
                    <w:rPr>
                      <w:rFonts w:cs="Calibri"/>
                      <w:sz w:val="21"/>
                    </w:rPr>
                    <w:t>扬尘</w:t>
                  </w:r>
                </w:p>
              </w:tc>
              <w:tc>
                <w:tcPr>
                  <w:tcW w:w="2058" w:type="dxa"/>
                  <w:vAlign w:val="center"/>
                </w:tcPr>
                <w:p>
                  <w:pPr>
                    <w:jc w:val="center"/>
                    <w:rPr>
                      <w:rFonts w:cs="Calibri"/>
                      <w:sz w:val="21"/>
                    </w:rPr>
                  </w:pPr>
                  <w:r>
                    <w:rPr>
                      <w:rFonts w:cs="Calibri"/>
                      <w:sz w:val="21"/>
                    </w:rPr>
                    <w:t>产生量少，场地开阔，易于扩散</w:t>
                  </w:r>
                  <w:r>
                    <w:rPr>
                      <w:rFonts w:hint="eastAsia" w:cs="Calibri"/>
                      <w:sz w:val="21"/>
                    </w:rPr>
                    <w:t>，</w:t>
                  </w:r>
                  <w:r>
                    <w:rPr>
                      <w:rFonts w:cs="Calibri"/>
                      <w:sz w:val="21"/>
                    </w:rPr>
                    <w:t>洒水降尘</w:t>
                  </w:r>
                </w:p>
              </w:tc>
              <w:tc>
                <w:tcPr>
                  <w:tcW w:w="2755" w:type="dxa"/>
                  <w:vMerge w:val="continue"/>
                  <w:vAlign w:val="center"/>
                </w:tcPr>
                <w:p>
                  <w:pPr>
                    <w:jc w:val="center"/>
                    <w:rPr>
                      <w:rFonts w:cs="Calibri"/>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Align w:val="center"/>
                </w:tcPr>
                <w:p>
                  <w:pPr>
                    <w:jc w:val="center"/>
                    <w:rPr>
                      <w:rFonts w:cs="Calibri"/>
                      <w:sz w:val="21"/>
                    </w:rPr>
                  </w:pPr>
                  <w:r>
                    <w:rPr>
                      <w:rFonts w:hint="eastAsia" w:cs="Calibri"/>
                      <w:sz w:val="21"/>
                    </w:rPr>
                    <w:t>食堂</w:t>
                  </w:r>
                </w:p>
              </w:tc>
              <w:tc>
                <w:tcPr>
                  <w:tcW w:w="1701" w:type="dxa"/>
                  <w:gridSpan w:val="2"/>
                  <w:vAlign w:val="center"/>
                </w:tcPr>
                <w:p>
                  <w:pPr>
                    <w:jc w:val="center"/>
                    <w:rPr>
                      <w:rFonts w:cs="Calibri"/>
                      <w:sz w:val="21"/>
                    </w:rPr>
                  </w:pPr>
                  <w:r>
                    <w:rPr>
                      <w:rFonts w:hint="eastAsia" w:cs="Calibri"/>
                      <w:sz w:val="21"/>
                    </w:rPr>
                    <w:t>食堂油烟</w:t>
                  </w:r>
                </w:p>
              </w:tc>
              <w:tc>
                <w:tcPr>
                  <w:tcW w:w="2058" w:type="dxa"/>
                  <w:vAlign w:val="center"/>
                </w:tcPr>
                <w:p>
                  <w:pPr>
                    <w:jc w:val="center"/>
                    <w:rPr>
                      <w:rFonts w:cs="Calibri"/>
                      <w:sz w:val="21"/>
                    </w:rPr>
                  </w:pPr>
                  <w:r>
                    <w:rPr>
                      <w:rFonts w:hint="eastAsia" w:cs="Calibri"/>
                      <w:sz w:val="21"/>
                    </w:rPr>
                    <w:t>抽油烟机</w:t>
                  </w:r>
                </w:p>
              </w:tc>
              <w:tc>
                <w:tcPr>
                  <w:tcW w:w="2755" w:type="dxa"/>
                  <w:vAlign w:val="center"/>
                </w:tcPr>
                <w:p>
                  <w:pPr>
                    <w:jc w:val="center"/>
                    <w:rPr>
                      <w:rFonts w:cs="Calibri"/>
                      <w:sz w:val="21"/>
                    </w:rPr>
                  </w:pPr>
                  <w:r>
                    <w:rPr>
                      <w:rFonts w:cs="Calibri"/>
                      <w:sz w:val="21"/>
                    </w:rPr>
                    <w:t>符合《饮食业油烟排放标准(试行)》(GB 18483-2001</w:t>
                  </w:r>
                  <w:r>
                    <w:rPr>
                      <w:rFonts w:hint="eastAsia" w:cs="Calibri"/>
                      <w:sz w:val="21"/>
                    </w:rPr>
                    <w:t>）</w:t>
                  </w:r>
                  <w:r>
                    <w:rPr>
                      <w:rFonts w:cs="Calibri"/>
                      <w:sz w:val="21"/>
                    </w:rPr>
                    <w:t>标准</w:t>
                  </w:r>
                  <w:r>
                    <w:rPr>
                      <w:rFonts w:hint="eastAsia" w:cs="Calibri"/>
                      <w:sz w:val="21"/>
                    </w:rPr>
                    <w:t>（2</w:t>
                  </w:r>
                  <w:r>
                    <w:rPr>
                      <w:rFonts w:cs="Calibri"/>
                      <w:sz w:val="21"/>
                    </w:rPr>
                    <w:t>mg/m</w:t>
                  </w:r>
                  <w:r>
                    <w:rPr>
                      <w:rFonts w:cs="Calibri"/>
                      <w:sz w:val="21"/>
                      <w:vertAlign w:val="superscript"/>
                    </w:rPr>
                    <w:t>3</w:t>
                  </w:r>
                  <w:r>
                    <w:rPr>
                      <w:rFonts w:hint="eastAsia" w:cs="Calibri"/>
                      <w:sz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restart"/>
                  <w:vAlign w:val="center"/>
                </w:tcPr>
                <w:p>
                  <w:pPr>
                    <w:jc w:val="center"/>
                    <w:rPr>
                      <w:rFonts w:cs="Calibri"/>
                      <w:sz w:val="21"/>
                    </w:rPr>
                  </w:pPr>
                  <w:r>
                    <w:rPr>
                      <w:rFonts w:cs="Calibri"/>
                      <w:sz w:val="21"/>
                    </w:rPr>
                    <w:t>废水</w:t>
                  </w:r>
                </w:p>
              </w:tc>
              <w:tc>
                <w:tcPr>
                  <w:tcW w:w="1034" w:type="dxa"/>
                  <w:vAlign w:val="center"/>
                </w:tcPr>
                <w:p>
                  <w:pPr>
                    <w:jc w:val="center"/>
                    <w:rPr>
                      <w:rFonts w:cs="Calibri"/>
                      <w:sz w:val="21"/>
                    </w:rPr>
                  </w:pPr>
                  <w:r>
                    <w:rPr>
                      <w:rFonts w:cs="Calibri"/>
                      <w:sz w:val="21"/>
                    </w:rPr>
                    <w:t>生活污水</w:t>
                  </w:r>
                </w:p>
              </w:tc>
              <w:tc>
                <w:tcPr>
                  <w:tcW w:w="1701" w:type="dxa"/>
                  <w:gridSpan w:val="2"/>
                  <w:vAlign w:val="center"/>
                </w:tcPr>
                <w:p>
                  <w:pPr>
                    <w:jc w:val="center"/>
                    <w:rPr>
                      <w:rFonts w:cs="Calibri"/>
                      <w:sz w:val="21"/>
                    </w:rPr>
                  </w:pPr>
                  <w:r>
                    <w:rPr>
                      <w:rFonts w:cs="Calibri"/>
                      <w:sz w:val="21"/>
                    </w:rPr>
                    <w:t>COD、氨氮</w:t>
                  </w:r>
                </w:p>
              </w:tc>
              <w:tc>
                <w:tcPr>
                  <w:tcW w:w="2058" w:type="dxa"/>
                  <w:vAlign w:val="center"/>
                </w:tcPr>
                <w:p>
                  <w:pPr>
                    <w:jc w:val="center"/>
                    <w:rPr>
                      <w:rFonts w:cs="Calibri"/>
                      <w:sz w:val="21"/>
                    </w:rPr>
                  </w:pPr>
                  <w:r>
                    <w:rPr>
                      <w:rFonts w:cs="Calibri"/>
                      <w:sz w:val="21"/>
                    </w:rPr>
                    <w:t>化粪池</w:t>
                  </w:r>
                </w:p>
              </w:tc>
              <w:tc>
                <w:tcPr>
                  <w:tcW w:w="2755" w:type="dxa"/>
                  <w:vAlign w:val="center"/>
                </w:tcPr>
                <w:p>
                  <w:pPr>
                    <w:jc w:val="center"/>
                    <w:rPr>
                      <w:rFonts w:cs="Calibri"/>
                      <w:sz w:val="21"/>
                    </w:rPr>
                  </w:pPr>
                  <w:r>
                    <w:rPr>
                      <w:rFonts w:cs="Calibri"/>
                      <w:sz w:val="21"/>
                    </w:rPr>
                    <w:t>用于周边菜地施肥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Align w:val="center"/>
                </w:tcPr>
                <w:p>
                  <w:pPr>
                    <w:jc w:val="center"/>
                    <w:rPr>
                      <w:rFonts w:cs="Calibri"/>
                      <w:sz w:val="21"/>
                    </w:rPr>
                  </w:pPr>
                  <w:r>
                    <w:rPr>
                      <w:rFonts w:hint="eastAsia" w:cs="Calibri"/>
                      <w:sz w:val="21"/>
                    </w:rPr>
                    <w:t>清洗原材料废水</w:t>
                  </w:r>
                </w:p>
              </w:tc>
              <w:tc>
                <w:tcPr>
                  <w:tcW w:w="1701" w:type="dxa"/>
                  <w:gridSpan w:val="2"/>
                  <w:vAlign w:val="center"/>
                </w:tcPr>
                <w:p>
                  <w:pPr>
                    <w:jc w:val="center"/>
                    <w:rPr>
                      <w:rFonts w:cs="Calibri"/>
                      <w:sz w:val="21"/>
                    </w:rPr>
                  </w:pPr>
                  <w:r>
                    <w:rPr>
                      <w:rFonts w:hint="eastAsia" w:cs="Calibri"/>
                      <w:sz w:val="21"/>
                    </w:rPr>
                    <w:t>SS</w:t>
                  </w:r>
                </w:p>
              </w:tc>
              <w:tc>
                <w:tcPr>
                  <w:tcW w:w="2058" w:type="dxa"/>
                  <w:vMerge w:val="restart"/>
                  <w:vAlign w:val="center"/>
                </w:tcPr>
                <w:p>
                  <w:pPr>
                    <w:jc w:val="center"/>
                    <w:rPr>
                      <w:rFonts w:cs="Calibri"/>
                      <w:sz w:val="21"/>
                    </w:rPr>
                  </w:pPr>
                  <w:r>
                    <w:rPr>
                      <w:rFonts w:hint="eastAsia" w:cs="Calibri"/>
                      <w:sz w:val="21"/>
                    </w:rPr>
                    <w:t>沉淀池</w:t>
                  </w:r>
                </w:p>
              </w:tc>
              <w:tc>
                <w:tcPr>
                  <w:tcW w:w="2755" w:type="dxa"/>
                  <w:vMerge w:val="restart"/>
                  <w:vAlign w:val="center"/>
                </w:tcPr>
                <w:p>
                  <w:pPr>
                    <w:jc w:val="center"/>
                    <w:rPr>
                      <w:rFonts w:cs="Calibri"/>
                      <w:sz w:val="21"/>
                    </w:rPr>
                  </w:pPr>
                  <w:r>
                    <w:rPr>
                      <w:rFonts w:hint="eastAsia" w:cs="Calibri"/>
                      <w:sz w:val="21"/>
                    </w:rPr>
                    <w:t>回用于洒水降尘，沉淀池规格为</w:t>
                  </w:r>
                  <w:r>
                    <w:rPr>
                      <w:sz w:val="21"/>
                    </w:rPr>
                    <w:t>1800</w:t>
                  </w:r>
                  <w:r>
                    <w:rPr>
                      <w:rFonts w:hint="eastAsia"/>
                      <w:sz w:val="21"/>
                    </w:rPr>
                    <w:t>m</w:t>
                  </w:r>
                  <w:r>
                    <w:rPr>
                      <w:sz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Align w:val="center"/>
                </w:tcPr>
                <w:p>
                  <w:pPr>
                    <w:jc w:val="center"/>
                    <w:rPr>
                      <w:rFonts w:cs="Calibri"/>
                      <w:sz w:val="21"/>
                    </w:rPr>
                  </w:pPr>
                  <w:r>
                    <w:rPr>
                      <w:rFonts w:hint="eastAsia" w:cs="Calibri"/>
                      <w:sz w:val="21"/>
                    </w:rPr>
                    <w:t>冲洗废水</w:t>
                  </w:r>
                </w:p>
              </w:tc>
              <w:tc>
                <w:tcPr>
                  <w:tcW w:w="1701" w:type="dxa"/>
                  <w:gridSpan w:val="2"/>
                  <w:vAlign w:val="center"/>
                </w:tcPr>
                <w:p>
                  <w:pPr>
                    <w:jc w:val="center"/>
                    <w:rPr>
                      <w:rFonts w:cs="Calibri"/>
                      <w:sz w:val="21"/>
                    </w:rPr>
                  </w:pPr>
                  <w:r>
                    <w:rPr>
                      <w:rFonts w:hint="eastAsia" w:cs="Calibri"/>
                      <w:sz w:val="21"/>
                    </w:rPr>
                    <w:t>石油类、S</w:t>
                  </w:r>
                  <w:r>
                    <w:rPr>
                      <w:rFonts w:cs="Calibri"/>
                      <w:sz w:val="21"/>
                    </w:rPr>
                    <w:t>S</w:t>
                  </w:r>
                </w:p>
              </w:tc>
              <w:tc>
                <w:tcPr>
                  <w:tcW w:w="2058" w:type="dxa"/>
                  <w:vMerge w:val="continue"/>
                  <w:vAlign w:val="center"/>
                </w:tcPr>
                <w:p>
                  <w:pPr>
                    <w:jc w:val="center"/>
                    <w:rPr>
                      <w:rFonts w:cs="Calibri"/>
                      <w:sz w:val="21"/>
                    </w:rPr>
                  </w:pPr>
                </w:p>
              </w:tc>
              <w:tc>
                <w:tcPr>
                  <w:tcW w:w="2755" w:type="dxa"/>
                  <w:vMerge w:val="continue"/>
                  <w:vAlign w:val="center"/>
                </w:tcPr>
                <w:p>
                  <w:pPr>
                    <w:jc w:val="center"/>
                    <w:rPr>
                      <w:rFonts w:cs="Calibri"/>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Align w:val="center"/>
                </w:tcPr>
                <w:p>
                  <w:pPr>
                    <w:jc w:val="center"/>
                    <w:rPr>
                      <w:rFonts w:cs="Calibri"/>
                      <w:sz w:val="21"/>
                    </w:rPr>
                  </w:pPr>
                  <w:r>
                    <w:rPr>
                      <w:rFonts w:hint="eastAsia" w:cs="Calibri"/>
                      <w:sz w:val="21"/>
                    </w:rPr>
                    <w:t>初期雨水</w:t>
                  </w:r>
                </w:p>
              </w:tc>
              <w:tc>
                <w:tcPr>
                  <w:tcW w:w="1701" w:type="dxa"/>
                  <w:gridSpan w:val="2"/>
                  <w:vAlign w:val="center"/>
                </w:tcPr>
                <w:p>
                  <w:pPr>
                    <w:jc w:val="center"/>
                    <w:rPr>
                      <w:rFonts w:cs="Calibri"/>
                      <w:sz w:val="21"/>
                    </w:rPr>
                  </w:pPr>
                  <w:r>
                    <w:rPr>
                      <w:rFonts w:hint="eastAsia" w:cs="Calibri"/>
                      <w:sz w:val="21"/>
                    </w:rPr>
                    <w:t>SS</w:t>
                  </w:r>
                </w:p>
              </w:tc>
              <w:tc>
                <w:tcPr>
                  <w:tcW w:w="2058" w:type="dxa"/>
                  <w:vMerge w:val="continue"/>
                  <w:vAlign w:val="center"/>
                </w:tcPr>
                <w:p>
                  <w:pPr>
                    <w:jc w:val="center"/>
                    <w:rPr>
                      <w:rFonts w:cs="Calibri"/>
                      <w:sz w:val="21"/>
                    </w:rPr>
                  </w:pPr>
                </w:p>
              </w:tc>
              <w:tc>
                <w:tcPr>
                  <w:tcW w:w="2755" w:type="dxa"/>
                  <w:vMerge w:val="continue"/>
                  <w:vAlign w:val="center"/>
                </w:tcPr>
                <w:p>
                  <w:pPr>
                    <w:jc w:val="center"/>
                    <w:rPr>
                      <w:rFonts w:cs="Calibri"/>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restart"/>
                  <w:vAlign w:val="center"/>
                </w:tcPr>
                <w:p>
                  <w:pPr>
                    <w:jc w:val="center"/>
                    <w:rPr>
                      <w:rFonts w:cs="Calibri"/>
                      <w:sz w:val="21"/>
                    </w:rPr>
                  </w:pPr>
                  <w:r>
                    <w:rPr>
                      <w:rFonts w:cs="Calibri"/>
                      <w:sz w:val="21"/>
                    </w:rPr>
                    <w:t>固体废物</w:t>
                  </w:r>
                </w:p>
              </w:tc>
              <w:tc>
                <w:tcPr>
                  <w:tcW w:w="1034" w:type="dxa"/>
                  <w:vAlign w:val="center"/>
                </w:tcPr>
                <w:p>
                  <w:pPr>
                    <w:jc w:val="center"/>
                    <w:rPr>
                      <w:rFonts w:cs="Calibri"/>
                      <w:sz w:val="21"/>
                    </w:rPr>
                  </w:pPr>
                  <w:r>
                    <w:rPr>
                      <w:rFonts w:cs="Calibri"/>
                      <w:sz w:val="21"/>
                    </w:rPr>
                    <w:t>办公生活</w:t>
                  </w:r>
                </w:p>
              </w:tc>
              <w:tc>
                <w:tcPr>
                  <w:tcW w:w="634" w:type="dxa"/>
                  <w:vMerge w:val="restart"/>
                  <w:vAlign w:val="center"/>
                </w:tcPr>
                <w:p>
                  <w:pPr>
                    <w:jc w:val="center"/>
                    <w:rPr>
                      <w:rFonts w:cs="Calibri"/>
                      <w:sz w:val="21"/>
                    </w:rPr>
                  </w:pPr>
                  <w:r>
                    <w:rPr>
                      <w:rFonts w:cs="Calibri"/>
                      <w:sz w:val="21"/>
                    </w:rPr>
                    <w:t>一般固废</w:t>
                  </w:r>
                </w:p>
              </w:tc>
              <w:tc>
                <w:tcPr>
                  <w:tcW w:w="1067" w:type="dxa"/>
                  <w:vAlign w:val="center"/>
                </w:tcPr>
                <w:p>
                  <w:pPr>
                    <w:jc w:val="center"/>
                    <w:rPr>
                      <w:rFonts w:cs="Calibri"/>
                      <w:sz w:val="21"/>
                    </w:rPr>
                  </w:pPr>
                  <w:r>
                    <w:rPr>
                      <w:rFonts w:cs="Calibri"/>
                      <w:sz w:val="21"/>
                    </w:rPr>
                    <w:t>生活垃圾</w:t>
                  </w:r>
                </w:p>
              </w:tc>
              <w:tc>
                <w:tcPr>
                  <w:tcW w:w="2058" w:type="dxa"/>
                  <w:vAlign w:val="center"/>
                </w:tcPr>
                <w:p>
                  <w:pPr>
                    <w:jc w:val="center"/>
                    <w:rPr>
                      <w:rFonts w:cs="Calibri"/>
                      <w:sz w:val="21"/>
                    </w:rPr>
                  </w:pPr>
                  <w:r>
                    <w:rPr>
                      <w:rFonts w:cs="Calibri"/>
                      <w:sz w:val="21"/>
                    </w:rPr>
                    <w:t>垃圾收集桶、定期交由环卫部门处理</w:t>
                  </w:r>
                </w:p>
              </w:tc>
              <w:tc>
                <w:tcPr>
                  <w:tcW w:w="2755" w:type="dxa"/>
                  <w:vMerge w:val="restart"/>
                  <w:vAlign w:val="center"/>
                </w:tcPr>
                <w:p>
                  <w:pPr>
                    <w:jc w:val="center"/>
                    <w:rPr>
                      <w:rFonts w:cs="Calibri"/>
                      <w:sz w:val="21"/>
                    </w:rPr>
                  </w:pPr>
                  <w:r>
                    <w:rPr>
                      <w:rFonts w:cs="Calibri"/>
                      <w:sz w:val="21"/>
                    </w:rPr>
                    <w:t>符合相关环保要求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Merge w:val="restart"/>
                  <w:vAlign w:val="center"/>
                </w:tcPr>
                <w:p>
                  <w:pPr>
                    <w:jc w:val="center"/>
                    <w:rPr>
                      <w:rFonts w:cs="Calibri"/>
                      <w:sz w:val="21"/>
                    </w:rPr>
                  </w:pPr>
                  <w:r>
                    <w:rPr>
                      <w:rFonts w:cs="Calibri"/>
                      <w:sz w:val="21"/>
                    </w:rPr>
                    <w:t>生产固废</w:t>
                  </w:r>
                </w:p>
              </w:tc>
              <w:tc>
                <w:tcPr>
                  <w:tcW w:w="634" w:type="dxa"/>
                  <w:vMerge w:val="continue"/>
                  <w:vAlign w:val="center"/>
                </w:tcPr>
                <w:p>
                  <w:pPr>
                    <w:jc w:val="center"/>
                    <w:rPr>
                      <w:rFonts w:cs="Calibri"/>
                      <w:sz w:val="21"/>
                    </w:rPr>
                  </w:pPr>
                </w:p>
              </w:tc>
              <w:tc>
                <w:tcPr>
                  <w:tcW w:w="1067" w:type="dxa"/>
                  <w:vAlign w:val="center"/>
                </w:tcPr>
                <w:p>
                  <w:pPr>
                    <w:jc w:val="center"/>
                    <w:rPr>
                      <w:rFonts w:cs="Calibri"/>
                      <w:sz w:val="21"/>
                    </w:rPr>
                  </w:pPr>
                  <w:r>
                    <w:rPr>
                      <w:rFonts w:hint="eastAsia" w:cs="Calibri"/>
                      <w:sz w:val="21"/>
                    </w:rPr>
                    <w:t>收集到的粉尘</w:t>
                  </w:r>
                </w:p>
              </w:tc>
              <w:tc>
                <w:tcPr>
                  <w:tcW w:w="2058" w:type="dxa"/>
                  <w:vAlign w:val="center"/>
                </w:tcPr>
                <w:p>
                  <w:pPr>
                    <w:jc w:val="center"/>
                    <w:rPr>
                      <w:rFonts w:cs="Calibri"/>
                      <w:sz w:val="21"/>
                    </w:rPr>
                  </w:pPr>
                  <w:r>
                    <w:rPr>
                      <w:rFonts w:hint="eastAsia" w:cs="Calibri"/>
                      <w:sz w:val="21"/>
                    </w:rPr>
                    <w:t>回用于生产</w:t>
                  </w:r>
                </w:p>
              </w:tc>
              <w:tc>
                <w:tcPr>
                  <w:tcW w:w="2755" w:type="dxa"/>
                  <w:vMerge w:val="continue"/>
                  <w:vAlign w:val="center"/>
                </w:tcPr>
                <w:p>
                  <w:pPr>
                    <w:jc w:val="center"/>
                    <w:rPr>
                      <w:rFonts w:cs="Calibri"/>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Merge w:val="continue"/>
                  <w:vAlign w:val="center"/>
                </w:tcPr>
                <w:p>
                  <w:pPr>
                    <w:jc w:val="center"/>
                    <w:rPr>
                      <w:rFonts w:cs="Calibri"/>
                      <w:sz w:val="21"/>
                    </w:rPr>
                  </w:pPr>
                </w:p>
              </w:tc>
              <w:tc>
                <w:tcPr>
                  <w:tcW w:w="634" w:type="dxa"/>
                  <w:vMerge w:val="continue"/>
                  <w:vAlign w:val="center"/>
                </w:tcPr>
                <w:p>
                  <w:pPr>
                    <w:jc w:val="center"/>
                    <w:rPr>
                      <w:rFonts w:cs="Calibri"/>
                      <w:sz w:val="21"/>
                    </w:rPr>
                  </w:pPr>
                </w:p>
              </w:tc>
              <w:tc>
                <w:tcPr>
                  <w:tcW w:w="1067" w:type="dxa"/>
                  <w:vAlign w:val="center"/>
                </w:tcPr>
                <w:p>
                  <w:pPr>
                    <w:jc w:val="center"/>
                    <w:rPr>
                      <w:rFonts w:cs="Calibri"/>
                      <w:sz w:val="21"/>
                    </w:rPr>
                  </w:pPr>
                  <w:r>
                    <w:rPr>
                      <w:rFonts w:hint="eastAsia" w:cs="Calibri"/>
                      <w:sz w:val="21"/>
                    </w:rPr>
                    <w:t>沉渣</w:t>
                  </w:r>
                </w:p>
              </w:tc>
              <w:tc>
                <w:tcPr>
                  <w:tcW w:w="2058" w:type="dxa"/>
                  <w:vAlign w:val="center"/>
                </w:tcPr>
                <w:p>
                  <w:pPr>
                    <w:jc w:val="center"/>
                    <w:rPr>
                      <w:rFonts w:cs="Calibri"/>
                      <w:sz w:val="21"/>
                    </w:rPr>
                  </w:pPr>
                  <w:r>
                    <w:rPr>
                      <w:rFonts w:hint="eastAsia" w:cs="Calibri"/>
                      <w:sz w:val="21"/>
                    </w:rPr>
                    <w:t>作为建筑材料外售</w:t>
                  </w:r>
                </w:p>
              </w:tc>
              <w:tc>
                <w:tcPr>
                  <w:tcW w:w="2755" w:type="dxa"/>
                  <w:vMerge w:val="continue"/>
                  <w:vAlign w:val="center"/>
                </w:tcPr>
                <w:p>
                  <w:pPr>
                    <w:jc w:val="center"/>
                    <w:rPr>
                      <w:rFonts w:cs="Calibri"/>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jc w:val="center"/>
                    <w:rPr>
                      <w:rFonts w:cs="Calibri"/>
                      <w:sz w:val="21"/>
                    </w:rPr>
                  </w:pPr>
                </w:p>
              </w:tc>
              <w:tc>
                <w:tcPr>
                  <w:tcW w:w="1034" w:type="dxa"/>
                  <w:vMerge w:val="continue"/>
                  <w:vAlign w:val="center"/>
                </w:tcPr>
                <w:p>
                  <w:pPr>
                    <w:jc w:val="center"/>
                    <w:rPr>
                      <w:rFonts w:cs="Calibri"/>
                      <w:sz w:val="21"/>
                    </w:rPr>
                  </w:pPr>
                </w:p>
              </w:tc>
              <w:tc>
                <w:tcPr>
                  <w:tcW w:w="634" w:type="dxa"/>
                  <w:vAlign w:val="center"/>
                </w:tcPr>
                <w:p>
                  <w:pPr>
                    <w:jc w:val="center"/>
                    <w:rPr>
                      <w:rFonts w:cs="Calibri"/>
                      <w:sz w:val="21"/>
                    </w:rPr>
                  </w:pPr>
                  <w:r>
                    <w:rPr>
                      <w:rFonts w:cs="Calibri"/>
                      <w:sz w:val="21"/>
                    </w:rPr>
                    <w:t>危险固废</w:t>
                  </w:r>
                </w:p>
              </w:tc>
              <w:tc>
                <w:tcPr>
                  <w:tcW w:w="1067" w:type="dxa"/>
                  <w:vAlign w:val="center"/>
                </w:tcPr>
                <w:p>
                  <w:pPr>
                    <w:jc w:val="center"/>
                    <w:rPr>
                      <w:rFonts w:cs="Calibri"/>
                      <w:sz w:val="21"/>
                    </w:rPr>
                  </w:pPr>
                  <w:r>
                    <w:rPr>
                      <w:rFonts w:hint="eastAsia" w:cs="Calibri"/>
                      <w:sz w:val="21"/>
                    </w:rPr>
                    <w:t>废矿物油</w:t>
                  </w:r>
                </w:p>
              </w:tc>
              <w:tc>
                <w:tcPr>
                  <w:tcW w:w="2058" w:type="dxa"/>
                  <w:vAlign w:val="center"/>
                </w:tcPr>
                <w:p>
                  <w:pPr>
                    <w:jc w:val="center"/>
                    <w:rPr>
                      <w:rFonts w:cs="Calibri"/>
                      <w:sz w:val="21"/>
                    </w:rPr>
                  </w:pPr>
                  <w:r>
                    <w:rPr>
                      <w:rFonts w:cs="Calibri"/>
                      <w:sz w:val="21"/>
                    </w:rPr>
                    <w:t>设置危废储存间，送有资质的单位处理</w:t>
                  </w:r>
                </w:p>
              </w:tc>
              <w:tc>
                <w:tcPr>
                  <w:tcW w:w="2755" w:type="dxa"/>
                  <w:vMerge w:val="continue"/>
                  <w:vAlign w:val="center"/>
                </w:tcPr>
                <w:p>
                  <w:pPr>
                    <w:jc w:val="center"/>
                    <w:rPr>
                      <w:rFonts w:cs="Calibri"/>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735" w:type="dxa"/>
                  <w:vAlign w:val="center"/>
                </w:tcPr>
                <w:p>
                  <w:pPr>
                    <w:jc w:val="center"/>
                    <w:rPr>
                      <w:rFonts w:cs="Calibri"/>
                      <w:sz w:val="21"/>
                    </w:rPr>
                  </w:pPr>
                  <w:r>
                    <w:rPr>
                      <w:rFonts w:cs="Calibri"/>
                      <w:sz w:val="21"/>
                    </w:rPr>
                    <w:t>噪声</w:t>
                  </w:r>
                </w:p>
              </w:tc>
              <w:tc>
                <w:tcPr>
                  <w:tcW w:w="1034" w:type="dxa"/>
                  <w:vAlign w:val="center"/>
                </w:tcPr>
                <w:p>
                  <w:pPr>
                    <w:jc w:val="center"/>
                    <w:rPr>
                      <w:rFonts w:cs="Calibri"/>
                      <w:sz w:val="21"/>
                    </w:rPr>
                  </w:pPr>
                  <w:r>
                    <w:rPr>
                      <w:rFonts w:cs="Calibri"/>
                      <w:sz w:val="21"/>
                    </w:rPr>
                    <w:t>设备</w:t>
                  </w:r>
                </w:p>
              </w:tc>
              <w:tc>
                <w:tcPr>
                  <w:tcW w:w="1701" w:type="dxa"/>
                  <w:gridSpan w:val="2"/>
                  <w:vAlign w:val="center"/>
                </w:tcPr>
                <w:p>
                  <w:pPr>
                    <w:jc w:val="center"/>
                    <w:rPr>
                      <w:rFonts w:cs="Calibri"/>
                      <w:sz w:val="21"/>
                    </w:rPr>
                  </w:pPr>
                  <w:r>
                    <w:rPr>
                      <w:rFonts w:cs="Calibri"/>
                      <w:sz w:val="21"/>
                    </w:rPr>
                    <w:t>LeqA</w:t>
                  </w:r>
                </w:p>
              </w:tc>
              <w:tc>
                <w:tcPr>
                  <w:tcW w:w="2058" w:type="dxa"/>
                  <w:vAlign w:val="center"/>
                </w:tcPr>
                <w:p>
                  <w:pPr>
                    <w:jc w:val="center"/>
                    <w:rPr>
                      <w:rFonts w:cs="Calibri"/>
                      <w:sz w:val="21"/>
                    </w:rPr>
                  </w:pPr>
                  <w:r>
                    <w:rPr>
                      <w:rFonts w:cs="Calibri"/>
                      <w:sz w:val="21"/>
                    </w:rPr>
                    <w:t>基础减振、隔声等降噪措施</w:t>
                  </w:r>
                </w:p>
              </w:tc>
              <w:tc>
                <w:tcPr>
                  <w:tcW w:w="2755" w:type="dxa"/>
                  <w:vAlign w:val="center"/>
                </w:tcPr>
                <w:p>
                  <w:pPr>
                    <w:jc w:val="center"/>
                    <w:rPr>
                      <w:rFonts w:cs="Calibri"/>
                      <w:sz w:val="21"/>
                    </w:rPr>
                  </w:pPr>
                  <w:r>
                    <w:rPr>
                      <w:rFonts w:cs="Calibri"/>
                      <w:sz w:val="21"/>
                    </w:rPr>
                    <w:t>《工业企业厂界环境噪声排放标准》（GB12348-2008）中</w:t>
                  </w:r>
                  <w:r>
                    <w:rPr>
                      <w:rFonts w:hint="eastAsia" w:cs="Calibri"/>
                      <w:sz w:val="21"/>
                    </w:rPr>
                    <w:t>2类</w:t>
                  </w:r>
                  <w:r>
                    <w:rPr>
                      <w:rFonts w:cs="Calibri"/>
                      <w:sz w:val="21"/>
                    </w:rPr>
                    <w:t>标准</w:t>
                  </w:r>
                </w:p>
              </w:tc>
            </w:tr>
          </w:tbl>
          <w:p>
            <w:pPr>
              <w:spacing w:line="360" w:lineRule="auto"/>
              <w:ind w:firstLine="240" w:firstLineChars="100"/>
              <w:rPr>
                <w:rFonts w:cs="Calibri"/>
                <w:b/>
                <w:sz w:val="24"/>
              </w:rPr>
            </w:pPr>
            <w:r>
              <w:rPr>
                <w:rFonts w:cs="Calibri"/>
                <w:snapToGrid w:val="0"/>
                <w:sz w:val="24"/>
              </w:rPr>
              <w:t xml:space="preserve"> </w:t>
            </w:r>
            <w:r>
              <w:rPr>
                <w:rFonts w:hint="eastAsia" w:cs="Calibri"/>
                <w:b/>
                <w:sz w:val="24"/>
              </w:rPr>
              <w:t>1</w:t>
            </w:r>
            <w:r>
              <w:rPr>
                <w:rFonts w:cs="Calibri"/>
                <w:b/>
                <w:sz w:val="24"/>
              </w:rPr>
              <w:t>1、</w:t>
            </w:r>
            <w:r>
              <w:rPr>
                <w:rFonts w:hint="eastAsia" w:ascii="宋体" w:hAnsi="宋体"/>
                <w:b/>
                <w:bCs/>
                <w:sz w:val="24"/>
                <w:u w:val="single"/>
              </w:rPr>
              <w:t>项目建设与“三线一单”符合性分析</w:t>
            </w:r>
          </w:p>
          <w:p>
            <w:pPr>
              <w:spacing w:line="360" w:lineRule="auto"/>
              <w:ind w:firstLine="480" w:firstLineChars="200"/>
              <w:rPr>
                <w:rFonts w:ascii="宋体" w:hAnsi="宋体"/>
                <w:sz w:val="24"/>
                <w:u w:val="single"/>
              </w:rPr>
            </w:pPr>
            <w:r>
              <w:rPr>
                <w:rFonts w:hint="eastAsia" w:ascii="宋体" w:hAnsi="宋体"/>
                <w:sz w:val="24"/>
                <w:u w:val="single"/>
              </w:rPr>
              <w:t>根据环保部发布的《关于以改善环境质量为核心加强环境影响评价管理的通知》（以下简称《通知》），《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p>
          <w:p>
            <w:pPr>
              <w:spacing w:line="360" w:lineRule="auto"/>
              <w:ind w:firstLine="480" w:firstLineChars="200"/>
              <w:rPr>
                <w:rFonts w:ascii="宋体" w:hAnsi="宋体"/>
                <w:sz w:val="24"/>
                <w:u w:val="single"/>
              </w:rPr>
            </w:pPr>
            <w:r>
              <w:rPr>
                <w:rFonts w:hint="eastAsia" w:ascii="宋体" w:hAnsi="宋体"/>
                <w:sz w:val="24"/>
                <w:u w:val="single"/>
              </w:rPr>
              <w:t>1、生态红线</w:t>
            </w:r>
          </w:p>
          <w:p>
            <w:pPr>
              <w:spacing w:line="360" w:lineRule="auto"/>
              <w:ind w:firstLine="480" w:firstLineChars="200"/>
              <w:rPr>
                <w:rFonts w:ascii="宋体" w:hAnsi="宋体"/>
                <w:sz w:val="24"/>
                <w:u w:val="single"/>
              </w:rPr>
            </w:pPr>
            <w:r>
              <w:rPr>
                <w:rFonts w:hint="eastAsia" w:ascii="宋体" w:hAnsi="宋体"/>
                <w:sz w:val="24"/>
                <w:u w:val="singl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pPr>
              <w:spacing w:line="360" w:lineRule="auto"/>
              <w:ind w:firstLine="480" w:firstLineChars="200"/>
              <w:rPr>
                <w:rFonts w:ascii="宋体" w:hAnsi="宋体"/>
                <w:sz w:val="24"/>
                <w:u w:val="single"/>
              </w:rPr>
            </w:pPr>
            <w:r>
              <w:rPr>
                <w:rFonts w:hint="eastAsia" w:ascii="宋体" w:hAnsi="宋体"/>
                <w:sz w:val="24"/>
                <w:u w:val="single"/>
              </w:rPr>
              <w:t>需依法在重点生态功能区、生态环境敏感区和脆弱区等区域划定的严格管控边界，是国家和区域生态安全的底线，对于维护生态安全格局、保障生态服务功能、支撑经济社会可持续发展具有重要作用。根据《湖南省人民政府关于印发&lt;湖南省生态保护红线</w:t>
            </w:r>
            <w:r>
              <w:rPr>
                <w:rFonts w:hint="eastAsia"/>
                <w:sz w:val="24"/>
                <w:u w:val="single"/>
              </w:rPr>
              <w:t>&gt;</w:t>
            </w:r>
            <w:r>
              <w:rPr>
                <w:rFonts w:hint="eastAsia" w:ascii="宋体" w:hAnsi="宋体"/>
                <w:sz w:val="24"/>
                <w:u w:val="single"/>
              </w:rPr>
              <w:t>的通知》湘政发【</w:t>
            </w:r>
            <w:r>
              <w:rPr>
                <w:rFonts w:hint="eastAsia"/>
                <w:sz w:val="24"/>
                <w:u w:val="single"/>
              </w:rPr>
              <w:t>2018</w:t>
            </w:r>
            <w:r>
              <w:rPr>
                <w:rFonts w:hint="eastAsia" w:ascii="宋体" w:hAnsi="宋体"/>
                <w:sz w:val="24"/>
                <w:u w:val="single"/>
              </w:rPr>
              <w:t>】</w:t>
            </w:r>
            <w:r>
              <w:rPr>
                <w:rFonts w:hint="eastAsia"/>
                <w:sz w:val="24"/>
                <w:u w:val="single"/>
              </w:rPr>
              <w:t>20</w:t>
            </w:r>
            <w:r>
              <w:rPr>
                <w:rFonts w:hint="eastAsia" w:ascii="宋体" w:hAnsi="宋体"/>
                <w:sz w:val="24"/>
                <w:u w:val="single"/>
              </w:rPr>
              <w:t>号，生态保护红线划定结果：湖南省生态保护红线划定面积为</w:t>
            </w:r>
            <w:r>
              <w:rPr>
                <w:rFonts w:hint="eastAsia"/>
                <w:sz w:val="24"/>
                <w:u w:val="single"/>
              </w:rPr>
              <w:t>4.28</w:t>
            </w:r>
            <w:r>
              <w:rPr>
                <w:rFonts w:hint="eastAsia" w:ascii="宋体" w:hAnsi="宋体"/>
                <w:sz w:val="24"/>
                <w:u w:val="single"/>
              </w:rPr>
              <w:t>万平方公里，占全省国土面积的</w:t>
            </w:r>
            <w:r>
              <w:rPr>
                <w:rFonts w:hint="eastAsia"/>
                <w:sz w:val="24"/>
                <w:u w:val="single"/>
              </w:rPr>
              <w:t>20.23%</w:t>
            </w:r>
            <w:r>
              <w:rPr>
                <w:rFonts w:hint="eastAsia" w:ascii="宋体" w:hAnsi="宋体"/>
                <w:sz w:val="24"/>
                <w:u w:val="single"/>
              </w:rPr>
              <w:t>。全省生态保护红线空间格局为“一湖三山四水”：“一湖”为洞庭湖</w:t>
            </w:r>
            <w:r>
              <w:rPr>
                <w:rFonts w:hint="eastAsia"/>
                <w:sz w:val="24"/>
                <w:u w:val="single"/>
              </w:rPr>
              <w:t>(</w:t>
            </w:r>
            <w:r>
              <w:rPr>
                <w:rFonts w:hint="eastAsia" w:ascii="宋体" w:hAnsi="宋体"/>
                <w:sz w:val="24"/>
                <w:u w:val="single"/>
              </w:rPr>
              <w:t>主要包括东洞庭湖、南洞庭湖、横岭湖、西洞庭湖等自然保护区和长江岸线</w:t>
            </w:r>
            <w:r>
              <w:rPr>
                <w:rFonts w:hint="eastAsia"/>
                <w:sz w:val="24"/>
                <w:u w:val="single"/>
              </w:rPr>
              <w:t>)</w:t>
            </w:r>
            <w:r>
              <w:rPr>
                <w:rFonts w:hint="eastAsia" w:ascii="宋体" w:hAnsi="宋体"/>
                <w:sz w:val="24"/>
                <w:u w:val="single"/>
              </w:rPr>
              <w:t>，主要生态功能为生物多样性维护、洪水调蓄。“三山”包括武陵</w:t>
            </w:r>
            <w:r>
              <w:rPr>
                <w:rFonts w:hint="eastAsia"/>
                <w:sz w:val="24"/>
                <w:u w:val="single"/>
              </w:rPr>
              <w:t>-</w:t>
            </w:r>
            <w:r>
              <w:rPr>
                <w:rFonts w:hint="eastAsia" w:ascii="宋体" w:hAnsi="宋体"/>
                <w:sz w:val="24"/>
                <w:u w:val="single"/>
              </w:rPr>
              <w:t>雪峰山脉生态屏障，主要生态功能为生物多样性维护与水土保持；罗霄</w:t>
            </w:r>
            <w:r>
              <w:rPr>
                <w:rFonts w:hint="eastAsia"/>
                <w:sz w:val="24"/>
                <w:u w:val="single"/>
              </w:rPr>
              <w:t>-</w:t>
            </w:r>
            <w:r>
              <w:rPr>
                <w:rFonts w:hint="eastAsia" w:ascii="宋体" w:hAnsi="宋体"/>
                <w:sz w:val="24"/>
                <w:u w:val="single"/>
              </w:rPr>
              <w:t>幕阜山脉生态屏障，主要生态功能为生物多样性维护、水源涵养和水土保持</w:t>
            </w:r>
            <w:r>
              <w:rPr>
                <w:rFonts w:hint="eastAsia"/>
                <w:sz w:val="24"/>
                <w:u w:val="single"/>
              </w:rPr>
              <w:t>;</w:t>
            </w:r>
            <w:r>
              <w:rPr>
                <w:rFonts w:hint="eastAsia" w:ascii="宋体" w:hAnsi="宋体"/>
                <w:sz w:val="24"/>
                <w:u w:val="single"/>
              </w:rPr>
              <w:t>南岭山脉生态屏障，主要生态功能为水源涵养和生物多样性维护，其中南岭山脉生态屏障是南方丘陵山地带的重要组成部分。“四水”为湘资沅澧</w:t>
            </w:r>
            <w:r>
              <w:rPr>
                <w:rFonts w:hint="eastAsia"/>
                <w:sz w:val="24"/>
                <w:u w:val="single"/>
              </w:rPr>
              <w:t>(</w:t>
            </w:r>
            <w:r>
              <w:rPr>
                <w:rFonts w:hint="eastAsia" w:ascii="宋体" w:hAnsi="宋体"/>
                <w:sz w:val="24"/>
                <w:u w:val="single"/>
              </w:rPr>
              <w:t>湘江、资水、沅江、澧水</w:t>
            </w:r>
            <w:r>
              <w:rPr>
                <w:rFonts w:hint="eastAsia"/>
                <w:sz w:val="24"/>
                <w:u w:val="single"/>
              </w:rPr>
              <w:t>)</w:t>
            </w:r>
            <w:r>
              <w:rPr>
                <w:rFonts w:hint="eastAsia" w:ascii="宋体" w:hAnsi="宋体"/>
                <w:sz w:val="24"/>
                <w:u w:val="single"/>
              </w:rPr>
              <w:t>的源头区及重要水域。项目位于</w:t>
            </w:r>
            <w:r>
              <w:rPr>
                <w:rFonts w:hint="eastAsia"/>
                <w:bCs/>
                <w:sz w:val="24"/>
                <w:u w:val="single"/>
              </w:rPr>
              <w:t>湘阴县文星镇漕溪港街道原板桥砖厂处</w:t>
            </w:r>
            <w:r>
              <w:rPr>
                <w:rFonts w:hint="eastAsia" w:ascii="宋体" w:hAnsi="宋体"/>
                <w:sz w:val="24"/>
                <w:u w:val="single"/>
              </w:rPr>
              <w:t>，且项目已取得了湘阴县规划区、湘阴县住建局、湘阴县国土局等相关部门的选址联审意见表、并获得当地乡镇和居民的同意，选址符合要求，未违背生态保护红线空间管控要求，因此项目建设符合生态红线要求。</w:t>
            </w:r>
          </w:p>
          <w:p>
            <w:pPr>
              <w:spacing w:line="360" w:lineRule="auto"/>
              <w:ind w:firstLine="480" w:firstLineChars="200"/>
              <w:rPr>
                <w:rFonts w:ascii="宋体" w:hAnsi="宋体"/>
                <w:sz w:val="24"/>
                <w:u w:val="single"/>
              </w:rPr>
            </w:pPr>
            <w:r>
              <w:rPr>
                <w:rFonts w:hint="eastAsia" w:ascii="宋体" w:hAnsi="宋体"/>
                <w:sz w:val="24"/>
                <w:u w:val="single"/>
              </w:rPr>
              <w:t>2、环境质量底线</w:t>
            </w:r>
          </w:p>
          <w:p>
            <w:pPr>
              <w:spacing w:line="360" w:lineRule="auto"/>
              <w:ind w:firstLine="480" w:firstLineChars="200"/>
              <w:rPr>
                <w:rFonts w:ascii="宋体" w:hAnsi="宋体"/>
                <w:sz w:val="24"/>
                <w:u w:val="single"/>
              </w:rPr>
            </w:pPr>
            <w:r>
              <w:rPr>
                <w:rFonts w:hint="eastAsia" w:ascii="宋体" w:hAnsi="宋体"/>
                <w:sz w:val="24"/>
                <w:u w:val="single"/>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p>
            <w:pPr>
              <w:spacing w:line="360" w:lineRule="auto"/>
              <w:ind w:firstLine="480" w:firstLineChars="200"/>
              <w:rPr>
                <w:rFonts w:ascii="宋体" w:hAnsi="宋体"/>
                <w:sz w:val="24"/>
                <w:u w:val="single"/>
              </w:rPr>
            </w:pPr>
            <w:r>
              <w:rPr>
                <w:rFonts w:hint="eastAsia" w:ascii="宋体" w:hAnsi="宋体"/>
                <w:sz w:val="24"/>
                <w:u w:val="single"/>
              </w:rPr>
              <w:t>根据岳阳市人民政府关于印发《岳阳市水环境功能区管理规定》、《岳阳市水环境功能区划分》、《岳阳市环境空气质量功能区划分》、《岳阳市城市区域环境噪声标准适用区域划分规定》的通知（岳政发[2002]18号），对全市的环境空气、地表水、声环境功能区进行了划分。</w:t>
            </w:r>
          </w:p>
          <w:p>
            <w:pPr>
              <w:spacing w:line="360" w:lineRule="auto"/>
              <w:ind w:firstLine="480" w:firstLineChars="200"/>
              <w:rPr>
                <w:rFonts w:ascii="宋体" w:hAnsi="宋体"/>
                <w:sz w:val="24"/>
                <w:u w:val="single"/>
              </w:rPr>
            </w:pPr>
            <w:r>
              <w:rPr>
                <w:rFonts w:hint="eastAsia" w:ascii="宋体" w:hAnsi="宋体"/>
                <w:sz w:val="24"/>
                <w:u w:val="single"/>
              </w:rPr>
              <w:t>项目选址产生的废气废水及固废在采取相关措施后，不会对外环境产生不良影响。且项目地根据现场踏勘水质符合相关标准，因此，本项目建设符合环境质量底线要求的。</w:t>
            </w:r>
          </w:p>
          <w:p>
            <w:pPr>
              <w:spacing w:line="360" w:lineRule="auto"/>
              <w:ind w:firstLine="480" w:firstLineChars="200"/>
              <w:rPr>
                <w:rFonts w:ascii="宋体" w:hAnsi="宋体"/>
                <w:sz w:val="24"/>
                <w:u w:val="single"/>
              </w:rPr>
            </w:pPr>
            <w:r>
              <w:rPr>
                <w:rFonts w:hint="eastAsia" w:ascii="宋体" w:hAnsi="宋体"/>
                <w:sz w:val="24"/>
                <w:u w:val="single"/>
              </w:rPr>
              <w:t>3、资源利用上线</w:t>
            </w:r>
          </w:p>
          <w:p>
            <w:pPr>
              <w:spacing w:line="360" w:lineRule="auto"/>
              <w:ind w:firstLine="480" w:firstLineChars="200"/>
              <w:rPr>
                <w:rFonts w:ascii="宋体" w:hAnsi="宋体"/>
                <w:sz w:val="24"/>
                <w:u w:val="single"/>
              </w:rPr>
            </w:pPr>
            <w:r>
              <w:rPr>
                <w:rFonts w:hint="eastAsia" w:ascii="宋体" w:hAnsi="宋体"/>
                <w:sz w:val="24"/>
                <w:u w:val="singl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p>
            <w:pPr>
              <w:spacing w:line="360" w:lineRule="auto"/>
              <w:ind w:firstLine="480" w:firstLineChars="200"/>
              <w:rPr>
                <w:rFonts w:ascii="宋体" w:hAnsi="宋体"/>
                <w:sz w:val="24"/>
                <w:u w:val="single"/>
              </w:rPr>
            </w:pPr>
            <w:r>
              <w:rPr>
                <w:rFonts w:hint="eastAsia" w:ascii="宋体" w:hAnsi="宋体"/>
                <w:sz w:val="24"/>
                <w:u w:val="single"/>
              </w:rPr>
              <w:t>项目为</w:t>
            </w:r>
            <w:r>
              <w:rPr>
                <w:rFonts w:hint="eastAsia" w:ascii="宋体" w:hAnsi="宋体"/>
                <w:spacing w:val="8"/>
                <w:sz w:val="24"/>
                <w:u w:val="single"/>
              </w:rPr>
              <w:t>预拌砂浆生产项目</w:t>
            </w:r>
            <w:r>
              <w:rPr>
                <w:rFonts w:hint="eastAsia" w:ascii="宋体" w:hAnsi="宋体"/>
                <w:sz w:val="24"/>
                <w:u w:val="single"/>
              </w:rPr>
              <w:t>，利用废气建筑垃圾、用水取至雨水。因此，项目资源利用满足要求。</w:t>
            </w:r>
          </w:p>
          <w:p>
            <w:pPr>
              <w:spacing w:line="360" w:lineRule="auto"/>
              <w:ind w:firstLine="480" w:firstLineChars="200"/>
              <w:rPr>
                <w:rFonts w:ascii="宋体" w:hAnsi="宋体"/>
                <w:sz w:val="24"/>
                <w:u w:val="single"/>
              </w:rPr>
            </w:pPr>
            <w:r>
              <w:rPr>
                <w:rFonts w:hint="eastAsia" w:ascii="宋体" w:hAnsi="宋体"/>
                <w:sz w:val="24"/>
                <w:u w:val="single"/>
              </w:rPr>
              <w:t>4、环境准入负面清单</w:t>
            </w:r>
          </w:p>
          <w:p>
            <w:pPr>
              <w:spacing w:line="360" w:lineRule="auto"/>
              <w:ind w:firstLine="480" w:firstLineChars="200"/>
              <w:rPr>
                <w:rFonts w:ascii="宋体" w:hAnsi="宋体"/>
                <w:sz w:val="24"/>
                <w:u w:val="single"/>
              </w:rPr>
            </w:pPr>
            <w:r>
              <w:rPr>
                <w:rFonts w:hint="eastAsia" w:ascii="宋体" w:hAnsi="宋体"/>
                <w:sz w:val="24"/>
                <w:u w:val="single"/>
              </w:rPr>
              <w:t>本项目位于</w:t>
            </w:r>
            <w:r>
              <w:rPr>
                <w:rFonts w:hint="eastAsia"/>
                <w:sz w:val="24"/>
                <w:u w:val="single"/>
              </w:rPr>
              <w:t>湘阴县文星镇漕溪港街道原板桥砖厂处</w:t>
            </w:r>
            <w:r>
              <w:rPr>
                <w:rFonts w:hint="eastAsia" w:ascii="宋体" w:hAnsi="宋体"/>
                <w:sz w:val="24"/>
                <w:u w:val="single"/>
              </w:rPr>
              <w:t>，符合区域发展和产业定位要求，不属于高污染、高能耗和资源型的产业类型。因此本项目为环境准入允许类别。</w:t>
            </w:r>
          </w:p>
          <w:p>
            <w:pPr>
              <w:spacing w:line="360" w:lineRule="auto"/>
              <w:rPr>
                <w:rFonts w:cs="Calibri"/>
                <w:snapToGrid w:val="0"/>
                <w:sz w:val="24"/>
              </w:rPr>
            </w:pPr>
          </w:p>
          <w:p>
            <w:pPr>
              <w:spacing w:line="360" w:lineRule="auto"/>
              <w:rPr>
                <w:rFonts w:cs="Calibri"/>
                <w:snapToGrid w:val="0"/>
                <w:sz w:val="24"/>
              </w:rPr>
            </w:pPr>
          </w:p>
          <w:p>
            <w:pPr>
              <w:spacing w:line="360" w:lineRule="auto"/>
              <w:rPr>
                <w:rFonts w:cs="Calibri"/>
                <w:snapToGrid w:val="0"/>
                <w:sz w:val="24"/>
              </w:rPr>
            </w:pPr>
          </w:p>
          <w:p>
            <w:pPr>
              <w:spacing w:line="360" w:lineRule="auto"/>
              <w:rPr>
                <w:rFonts w:cs="Calibri"/>
                <w:snapToGrid w:val="0"/>
                <w:sz w:val="24"/>
              </w:rPr>
            </w:pPr>
          </w:p>
          <w:p>
            <w:pPr>
              <w:spacing w:line="360" w:lineRule="auto"/>
              <w:rPr>
                <w:rFonts w:cs="Calibri"/>
                <w:snapToGrid w:val="0"/>
                <w:sz w:val="24"/>
              </w:rPr>
            </w:pPr>
          </w:p>
          <w:p>
            <w:pPr>
              <w:spacing w:line="360" w:lineRule="auto"/>
              <w:rPr>
                <w:rFonts w:cs="Calibri"/>
                <w:snapToGrid w:val="0"/>
                <w:sz w:val="24"/>
              </w:rPr>
            </w:pPr>
          </w:p>
          <w:p>
            <w:pPr>
              <w:spacing w:line="360" w:lineRule="auto"/>
              <w:rPr>
                <w:rFonts w:cs="Calibri"/>
                <w:snapToGrid w:val="0"/>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rFonts w:hint="eastAsia"/>
                <w:color w:val="0000FF"/>
                <w:sz w:val="24"/>
              </w:rPr>
            </w:pPr>
          </w:p>
        </w:tc>
      </w:tr>
    </w:tbl>
    <w:p>
      <w:pPr>
        <w:spacing w:line="520" w:lineRule="exact"/>
        <w:jc w:val="left"/>
        <w:outlineLvl w:val="0"/>
        <w:rPr>
          <w:b/>
          <w:color w:val="0000FF"/>
          <w:sz w:val="28"/>
          <w:szCs w:val="28"/>
        </w:rPr>
      </w:pPr>
      <w:bookmarkStart w:id="19" w:name="_Toc3906333"/>
      <w:r>
        <w:rPr>
          <w:b/>
          <w:szCs w:val="32"/>
        </w:rPr>
        <w:t>建设项目拟采取的防治措施及预期治理效果</w:t>
      </w:r>
      <w:bookmarkEnd w:id="19"/>
    </w:p>
    <w:tbl>
      <w:tblPr>
        <w:tblStyle w:val="18"/>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217"/>
        <w:gridCol w:w="738"/>
        <w:gridCol w:w="929"/>
        <w:gridCol w:w="2609"/>
        <w:gridCol w:w="28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7" w:type="dxa"/>
            <w:vAlign w:val="center"/>
          </w:tcPr>
          <w:p>
            <w:pPr>
              <w:jc w:val="center"/>
              <w:rPr>
                <w:rFonts w:cs="Calibri"/>
                <w:sz w:val="21"/>
              </w:rPr>
            </w:pPr>
            <w:r>
              <w:rPr>
                <w:rFonts w:cs="Calibri"/>
                <w:sz w:val="21"/>
              </w:rPr>
              <w:t>内容</w:t>
            </w:r>
          </w:p>
          <w:p>
            <w:pPr>
              <w:jc w:val="center"/>
              <w:rPr>
                <w:rFonts w:cs="Calibri"/>
                <w:sz w:val="21"/>
              </w:rPr>
            </w:pPr>
            <w:r>
              <w:rPr>
                <w:rFonts w:cs="Calibri"/>
                <w:sz w:val="21"/>
              </w:rPr>
              <w:t>类型</w:t>
            </w:r>
          </w:p>
        </w:tc>
        <w:tc>
          <w:tcPr>
            <w:tcW w:w="1217" w:type="dxa"/>
            <w:vAlign w:val="center"/>
          </w:tcPr>
          <w:p>
            <w:pPr>
              <w:jc w:val="center"/>
              <w:rPr>
                <w:rFonts w:cs="Calibri"/>
                <w:sz w:val="21"/>
              </w:rPr>
            </w:pPr>
            <w:r>
              <w:rPr>
                <w:rFonts w:cs="Calibri"/>
                <w:sz w:val="21"/>
              </w:rPr>
              <w:t>排放源</w:t>
            </w:r>
          </w:p>
        </w:tc>
        <w:tc>
          <w:tcPr>
            <w:tcW w:w="1667" w:type="dxa"/>
            <w:gridSpan w:val="2"/>
            <w:vAlign w:val="center"/>
          </w:tcPr>
          <w:p>
            <w:pPr>
              <w:jc w:val="center"/>
              <w:rPr>
                <w:rFonts w:cs="Calibri"/>
                <w:sz w:val="21"/>
              </w:rPr>
            </w:pPr>
            <w:r>
              <w:rPr>
                <w:rFonts w:cs="Calibri"/>
                <w:sz w:val="21"/>
              </w:rPr>
              <w:t>污染物名称</w:t>
            </w:r>
          </w:p>
        </w:tc>
        <w:tc>
          <w:tcPr>
            <w:tcW w:w="2609" w:type="dxa"/>
            <w:vAlign w:val="center"/>
          </w:tcPr>
          <w:p>
            <w:pPr>
              <w:jc w:val="center"/>
              <w:rPr>
                <w:rFonts w:cs="Calibri"/>
                <w:sz w:val="21"/>
              </w:rPr>
            </w:pPr>
            <w:r>
              <w:rPr>
                <w:rFonts w:cs="Calibri"/>
                <w:sz w:val="21"/>
              </w:rPr>
              <w:t>防治措施</w:t>
            </w:r>
          </w:p>
        </w:tc>
        <w:tc>
          <w:tcPr>
            <w:tcW w:w="2891" w:type="dxa"/>
            <w:vAlign w:val="center"/>
          </w:tcPr>
          <w:p>
            <w:pPr>
              <w:jc w:val="center"/>
              <w:rPr>
                <w:rFonts w:cs="Calibri"/>
                <w:sz w:val="21"/>
              </w:rPr>
            </w:pPr>
            <w:r>
              <w:rPr>
                <w:rFonts w:cs="Calibri"/>
                <w:sz w:val="21"/>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 w:hRule="atLeast"/>
          <w:jc w:val="center"/>
        </w:trPr>
        <w:tc>
          <w:tcPr>
            <w:tcW w:w="687" w:type="dxa"/>
            <w:vMerge w:val="restart"/>
            <w:vAlign w:val="center"/>
          </w:tcPr>
          <w:p>
            <w:pPr>
              <w:jc w:val="center"/>
              <w:rPr>
                <w:rFonts w:cs="Calibri"/>
                <w:sz w:val="21"/>
              </w:rPr>
            </w:pPr>
            <w:r>
              <w:rPr>
                <w:rFonts w:hint="eastAsia" w:cs="Calibri"/>
                <w:sz w:val="21"/>
              </w:rPr>
              <w:t>大</w:t>
            </w:r>
          </w:p>
          <w:p>
            <w:pPr>
              <w:jc w:val="center"/>
              <w:rPr>
                <w:rFonts w:cs="Calibri"/>
                <w:sz w:val="21"/>
              </w:rPr>
            </w:pPr>
            <w:r>
              <w:rPr>
                <w:rFonts w:hint="eastAsia" w:cs="Calibri"/>
                <w:sz w:val="21"/>
              </w:rPr>
              <w:t>气</w:t>
            </w:r>
          </w:p>
          <w:p>
            <w:pPr>
              <w:jc w:val="center"/>
              <w:rPr>
                <w:rFonts w:cs="Calibri"/>
                <w:sz w:val="21"/>
              </w:rPr>
            </w:pPr>
            <w:r>
              <w:rPr>
                <w:rFonts w:cs="Calibri"/>
                <w:sz w:val="21"/>
              </w:rPr>
              <w:t>污</w:t>
            </w:r>
          </w:p>
          <w:p>
            <w:pPr>
              <w:jc w:val="center"/>
              <w:rPr>
                <w:rFonts w:cs="Calibri"/>
                <w:sz w:val="21"/>
              </w:rPr>
            </w:pPr>
            <w:r>
              <w:rPr>
                <w:rFonts w:cs="Calibri"/>
                <w:sz w:val="21"/>
              </w:rPr>
              <w:t>染</w:t>
            </w:r>
          </w:p>
          <w:p>
            <w:pPr>
              <w:jc w:val="center"/>
              <w:rPr>
                <w:rFonts w:cs="Calibri"/>
                <w:sz w:val="21"/>
              </w:rPr>
            </w:pPr>
            <w:r>
              <w:rPr>
                <w:rFonts w:cs="Calibri"/>
                <w:sz w:val="21"/>
              </w:rPr>
              <w:t>物</w:t>
            </w:r>
          </w:p>
        </w:tc>
        <w:tc>
          <w:tcPr>
            <w:tcW w:w="1217" w:type="dxa"/>
            <w:vAlign w:val="center"/>
          </w:tcPr>
          <w:p>
            <w:pPr>
              <w:jc w:val="center"/>
              <w:rPr>
                <w:rFonts w:cs="Calibri"/>
                <w:sz w:val="21"/>
              </w:rPr>
            </w:pPr>
            <w:r>
              <w:rPr>
                <w:rFonts w:cs="Calibri"/>
                <w:sz w:val="21"/>
              </w:rPr>
              <w:t>物料装卸粉尘</w:t>
            </w:r>
          </w:p>
        </w:tc>
        <w:tc>
          <w:tcPr>
            <w:tcW w:w="1667" w:type="dxa"/>
            <w:gridSpan w:val="2"/>
            <w:vAlign w:val="center"/>
          </w:tcPr>
          <w:p>
            <w:pPr>
              <w:jc w:val="center"/>
              <w:rPr>
                <w:rFonts w:cs="Calibri"/>
                <w:sz w:val="21"/>
              </w:rPr>
            </w:pPr>
            <w:r>
              <w:rPr>
                <w:rFonts w:cs="Calibri"/>
                <w:sz w:val="21"/>
              </w:rPr>
              <w:t>粉尘</w:t>
            </w:r>
          </w:p>
        </w:tc>
        <w:tc>
          <w:tcPr>
            <w:tcW w:w="2609" w:type="dxa"/>
            <w:vAlign w:val="center"/>
          </w:tcPr>
          <w:p>
            <w:pPr>
              <w:jc w:val="center"/>
              <w:rPr>
                <w:rFonts w:cs="Calibri"/>
                <w:sz w:val="21"/>
              </w:rPr>
            </w:pPr>
            <w:r>
              <w:rPr>
                <w:rFonts w:cs="Calibri"/>
                <w:sz w:val="21"/>
              </w:rPr>
              <w:t>篷布遮盖、传送带安装透明遮挡盖</w:t>
            </w:r>
          </w:p>
        </w:tc>
        <w:tc>
          <w:tcPr>
            <w:tcW w:w="2891" w:type="dxa"/>
            <w:vMerge w:val="restart"/>
            <w:vAlign w:val="center"/>
          </w:tcPr>
          <w:p>
            <w:pPr>
              <w:jc w:val="center"/>
              <w:rPr>
                <w:rFonts w:cs="Calibri"/>
                <w:sz w:val="21"/>
              </w:rPr>
            </w:pPr>
            <w:r>
              <w:rPr>
                <w:sz w:val="21"/>
                <w:szCs w:val="21"/>
              </w:rPr>
              <w:t>《</w:t>
            </w:r>
            <w:r>
              <w:rPr>
                <w:rFonts w:hint="eastAsia"/>
                <w:sz w:val="21"/>
                <w:szCs w:val="21"/>
              </w:rPr>
              <w:t>水泥工业大气污染物排放标准</w:t>
            </w:r>
            <w:r>
              <w:rPr>
                <w:sz w:val="21"/>
                <w:szCs w:val="21"/>
              </w:rPr>
              <w:t>（</w:t>
            </w:r>
            <w:r>
              <w:rPr>
                <w:rFonts w:hint="eastAsia"/>
                <w:sz w:val="21"/>
                <w:szCs w:val="21"/>
              </w:rPr>
              <w:t>GB 4915-2013</w:t>
            </w:r>
            <w:r>
              <w:rPr>
                <w:sz w:val="21"/>
                <w:szCs w:val="21"/>
              </w:rPr>
              <w:t>）》中表</w:t>
            </w:r>
            <w:r>
              <w:rPr>
                <w:rFonts w:hint="eastAsia"/>
                <w:sz w:val="21"/>
                <w:szCs w:val="21"/>
              </w:rPr>
              <w:t>2大气污染物特别排放限值（颗粒物10mg/m</w:t>
            </w:r>
            <w:r>
              <w:rPr>
                <w:rFonts w:hint="eastAsia"/>
                <w:sz w:val="21"/>
                <w:szCs w:val="21"/>
                <w:vertAlign w:val="superscript"/>
              </w:rPr>
              <w:t>3</w:t>
            </w: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vAlign w:val="center"/>
          </w:tcPr>
          <w:p>
            <w:pPr>
              <w:jc w:val="center"/>
              <w:rPr>
                <w:rFonts w:cs="Calibri"/>
                <w:sz w:val="21"/>
              </w:rPr>
            </w:pPr>
          </w:p>
        </w:tc>
        <w:tc>
          <w:tcPr>
            <w:tcW w:w="1217" w:type="dxa"/>
            <w:vAlign w:val="center"/>
          </w:tcPr>
          <w:p>
            <w:pPr>
              <w:jc w:val="center"/>
              <w:rPr>
                <w:rFonts w:cs="Calibri"/>
                <w:sz w:val="21"/>
              </w:rPr>
            </w:pPr>
            <w:r>
              <w:rPr>
                <w:rFonts w:hint="eastAsia" w:cs="Calibri"/>
                <w:sz w:val="21"/>
              </w:rPr>
              <w:t>破碎加工粉尘</w:t>
            </w:r>
          </w:p>
        </w:tc>
        <w:tc>
          <w:tcPr>
            <w:tcW w:w="1667" w:type="dxa"/>
            <w:gridSpan w:val="2"/>
            <w:vAlign w:val="center"/>
          </w:tcPr>
          <w:p>
            <w:pPr>
              <w:jc w:val="center"/>
              <w:rPr>
                <w:rFonts w:cs="Calibri"/>
                <w:sz w:val="21"/>
              </w:rPr>
            </w:pPr>
            <w:r>
              <w:rPr>
                <w:rFonts w:cs="Calibri"/>
                <w:sz w:val="21"/>
              </w:rPr>
              <w:t>粉尘</w:t>
            </w:r>
          </w:p>
        </w:tc>
        <w:tc>
          <w:tcPr>
            <w:tcW w:w="2609" w:type="dxa"/>
            <w:vAlign w:val="center"/>
          </w:tcPr>
          <w:p>
            <w:pPr>
              <w:jc w:val="center"/>
              <w:rPr>
                <w:rFonts w:cs="Calibri"/>
                <w:sz w:val="21"/>
              </w:rPr>
            </w:pPr>
            <w:r>
              <w:rPr>
                <w:rFonts w:cs="Calibri"/>
                <w:sz w:val="21"/>
              </w:rPr>
              <w:t>洒水降尘、原料增湿</w:t>
            </w:r>
            <w:r>
              <w:rPr>
                <w:rFonts w:hint="eastAsia" w:cs="Calibri"/>
                <w:sz w:val="21"/>
              </w:rPr>
              <w:t>、</w:t>
            </w:r>
            <w:r>
              <w:rPr>
                <w:rFonts w:cs="Calibri"/>
                <w:sz w:val="21"/>
              </w:rPr>
              <w:t>封闭车间</w:t>
            </w:r>
          </w:p>
        </w:tc>
        <w:tc>
          <w:tcPr>
            <w:tcW w:w="2891"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87" w:type="dxa"/>
            <w:vMerge w:val="continue"/>
            <w:vAlign w:val="center"/>
          </w:tcPr>
          <w:p>
            <w:pPr>
              <w:jc w:val="center"/>
              <w:rPr>
                <w:rFonts w:cs="Calibri"/>
                <w:sz w:val="21"/>
              </w:rPr>
            </w:pPr>
          </w:p>
        </w:tc>
        <w:tc>
          <w:tcPr>
            <w:tcW w:w="1217" w:type="dxa"/>
            <w:vAlign w:val="center"/>
          </w:tcPr>
          <w:p>
            <w:pPr>
              <w:jc w:val="center"/>
              <w:rPr>
                <w:rFonts w:cs="Calibri"/>
                <w:sz w:val="21"/>
              </w:rPr>
            </w:pPr>
            <w:r>
              <w:rPr>
                <w:rFonts w:cs="Calibri"/>
                <w:sz w:val="21"/>
              </w:rPr>
              <w:t>混合搅拌粉尘</w:t>
            </w:r>
          </w:p>
        </w:tc>
        <w:tc>
          <w:tcPr>
            <w:tcW w:w="1667" w:type="dxa"/>
            <w:gridSpan w:val="2"/>
            <w:vAlign w:val="center"/>
          </w:tcPr>
          <w:p>
            <w:pPr>
              <w:jc w:val="center"/>
              <w:rPr>
                <w:rFonts w:cs="Calibri"/>
                <w:sz w:val="21"/>
              </w:rPr>
            </w:pPr>
            <w:r>
              <w:rPr>
                <w:rFonts w:cs="Calibri"/>
                <w:sz w:val="21"/>
              </w:rPr>
              <w:t>粉尘</w:t>
            </w:r>
          </w:p>
        </w:tc>
        <w:tc>
          <w:tcPr>
            <w:tcW w:w="2609" w:type="dxa"/>
            <w:vAlign w:val="center"/>
          </w:tcPr>
          <w:p>
            <w:pPr>
              <w:jc w:val="center"/>
              <w:rPr>
                <w:rFonts w:cs="Calibri"/>
                <w:sz w:val="21"/>
              </w:rPr>
            </w:pPr>
            <w:r>
              <w:rPr>
                <w:rFonts w:hint="eastAsia" w:cs="Calibri"/>
                <w:sz w:val="21"/>
              </w:rPr>
              <w:t>设备自带</w:t>
            </w:r>
            <w:r>
              <w:rPr>
                <w:rFonts w:cs="Calibri"/>
                <w:sz w:val="21"/>
              </w:rPr>
              <w:t>脉冲式布袋除尘器+封闭车间+15m高排气筒</w:t>
            </w:r>
          </w:p>
        </w:tc>
        <w:tc>
          <w:tcPr>
            <w:tcW w:w="2891"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87" w:type="dxa"/>
            <w:vMerge w:val="continue"/>
            <w:vAlign w:val="center"/>
          </w:tcPr>
          <w:p>
            <w:pPr>
              <w:jc w:val="center"/>
              <w:rPr>
                <w:rFonts w:cs="Calibri"/>
                <w:sz w:val="21"/>
              </w:rPr>
            </w:pPr>
          </w:p>
        </w:tc>
        <w:tc>
          <w:tcPr>
            <w:tcW w:w="1217" w:type="dxa"/>
            <w:vAlign w:val="center"/>
          </w:tcPr>
          <w:p>
            <w:pPr>
              <w:jc w:val="center"/>
              <w:rPr>
                <w:rFonts w:cs="Calibri"/>
                <w:sz w:val="21"/>
              </w:rPr>
            </w:pPr>
            <w:r>
              <w:rPr>
                <w:rFonts w:cs="Calibri"/>
                <w:sz w:val="21"/>
              </w:rPr>
              <w:t>筒库粉尘</w:t>
            </w:r>
          </w:p>
        </w:tc>
        <w:tc>
          <w:tcPr>
            <w:tcW w:w="1667" w:type="dxa"/>
            <w:gridSpan w:val="2"/>
            <w:vAlign w:val="center"/>
          </w:tcPr>
          <w:p>
            <w:pPr>
              <w:jc w:val="center"/>
              <w:rPr>
                <w:rFonts w:cs="Calibri"/>
                <w:sz w:val="21"/>
              </w:rPr>
            </w:pPr>
            <w:r>
              <w:rPr>
                <w:rFonts w:cs="Calibri"/>
                <w:sz w:val="21"/>
              </w:rPr>
              <w:t>粉尘</w:t>
            </w:r>
          </w:p>
        </w:tc>
        <w:tc>
          <w:tcPr>
            <w:tcW w:w="2609" w:type="dxa"/>
            <w:vAlign w:val="center"/>
          </w:tcPr>
          <w:p>
            <w:pPr>
              <w:jc w:val="center"/>
              <w:rPr>
                <w:rFonts w:cs="Calibri"/>
                <w:sz w:val="21"/>
              </w:rPr>
            </w:pPr>
            <w:r>
              <w:rPr>
                <w:rFonts w:hint="eastAsia" w:cs="Calibri"/>
                <w:sz w:val="21"/>
              </w:rPr>
              <w:t>设备自带</w:t>
            </w:r>
            <w:r>
              <w:rPr>
                <w:rFonts w:cs="Calibri"/>
                <w:sz w:val="21"/>
              </w:rPr>
              <w:t>脉冲式布袋除尘器</w:t>
            </w:r>
            <w:r>
              <w:rPr>
                <w:rFonts w:hint="eastAsia" w:cs="Calibri"/>
                <w:sz w:val="21"/>
              </w:rPr>
              <w:t>+呼吸阀</w:t>
            </w:r>
          </w:p>
        </w:tc>
        <w:tc>
          <w:tcPr>
            <w:tcW w:w="2891"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87" w:type="dxa"/>
            <w:vMerge w:val="continue"/>
            <w:vAlign w:val="center"/>
          </w:tcPr>
          <w:p>
            <w:pPr>
              <w:jc w:val="center"/>
              <w:rPr>
                <w:rFonts w:cs="Calibri"/>
                <w:sz w:val="21"/>
              </w:rPr>
            </w:pPr>
          </w:p>
        </w:tc>
        <w:tc>
          <w:tcPr>
            <w:tcW w:w="1217" w:type="dxa"/>
            <w:vAlign w:val="center"/>
          </w:tcPr>
          <w:p>
            <w:pPr>
              <w:jc w:val="center"/>
              <w:rPr>
                <w:rFonts w:cs="Calibri"/>
                <w:sz w:val="21"/>
              </w:rPr>
            </w:pPr>
            <w:r>
              <w:rPr>
                <w:rFonts w:cs="Calibri"/>
                <w:sz w:val="21"/>
              </w:rPr>
              <w:t>道路</w:t>
            </w:r>
            <w:r>
              <w:rPr>
                <w:rFonts w:hint="eastAsia" w:cs="Calibri"/>
                <w:sz w:val="21"/>
              </w:rPr>
              <w:t>运输</w:t>
            </w:r>
            <w:r>
              <w:rPr>
                <w:rFonts w:cs="Calibri"/>
                <w:sz w:val="21"/>
              </w:rPr>
              <w:t>扬尘</w:t>
            </w:r>
          </w:p>
        </w:tc>
        <w:tc>
          <w:tcPr>
            <w:tcW w:w="1667" w:type="dxa"/>
            <w:gridSpan w:val="2"/>
            <w:vAlign w:val="center"/>
          </w:tcPr>
          <w:p>
            <w:pPr>
              <w:jc w:val="center"/>
              <w:rPr>
                <w:rFonts w:cs="Calibri"/>
                <w:sz w:val="21"/>
              </w:rPr>
            </w:pPr>
            <w:r>
              <w:rPr>
                <w:rFonts w:cs="Calibri"/>
                <w:sz w:val="21"/>
              </w:rPr>
              <w:t>扬尘</w:t>
            </w:r>
          </w:p>
        </w:tc>
        <w:tc>
          <w:tcPr>
            <w:tcW w:w="2609" w:type="dxa"/>
            <w:vAlign w:val="center"/>
          </w:tcPr>
          <w:p>
            <w:pPr>
              <w:jc w:val="center"/>
              <w:rPr>
                <w:rFonts w:cs="Calibri"/>
                <w:sz w:val="21"/>
              </w:rPr>
            </w:pPr>
            <w:r>
              <w:rPr>
                <w:rFonts w:cs="Calibri"/>
                <w:sz w:val="21"/>
              </w:rPr>
              <w:t>产生量少，场地开阔，易于扩散</w:t>
            </w:r>
            <w:r>
              <w:rPr>
                <w:rFonts w:hint="eastAsia" w:cs="Calibri"/>
                <w:sz w:val="21"/>
              </w:rPr>
              <w:t>，</w:t>
            </w:r>
            <w:r>
              <w:rPr>
                <w:rFonts w:cs="Calibri"/>
                <w:sz w:val="21"/>
              </w:rPr>
              <w:t>洒水降尘</w:t>
            </w:r>
          </w:p>
        </w:tc>
        <w:tc>
          <w:tcPr>
            <w:tcW w:w="2891"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87" w:type="dxa"/>
            <w:vMerge w:val="continue"/>
            <w:vAlign w:val="center"/>
          </w:tcPr>
          <w:p>
            <w:pPr>
              <w:jc w:val="center"/>
              <w:rPr>
                <w:rFonts w:cs="Calibri"/>
                <w:sz w:val="21"/>
              </w:rPr>
            </w:pPr>
          </w:p>
        </w:tc>
        <w:tc>
          <w:tcPr>
            <w:tcW w:w="1217" w:type="dxa"/>
            <w:vAlign w:val="center"/>
          </w:tcPr>
          <w:p>
            <w:pPr>
              <w:jc w:val="center"/>
              <w:rPr>
                <w:rFonts w:cs="Calibri"/>
                <w:sz w:val="21"/>
              </w:rPr>
            </w:pPr>
            <w:r>
              <w:rPr>
                <w:rFonts w:hint="eastAsia" w:cs="Calibri"/>
                <w:sz w:val="21"/>
              </w:rPr>
              <w:t>食堂</w:t>
            </w:r>
          </w:p>
        </w:tc>
        <w:tc>
          <w:tcPr>
            <w:tcW w:w="1667" w:type="dxa"/>
            <w:gridSpan w:val="2"/>
            <w:vAlign w:val="center"/>
          </w:tcPr>
          <w:p>
            <w:pPr>
              <w:jc w:val="center"/>
              <w:rPr>
                <w:rFonts w:cs="Calibri"/>
                <w:sz w:val="21"/>
              </w:rPr>
            </w:pPr>
            <w:r>
              <w:rPr>
                <w:rFonts w:hint="eastAsia" w:cs="Calibri"/>
                <w:sz w:val="21"/>
              </w:rPr>
              <w:t>食堂油烟</w:t>
            </w:r>
          </w:p>
        </w:tc>
        <w:tc>
          <w:tcPr>
            <w:tcW w:w="2609" w:type="dxa"/>
            <w:vAlign w:val="center"/>
          </w:tcPr>
          <w:p>
            <w:pPr>
              <w:jc w:val="center"/>
              <w:rPr>
                <w:rFonts w:cs="Calibri"/>
                <w:sz w:val="21"/>
              </w:rPr>
            </w:pPr>
            <w:r>
              <w:rPr>
                <w:rFonts w:hint="eastAsia" w:cs="Calibri"/>
                <w:sz w:val="21"/>
              </w:rPr>
              <w:t>抽油烟机</w:t>
            </w:r>
          </w:p>
        </w:tc>
        <w:tc>
          <w:tcPr>
            <w:tcW w:w="2891" w:type="dxa"/>
            <w:vAlign w:val="center"/>
          </w:tcPr>
          <w:p>
            <w:pPr>
              <w:jc w:val="center"/>
              <w:rPr>
                <w:rFonts w:cs="Calibri"/>
                <w:sz w:val="21"/>
              </w:rPr>
            </w:pPr>
            <w:r>
              <w:rPr>
                <w:rFonts w:cs="Calibri"/>
                <w:sz w:val="21"/>
              </w:rPr>
              <w:t>符合《饮食业油烟排放标准(试行)》(GB 18483-2001</w:t>
            </w:r>
            <w:r>
              <w:rPr>
                <w:rFonts w:hint="eastAsia" w:cs="Calibri"/>
                <w:sz w:val="21"/>
              </w:rPr>
              <w:t>）</w:t>
            </w:r>
            <w:r>
              <w:rPr>
                <w:rFonts w:cs="Calibri"/>
                <w:sz w:val="21"/>
              </w:rPr>
              <w:t>标准</w:t>
            </w:r>
            <w:r>
              <w:rPr>
                <w:rFonts w:hint="eastAsia" w:cs="Calibri"/>
                <w:sz w:val="21"/>
              </w:rPr>
              <w:t>（2</w:t>
            </w:r>
            <w:r>
              <w:rPr>
                <w:rFonts w:cs="Calibri"/>
                <w:sz w:val="21"/>
              </w:rPr>
              <w:t>mg/m</w:t>
            </w:r>
            <w:r>
              <w:rPr>
                <w:rFonts w:cs="Calibri"/>
                <w:sz w:val="21"/>
                <w:vertAlign w:val="superscript"/>
              </w:rPr>
              <w:t>3</w:t>
            </w:r>
            <w:r>
              <w:rPr>
                <w:rFonts w:hint="eastAsia" w:cs="Calibri"/>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7" w:type="dxa"/>
            <w:vMerge w:val="restart"/>
            <w:vAlign w:val="center"/>
          </w:tcPr>
          <w:p>
            <w:pPr>
              <w:jc w:val="center"/>
              <w:rPr>
                <w:rFonts w:cs="Calibri"/>
                <w:sz w:val="21"/>
              </w:rPr>
            </w:pPr>
            <w:r>
              <w:rPr>
                <w:rFonts w:cs="Calibri"/>
                <w:sz w:val="21"/>
              </w:rPr>
              <w:t>水</w:t>
            </w:r>
          </w:p>
          <w:p>
            <w:pPr>
              <w:jc w:val="center"/>
              <w:rPr>
                <w:rFonts w:cs="Calibri"/>
                <w:sz w:val="21"/>
              </w:rPr>
            </w:pPr>
            <w:r>
              <w:rPr>
                <w:rFonts w:cs="Calibri"/>
                <w:sz w:val="21"/>
              </w:rPr>
              <w:t>污</w:t>
            </w:r>
          </w:p>
          <w:p>
            <w:pPr>
              <w:jc w:val="center"/>
              <w:rPr>
                <w:rFonts w:cs="Calibri"/>
                <w:sz w:val="21"/>
              </w:rPr>
            </w:pPr>
            <w:r>
              <w:rPr>
                <w:rFonts w:cs="Calibri"/>
                <w:sz w:val="21"/>
              </w:rPr>
              <w:t>染</w:t>
            </w:r>
          </w:p>
          <w:p>
            <w:pPr>
              <w:jc w:val="center"/>
              <w:rPr>
                <w:rFonts w:cs="Calibri"/>
                <w:sz w:val="21"/>
              </w:rPr>
            </w:pPr>
            <w:r>
              <w:rPr>
                <w:rFonts w:cs="Calibri"/>
                <w:sz w:val="21"/>
              </w:rPr>
              <w:t>物</w:t>
            </w:r>
          </w:p>
        </w:tc>
        <w:tc>
          <w:tcPr>
            <w:tcW w:w="1217" w:type="dxa"/>
            <w:vAlign w:val="center"/>
          </w:tcPr>
          <w:p>
            <w:pPr>
              <w:jc w:val="center"/>
              <w:rPr>
                <w:rFonts w:cs="Calibri"/>
                <w:sz w:val="21"/>
              </w:rPr>
            </w:pPr>
            <w:r>
              <w:rPr>
                <w:rFonts w:cs="Calibri"/>
                <w:sz w:val="21"/>
              </w:rPr>
              <w:t>生活污水</w:t>
            </w:r>
          </w:p>
        </w:tc>
        <w:tc>
          <w:tcPr>
            <w:tcW w:w="1667" w:type="dxa"/>
            <w:gridSpan w:val="2"/>
            <w:vAlign w:val="center"/>
          </w:tcPr>
          <w:p>
            <w:pPr>
              <w:jc w:val="center"/>
              <w:rPr>
                <w:rFonts w:cs="Calibri"/>
                <w:sz w:val="21"/>
              </w:rPr>
            </w:pPr>
            <w:r>
              <w:rPr>
                <w:rFonts w:cs="Calibri"/>
                <w:sz w:val="21"/>
              </w:rPr>
              <w:t>COD、氨氮</w:t>
            </w:r>
          </w:p>
        </w:tc>
        <w:tc>
          <w:tcPr>
            <w:tcW w:w="2609" w:type="dxa"/>
            <w:vAlign w:val="center"/>
          </w:tcPr>
          <w:p>
            <w:pPr>
              <w:jc w:val="center"/>
              <w:rPr>
                <w:rFonts w:cs="Calibri"/>
                <w:sz w:val="21"/>
              </w:rPr>
            </w:pPr>
            <w:r>
              <w:rPr>
                <w:rFonts w:cs="Calibri"/>
                <w:sz w:val="21"/>
              </w:rPr>
              <w:t>化粪池</w:t>
            </w:r>
          </w:p>
        </w:tc>
        <w:tc>
          <w:tcPr>
            <w:tcW w:w="2891" w:type="dxa"/>
            <w:vAlign w:val="center"/>
          </w:tcPr>
          <w:p>
            <w:pPr>
              <w:jc w:val="center"/>
              <w:rPr>
                <w:rFonts w:cs="Calibri"/>
                <w:sz w:val="21"/>
              </w:rPr>
            </w:pPr>
            <w:r>
              <w:rPr>
                <w:rFonts w:cs="Calibri"/>
                <w:sz w:val="21"/>
              </w:rPr>
              <w:t>用于周边菜地施肥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vAlign w:val="center"/>
          </w:tcPr>
          <w:p>
            <w:pPr>
              <w:jc w:val="center"/>
              <w:rPr>
                <w:rFonts w:cs="Calibri"/>
                <w:sz w:val="21"/>
              </w:rPr>
            </w:pPr>
          </w:p>
        </w:tc>
        <w:tc>
          <w:tcPr>
            <w:tcW w:w="1217" w:type="dxa"/>
            <w:vAlign w:val="center"/>
          </w:tcPr>
          <w:p>
            <w:pPr>
              <w:jc w:val="center"/>
              <w:rPr>
                <w:rFonts w:cs="Calibri"/>
                <w:sz w:val="21"/>
              </w:rPr>
            </w:pPr>
            <w:r>
              <w:rPr>
                <w:rFonts w:hint="eastAsia" w:cs="Calibri"/>
                <w:sz w:val="21"/>
              </w:rPr>
              <w:t>冲洗废水</w:t>
            </w:r>
          </w:p>
        </w:tc>
        <w:tc>
          <w:tcPr>
            <w:tcW w:w="1667" w:type="dxa"/>
            <w:gridSpan w:val="2"/>
            <w:vAlign w:val="center"/>
          </w:tcPr>
          <w:p>
            <w:pPr>
              <w:jc w:val="center"/>
              <w:rPr>
                <w:rFonts w:cs="Calibri"/>
                <w:sz w:val="21"/>
              </w:rPr>
            </w:pPr>
            <w:r>
              <w:rPr>
                <w:rFonts w:hint="eastAsia" w:cs="Calibri"/>
                <w:sz w:val="21"/>
              </w:rPr>
              <w:t>石油类、SS</w:t>
            </w:r>
          </w:p>
        </w:tc>
        <w:tc>
          <w:tcPr>
            <w:tcW w:w="2609" w:type="dxa"/>
            <w:vMerge w:val="restart"/>
            <w:vAlign w:val="center"/>
          </w:tcPr>
          <w:p>
            <w:pPr>
              <w:jc w:val="center"/>
              <w:rPr>
                <w:rFonts w:cs="Calibri"/>
                <w:sz w:val="21"/>
              </w:rPr>
            </w:pPr>
            <w:r>
              <w:rPr>
                <w:rFonts w:hint="eastAsia" w:cs="Calibri"/>
                <w:sz w:val="21"/>
              </w:rPr>
              <w:t>沉淀池</w:t>
            </w:r>
          </w:p>
        </w:tc>
        <w:tc>
          <w:tcPr>
            <w:tcW w:w="2891" w:type="dxa"/>
            <w:vMerge w:val="restart"/>
            <w:vAlign w:val="center"/>
          </w:tcPr>
          <w:p>
            <w:pPr>
              <w:jc w:val="center"/>
              <w:rPr>
                <w:rFonts w:cs="Calibri"/>
                <w:sz w:val="21"/>
              </w:rPr>
            </w:pPr>
            <w:r>
              <w:rPr>
                <w:rFonts w:hint="eastAsia" w:cs="Calibri"/>
                <w:sz w:val="21"/>
              </w:rPr>
              <w:t>回用于洒水降尘、生产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vAlign w:val="center"/>
          </w:tcPr>
          <w:p>
            <w:pPr>
              <w:jc w:val="center"/>
              <w:rPr>
                <w:rFonts w:cs="Calibri"/>
                <w:sz w:val="21"/>
              </w:rPr>
            </w:pPr>
          </w:p>
        </w:tc>
        <w:tc>
          <w:tcPr>
            <w:tcW w:w="1217" w:type="dxa"/>
            <w:vAlign w:val="center"/>
          </w:tcPr>
          <w:p>
            <w:pPr>
              <w:jc w:val="center"/>
              <w:rPr>
                <w:rFonts w:cs="Calibri"/>
                <w:sz w:val="21"/>
              </w:rPr>
            </w:pPr>
            <w:r>
              <w:rPr>
                <w:rFonts w:hint="eastAsia" w:cs="Calibri"/>
                <w:sz w:val="21"/>
              </w:rPr>
              <w:t>初期雨水</w:t>
            </w:r>
          </w:p>
        </w:tc>
        <w:tc>
          <w:tcPr>
            <w:tcW w:w="1667" w:type="dxa"/>
            <w:gridSpan w:val="2"/>
            <w:vAlign w:val="center"/>
          </w:tcPr>
          <w:p>
            <w:pPr>
              <w:jc w:val="center"/>
              <w:rPr>
                <w:rFonts w:cs="Calibri"/>
                <w:sz w:val="21"/>
              </w:rPr>
            </w:pPr>
            <w:r>
              <w:rPr>
                <w:rFonts w:hint="eastAsia" w:cs="Calibri"/>
                <w:sz w:val="21"/>
              </w:rPr>
              <w:t>SS</w:t>
            </w:r>
          </w:p>
        </w:tc>
        <w:tc>
          <w:tcPr>
            <w:tcW w:w="2609" w:type="dxa"/>
            <w:vMerge w:val="continue"/>
            <w:vAlign w:val="center"/>
          </w:tcPr>
          <w:p>
            <w:pPr>
              <w:jc w:val="center"/>
              <w:rPr>
                <w:rFonts w:cs="Calibri"/>
                <w:sz w:val="21"/>
              </w:rPr>
            </w:pPr>
          </w:p>
        </w:tc>
        <w:tc>
          <w:tcPr>
            <w:tcW w:w="2891"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vAlign w:val="center"/>
          </w:tcPr>
          <w:p>
            <w:pPr>
              <w:jc w:val="center"/>
              <w:rPr>
                <w:rFonts w:cs="Calibri"/>
                <w:sz w:val="21"/>
              </w:rPr>
            </w:pPr>
          </w:p>
        </w:tc>
        <w:tc>
          <w:tcPr>
            <w:tcW w:w="1217" w:type="dxa"/>
            <w:vAlign w:val="center"/>
          </w:tcPr>
          <w:p>
            <w:pPr>
              <w:jc w:val="center"/>
              <w:rPr>
                <w:rFonts w:cs="Calibri"/>
                <w:sz w:val="21"/>
              </w:rPr>
            </w:pPr>
            <w:r>
              <w:rPr>
                <w:rFonts w:hint="eastAsia" w:cs="Calibri"/>
                <w:sz w:val="21"/>
              </w:rPr>
              <w:t>清洗原材料废水</w:t>
            </w:r>
          </w:p>
        </w:tc>
        <w:tc>
          <w:tcPr>
            <w:tcW w:w="1667" w:type="dxa"/>
            <w:gridSpan w:val="2"/>
            <w:vAlign w:val="center"/>
          </w:tcPr>
          <w:p>
            <w:pPr>
              <w:jc w:val="center"/>
              <w:rPr>
                <w:rFonts w:cs="Calibri"/>
                <w:sz w:val="21"/>
              </w:rPr>
            </w:pPr>
            <w:r>
              <w:rPr>
                <w:rFonts w:cs="Calibri"/>
                <w:sz w:val="21"/>
              </w:rPr>
              <w:t>SS</w:t>
            </w:r>
          </w:p>
        </w:tc>
        <w:tc>
          <w:tcPr>
            <w:tcW w:w="2609" w:type="dxa"/>
            <w:vMerge w:val="continue"/>
            <w:vAlign w:val="center"/>
          </w:tcPr>
          <w:p>
            <w:pPr>
              <w:jc w:val="center"/>
              <w:rPr>
                <w:rFonts w:cs="Calibri"/>
                <w:sz w:val="21"/>
              </w:rPr>
            </w:pPr>
          </w:p>
        </w:tc>
        <w:tc>
          <w:tcPr>
            <w:tcW w:w="2891"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7" w:type="dxa"/>
            <w:vMerge w:val="restart"/>
            <w:vAlign w:val="center"/>
          </w:tcPr>
          <w:p>
            <w:pPr>
              <w:jc w:val="center"/>
              <w:rPr>
                <w:rFonts w:cs="Calibri"/>
                <w:sz w:val="21"/>
              </w:rPr>
            </w:pPr>
            <w:r>
              <w:rPr>
                <w:rFonts w:cs="Calibri"/>
                <w:sz w:val="21"/>
              </w:rPr>
              <w:t>固</w:t>
            </w:r>
          </w:p>
          <w:p>
            <w:pPr>
              <w:jc w:val="center"/>
              <w:rPr>
                <w:rFonts w:cs="Calibri"/>
                <w:sz w:val="21"/>
              </w:rPr>
            </w:pPr>
            <w:r>
              <w:rPr>
                <w:rFonts w:cs="Calibri"/>
                <w:sz w:val="21"/>
              </w:rPr>
              <w:t>体</w:t>
            </w:r>
          </w:p>
          <w:p>
            <w:pPr>
              <w:jc w:val="center"/>
              <w:rPr>
                <w:rFonts w:cs="Calibri"/>
                <w:sz w:val="21"/>
              </w:rPr>
            </w:pPr>
            <w:r>
              <w:rPr>
                <w:rFonts w:cs="Calibri"/>
                <w:sz w:val="21"/>
              </w:rPr>
              <w:t>废</w:t>
            </w:r>
          </w:p>
          <w:p>
            <w:pPr>
              <w:jc w:val="center"/>
              <w:rPr>
                <w:rFonts w:cs="Calibri"/>
                <w:sz w:val="21"/>
              </w:rPr>
            </w:pPr>
            <w:r>
              <w:rPr>
                <w:rFonts w:cs="Calibri"/>
                <w:sz w:val="21"/>
              </w:rPr>
              <w:t>物</w:t>
            </w:r>
          </w:p>
        </w:tc>
        <w:tc>
          <w:tcPr>
            <w:tcW w:w="1217" w:type="dxa"/>
            <w:vAlign w:val="center"/>
          </w:tcPr>
          <w:p>
            <w:pPr>
              <w:jc w:val="center"/>
              <w:rPr>
                <w:rFonts w:cs="Calibri"/>
                <w:sz w:val="21"/>
              </w:rPr>
            </w:pPr>
            <w:r>
              <w:rPr>
                <w:rFonts w:cs="Calibri"/>
                <w:sz w:val="21"/>
              </w:rPr>
              <w:t>办公生活</w:t>
            </w:r>
          </w:p>
        </w:tc>
        <w:tc>
          <w:tcPr>
            <w:tcW w:w="738" w:type="dxa"/>
            <w:vMerge w:val="restart"/>
            <w:vAlign w:val="center"/>
          </w:tcPr>
          <w:p>
            <w:pPr>
              <w:jc w:val="center"/>
              <w:rPr>
                <w:rFonts w:cs="Calibri"/>
                <w:sz w:val="21"/>
              </w:rPr>
            </w:pPr>
            <w:r>
              <w:rPr>
                <w:rFonts w:cs="Calibri"/>
                <w:sz w:val="21"/>
              </w:rPr>
              <w:t>一般固废</w:t>
            </w:r>
          </w:p>
        </w:tc>
        <w:tc>
          <w:tcPr>
            <w:tcW w:w="929" w:type="dxa"/>
            <w:vAlign w:val="center"/>
          </w:tcPr>
          <w:p>
            <w:pPr>
              <w:jc w:val="center"/>
              <w:rPr>
                <w:rFonts w:cs="Calibri"/>
                <w:sz w:val="21"/>
              </w:rPr>
            </w:pPr>
            <w:r>
              <w:rPr>
                <w:rFonts w:cs="Calibri"/>
                <w:sz w:val="21"/>
              </w:rPr>
              <w:t>生活垃圾</w:t>
            </w:r>
          </w:p>
        </w:tc>
        <w:tc>
          <w:tcPr>
            <w:tcW w:w="2609" w:type="dxa"/>
            <w:vAlign w:val="center"/>
          </w:tcPr>
          <w:p>
            <w:pPr>
              <w:jc w:val="center"/>
              <w:rPr>
                <w:rFonts w:cs="Calibri"/>
                <w:sz w:val="21"/>
              </w:rPr>
            </w:pPr>
            <w:r>
              <w:rPr>
                <w:rFonts w:cs="Calibri"/>
                <w:sz w:val="21"/>
              </w:rPr>
              <w:t>垃圾收集桶、定期交由环卫部门处理</w:t>
            </w:r>
          </w:p>
        </w:tc>
        <w:tc>
          <w:tcPr>
            <w:tcW w:w="2891" w:type="dxa"/>
            <w:vMerge w:val="restart"/>
            <w:vAlign w:val="center"/>
          </w:tcPr>
          <w:p>
            <w:pPr>
              <w:jc w:val="center"/>
              <w:rPr>
                <w:rFonts w:cs="Calibri"/>
                <w:sz w:val="21"/>
              </w:rPr>
            </w:pPr>
            <w:r>
              <w:rPr>
                <w:rFonts w:cs="Calibri"/>
                <w:sz w:val="21"/>
              </w:rPr>
              <w:t>综合利用、安全处置，处置率100%，对外环境影响不大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vAlign w:val="center"/>
          </w:tcPr>
          <w:p>
            <w:pPr>
              <w:jc w:val="center"/>
              <w:rPr>
                <w:rFonts w:cs="Calibri"/>
                <w:sz w:val="21"/>
              </w:rPr>
            </w:pPr>
          </w:p>
        </w:tc>
        <w:tc>
          <w:tcPr>
            <w:tcW w:w="1217" w:type="dxa"/>
            <w:vMerge w:val="restart"/>
            <w:vAlign w:val="center"/>
          </w:tcPr>
          <w:p>
            <w:pPr>
              <w:jc w:val="center"/>
              <w:rPr>
                <w:rFonts w:cs="Calibri"/>
                <w:sz w:val="21"/>
              </w:rPr>
            </w:pPr>
            <w:r>
              <w:rPr>
                <w:rFonts w:cs="Calibri"/>
                <w:sz w:val="21"/>
              </w:rPr>
              <w:t>生产固废</w:t>
            </w:r>
          </w:p>
        </w:tc>
        <w:tc>
          <w:tcPr>
            <w:tcW w:w="738" w:type="dxa"/>
            <w:vMerge w:val="continue"/>
            <w:vAlign w:val="center"/>
          </w:tcPr>
          <w:p>
            <w:pPr>
              <w:jc w:val="center"/>
              <w:rPr>
                <w:rFonts w:cs="Calibri"/>
                <w:sz w:val="21"/>
              </w:rPr>
            </w:pPr>
          </w:p>
        </w:tc>
        <w:tc>
          <w:tcPr>
            <w:tcW w:w="929" w:type="dxa"/>
            <w:vAlign w:val="center"/>
          </w:tcPr>
          <w:p>
            <w:pPr>
              <w:jc w:val="center"/>
              <w:rPr>
                <w:rFonts w:cs="Calibri"/>
                <w:sz w:val="21"/>
              </w:rPr>
            </w:pPr>
            <w:r>
              <w:rPr>
                <w:rFonts w:hint="eastAsia" w:cs="Calibri"/>
                <w:sz w:val="21"/>
              </w:rPr>
              <w:t>收集到的粉尘</w:t>
            </w:r>
          </w:p>
        </w:tc>
        <w:tc>
          <w:tcPr>
            <w:tcW w:w="2609" w:type="dxa"/>
            <w:vAlign w:val="center"/>
          </w:tcPr>
          <w:p>
            <w:pPr>
              <w:jc w:val="center"/>
              <w:rPr>
                <w:rFonts w:cs="Calibri"/>
                <w:sz w:val="21"/>
              </w:rPr>
            </w:pPr>
            <w:r>
              <w:rPr>
                <w:rFonts w:hint="eastAsia" w:cs="Calibri"/>
                <w:sz w:val="21"/>
              </w:rPr>
              <w:t>回用于生产</w:t>
            </w:r>
          </w:p>
        </w:tc>
        <w:tc>
          <w:tcPr>
            <w:tcW w:w="2891"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687" w:type="dxa"/>
            <w:vMerge w:val="continue"/>
            <w:vAlign w:val="center"/>
          </w:tcPr>
          <w:p>
            <w:pPr>
              <w:jc w:val="center"/>
              <w:rPr>
                <w:rFonts w:cs="Calibri"/>
                <w:sz w:val="21"/>
              </w:rPr>
            </w:pPr>
          </w:p>
        </w:tc>
        <w:tc>
          <w:tcPr>
            <w:tcW w:w="1217" w:type="dxa"/>
            <w:vMerge w:val="continue"/>
            <w:vAlign w:val="center"/>
          </w:tcPr>
          <w:p>
            <w:pPr>
              <w:jc w:val="center"/>
              <w:rPr>
                <w:rFonts w:cs="Calibri"/>
                <w:sz w:val="21"/>
              </w:rPr>
            </w:pPr>
          </w:p>
        </w:tc>
        <w:tc>
          <w:tcPr>
            <w:tcW w:w="738" w:type="dxa"/>
            <w:vMerge w:val="continue"/>
            <w:vAlign w:val="center"/>
          </w:tcPr>
          <w:p>
            <w:pPr>
              <w:jc w:val="center"/>
              <w:rPr>
                <w:rFonts w:cs="Calibri"/>
                <w:sz w:val="21"/>
              </w:rPr>
            </w:pPr>
          </w:p>
        </w:tc>
        <w:tc>
          <w:tcPr>
            <w:tcW w:w="929" w:type="dxa"/>
            <w:vAlign w:val="center"/>
          </w:tcPr>
          <w:p>
            <w:pPr>
              <w:jc w:val="center"/>
              <w:rPr>
                <w:rFonts w:cs="Calibri"/>
                <w:sz w:val="21"/>
              </w:rPr>
            </w:pPr>
            <w:r>
              <w:rPr>
                <w:rFonts w:hint="eastAsia" w:cs="Calibri"/>
                <w:sz w:val="21"/>
              </w:rPr>
              <w:t>沉淀池沉渣</w:t>
            </w:r>
          </w:p>
        </w:tc>
        <w:tc>
          <w:tcPr>
            <w:tcW w:w="2609" w:type="dxa"/>
            <w:vAlign w:val="center"/>
          </w:tcPr>
          <w:p>
            <w:pPr>
              <w:jc w:val="center"/>
              <w:rPr>
                <w:rFonts w:cs="Calibri"/>
                <w:sz w:val="21"/>
              </w:rPr>
            </w:pPr>
            <w:r>
              <w:rPr>
                <w:rFonts w:hint="eastAsia" w:cs="Calibri"/>
                <w:sz w:val="21"/>
              </w:rPr>
              <w:t>作为建筑材料外售</w:t>
            </w:r>
          </w:p>
        </w:tc>
        <w:tc>
          <w:tcPr>
            <w:tcW w:w="2891"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87" w:type="dxa"/>
            <w:vMerge w:val="continue"/>
            <w:vAlign w:val="center"/>
          </w:tcPr>
          <w:p>
            <w:pPr>
              <w:jc w:val="center"/>
              <w:rPr>
                <w:rFonts w:cs="Calibri"/>
                <w:sz w:val="21"/>
              </w:rPr>
            </w:pPr>
          </w:p>
        </w:tc>
        <w:tc>
          <w:tcPr>
            <w:tcW w:w="1217" w:type="dxa"/>
            <w:vMerge w:val="continue"/>
            <w:vAlign w:val="center"/>
          </w:tcPr>
          <w:p>
            <w:pPr>
              <w:jc w:val="center"/>
              <w:rPr>
                <w:rFonts w:cs="Calibri"/>
                <w:sz w:val="21"/>
              </w:rPr>
            </w:pPr>
          </w:p>
        </w:tc>
        <w:tc>
          <w:tcPr>
            <w:tcW w:w="738" w:type="dxa"/>
            <w:vAlign w:val="center"/>
          </w:tcPr>
          <w:p>
            <w:pPr>
              <w:jc w:val="center"/>
              <w:rPr>
                <w:rFonts w:cs="Calibri"/>
                <w:sz w:val="21"/>
              </w:rPr>
            </w:pPr>
            <w:r>
              <w:rPr>
                <w:rFonts w:cs="Calibri"/>
                <w:sz w:val="21"/>
              </w:rPr>
              <w:t>危险固废</w:t>
            </w:r>
          </w:p>
        </w:tc>
        <w:tc>
          <w:tcPr>
            <w:tcW w:w="929" w:type="dxa"/>
            <w:vAlign w:val="center"/>
          </w:tcPr>
          <w:p>
            <w:pPr>
              <w:jc w:val="center"/>
              <w:rPr>
                <w:rFonts w:cs="Calibri"/>
                <w:sz w:val="21"/>
              </w:rPr>
            </w:pPr>
            <w:r>
              <w:rPr>
                <w:rFonts w:hint="eastAsia" w:cs="Calibri"/>
                <w:sz w:val="21"/>
              </w:rPr>
              <w:t>废矿物油</w:t>
            </w:r>
          </w:p>
        </w:tc>
        <w:tc>
          <w:tcPr>
            <w:tcW w:w="2609" w:type="dxa"/>
            <w:vAlign w:val="center"/>
          </w:tcPr>
          <w:p>
            <w:pPr>
              <w:jc w:val="center"/>
              <w:rPr>
                <w:rFonts w:cs="Calibri"/>
                <w:sz w:val="21"/>
              </w:rPr>
            </w:pPr>
            <w:r>
              <w:rPr>
                <w:rFonts w:cs="Calibri"/>
                <w:sz w:val="21"/>
              </w:rPr>
              <w:t>设置危废储存间，送有资质的单位处理</w:t>
            </w:r>
          </w:p>
        </w:tc>
        <w:tc>
          <w:tcPr>
            <w:tcW w:w="2891" w:type="dxa"/>
            <w:vMerge w:val="continue"/>
            <w:vAlign w:val="center"/>
          </w:tcPr>
          <w:p>
            <w:pPr>
              <w:jc w:val="center"/>
              <w:rPr>
                <w:rFonts w:cs="Calibri"/>
                <w:sz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87" w:type="dxa"/>
            <w:vAlign w:val="center"/>
          </w:tcPr>
          <w:p>
            <w:pPr>
              <w:jc w:val="center"/>
              <w:rPr>
                <w:rFonts w:cs="Calibri"/>
                <w:sz w:val="21"/>
              </w:rPr>
            </w:pPr>
            <w:r>
              <w:rPr>
                <w:rFonts w:cs="Calibri"/>
                <w:sz w:val="21"/>
              </w:rPr>
              <w:t>噪</w:t>
            </w:r>
          </w:p>
          <w:p>
            <w:pPr>
              <w:jc w:val="center"/>
              <w:rPr>
                <w:rFonts w:cs="Calibri"/>
                <w:sz w:val="21"/>
              </w:rPr>
            </w:pPr>
            <w:r>
              <w:rPr>
                <w:rFonts w:cs="Calibri"/>
                <w:sz w:val="21"/>
              </w:rPr>
              <w:t>声</w:t>
            </w:r>
          </w:p>
        </w:tc>
        <w:tc>
          <w:tcPr>
            <w:tcW w:w="1217" w:type="dxa"/>
            <w:vAlign w:val="center"/>
          </w:tcPr>
          <w:p>
            <w:pPr>
              <w:jc w:val="center"/>
              <w:rPr>
                <w:rFonts w:cs="Calibri"/>
                <w:sz w:val="21"/>
              </w:rPr>
            </w:pPr>
            <w:r>
              <w:rPr>
                <w:rFonts w:cs="Calibri"/>
                <w:sz w:val="21"/>
              </w:rPr>
              <w:t>机电设备</w:t>
            </w:r>
          </w:p>
        </w:tc>
        <w:tc>
          <w:tcPr>
            <w:tcW w:w="1667" w:type="dxa"/>
            <w:gridSpan w:val="2"/>
            <w:vAlign w:val="center"/>
          </w:tcPr>
          <w:p>
            <w:pPr>
              <w:jc w:val="center"/>
              <w:rPr>
                <w:rFonts w:cs="Calibri"/>
                <w:sz w:val="21"/>
              </w:rPr>
            </w:pPr>
            <w:r>
              <w:rPr>
                <w:rFonts w:cs="Calibri"/>
                <w:sz w:val="21"/>
              </w:rPr>
              <w:t>生产设备运行产生的噪声</w:t>
            </w:r>
          </w:p>
        </w:tc>
        <w:tc>
          <w:tcPr>
            <w:tcW w:w="2609" w:type="dxa"/>
            <w:vAlign w:val="center"/>
          </w:tcPr>
          <w:p>
            <w:pPr>
              <w:jc w:val="center"/>
              <w:rPr>
                <w:rFonts w:cs="Calibri"/>
                <w:sz w:val="21"/>
              </w:rPr>
            </w:pPr>
            <w:r>
              <w:rPr>
                <w:rFonts w:cs="Calibri"/>
                <w:sz w:val="21"/>
              </w:rPr>
              <w:t>各设备采取隔声、消声、基础减振等治理措施</w:t>
            </w:r>
          </w:p>
        </w:tc>
        <w:tc>
          <w:tcPr>
            <w:tcW w:w="2891" w:type="dxa"/>
            <w:vAlign w:val="center"/>
          </w:tcPr>
          <w:p>
            <w:pPr>
              <w:jc w:val="center"/>
              <w:rPr>
                <w:rFonts w:cs="Calibri"/>
                <w:sz w:val="21"/>
              </w:rPr>
            </w:pPr>
            <w:r>
              <w:rPr>
                <w:rFonts w:cs="Calibri"/>
                <w:sz w:val="21"/>
              </w:rPr>
              <w:t>符合《工业企业厂界环境噪声排放标准》(GB12348-2008)</w:t>
            </w:r>
            <w:r>
              <w:rPr>
                <w:rFonts w:hint="eastAsia" w:cs="Calibri"/>
                <w:sz w:val="21"/>
              </w:rPr>
              <w:t>2类</w:t>
            </w:r>
            <w:r>
              <w:rPr>
                <w:rFonts w:cs="Calibri"/>
                <w:sz w:val="21"/>
              </w:rPr>
              <w:t>标准</w:t>
            </w:r>
            <w:r>
              <w:rPr>
                <w:rFonts w:hint="eastAsia" w:cs="Calibri"/>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5" w:hRule="exact"/>
          <w:jc w:val="center"/>
        </w:trPr>
        <w:tc>
          <w:tcPr>
            <w:tcW w:w="9071" w:type="dxa"/>
            <w:gridSpan w:val="6"/>
          </w:tcPr>
          <w:p>
            <w:pPr>
              <w:spacing w:line="360" w:lineRule="auto"/>
              <w:rPr>
                <w:rFonts w:ascii="Calibri" w:hAnsi="Calibri" w:cs="Calibri"/>
                <w:b/>
                <w:kern w:val="0"/>
                <w:sz w:val="28"/>
                <w:szCs w:val="28"/>
              </w:rPr>
            </w:pPr>
            <w:r>
              <w:rPr>
                <w:rFonts w:ascii="Calibri" w:hAnsi="Calibri" w:cs="Calibri"/>
                <w:b/>
                <w:kern w:val="0"/>
                <w:sz w:val="28"/>
                <w:szCs w:val="28"/>
              </w:rPr>
              <w:t>生态保护措施及预期效果</w:t>
            </w:r>
            <w:r>
              <w:rPr>
                <w:rFonts w:hint="eastAsia" w:ascii="Calibri" w:hAnsi="Calibri" w:cs="Calibri"/>
                <w:b/>
                <w:kern w:val="0"/>
                <w:sz w:val="28"/>
                <w:szCs w:val="28"/>
              </w:rPr>
              <w:t>：</w:t>
            </w:r>
          </w:p>
          <w:p>
            <w:pPr>
              <w:spacing w:line="360" w:lineRule="auto"/>
              <w:ind w:firstLine="420" w:firstLineChars="200"/>
              <w:rPr>
                <w:rFonts w:cs="Calibri"/>
                <w:sz w:val="24"/>
                <w:szCs w:val="21"/>
              </w:rPr>
            </w:pPr>
            <w:r>
              <w:rPr>
                <w:rFonts w:cs="Calibri"/>
                <w:sz w:val="21"/>
                <w:szCs w:val="21"/>
              </w:rPr>
              <w:t>根据现场调查及企业提供的资料可知，项目位于</w:t>
            </w:r>
            <w:r>
              <w:rPr>
                <w:rFonts w:hint="eastAsia" w:cs="Calibri"/>
                <w:sz w:val="21"/>
                <w:szCs w:val="21"/>
              </w:rPr>
              <w:t>湘阴县文星镇漕溪港街道，</w:t>
            </w:r>
            <w:r>
              <w:rPr>
                <w:rFonts w:cs="Calibri"/>
                <w:sz w:val="21"/>
                <w:szCs w:val="21"/>
              </w:rPr>
              <w:t>项目营运期影响生态环境的废气、废水、噪声、固废等污染物在相应的防范、治理措施下，能使其产生的影响降到较低程度。总之，本项目建设对项目周边生态环境影响较小。</w:t>
            </w:r>
          </w:p>
        </w:tc>
      </w:tr>
    </w:tbl>
    <w:p>
      <w:pPr>
        <w:adjustRightInd w:val="0"/>
        <w:snapToGrid w:val="0"/>
        <w:spacing w:line="520" w:lineRule="exact"/>
        <w:outlineLvl w:val="0"/>
        <w:rPr>
          <w:b/>
          <w:spacing w:val="6"/>
          <w:szCs w:val="28"/>
        </w:rPr>
      </w:pPr>
      <w:bookmarkStart w:id="20" w:name="_Toc3906334"/>
      <w:r>
        <w:rPr>
          <w:b/>
          <w:spacing w:val="6"/>
          <w:szCs w:val="28"/>
        </w:rPr>
        <w:t>结论与建议</w:t>
      </w:r>
      <w:bookmarkEnd w:id="20"/>
    </w:p>
    <w:tbl>
      <w:tblPr>
        <w:tblStyle w:val="18"/>
        <w:tblW w:w="8529" w:type="dxa"/>
        <w:jc w:val="center"/>
        <w:tblInd w:w="0" w:type="dxa"/>
        <w:tblBorders>
          <w:top w:val="single" w:color="auto" w:sz="4" w:space="0"/>
          <w:left w:val="single" w:color="auto" w:sz="6"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6"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29" w:type="dxa"/>
          </w:tcPr>
          <w:p>
            <w:pPr>
              <w:adjustRightInd w:val="0"/>
              <w:snapToGrid w:val="0"/>
              <w:spacing w:line="440" w:lineRule="exact"/>
              <w:rPr>
                <w:b/>
                <w:bCs/>
                <w:sz w:val="28"/>
                <w:szCs w:val="28"/>
              </w:rPr>
            </w:pPr>
            <w:r>
              <w:rPr>
                <w:b/>
                <w:bCs/>
                <w:sz w:val="28"/>
                <w:szCs w:val="28"/>
              </w:rPr>
              <w:t>结论：</w:t>
            </w:r>
          </w:p>
          <w:p>
            <w:pPr>
              <w:adjustRightInd w:val="0"/>
              <w:snapToGrid w:val="0"/>
              <w:spacing w:line="440" w:lineRule="exact"/>
              <w:ind w:firstLine="490" w:firstLineChars="200"/>
              <w:rPr>
                <w:b/>
                <w:spacing w:val="2"/>
                <w:sz w:val="24"/>
              </w:rPr>
            </w:pPr>
            <w:r>
              <w:rPr>
                <w:b/>
                <w:spacing w:val="2"/>
                <w:sz w:val="24"/>
              </w:rPr>
              <w:t>1、项目概况</w:t>
            </w:r>
          </w:p>
          <w:p>
            <w:pPr>
              <w:adjustRightInd w:val="0"/>
              <w:snapToGrid w:val="0"/>
              <w:spacing w:line="440" w:lineRule="exact"/>
              <w:ind w:firstLine="480" w:firstLineChars="200"/>
              <w:rPr>
                <w:bCs/>
                <w:sz w:val="24"/>
              </w:rPr>
            </w:pPr>
            <w:r>
              <w:rPr>
                <w:rFonts w:hint="eastAsia"/>
                <w:bCs/>
                <w:sz w:val="24"/>
              </w:rPr>
              <w:t>湘阴县顽石再生科技有限公司</w:t>
            </w:r>
            <w:r>
              <w:rPr>
                <w:bCs/>
                <w:sz w:val="24"/>
              </w:rPr>
              <w:t>拟投资2600万元，在</w:t>
            </w:r>
            <w:r>
              <w:rPr>
                <w:rFonts w:hint="eastAsia"/>
                <w:bCs/>
                <w:sz w:val="24"/>
              </w:rPr>
              <w:t>岳阳市湘阴县文星镇漕溪港街道原板桥砖厂处</w:t>
            </w:r>
            <w:r>
              <w:rPr>
                <w:bCs/>
                <w:sz w:val="24"/>
              </w:rPr>
              <w:t>建设</w:t>
            </w:r>
            <w:r>
              <w:rPr>
                <w:rFonts w:hint="eastAsia"/>
                <w:bCs/>
                <w:sz w:val="24"/>
              </w:rPr>
              <w:t>利用建筑垃圾等废弃资源年产30万吨预拌砂浆项目。</w:t>
            </w:r>
          </w:p>
          <w:p>
            <w:pPr>
              <w:spacing w:line="360" w:lineRule="auto"/>
              <w:ind w:firstLine="482" w:firstLineChars="200"/>
              <w:rPr>
                <w:rFonts w:cs="Calibri"/>
                <w:b/>
                <w:sz w:val="24"/>
              </w:rPr>
            </w:pPr>
            <w:r>
              <w:rPr>
                <w:rFonts w:cs="Calibri"/>
                <w:b/>
                <w:sz w:val="24"/>
              </w:rPr>
              <w:t>2、建设项目可行性分析</w:t>
            </w:r>
          </w:p>
          <w:p>
            <w:pPr>
              <w:spacing w:line="360" w:lineRule="auto"/>
              <w:ind w:firstLine="480" w:firstLineChars="200"/>
              <w:rPr>
                <w:rFonts w:cs="Calibri"/>
                <w:sz w:val="24"/>
              </w:rPr>
            </w:pPr>
            <w:r>
              <w:rPr>
                <w:rFonts w:hint="eastAsia" w:cs="Calibri"/>
                <w:sz w:val="24"/>
              </w:rPr>
              <w:t>（1）</w:t>
            </w:r>
            <w:r>
              <w:rPr>
                <w:rFonts w:cs="Calibri"/>
                <w:sz w:val="24"/>
              </w:rPr>
              <w:t>产业政策符合性分析</w:t>
            </w:r>
          </w:p>
          <w:p>
            <w:pPr>
              <w:spacing w:line="360" w:lineRule="auto"/>
              <w:ind w:firstLine="480" w:firstLineChars="200"/>
              <w:rPr>
                <w:rFonts w:cs="Calibri"/>
                <w:sz w:val="24"/>
              </w:rPr>
            </w:pPr>
            <w:r>
              <w:rPr>
                <w:rFonts w:cs="Calibri"/>
                <w:sz w:val="24"/>
              </w:rPr>
              <w:t>本项目为</w:t>
            </w:r>
            <w:r>
              <w:rPr>
                <w:rFonts w:hint="eastAsia" w:cs="Calibri"/>
                <w:sz w:val="24"/>
              </w:rPr>
              <w:t>生产再生砂浆</w:t>
            </w:r>
            <w:r>
              <w:rPr>
                <w:rFonts w:cs="Calibri"/>
                <w:sz w:val="24"/>
              </w:rPr>
              <w:t>，对照《产业结构调整指导目录(2011年本)》以及2013年修正版可知，本项目不属于淘汰、限制类。根据《部分工业行业淘汰落后生产工艺装备和产品指导目录（2010年本及2012年修订版）》，本项目使用的原材料、生产设备等，均不属于《部分工业行业淘汰落后生产工艺装备和产品指导目录（2010年本及2012年修订版）》中的淘汰类，因此，本项目的建设符合国家产业政策</w:t>
            </w:r>
            <w:r>
              <w:rPr>
                <w:rFonts w:hint="eastAsia" w:cs="Calibri"/>
                <w:sz w:val="24"/>
              </w:rPr>
              <w:t>。</w:t>
            </w:r>
          </w:p>
          <w:p>
            <w:pPr>
              <w:spacing w:line="360" w:lineRule="auto"/>
              <w:ind w:firstLine="480" w:firstLineChars="200"/>
              <w:rPr>
                <w:rFonts w:cs="Calibri"/>
                <w:sz w:val="24"/>
              </w:rPr>
            </w:pPr>
            <w:r>
              <w:rPr>
                <w:rFonts w:hint="eastAsia" w:cs="Calibri"/>
                <w:sz w:val="24"/>
              </w:rPr>
              <w:t>（2）</w:t>
            </w:r>
            <w:r>
              <w:rPr>
                <w:rFonts w:cs="Calibri"/>
                <w:sz w:val="24"/>
              </w:rPr>
              <w:t>选址合理性分析</w:t>
            </w:r>
          </w:p>
          <w:p>
            <w:pPr>
              <w:spacing w:line="360" w:lineRule="auto"/>
              <w:ind w:firstLine="480" w:firstLineChars="200"/>
              <w:rPr>
                <w:rFonts w:cs="Calibri"/>
                <w:sz w:val="24"/>
              </w:rPr>
            </w:pPr>
            <w:r>
              <w:rPr>
                <w:sz w:val="24"/>
              </w:rPr>
              <w:t>本项目位于</w:t>
            </w:r>
            <w:r>
              <w:rPr>
                <w:rFonts w:hint="eastAsia"/>
                <w:bCs/>
                <w:sz w:val="24"/>
                <w:szCs w:val="22"/>
              </w:rPr>
              <w:t>岳阳市湘阴县文星镇漕溪港街道</w:t>
            </w:r>
            <w:r>
              <w:rPr>
                <w:sz w:val="24"/>
              </w:rPr>
              <w:t>，属于农村集体用地，项目用地不占用基本农田、公益林地，建设单位已</w:t>
            </w:r>
            <w:r>
              <w:rPr>
                <w:rFonts w:hint="eastAsia"/>
                <w:sz w:val="24"/>
              </w:rPr>
              <w:t>向</w:t>
            </w:r>
            <w:r>
              <w:rPr>
                <w:sz w:val="24"/>
              </w:rPr>
              <w:t>所在地</w:t>
            </w:r>
            <w:r>
              <w:rPr>
                <w:rFonts w:hint="eastAsia"/>
                <w:sz w:val="24"/>
              </w:rPr>
              <w:t>湘阴县国土局申报临时用地批复</w:t>
            </w:r>
            <w:r>
              <w:rPr>
                <w:sz w:val="24"/>
              </w:rPr>
              <w:t>，并取得政府以及当地村委同意（详见附件）。选址充分利用闲置土地。</w:t>
            </w:r>
            <w:r>
              <w:rPr>
                <w:rFonts w:cs="Calibri"/>
                <w:sz w:val="24"/>
              </w:rPr>
              <w:t>综上所述，本项目环境保护的角度分析，本项目选址可行。</w:t>
            </w:r>
          </w:p>
          <w:p>
            <w:pPr>
              <w:spacing w:line="360" w:lineRule="auto"/>
              <w:ind w:firstLine="480" w:firstLineChars="200"/>
              <w:rPr>
                <w:rFonts w:cs="Calibri"/>
                <w:sz w:val="24"/>
              </w:rPr>
            </w:pPr>
            <w:r>
              <w:rPr>
                <w:rFonts w:hint="eastAsia" w:cs="Calibri"/>
                <w:sz w:val="24"/>
              </w:rPr>
              <w:t>（3）</w:t>
            </w:r>
            <w:r>
              <w:rPr>
                <w:rFonts w:cs="Calibri"/>
                <w:sz w:val="24"/>
              </w:rPr>
              <w:t>平面布局合理性分析</w:t>
            </w:r>
          </w:p>
          <w:p>
            <w:pPr>
              <w:spacing w:line="360" w:lineRule="auto"/>
              <w:ind w:firstLine="480" w:firstLineChars="200"/>
              <w:rPr>
                <w:rFonts w:cs="Calibri"/>
                <w:sz w:val="24"/>
              </w:rPr>
            </w:pPr>
            <w:r>
              <w:rPr>
                <w:sz w:val="24"/>
              </w:rPr>
              <w:t>本项目占地面积</w:t>
            </w:r>
            <w:r>
              <w:rPr>
                <w:rFonts w:hint="eastAsia"/>
                <w:sz w:val="24"/>
              </w:rPr>
              <w:t>3</w:t>
            </w:r>
            <w:r>
              <w:rPr>
                <w:sz w:val="24"/>
              </w:rPr>
              <w:t>335</w:t>
            </w:r>
            <w:r>
              <w:rPr>
                <w:rFonts w:hint="eastAsia"/>
                <w:sz w:val="24"/>
              </w:rPr>
              <w:t>0</w:t>
            </w:r>
            <w:r>
              <w:rPr>
                <w:sz w:val="24"/>
              </w:rPr>
              <w:t>m</w:t>
            </w:r>
            <w:r>
              <w:rPr>
                <w:sz w:val="24"/>
                <w:vertAlign w:val="superscript"/>
              </w:rPr>
              <w:t>2</w:t>
            </w:r>
            <w:r>
              <w:rPr>
                <w:sz w:val="24"/>
              </w:rPr>
              <w:t>，分为加工区、原料</w:t>
            </w:r>
            <w:r>
              <w:rPr>
                <w:rFonts w:hint="eastAsia"/>
                <w:sz w:val="24"/>
              </w:rPr>
              <w:t>仓库</w:t>
            </w:r>
            <w:r>
              <w:rPr>
                <w:sz w:val="24"/>
              </w:rPr>
              <w:t>、成品</w:t>
            </w:r>
            <w:r>
              <w:rPr>
                <w:rFonts w:hint="eastAsia"/>
                <w:sz w:val="24"/>
              </w:rPr>
              <w:t>仓库</w:t>
            </w:r>
            <w:r>
              <w:rPr>
                <w:sz w:val="24"/>
              </w:rPr>
              <w:t>以及办公生活区。</w:t>
            </w:r>
            <w:r>
              <w:rPr>
                <w:rFonts w:cs="Calibri"/>
                <w:sz w:val="24"/>
              </w:rPr>
              <w:t>整个厂区人流、物流分开，方便了运输。综上所述，本项目厂区布局合理。</w:t>
            </w:r>
          </w:p>
          <w:p>
            <w:pPr>
              <w:spacing w:line="360" w:lineRule="auto"/>
              <w:ind w:firstLine="482" w:firstLineChars="200"/>
              <w:rPr>
                <w:rFonts w:cs="Calibri"/>
                <w:b/>
                <w:sz w:val="24"/>
              </w:rPr>
            </w:pPr>
            <w:r>
              <w:rPr>
                <w:rFonts w:cs="Calibri"/>
                <w:b/>
                <w:sz w:val="24"/>
              </w:rPr>
              <w:t>3、环境质量现状评价结论</w:t>
            </w:r>
          </w:p>
          <w:p>
            <w:pPr>
              <w:spacing w:line="360" w:lineRule="auto"/>
              <w:ind w:firstLine="480" w:firstLineChars="200"/>
              <w:rPr>
                <w:rFonts w:cs="Calibri"/>
                <w:sz w:val="24"/>
              </w:rPr>
            </w:pPr>
            <w:r>
              <w:rPr>
                <w:rFonts w:cs="Calibri"/>
                <w:sz w:val="24"/>
              </w:rPr>
              <w:t>拟建项目区空气质量中SO</w:t>
            </w:r>
            <w:r>
              <w:rPr>
                <w:rFonts w:cs="Calibri"/>
                <w:sz w:val="24"/>
                <w:vertAlign w:val="subscript"/>
              </w:rPr>
              <w:t>2</w:t>
            </w:r>
            <w:r>
              <w:rPr>
                <w:rFonts w:cs="Calibri"/>
                <w:sz w:val="24"/>
              </w:rPr>
              <w:t>、NO</w:t>
            </w:r>
            <w:r>
              <w:rPr>
                <w:rFonts w:cs="Calibri"/>
                <w:sz w:val="24"/>
                <w:vertAlign w:val="subscript"/>
              </w:rPr>
              <w:t>2</w:t>
            </w:r>
            <w:r>
              <w:rPr>
                <w:rFonts w:cs="Calibri"/>
                <w:sz w:val="24"/>
              </w:rPr>
              <w:t>、</w:t>
            </w:r>
            <w:r>
              <w:rPr>
                <w:rFonts w:hint="eastAsia" w:cs="Calibri"/>
                <w:sz w:val="24"/>
              </w:rPr>
              <w:t>C</w:t>
            </w:r>
            <w:r>
              <w:rPr>
                <w:rFonts w:cs="Calibri"/>
                <w:sz w:val="24"/>
              </w:rPr>
              <w:t>O</w:t>
            </w:r>
            <w:r>
              <w:rPr>
                <w:rFonts w:hint="eastAsia" w:cs="Calibri"/>
                <w:sz w:val="24"/>
              </w:rPr>
              <w:t>、O</w:t>
            </w:r>
            <w:r>
              <w:rPr>
                <w:rFonts w:cs="Calibri"/>
                <w:sz w:val="24"/>
                <w:vertAlign w:val="subscript"/>
              </w:rPr>
              <w:t>3</w:t>
            </w:r>
            <w:r>
              <w:rPr>
                <w:rFonts w:hint="eastAsia" w:cs="Calibri"/>
                <w:sz w:val="24"/>
              </w:rPr>
              <w:t>、P</w:t>
            </w:r>
            <w:r>
              <w:rPr>
                <w:rFonts w:cs="Calibri"/>
                <w:sz w:val="24"/>
              </w:rPr>
              <w:t>M</w:t>
            </w:r>
            <w:r>
              <w:rPr>
                <w:rFonts w:cs="Calibri"/>
                <w:sz w:val="24"/>
                <w:vertAlign w:val="subscript"/>
              </w:rPr>
              <w:t>2.5</w:t>
            </w:r>
            <w:r>
              <w:rPr>
                <w:rFonts w:hint="eastAsia" w:cs="Calibri"/>
                <w:sz w:val="24"/>
              </w:rPr>
              <w:t>、</w:t>
            </w:r>
            <w:r>
              <w:rPr>
                <w:rFonts w:cs="Calibri"/>
                <w:sz w:val="24"/>
              </w:rPr>
              <w:t>PM</w:t>
            </w:r>
            <w:r>
              <w:rPr>
                <w:rFonts w:cs="Calibri"/>
                <w:sz w:val="24"/>
                <w:vertAlign w:val="subscript"/>
              </w:rPr>
              <w:t>10</w:t>
            </w:r>
            <w:r>
              <w:rPr>
                <w:rFonts w:cs="Calibri"/>
                <w:sz w:val="24"/>
              </w:rPr>
              <w:t>满足《环境空气质量标准》（GB3095-2012）中的二级标准。</w:t>
            </w:r>
            <w:r>
              <w:rPr>
                <w:rFonts w:hint="eastAsia" w:cs="Calibri"/>
                <w:sz w:val="24"/>
              </w:rPr>
              <w:t>项目的周边水体</w:t>
            </w:r>
            <w:r>
              <w:rPr>
                <w:rFonts w:cs="Calibri"/>
                <w:sz w:val="24"/>
              </w:rPr>
              <w:t>各监测因子均达到《地表水环境质量标准》（GB3838-2002）中的Ⅲ类标准要求；声环境质量符合《声环境质量标准》（GB3096—2008）中</w:t>
            </w:r>
            <w:r>
              <w:rPr>
                <w:rFonts w:hint="eastAsia" w:cs="Calibri"/>
                <w:sz w:val="24"/>
              </w:rPr>
              <w:t>2</w:t>
            </w:r>
            <w:r>
              <w:rPr>
                <w:rFonts w:cs="Calibri"/>
                <w:sz w:val="24"/>
              </w:rPr>
              <w:t>类标准。</w:t>
            </w:r>
          </w:p>
          <w:p>
            <w:pPr>
              <w:spacing w:line="360" w:lineRule="auto"/>
              <w:ind w:firstLine="482" w:firstLineChars="200"/>
              <w:rPr>
                <w:rFonts w:cs="Calibri"/>
                <w:b/>
                <w:sz w:val="24"/>
              </w:rPr>
            </w:pPr>
            <w:r>
              <w:rPr>
                <w:rFonts w:cs="Calibri"/>
                <w:b/>
                <w:sz w:val="24"/>
              </w:rPr>
              <w:t>4、施工期环境影响</w:t>
            </w:r>
          </w:p>
          <w:p>
            <w:pPr>
              <w:spacing w:line="360" w:lineRule="auto"/>
              <w:ind w:firstLine="480" w:firstLineChars="200"/>
              <w:rPr>
                <w:rFonts w:ascii="Calibri" w:hAnsi="Calibri" w:cs="Calibri"/>
                <w:sz w:val="21"/>
              </w:rPr>
            </w:pPr>
            <w:r>
              <w:rPr>
                <w:rFonts w:cs="Calibri"/>
                <w:sz w:val="24"/>
              </w:rPr>
              <w:t>本项目为</w:t>
            </w:r>
            <w:r>
              <w:rPr>
                <w:rFonts w:hint="eastAsia" w:cs="Calibri"/>
                <w:sz w:val="24"/>
              </w:rPr>
              <w:t>新建</w:t>
            </w:r>
            <w:r>
              <w:rPr>
                <w:rFonts w:cs="Calibri"/>
                <w:sz w:val="24"/>
              </w:rPr>
              <w:t>项目。</w:t>
            </w:r>
            <w:r>
              <w:rPr>
                <w:rFonts w:ascii="Calibri" w:hAnsi="宋体" w:cs="Calibri"/>
                <w:sz w:val="24"/>
              </w:rPr>
              <w:t>拟建项目建设施工期产生的噪声及</w:t>
            </w:r>
            <w:r>
              <w:rPr>
                <w:rFonts w:hint="eastAsia" w:ascii="Calibri" w:hAnsi="宋体" w:cs="Calibri"/>
                <w:sz w:val="24"/>
              </w:rPr>
              <w:t>建筑垃圾</w:t>
            </w:r>
            <w:r>
              <w:rPr>
                <w:rFonts w:ascii="Calibri" w:hAnsi="宋体" w:cs="Calibri"/>
                <w:sz w:val="24"/>
              </w:rPr>
              <w:t>等，会对施工场地及周围环境产生一定的不利影响。但是，只要制定合理的施工计划和进行文明施工，在施工阶段采取一定的防治措施，施工活动对当地的环境影响将是较小的。另外，施工活动结束，这种不利影响随即消失。</w:t>
            </w:r>
          </w:p>
          <w:p>
            <w:pPr>
              <w:spacing w:line="360" w:lineRule="auto"/>
              <w:ind w:firstLine="482" w:firstLineChars="200"/>
              <w:rPr>
                <w:rFonts w:cs="Calibri"/>
                <w:b/>
                <w:sz w:val="24"/>
              </w:rPr>
            </w:pPr>
            <w:r>
              <w:rPr>
                <w:rFonts w:cs="Calibri"/>
                <w:b/>
                <w:sz w:val="24"/>
              </w:rPr>
              <w:t>5、营运期环境影响</w:t>
            </w:r>
          </w:p>
          <w:p>
            <w:pPr>
              <w:spacing w:line="360" w:lineRule="auto"/>
              <w:ind w:firstLine="480" w:firstLineChars="200"/>
              <w:rPr>
                <w:rFonts w:cs="Calibri"/>
                <w:sz w:val="24"/>
              </w:rPr>
            </w:pPr>
            <w:r>
              <w:rPr>
                <w:rFonts w:cs="Calibri"/>
                <w:sz w:val="24"/>
              </w:rPr>
              <w:t>（1）废水：</w:t>
            </w:r>
            <w:r>
              <w:rPr>
                <w:rFonts w:hint="eastAsia" w:cs="Calibri"/>
                <w:sz w:val="24"/>
              </w:rPr>
              <w:t>运营期各类清洗废水经沉淀池处理后，回用于洒水降尘，不外排；生活污水经化粪池处理后用于周围农田堆肥及厂区绿化，生产废水回用。通过采取上述措施后，本项目营运期废水排放对周围地表水环境影响很小。</w:t>
            </w:r>
          </w:p>
          <w:p>
            <w:pPr>
              <w:spacing w:line="360" w:lineRule="auto"/>
              <w:ind w:firstLine="420" w:firstLineChars="175"/>
              <w:rPr>
                <w:rFonts w:cs="Calibri"/>
                <w:sz w:val="24"/>
              </w:rPr>
            </w:pPr>
            <w:r>
              <w:rPr>
                <w:rFonts w:cs="Calibri"/>
                <w:sz w:val="24"/>
              </w:rPr>
              <w:t>（2）废气：</w:t>
            </w:r>
            <w:r>
              <w:rPr>
                <w:rFonts w:hint="eastAsia" w:cs="Calibri"/>
                <w:sz w:val="24"/>
              </w:rPr>
              <w:t>本项目破碎粉尘、堆场扬尘通过</w:t>
            </w:r>
            <w:r>
              <w:rPr>
                <w:rFonts w:cs="Calibri"/>
                <w:sz w:val="24"/>
              </w:rPr>
              <w:t>洒水降尘、篷布遮盖、原料增湿、传送带安装透明遮挡盖</w:t>
            </w:r>
            <w:r>
              <w:rPr>
                <w:rFonts w:hint="eastAsia" w:cs="Calibri"/>
                <w:sz w:val="24"/>
              </w:rPr>
              <w:t>等措施进行抑制扬尘：</w:t>
            </w:r>
            <w:r>
              <w:rPr>
                <w:rFonts w:cs="Calibri"/>
                <w:sz w:val="24"/>
              </w:rPr>
              <w:t>混合搅拌粉尘</w:t>
            </w:r>
            <w:r>
              <w:rPr>
                <w:rFonts w:hint="eastAsia" w:cs="Calibri"/>
                <w:sz w:val="24"/>
              </w:rPr>
              <w:t>采取设备自带</w:t>
            </w:r>
            <w:r>
              <w:rPr>
                <w:rFonts w:cs="Calibri"/>
                <w:sz w:val="24"/>
              </w:rPr>
              <w:t>脉冲式布袋除尘器+封闭车间+15m高排气筒</w:t>
            </w:r>
            <w:r>
              <w:rPr>
                <w:rFonts w:hint="eastAsia" w:cs="Calibri"/>
                <w:sz w:val="24"/>
              </w:rPr>
              <w:t>等措施，</w:t>
            </w:r>
            <w:r>
              <w:rPr>
                <w:rFonts w:cs="Calibri"/>
                <w:sz w:val="24"/>
              </w:rPr>
              <w:t>筒库粉尘</w:t>
            </w:r>
            <w:r>
              <w:rPr>
                <w:rFonts w:hint="eastAsia" w:cs="Calibri"/>
                <w:sz w:val="24"/>
              </w:rPr>
              <w:t>采取设备自带</w:t>
            </w:r>
            <w:r>
              <w:rPr>
                <w:rFonts w:cs="Calibri"/>
                <w:sz w:val="24"/>
              </w:rPr>
              <w:t>脉冲式布袋除尘器</w:t>
            </w:r>
            <w:r>
              <w:rPr>
                <w:rFonts w:hint="eastAsia" w:cs="Calibri"/>
                <w:sz w:val="24"/>
              </w:rPr>
              <w:t>+呼吸阀等措施；道路扬尘通过定时洒水等措施。采取上述措施后，</w:t>
            </w:r>
            <w:r>
              <w:rPr>
                <w:rFonts w:cs="Calibri"/>
                <w:sz w:val="24"/>
              </w:rPr>
              <w:t>粉尘能</w:t>
            </w:r>
            <w:r>
              <w:rPr>
                <w:rFonts w:hint="eastAsia" w:cs="Calibri"/>
                <w:sz w:val="24"/>
              </w:rPr>
              <w:t>达到</w:t>
            </w:r>
            <w:r>
              <w:rPr>
                <w:sz w:val="24"/>
              </w:rPr>
              <w:t>《</w:t>
            </w:r>
            <w:r>
              <w:rPr>
                <w:rFonts w:hint="eastAsia"/>
                <w:sz w:val="24"/>
              </w:rPr>
              <w:t>水泥工业大气污染物排放标准</w:t>
            </w:r>
            <w:r>
              <w:rPr>
                <w:sz w:val="24"/>
              </w:rPr>
              <w:t>（</w:t>
            </w:r>
            <w:r>
              <w:rPr>
                <w:rFonts w:hint="eastAsia"/>
                <w:sz w:val="24"/>
              </w:rPr>
              <w:t>GB 4915-2013</w:t>
            </w:r>
            <w:r>
              <w:rPr>
                <w:sz w:val="24"/>
              </w:rPr>
              <w:t>）》中表</w:t>
            </w:r>
            <w:r>
              <w:rPr>
                <w:rFonts w:hint="eastAsia"/>
                <w:sz w:val="24"/>
              </w:rPr>
              <w:t>2大气污染物特别排放限值（颗粒物10mg/m</w:t>
            </w:r>
            <w:r>
              <w:rPr>
                <w:rFonts w:hint="eastAsia"/>
                <w:sz w:val="24"/>
                <w:vertAlign w:val="superscript"/>
              </w:rPr>
              <w:t>3</w:t>
            </w:r>
            <w:r>
              <w:rPr>
                <w:rFonts w:hint="eastAsia"/>
                <w:sz w:val="24"/>
              </w:rPr>
              <w:t>）</w:t>
            </w:r>
            <w:r>
              <w:rPr>
                <w:rFonts w:cs="Calibri"/>
                <w:sz w:val="24"/>
              </w:rPr>
              <w:t>，粉尘对周围环境影响不大</w:t>
            </w:r>
            <w:r>
              <w:rPr>
                <w:rFonts w:hint="eastAsia" w:cs="Calibri"/>
                <w:sz w:val="24"/>
              </w:rPr>
              <w:t>。</w:t>
            </w:r>
          </w:p>
          <w:p>
            <w:pPr>
              <w:spacing w:line="360" w:lineRule="auto"/>
              <w:ind w:firstLine="480" w:firstLineChars="200"/>
              <w:rPr>
                <w:rFonts w:cs="Calibri"/>
                <w:sz w:val="24"/>
              </w:rPr>
            </w:pPr>
            <w:r>
              <w:rPr>
                <w:rFonts w:cs="Calibri"/>
                <w:sz w:val="24"/>
              </w:rPr>
              <w:t>（3）噪声：在采取环评提出的各种噪声污染防治措施后，项目厂界噪声昼间能达到《工业企业厂界环境噪声排放标准》（GB 12348-2008）</w:t>
            </w:r>
            <w:r>
              <w:rPr>
                <w:rFonts w:hint="eastAsia" w:cs="Calibri"/>
                <w:sz w:val="24"/>
              </w:rPr>
              <w:t>2</w:t>
            </w:r>
            <w:r>
              <w:rPr>
                <w:rFonts w:cs="Calibri"/>
                <w:sz w:val="24"/>
              </w:rPr>
              <w:t>类标准</w:t>
            </w:r>
            <w:r>
              <w:rPr>
                <w:rFonts w:hint="eastAsia" w:cs="Calibri"/>
                <w:sz w:val="24"/>
              </w:rPr>
              <w:t>。</w:t>
            </w:r>
            <w:r>
              <w:rPr>
                <w:rFonts w:cs="Calibri"/>
                <w:sz w:val="24"/>
              </w:rPr>
              <w:t>因此，本项目建成投运后，生产设备噪声对周围环境不会产生明显影响，且无需设置噪声控制距离。</w:t>
            </w:r>
          </w:p>
          <w:p>
            <w:pPr>
              <w:spacing w:line="360" w:lineRule="auto"/>
              <w:ind w:firstLine="480" w:firstLineChars="200"/>
              <w:rPr>
                <w:rFonts w:cs="Calibri"/>
                <w:sz w:val="24"/>
              </w:rPr>
            </w:pPr>
            <w:r>
              <w:rPr>
                <w:rFonts w:cs="Calibri"/>
                <w:sz w:val="24"/>
              </w:rPr>
              <w:t>（4）固体废弃物：本项目生产过程中的固体废物主要包括：生活垃圾、</w:t>
            </w:r>
            <w:r>
              <w:rPr>
                <w:rFonts w:hint="eastAsia" w:cs="Calibri"/>
                <w:sz w:val="24"/>
              </w:rPr>
              <w:t>收集到的粉尘、沉淀池沉渣</w:t>
            </w:r>
            <w:r>
              <w:rPr>
                <w:rFonts w:cs="Calibri"/>
                <w:sz w:val="24"/>
              </w:rPr>
              <w:t>等一般工业固体废物和</w:t>
            </w:r>
            <w:r>
              <w:rPr>
                <w:rFonts w:hint="eastAsia" w:cs="Calibri"/>
                <w:sz w:val="24"/>
              </w:rPr>
              <w:t>废矿物油</w:t>
            </w:r>
            <w:r>
              <w:rPr>
                <w:rFonts w:cs="Calibri"/>
                <w:sz w:val="24"/>
              </w:rPr>
              <w:t>等危险废物。生活垃圾交由环卫部门统一收集处理，确保垃圾及时清运。</w:t>
            </w:r>
            <w:r>
              <w:rPr>
                <w:rFonts w:hint="eastAsia" w:cs="Calibri"/>
                <w:sz w:val="24"/>
              </w:rPr>
              <w:t>收集到的粉尘、沉淀池沉渣回用于生产</w:t>
            </w:r>
            <w:r>
              <w:rPr>
                <w:rFonts w:cs="Calibri"/>
                <w:sz w:val="24"/>
              </w:rPr>
              <w:t>；</w:t>
            </w:r>
            <w:r>
              <w:rPr>
                <w:sz w:val="24"/>
              </w:rPr>
              <w:t>危险废物中废矿物油交由有资质的单位处理。生活垃圾交由环卫部门统一收集处理，确保垃圾及时清运。因此，本项目固体废物对周围环境影响较小。</w:t>
            </w:r>
          </w:p>
          <w:p>
            <w:pPr>
              <w:spacing w:line="360" w:lineRule="auto"/>
              <w:ind w:firstLine="482" w:firstLineChars="200"/>
              <w:rPr>
                <w:rFonts w:cs="Calibri"/>
                <w:b/>
                <w:sz w:val="24"/>
              </w:rPr>
            </w:pPr>
            <w:r>
              <w:rPr>
                <w:rFonts w:cs="Calibri"/>
                <w:b/>
                <w:sz w:val="24"/>
              </w:rPr>
              <w:t>6、环境风险分析及防范措施</w:t>
            </w:r>
          </w:p>
          <w:p>
            <w:pPr>
              <w:spacing w:line="360" w:lineRule="auto"/>
              <w:ind w:firstLine="480" w:firstLineChars="200"/>
              <w:rPr>
                <w:rFonts w:cs="Calibri"/>
                <w:sz w:val="24"/>
              </w:rPr>
            </w:pPr>
            <w:r>
              <w:rPr>
                <w:rFonts w:cs="Calibri"/>
                <w:sz w:val="24"/>
              </w:rPr>
              <w:t>本项目主要环境风险源</w:t>
            </w:r>
            <w:r>
              <w:rPr>
                <w:rFonts w:hint="eastAsia" w:cs="Calibri"/>
                <w:sz w:val="24"/>
              </w:rPr>
              <w:t>清洗废水泄露影响周边水体水质，污染环境</w:t>
            </w:r>
            <w:r>
              <w:rPr>
                <w:rFonts w:cs="Calibri"/>
                <w:sz w:val="24"/>
              </w:rPr>
              <w:t>。</w:t>
            </w:r>
          </w:p>
          <w:p>
            <w:pPr>
              <w:spacing w:line="360" w:lineRule="auto"/>
              <w:ind w:firstLine="480" w:firstLineChars="200"/>
              <w:rPr>
                <w:rFonts w:cs="Calibri"/>
                <w:sz w:val="24"/>
              </w:rPr>
            </w:pPr>
            <w:r>
              <w:rPr>
                <w:rFonts w:cs="Calibri"/>
                <w:sz w:val="24"/>
              </w:rPr>
              <w:t>在严格落实本报告的提出各项事故防范和应急措施，加强管理，可最大限度地减少可能发生的环境风险。一旦发生事故，可将影响范围控制在较小程度内，减小损失。</w:t>
            </w:r>
          </w:p>
          <w:p>
            <w:pPr>
              <w:spacing w:line="360" w:lineRule="auto"/>
              <w:ind w:firstLine="480" w:firstLineChars="200"/>
              <w:rPr>
                <w:rFonts w:cs="Calibri"/>
                <w:sz w:val="24"/>
              </w:rPr>
            </w:pPr>
            <w:r>
              <w:rPr>
                <w:rFonts w:cs="Calibri"/>
                <w:sz w:val="24"/>
              </w:rPr>
              <w:t>企业在运营期间应不断完善企业事故防范和应急体系，实现企业联防联动，减少项目环境风险事故发生的概率，其影响危害可控制在厂区内，其风险在可接受范围内。</w:t>
            </w:r>
          </w:p>
          <w:p>
            <w:pPr>
              <w:spacing w:line="360" w:lineRule="auto"/>
              <w:ind w:firstLine="482" w:firstLineChars="200"/>
              <w:rPr>
                <w:rFonts w:cs="Calibri"/>
                <w:b/>
                <w:sz w:val="24"/>
              </w:rPr>
            </w:pPr>
            <w:r>
              <w:rPr>
                <w:rFonts w:hint="eastAsia" w:cs="Calibri"/>
                <w:b/>
                <w:sz w:val="24"/>
              </w:rPr>
              <w:t>7</w:t>
            </w:r>
            <w:r>
              <w:rPr>
                <w:rFonts w:cs="Calibri"/>
                <w:b/>
                <w:sz w:val="24"/>
              </w:rPr>
              <w:t>、总量控制</w:t>
            </w:r>
          </w:p>
          <w:p>
            <w:pPr>
              <w:spacing w:line="360" w:lineRule="auto"/>
              <w:ind w:firstLine="480" w:firstLineChars="200"/>
              <w:rPr>
                <w:rFonts w:cs="Calibri"/>
                <w:sz w:val="24"/>
              </w:rPr>
            </w:pPr>
            <w:r>
              <w:rPr>
                <w:rFonts w:hint="eastAsia" w:cs="Calibri"/>
                <w:sz w:val="24"/>
              </w:rPr>
              <w:t>根据国家主要污染物排放总量控制技术规范要求、《国家环境保护“十三五”规划基本思路》以及本项目污染物排放特点，项目生产废水不外排至外环境，同时生活污水经化粪池处理后用于周边的农田灌溉，本项目废气排放为粉尘，不在国家总量指标控制因素中，因此，本项目不需要单独申请总量指标。</w:t>
            </w:r>
          </w:p>
          <w:tbl>
            <w:tblPr>
              <w:tblStyle w:val="18"/>
              <w:tblW w:w="828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2958"/>
              <w:gridCol w:w="30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2" w:type="dxa"/>
                  <w:vAlign w:val="center"/>
                </w:tcPr>
                <w:p>
                  <w:pPr>
                    <w:jc w:val="center"/>
                    <w:rPr>
                      <w:rFonts w:cs="Calibri"/>
                      <w:sz w:val="21"/>
                    </w:rPr>
                  </w:pPr>
                  <w:r>
                    <w:rPr>
                      <w:rFonts w:cs="Calibri"/>
                      <w:sz w:val="21"/>
                    </w:rPr>
                    <w:t>污染物</w:t>
                  </w:r>
                </w:p>
              </w:tc>
              <w:tc>
                <w:tcPr>
                  <w:tcW w:w="2958" w:type="dxa"/>
                  <w:vAlign w:val="center"/>
                </w:tcPr>
                <w:p>
                  <w:pPr>
                    <w:jc w:val="center"/>
                    <w:rPr>
                      <w:rFonts w:cs="Calibri"/>
                      <w:sz w:val="21"/>
                    </w:rPr>
                  </w:pPr>
                  <w:r>
                    <w:rPr>
                      <w:rFonts w:cs="Calibri"/>
                      <w:sz w:val="21"/>
                    </w:rPr>
                    <w:t>本项目排放量（t/a）</w:t>
                  </w:r>
                </w:p>
              </w:tc>
              <w:tc>
                <w:tcPr>
                  <w:tcW w:w="3073" w:type="dxa"/>
                  <w:vAlign w:val="center"/>
                </w:tcPr>
                <w:p>
                  <w:pPr>
                    <w:jc w:val="center"/>
                    <w:rPr>
                      <w:rFonts w:cs="Calibri"/>
                      <w:sz w:val="21"/>
                    </w:rPr>
                  </w:pPr>
                  <w:r>
                    <w:rPr>
                      <w:rFonts w:cs="Calibri"/>
                      <w:sz w:val="21"/>
                    </w:rPr>
                    <w:t>总量控制指标建议（t/a）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2" w:type="dxa"/>
                  <w:vAlign w:val="center"/>
                </w:tcPr>
                <w:p>
                  <w:pPr>
                    <w:jc w:val="center"/>
                    <w:rPr>
                      <w:rFonts w:cs="Calibri"/>
                      <w:sz w:val="21"/>
                    </w:rPr>
                  </w:pPr>
                  <w:r>
                    <w:rPr>
                      <w:rFonts w:hint="eastAsia" w:cs="Calibri"/>
                      <w:sz w:val="21"/>
                    </w:rPr>
                    <w:t>粉尘</w:t>
                  </w:r>
                </w:p>
              </w:tc>
              <w:tc>
                <w:tcPr>
                  <w:tcW w:w="2958" w:type="dxa"/>
                  <w:vAlign w:val="center"/>
                </w:tcPr>
                <w:p>
                  <w:pPr>
                    <w:jc w:val="center"/>
                    <w:rPr>
                      <w:rFonts w:cs="Calibri"/>
                      <w:sz w:val="21"/>
                    </w:rPr>
                  </w:pPr>
                  <w:r>
                    <w:rPr>
                      <w:rFonts w:hint="eastAsia" w:cs="Calibri"/>
                      <w:sz w:val="21"/>
                    </w:rPr>
                    <w:t>3.31009</w:t>
                  </w:r>
                </w:p>
              </w:tc>
              <w:tc>
                <w:tcPr>
                  <w:tcW w:w="3073" w:type="dxa"/>
                  <w:vAlign w:val="center"/>
                </w:tcPr>
                <w:p>
                  <w:pPr>
                    <w:jc w:val="center"/>
                    <w:rPr>
                      <w:rFonts w:cs="Calibri"/>
                      <w:sz w:val="21"/>
                    </w:rPr>
                  </w:pPr>
                  <w:r>
                    <w:rPr>
                      <w:rFonts w:hint="eastAsia" w:cs="Calibri"/>
                      <w:sz w:val="21"/>
                    </w:rPr>
                    <w:t>--</w:t>
                  </w:r>
                </w:p>
              </w:tc>
            </w:tr>
          </w:tbl>
          <w:p>
            <w:pPr>
              <w:spacing w:line="360" w:lineRule="auto"/>
              <w:ind w:firstLine="482" w:firstLineChars="200"/>
              <w:rPr>
                <w:rFonts w:cs="Calibri"/>
                <w:b/>
                <w:sz w:val="24"/>
              </w:rPr>
            </w:pPr>
            <w:r>
              <w:rPr>
                <w:rFonts w:hint="eastAsia" w:cs="Calibri"/>
                <w:b/>
                <w:sz w:val="24"/>
              </w:rPr>
              <w:t>8</w:t>
            </w:r>
            <w:r>
              <w:rPr>
                <w:rFonts w:cs="Calibri"/>
                <w:b/>
                <w:sz w:val="24"/>
              </w:rPr>
              <w:t>、环评总结论</w:t>
            </w:r>
          </w:p>
          <w:p>
            <w:pPr>
              <w:spacing w:line="360" w:lineRule="auto"/>
              <w:ind w:firstLine="480" w:firstLineChars="200"/>
              <w:rPr>
                <w:rFonts w:cs="Calibri"/>
                <w:sz w:val="24"/>
              </w:rPr>
            </w:pPr>
            <w:r>
              <w:rPr>
                <w:rFonts w:cs="Calibri"/>
                <w:sz w:val="24"/>
              </w:rPr>
              <w:t>综上所述，该项目的建设符合国家产业政策，所在区域环境质量较好，有一定的环境容量。项目建设在应严格执行环保“三同时”制度基础上，严格按照设计和环评建议落实污染控制和治理措施，使其对环境的不利影响减少到最小限度。</w:t>
            </w:r>
          </w:p>
          <w:p>
            <w:pPr>
              <w:spacing w:line="360" w:lineRule="auto"/>
              <w:ind w:firstLine="480" w:firstLineChars="200"/>
              <w:rPr>
                <w:rFonts w:cs="Calibri"/>
                <w:sz w:val="24"/>
              </w:rPr>
            </w:pPr>
            <w:r>
              <w:rPr>
                <w:rFonts w:cs="Calibri"/>
                <w:sz w:val="24"/>
              </w:rPr>
              <w:t>因此，建设单位在采取本评价所述措施对项目产生的污染物进行污染控制和治理，确保污染物达标排放，对周围环境影响满足相应标准要求的情况下，从环保的角度来说，项目建设是可行的。</w:t>
            </w:r>
          </w:p>
          <w:p>
            <w:pPr>
              <w:spacing w:line="360" w:lineRule="auto"/>
              <w:ind w:firstLine="480" w:firstLineChars="200"/>
              <w:rPr>
                <w:rFonts w:cs="Calibri"/>
                <w:sz w:val="24"/>
              </w:rPr>
            </w:pPr>
            <w:r>
              <w:rPr>
                <w:rFonts w:cs="Calibri"/>
                <w:sz w:val="24"/>
              </w:rPr>
              <w:t>上述结论是根据建设方提供的项目规模及相应排污情况基础上作出的评价，如果建设方的规模及相应排污情况有所变化，建设方应按环保部门的要求另行申报审批。</w:t>
            </w: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ind w:firstLine="480" w:firstLineChars="200"/>
              <w:rPr>
                <w:rFonts w:cs="Calibri"/>
                <w:sz w:val="24"/>
              </w:rPr>
            </w:pPr>
          </w:p>
          <w:p>
            <w:pPr>
              <w:spacing w:line="360" w:lineRule="auto"/>
              <w:rPr>
                <w:rFonts w:ascii="Calibri" w:hAnsi="Calibri" w:cs="Calibri"/>
                <w:b/>
                <w:kern w:val="0"/>
                <w:sz w:val="28"/>
                <w:szCs w:val="28"/>
              </w:rPr>
            </w:pPr>
            <w:r>
              <w:rPr>
                <w:rFonts w:ascii="Calibri" w:hAnsi="Calibri" w:cs="Calibri"/>
                <w:b/>
                <w:kern w:val="0"/>
                <w:sz w:val="28"/>
                <w:szCs w:val="28"/>
              </w:rPr>
              <w:t>建议及要求：</w:t>
            </w:r>
          </w:p>
          <w:p>
            <w:pPr>
              <w:spacing w:line="360" w:lineRule="auto"/>
              <w:ind w:firstLine="480" w:firstLineChars="200"/>
              <w:rPr>
                <w:rFonts w:cs="Calibri"/>
                <w:sz w:val="24"/>
              </w:rPr>
            </w:pPr>
            <w:r>
              <w:rPr>
                <w:rFonts w:cs="Calibri"/>
                <w:sz w:val="24"/>
              </w:rPr>
              <w:t>1、建设单位应认真贯彻执行有关建设项目环境保护管理文件的精神，建立建全各项环保规章制度，严格执行“三同时”制度，废气、废水、噪声和固废经治理后排放浓度和排放量均能达到相应的标准。</w:t>
            </w:r>
          </w:p>
          <w:p>
            <w:pPr>
              <w:spacing w:line="360" w:lineRule="auto"/>
              <w:ind w:firstLine="480" w:firstLineChars="200"/>
              <w:rPr>
                <w:rFonts w:cs="Calibri"/>
                <w:sz w:val="24"/>
              </w:rPr>
            </w:pPr>
            <w:r>
              <w:rPr>
                <w:rFonts w:cs="Calibri"/>
                <w:sz w:val="24"/>
              </w:rPr>
              <w:t>2、加强生产设施及污染防治设施运行的管理，定期对污染防治设施进行保养检修，确保污染物达标排放，避免污染事故发生。</w:t>
            </w:r>
          </w:p>
          <w:p>
            <w:pPr>
              <w:spacing w:line="360" w:lineRule="auto"/>
              <w:ind w:firstLine="480" w:firstLineChars="200"/>
              <w:rPr>
                <w:rFonts w:cs="Calibri"/>
                <w:sz w:val="24"/>
              </w:rPr>
            </w:pPr>
            <w:r>
              <w:rPr>
                <w:rFonts w:cs="Calibri"/>
                <w:sz w:val="24"/>
              </w:rPr>
              <w:t>3、本项目的建设应重视引进和建立先进的环保管理模式，完善管理机制，强化企业职工自身的环保意识。配备必要的环境管理专职人员，落实、检查环保设施的运行状况，配合当地环保部门做好本厂的环境管理、验收、监督和检查工作。</w:t>
            </w:r>
          </w:p>
          <w:p>
            <w:pPr>
              <w:spacing w:line="360" w:lineRule="auto"/>
              <w:ind w:firstLine="480" w:firstLineChars="200"/>
              <w:rPr>
                <w:rFonts w:cs="Calibri"/>
                <w:sz w:val="24"/>
              </w:rPr>
            </w:pPr>
            <w:r>
              <w:rPr>
                <w:rFonts w:cs="Calibri"/>
                <w:sz w:val="24"/>
              </w:rPr>
              <w:t>4、运营期间，进一步采取有效措施，对有噪声的设备加以调整，对治理措施加以完善，降低噪声的影响</w:t>
            </w:r>
            <w:r>
              <w:rPr>
                <w:rFonts w:hint="eastAsia" w:cs="Calibri"/>
                <w:sz w:val="24"/>
              </w:rPr>
              <w:t>。</w:t>
            </w:r>
          </w:p>
          <w:p>
            <w:pPr>
              <w:spacing w:line="360" w:lineRule="auto"/>
              <w:ind w:firstLine="480" w:firstLineChars="200"/>
              <w:rPr>
                <w:rFonts w:cs="Calibri"/>
                <w:sz w:val="24"/>
              </w:rPr>
            </w:pPr>
          </w:p>
          <w:p>
            <w:pPr>
              <w:spacing w:line="360" w:lineRule="auto"/>
              <w:ind w:firstLine="480" w:firstLineChars="200"/>
              <w:rPr>
                <w:rFonts w:cs="Calibri"/>
                <w:sz w:val="24"/>
              </w:rPr>
            </w:pPr>
          </w:p>
          <w:p>
            <w:pPr>
              <w:tabs>
                <w:tab w:val="left" w:pos="1900"/>
              </w:tabs>
              <w:adjustRightInd w:val="0"/>
              <w:snapToGrid w:val="0"/>
              <w:spacing w:line="560" w:lineRule="exact"/>
              <w:ind w:firstLine="360" w:firstLineChars="150"/>
              <w:rPr>
                <w:sz w:val="24"/>
              </w:rPr>
            </w:pPr>
          </w:p>
          <w:p>
            <w:pPr>
              <w:tabs>
                <w:tab w:val="left" w:pos="1900"/>
              </w:tabs>
              <w:adjustRightInd w:val="0"/>
              <w:snapToGrid w:val="0"/>
              <w:spacing w:line="560" w:lineRule="exact"/>
              <w:rPr>
                <w:sz w:val="24"/>
              </w:rPr>
            </w:pPr>
          </w:p>
          <w:p>
            <w:pPr>
              <w:tabs>
                <w:tab w:val="left" w:pos="1900"/>
              </w:tabs>
              <w:adjustRightInd w:val="0"/>
              <w:snapToGrid w:val="0"/>
              <w:spacing w:line="560" w:lineRule="exact"/>
              <w:ind w:firstLine="360" w:firstLineChars="150"/>
              <w:rPr>
                <w:sz w:val="24"/>
              </w:rPr>
            </w:pPr>
          </w:p>
          <w:p>
            <w:pPr>
              <w:tabs>
                <w:tab w:val="left" w:pos="1900"/>
              </w:tabs>
              <w:adjustRightInd w:val="0"/>
              <w:snapToGrid w:val="0"/>
              <w:spacing w:line="560" w:lineRule="exact"/>
              <w:ind w:firstLine="360" w:firstLineChars="150"/>
              <w:rPr>
                <w:sz w:val="24"/>
              </w:rPr>
            </w:pPr>
          </w:p>
          <w:p>
            <w:pPr>
              <w:tabs>
                <w:tab w:val="left" w:pos="1900"/>
              </w:tabs>
              <w:adjustRightInd w:val="0"/>
              <w:snapToGrid w:val="0"/>
              <w:spacing w:line="560" w:lineRule="exact"/>
              <w:ind w:firstLine="360" w:firstLineChars="150"/>
              <w:rPr>
                <w:sz w:val="24"/>
              </w:rPr>
            </w:pPr>
          </w:p>
          <w:p>
            <w:pPr>
              <w:tabs>
                <w:tab w:val="left" w:pos="1900"/>
              </w:tabs>
              <w:adjustRightInd w:val="0"/>
              <w:snapToGrid w:val="0"/>
              <w:spacing w:line="560" w:lineRule="exact"/>
              <w:ind w:firstLine="360" w:firstLineChars="150"/>
              <w:rPr>
                <w:sz w:val="24"/>
              </w:rPr>
            </w:pPr>
          </w:p>
          <w:p>
            <w:pPr>
              <w:tabs>
                <w:tab w:val="left" w:pos="1900"/>
              </w:tabs>
              <w:adjustRightInd w:val="0"/>
              <w:snapToGrid w:val="0"/>
              <w:spacing w:line="560" w:lineRule="exact"/>
              <w:ind w:firstLine="360" w:firstLineChars="150"/>
              <w:rPr>
                <w:sz w:val="24"/>
              </w:rPr>
            </w:pPr>
          </w:p>
          <w:p>
            <w:pPr>
              <w:tabs>
                <w:tab w:val="left" w:pos="1900"/>
              </w:tabs>
              <w:adjustRightInd w:val="0"/>
              <w:snapToGrid w:val="0"/>
              <w:spacing w:line="560" w:lineRule="exact"/>
              <w:ind w:firstLine="360" w:firstLineChars="150"/>
              <w:rPr>
                <w:sz w:val="24"/>
              </w:rPr>
            </w:pPr>
          </w:p>
          <w:p>
            <w:pPr>
              <w:tabs>
                <w:tab w:val="left" w:pos="1900"/>
              </w:tabs>
              <w:adjustRightInd w:val="0"/>
              <w:snapToGrid w:val="0"/>
              <w:spacing w:line="560" w:lineRule="exact"/>
              <w:ind w:firstLine="360" w:firstLineChars="150"/>
              <w:rPr>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p>
            <w:pPr>
              <w:tabs>
                <w:tab w:val="left" w:pos="1900"/>
              </w:tabs>
              <w:adjustRightInd w:val="0"/>
              <w:snapToGrid w:val="0"/>
              <w:spacing w:line="560" w:lineRule="exact"/>
              <w:rPr>
                <w:color w:val="0000FF"/>
                <w:sz w:val="24"/>
              </w:rPr>
            </w:pPr>
          </w:p>
        </w:tc>
      </w:tr>
      <w:tr>
        <w:tblPrEx>
          <w:tblBorders>
            <w:top w:val="single" w:color="auto" w:sz="4" w:space="0"/>
            <w:left w:val="single" w:color="auto" w:sz="6"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29" w:type="dxa"/>
            <w:tcBorders>
              <w:top w:val="single" w:color="auto" w:sz="4" w:space="0"/>
              <w:left w:val="single" w:color="auto" w:sz="6" w:space="0"/>
              <w:bottom w:val="single" w:color="auto" w:sz="4" w:space="0"/>
              <w:right w:val="single" w:color="auto" w:sz="4" w:space="0"/>
            </w:tcBorders>
          </w:tcPr>
          <w:p>
            <w:pPr>
              <w:adjustRightInd w:val="0"/>
              <w:snapToGrid w:val="0"/>
              <w:spacing w:line="440" w:lineRule="exact"/>
              <w:rPr>
                <w:b/>
                <w:bCs/>
                <w:sz w:val="28"/>
                <w:szCs w:val="28"/>
              </w:rPr>
            </w:pPr>
            <w:r>
              <w:rPr>
                <w:b/>
                <w:bCs/>
                <w:sz w:val="28"/>
                <w:szCs w:val="28"/>
              </w:rPr>
              <w:t>审批意见：</w:t>
            </w: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r>
              <w:rPr>
                <w:b/>
                <w:bCs/>
                <w:sz w:val="28"/>
                <w:szCs w:val="28"/>
              </w:rPr>
              <w:t xml:space="preserve">                                                 公    章</w:t>
            </w:r>
          </w:p>
          <w:p>
            <w:pPr>
              <w:adjustRightInd w:val="0"/>
              <w:snapToGrid w:val="0"/>
              <w:spacing w:line="440" w:lineRule="exact"/>
              <w:rPr>
                <w:b/>
                <w:bCs/>
                <w:sz w:val="28"/>
                <w:szCs w:val="28"/>
              </w:rPr>
            </w:pPr>
          </w:p>
          <w:p>
            <w:pPr>
              <w:adjustRightInd w:val="0"/>
              <w:snapToGrid w:val="0"/>
              <w:spacing w:line="440" w:lineRule="exact"/>
              <w:rPr>
                <w:b/>
                <w:bCs/>
                <w:sz w:val="28"/>
                <w:szCs w:val="28"/>
              </w:rPr>
            </w:pPr>
            <w:r>
              <w:rPr>
                <w:b/>
                <w:bCs/>
                <w:sz w:val="28"/>
                <w:szCs w:val="28"/>
              </w:rPr>
              <w:t>经办人：                                        年   月   日</w:t>
            </w: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adjustRightInd w:val="0"/>
              <w:snapToGrid w:val="0"/>
              <w:spacing w:line="440" w:lineRule="exact"/>
              <w:rPr>
                <w:b/>
                <w:bCs/>
                <w:sz w:val="28"/>
                <w:szCs w:val="28"/>
              </w:rPr>
            </w:pPr>
          </w:p>
          <w:p>
            <w:pPr>
              <w:spacing w:line="600" w:lineRule="exact"/>
              <w:jc w:val="center"/>
              <w:rPr>
                <w:b/>
                <w:spacing w:val="6"/>
                <w:sz w:val="24"/>
              </w:rPr>
            </w:pPr>
            <w:r>
              <w:rPr>
                <w:b/>
                <w:spacing w:val="6"/>
                <w:sz w:val="24"/>
              </w:rPr>
              <w:t>注    释</w:t>
            </w:r>
          </w:p>
          <w:p>
            <w:pPr>
              <w:spacing w:line="440" w:lineRule="exact"/>
              <w:ind w:left="615"/>
              <w:rPr>
                <w:b/>
                <w:spacing w:val="6"/>
                <w:sz w:val="24"/>
              </w:rPr>
            </w:pPr>
            <w:r>
              <w:rPr>
                <w:b/>
                <w:spacing w:val="6"/>
                <w:sz w:val="24"/>
              </w:rPr>
              <w:t>一、本报告表应附以下附件、附图：</w:t>
            </w:r>
          </w:p>
          <w:p>
            <w:pPr>
              <w:spacing w:line="440" w:lineRule="exact"/>
              <w:ind w:left="615"/>
              <w:rPr>
                <w:spacing w:val="6"/>
                <w:sz w:val="24"/>
              </w:rPr>
            </w:pPr>
            <w:r>
              <w:rPr>
                <w:spacing w:val="6"/>
                <w:sz w:val="24"/>
              </w:rPr>
              <w:t>附件1  环评委托函</w:t>
            </w:r>
          </w:p>
          <w:p>
            <w:pPr>
              <w:spacing w:line="440" w:lineRule="exact"/>
              <w:ind w:left="615"/>
              <w:rPr>
                <w:spacing w:val="6"/>
                <w:sz w:val="24"/>
              </w:rPr>
            </w:pPr>
            <w:r>
              <w:rPr>
                <w:spacing w:val="6"/>
                <w:sz w:val="24"/>
              </w:rPr>
              <w:t>附件</w:t>
            </w:r>
            <w:r>
              <w:rPr>
                <w:rFonts w:hint="eastAsia"/>
                <w:spacing w:val="6"/>
                <w:sz w:val="24"/>
              </w:rPr>
              <w:t>2</w:t>
            </w:r>
            <w:r>
              <w:rPr>
                <w:spacing w:val="6"/>
                <w:sz w:val="24"/>
              </w:rPr>
              <w:t xml:space="preserve">  </w:t>
            </w:r>
            <w:r>
              <w:rPr>
                <w:rFonts w:hint="eastAsia"/>
                <w:spacing w:val="6"/>
                <w:sz w:val="24"/>
              </w:rPr>
              <w:t>立项文件</w:t>
            </w:r>
          </w:p>
          <w:p>
            <w:pPr>
              <w:spacing w:line="440" w:lineRule="exact"/>
              <w:ind w:left="615"/>
              <w:rPr>
                <w:spacing w:val="6"/>
                <w:sz w:val="24"/>
              </w:rPr>
            </w:pPr>
            <w:r>
              <w:rPr>
                <w:rFonts w:hint="eastAsia"/>
                <w:spacing w:val="6"/>
                <w:sz w:val="24"/>
              </w:rPr>
              <w:t>附件3</w:t>
            </w:r>
            <w:r>
              <w:rPr>
                <w:spacing w:val="6"/>
                <w:sz w:val="24"/>
              </w:rPr>
              <w:t xml:space="preserve">  </w:t>
            </w:r>
            <w:r>
              <w:rPr>
                <w:rFonts w:hint="eastAsia"/>
                <w:spacing w:val="6"/>
                <w:sz w:val="24"/>
              </w:rPr>
              <w:t>会议纪要</w:t>
            </w:r>
          </w:p>
          <w:p>
            <w:pPr>
              <w:spacing w:line="440" w:lineRule="exact"/>
              <w:ind w:left="615"/>
              <w:rPr>
                <w:spacing w:val="6"/>
                <w:sz w:val="24"/>
              </w:rPr>
            </w:pPr>
            <w:r>
              <w:rPr>
                <w:rFonts w:hint="eastAsia"/>
                <w:spacing w:val="6"/>
                <w:sz w:val="24"/>
              </w:rPr>
              <w:t>附件4</w:t>
            </w:r>
            <w:r>
              <w:rPr>
                <w:spacing w:val="6"/>
                <w:sz w:val="24"/>
              </w:rPr>
              <w:t xml:space="preserve">  </w:t>
            </w:r>
            <w:r>
              <w:rPr>
                <w:rFonts w:hint="eastAsia"/>
                <w:spacing w:val="6"/>
                <w:sz w:val="24"/>
              </w:rPr>
              <w:t>相关意见</w:t>
            </w:r>
          </w:p>
          <w:p>
            <w:pPr>
              <w:spacing w:line="440" w:lineRule="exact"/>
              <w:ind w:left="615"/>
              <w:rPr>
                <w:spacing w:val="6"/>
                <w:sz w:val="24"/>
              </w:rPr>
            </w:pPr>
            <w:r>
              <w:rPr>
                <w:spacing w:val="6"/>
                <w:sz w:val="24"/>
              </w:rPr>
              <w:t>附件5</w:t>
            </w:r>
            <w:r>
              <w:rPr>
                <w:rFonts w:hint="eastAsia"/>
                <w:spacing w:val="6"/>
                <w:sz w:val="24"/>
              </w:rPr>
              <w:t xml:space="preserve">  </w:t>
            </w:r>
            <w:r>
              <w:rPr>
                <w:spacing w:val="6"/>
                <w:sz w:val="24"/>
              </w:rPr>
              <w:t>监测质保单</w:t>
            </w:r>
          </w:p>
          <w:p>
            <w:pPr>
              <w:spacing w:line="440" w:lineRule="exact"/>
              <w:ind w:left="615"/>
              <w:rPr>
                <w:b/>
                <w:spacing w:val="6"/>
                <w:sz w:val="24"/>
              </w:rPr>
            </w:pPr>
            <w:r>
              <w:rPr>
                <w:b/>
                <w:spacing w:val="6"/>
                <w:sz w:val="24"/>
              </w:rPr>
              <w:t>附图：</w:t>
            </w:r>
          </w:p>
          <w:p>
            <w:pPr>
              <w:spacing w:line="440" w:lineRule="exact"/>
              <w:ind w:left="615"/>
              <w:rPr>
                <w:spacing w:val="6"/>
                <w:sz w:val="24"/>
              </w:rPr>
            </w:pPr>
            <w:r>
              <w:rPr>
                <w:spacing w:val="6"/>
                <w:sz w:val="24"/>
              </w:rPr>
              <w:t>附图1  项目地理位置图</w:t>
            </w:r>
          </w:p>
          <w:p>
            <w:pPr>
              <w:spacing w:line="440" w:lineRule="exact"/>
              <w:ind w:left="615"/>
              <w:rPr>
                <w:spacing w:val="6"/>
                <w:sz w:val="24"/>
              </w:rPr>
            </w:pPr>
            <w:r>
              <w:rPr>
                <w:rFonts w:hint="eastAsia"/>
                <w:spacing w:val="6"/>
                <w:sz w:val="24"/>
              </w:rPr>
              <w:t>附件2</w:t>
            </w:r>
            <w:r>
              <w:rPr>
                <w:spacing w:val="6"/>
                <w:sz w:val="24"/>
              </w:rPr>
              <w:t xml:space="preserve">  平面布置图</w:t>
            </w:r>
          </w:p>
          <w:p>
            <w:pPr>
              <w:spacing w:line="440" w:lineRule="exact"/>
              <w:ind w:left="615"/>
              <w:rPr>
                <w:spacing w:val="6"/>
                <w:sz w:val="24"/>
              </w:rPr>
            </w:pPr>
            <w:r>
              <w:rPr>
                <w:rFonts w:hint="eastAsia"/>
                <w:spacing w:val="6"/>
                <w:sz w:val="24"/>
              </w:rPr>
              <w:t>附图</w:t>
            </w:r>
            <w:r>
              <w:rPr>
                <w:spacing w:val="6"/>
                <w:sz w:val="24"/>
              </w:rPr>
              <w:t>3</w:t>
            </w:r>
            <w:r>
              <w:rPr>
                <w:rFonts w:hint="eastAsia"/>
                <w:spacing w:val="6"/>
                <w:sz w:val="24"/>
              </w:rPr>
              <w:t xml:space="preserve">  </w:t>
            </w:r>
            <w:r>
              <w:rPr>
                <w:spacing w:val="6"/>
                <w:sz w:val="24"/>
              </w:rPr>
              <w:t>项目敏感点分布</w:t>
            </w:r>
            <w:r>
              <w:rPr>
                <w:rFonts w:hint="eastAsia"/>
                <w:spacing w:val="6"/>
                <w:sz w:val="24"/>
              </w:rPr>
              <w:t>图</w:t>
            </w:r>
          </w:p>
          <w:p>
            <w:pPr>
              <w:spacing w:line="440" w:lineRule="exact"/>
              <w:ind w:left="615"/>
              <w:rPr>
                <w:spacing w:val="6"/>
                <w:sz w:val="24"/>
              </w:rPr>
            </w:pPr>
            <w:r>
              <w:rPr>
                <w:spacing w:val="6"/>
                <w:sz w:val="24"/>
              </w:rPr>
              <w:t xml:space="preserve">附图4  </w:t>
            </w:r>
            <w:r>
              <w:rPr>
                <w:rFonts w:hint="eastAsia"/>
                <w:spacing w:val="6"/>
                <w:sz w:val="24"/>
              </w:rPr>
              <w:t>项目周围环境图</w:t>
            </w:r>
          </w:p>
          <w:p>
            <w:pPr>
              <w:spacing w:line="440" w:lineRule="exact"/>
              <w:ind w:left="615"/>
              <w:rPr>
                <w:spacing w:val="6"/>
                <w:sz w:val="24"/>
              </w:rPr>
            </w:pPr>
          </w:p>
          <w:p>
            <w:pPr>
              <w:spacing w:line="440" w:lineRule="exact"/>
              <w:ind w:left="615"/>
              <w:rPr>
                <w:spacing w:val="6"/>
                <w:sz w:val="24"/>
              </w:rPr>
            </w:pPr>
          </w:p>
          <w:p>
            <w:pPr>
              <w:spacing w:line="440" w:lineRule="exact"/>
              <w:ind w:left="615"/>
              <w:rPr>
                <w:spacing w:val="6"/>
                <w:sz w:val="24"/>
              </w:rPr>
            </w:pPr>
          </w:p>
          <w:p>
            <w:pPr>
              <w:spacing w:line="440" w:lineRule="exact"/>
              <w:ind w:left="615"/>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rPr>
                <w:spacing w:val="6"/>
                <w:sz w:val="24"/>
              </w:rPr>
            </w:pPr>
          </w:p>
          <w:p>
            <w:pPr>
              <w:spacing w:line="440" w:lineRule="exact"/>
              <w:ind w:firstLine="506" w:firstLineChars="200"/>
              <w:rPr>
                <w:b/>
                <w:spacing w:val="6"/>
                <w:sz w:val="24"/>
              </w:rPr>
            </w:pPr>
            <w:r>
              <w:rPr>
                <w:b/>
                <w:spacing w:val="6"/>
                <w:sz w:val="24"/>
              </w:rPr>
              <w:t>二、如果本报告表不能说明项目产生的污染及对环境造成的影响，应进行专项评价。根据建设项目的特点和当地环境特征，应选下列1—2项进行专项评价。</w:t>
            </w:r>
          </w:p>
          <w:p>
            <w:pPr>
              <w:tabs>
                <w:tab w:val="left" w:pos="1113"/>
              </w:tabs>
              <w:spacing w:line="440" w:lineRule="exact"/>
              <w:ind w:left="615"/>
              <w:rPr>
                <w:spacing w:val="6"/>
                <w:sz w:val="24"/>
              </w:rPr>
            </w:pPr>
            <w:r>
              <w:rPr>
                <w:spacing w:val="6"/>
                <w:sz w:val="24"/>
              </w:rPr>
              <w:t>1、大气环境影响专项评价</w:t>
            </w:r>
          </w:p>
          <w:p>
            <w:pPr>
              <w:tabs>
                <w:tab w:val="left" w:pos="1113"/>
              </w:tabs>
              <w:spacing w:line="440" w:lineRule="exact"/>
              <w:ind w:left="615"/>
              <w:rPr>
                <w:spacing w:val="6"/>
                <w:sz w:val="24"/>
              </w:rPr>
            </w:pPr>
            <w:r>
              <w:rPr>
                <w:spacing w:val="6"/>
                <w:sz w:val="24"/>
              </w:rPr>
              <w:t>2、水环境影响专项评价（包括地表水和地下水）</w:t>
            </w:r>
          </w:p>
          <w:p>
            <w:pPr>
              <w:tabs>
                <w:tab w:val="left" w:pos="1113"/>
              </w:tabs>
              <w:spacing w:line="440" w:lineRule="exact"/>
              <w:ind w:left="615"/>
              <w:rPr>
                <w:spacing w:val="6"/>
                <w:sz w:val="24"/>
              </w:rPr>
            </w:pPr>
            <w:r>
              <w:rPr>
                <w:spacing w:val="6"/>
                <w:sz w:val="24"/>
              </w:rPr>
              <w:t>3、生态影响专项评价</w:t>
            </w:r>
          </w:p>
          <w:p>
            <w:pPr>
              <w:tabs>
                <w:tab w:val="left" w:pos="1113"/>
              </w:tabs>
              <w:spacing w:line="440" w:lineRule="exact"/>
              <w:ind w:left="615"/>
              <w:rPr>
                <w:spacing w:val="6"/>
                <w:sz w:val="24"/>
              </w:rPr>
            </w:pPr>
            <w:r>
              <w:rPr>
                <w:spacing w:val="6"/>
                <w:sz w:val="24"/>
              </w:rPr>
              <w:t>4、声影响专项评价</w:t>
            </w:r>
          </w:p>
          <w:p>
            <w:pPr>
              <w:tabs>
                <w:tab w:val="left" w:pos="1113"/>
              </w:tabs>
              <w:spacing w:line="440" w:lineRule="exact"/>
              <w:ind w:left="615"/>
              <w:rPr>
                <w:spacing w:val="6"/>
                <w:sz w:val="24"/>
              </w:rPr>
            </w:pPr>
            <w:r>
              <w:rPr>
                <w:spacing w:val="6"/>
                <w:sz w:val="24"/>
              </w:rPr>
              <w:t>5、土壤影响专项评价</w:t>
            </w:r>
          </w:p>
          <w:p>
            <w:pPr>
              <w:tabs>
                <w:tab w:val="left" w:pos="1113"/>
              </w:tabs>
              <w:spacing w:line="440" w:lineRule="exact"/>
              <w:ind w:left="615"/>
              <w:rPr>
                <w:spacing w:val="6"/>
                <w:sz w:val="24"/>
              </w:rPr>
            </w:pPr>
            <w:r>
              <w:rPr>
                <w:spacing w:val="6"/>
                <w:sz w:val="24"/>
              </w:rPr>
              <w:t>6、固体废物影响专项评价</w:t>
            </w:r>
          </w:p>
          <w:p>
            <w:pPr>
              <w:tabs>
                <w:tab w:val="left" w:pos="1113"/>
              </w:tabs>
              <w:spacing w:line="440" w:lineRule="exact"/>
              <w:ind w:left="-42" w:firstLine="657"/>
              <w:rPr>
                <w:spacing w:val="6"/>
                <w:sz w:val="24"/>
              </w:rPr>
            </w:pPr>
            <w:r>
              <w:rPr>
                <w:spacing w:val="6"/>
                <w:sz w:val="24"/>
              </w:rPr>
              <w:t>以上专项评价未包括的可列专项，专项评价按照《环境影响评价技术导则》中的要求进行。</w:t>
            </w: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ind w:left="-42" w:firstLine="657"/>
              <w:rPr>
                <w:spacing w:val="6"/>
                <w:sz w:val="24"/>
              </w:rPr>
            </w:pPr>
          </w:p>
          <w:p>
            <w:pPr>
              <w:tabs>
                <w:tab w:val="left" w:pos="1113"/>
              </w:tabs>
              <w:spacing w:line="440" w:lineRule="exact"/>
              <w:rPr>
                <w:spacing w:val="6"/>
                <w:sz w:val="24"/>
              </w:rPr>
            </w:pPr>
          </w:p>
        </w:tc>
      </w:tr>
    </w:tbl>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TimesNewRoman">
    <w:altName w:val="黑体"/>
    <w:panose1 w:val="00000000000000000000"/>
    <w:charset w:val="86"/>
    <w:family w:val="auto"/>
    <w:pitch w:val="default"/>
    <w:sig w:usb0="00000000" w:usb1="00000000" w:usb2="0000001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 w:name="Noto Sans CJK JP Regular">
    <w:altName w:val="Calibri"/>
    <w:panose1 w:val="000000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36</w: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0573444"/>
      <w:docPartObj>
        <w:docPartGallery w:val="autotext"/>
      </w:docPartObj>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line="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D12C1"/>
    <w:multiLevelType w:val="singleLevel"/>
    <w:tmpl w:val="589D12C1"/>
    <w:lvl w:ilvl="0" w:tentative="0">
      <w:start w:val="1"/>
      <w:numFmt w:val="decimal"/>
      <w:suff w:val="nothing"/>
      <w:lvlText w:val="（%1）"/>
      <w:lvlJc w:val="left"/>
    </w:lvl>
  </w:abstractNum>
  <w:abstractNum w:abstractNumId="1">
    <w:nsid w:val="5A1D269F"/>
    <w:multiLevelType w:val="singleLevel"/>
    <w:tmpl w:val="5A1D269F"/>
    <w:lvl w:ilvl="0" w:tentative="0">
      <w:start w:val="1"/>
      <w:numFmt w:val="decimal"/>
      <w:suff w:val="nothing"/>
      <w:lvlText w:val="（%1）"/>
      <w:lvlJc w:val="left"/>
    </w:lvl>
  </w:abstractNum>
  <w:abstractNum w:abstractNumId="2">
    <w:nsid w:val="5B256E95"/>
    <w:multiLevelType w:val="multilevel"/>
    <w:tmpl w:val="5B256E95"/>
    <w:lvl w:ilvl="0" w:tentative="0">
      <w:start w:val="1"/>
      <w:numFmt w:val="decimalEnclosedCircle"/>
      <w:lvlText w:val="%1"/>
      <w:lvlJc w:val="left"/>
      <w:pPr>
        <w:ind w:left="840" w:hanging="36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BD2C4F8"/>
    <w:multiLevelType w:val="singleLevel"/>
    <w:tmpl w:val="6BD2C4F8"/>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572"/>
    <w:rsid w:val="00000F94"/>
    <w:rsid w:val="00002954"/>
    <w:rsid w:val="00003B79"/>
    <w:rsid w:val="000056F2"/>
    <w:rsid w:val="00005929"/>
    <w:rsid w:val="00006622"/>
    <w:rsid w:val="00010BFD"/>
    <w:rsid w:val="0001113B"/>
    <w:rsid w:val="00011354"/>
    <w:rsid w:val="00011743"/>
    <w:rsid w:val="00014590"/>
    <w:rsid w:val="000161B2"/>
    <w:rsid w:val="00016513"/>
    <w:rsid w:val="00016DCB"/>
    <w:rsid w:val="000250FC"/>
    <w:rsid w:val="00027143"/>
    <w:rsid w:val="00031128"/>
    <w:rsid w:val="000312B6"/>
    <w:rsid w:val="00032A64"/>
    <w:rsid w:val="00032F7F"/>
    <w:rsid w:val="0003334C"/>
    <w:rsid w:val="00034627"/>
    <w:rsid w:val="00034F23"/>
    <w:rsid w:val="00040A65"/>
    <w:rsid w:val="00040F8B"/>
    <w:rsid w:val="0004153D"/>
    <w:rsid w:val="000425F7"/>
    <w:rsid w:val="00044F5D"/>
    <w:rsid w:val="000459B8"/>
    <w:rsid w:val="000464A2"/>
    <w:rsid w:val="00046876"/>
    <w:rsid w:val="000517CA"/>
    <w:rsid w:val="00054153"/>
    <w:rsid w:val="0005482C"/>
    <w:rsid w:val="00054E68"/>
    <w:rsid w:val="0005512C"/>
    <w:rsid w:val="000551F0"/>
    <w:rsid w:val="00056E7A"/>
    <w:rsid w:val="00060232"/>
    <w:rsid w:val="000610F7"/>
    <w:rsid w:val="00061B7B"/>
    <w:rsid w:val="00063383"/>
    <w:rsid w:val="00064B3C"/>
    <w:rsid w:val="00067F23"/>
    <w:rsid w:val="0007011B"/>
    <w:rsid w:val="00070764"/>
    <w:rsid w:val="000707C8"/>
    <w:rsid w:val="00071D1A"/>
    <w:rsid w:val="000729D9"/>
    <w:rsid w:val="0007301F"/>
    <w:rsid w:val="00077084"/>
    <w:rsid w:val="00080562"/>
    <w:rsid w:val="00080726"/>
    <w:rsid w:val="000807D9"/>
    <w:rsid w:val="00081E29"/>
    <w:rsid w:val="00082D31"/>
    <w:rsid w:val="00082EFE"/>
    <w:rsid w:val="00083C99"/>
    <w:rsid w:val="000865B1"/>
    <w:rsid w:val="00087DEB"/>
    <w:rsid w:val="000911C2"/>
    <w:rsid w:val="00091383"/>
    <w:rsid w:val="00092DBB"/>
    <w:rsid w:val="00093197"/>
    <w:rsid w:val="00094AEE"/>
    <w:rsid w:val="0009542C"/>
    <w:rsid w:val="00095ED3"/>
    <w:rsid w:val="000A0714"/>
    <w:rsid w:val="000A0AA2"/>
    <w:rsid w:val="000A10F5"/>
    <w:rsid w:val="000A3322"/>
    <w:rsid w:val="000A4F29"/>
    <w:rsid w:val="000A55CA"/>
    <w:rsid w:val="000A5BF6"/>
    <w:rsid w:val="000B096A"/>
    <w:rsid w:val="000B185F"/>
    <w:rsid w:val="000B1BEA"/>
    <w:rsid w:val="000B2F2C"/>
    <w:rsid w:val="000B4AB5"/>
    <w:rsid w:val="000B670B"/>
    <w:rsid w:val="000B6917"/>
    <w:rsid w:val="000C1503"/>
    <w:rsid w:val="000C5266"/>
    <w:rsid w:val="000C5DF8"/>
    <w:rsid w:val="000D1A64"/>
    <w:rsid w:val="000D2202"/>
    <w:rsid w:val="000D47A3"/>
    <w:rsid w:val="000D4B32"/>
    <w:rsid w:val="000D75A8"/>
    <w:rsid w:val="000E0966"/>
    <w:rsid w:val="000E2005"/>
    <w:rsid w:val="000E2934"/>
    <w:rsid w:val="000E3E06"/>
    <w:rsid w:val="000E5522"/>
    <w:rsid w:val="000E6420"/>
    <w:rsid w:val="000E68DC"/>
    <w:rsid w:val="000E7B54"/>
    <w:rsid w:val="000F0214"/>
    <w:rsid w:val="000F0EC0"/>
    <w:rsid w:val="000F1727"/>
    <w:rsid w:val="000F3079"/>
    <w:rsid w:val="000F44C1"/>
    <w:rsid w:val="000F4A1E"/>
    <w:rsid w:val="000F6064"/>
    <w:rsid w:val="000F6F5C"/>
    <w:rsid w:val="000F7740"/>
    <w:rsid w:val="00100DCC"/>
    <w:rsid w:val="00103DCC"/>
    <w:rsid w:val="0010510E"/>
    <w:rsid w:val="00105D16"/>
    <w:rsid w:val="001060E8"/>
    <w:rsid w:val="00107D6B"/>
    <w:rsid w:val="0011000D"/>
    <w:rsid w:val="00112356"/>
    <w:rsid w:val="00113C78"/>
    <w:rsid w:val="001154C9"/>
    <w:rsid w:val="0011559D"/>
    <w:rsid w:val="00115F7F"/>
    <w:rsid w:val="00115FA1"/>
    <w:rsid w:val="0011643A"/>
    <w:rsid w:val="00117133"/>
    <w:rsid w:val="00120244"/>
    <w:rsid w:val="0012213F"/>
    <w:rsid w:val="00122348"/>
    <w:rsid w:val="001230F1"/>
    <w:rsid w:val="001245A4"/>
    <w:rsid w:val="0012544F"/>
    <w:rsid w:val="00125635"/>
    <w:rsid w:val="001263DB"/>
    <w:rsid w:val="00126D7A"/>
    <w:rsid w:val="00131355"/>
    <w:rsid w:val="0013151D"/>
    <w:rsid w:val="00133A83"/>
    <w:rsid w:val="00135B39"/>
    <w:rsid w:val="0014268D"/>
    <w:rsid w:val="00142B06"/>
    <w:rsid w:val="00145F4D"/>
    <w:rsid w:val="00146910"/>
    <w:rsid w:val="00146E84"/>
    <w:rsid w:val="00147C84"/>
    <w:rsid w:val="00151281"/>
    <w:rsid w:val="00152E8A"/>
    <w:rsid w:val="00153333"/>
    <w:rsid w:val="0015532D"/>
    <w:rsid w:val="00160318"/>
    <w:rsid w:val="00162062"/>
    <w:rsid w:val="0016225C"/>
    <w:rsid w:val="00163323"/>
    <w:rsid w:val="0016408F"/>
    <w:rsid w:val="001642D0"/>
    <w:rsid w:val="00167081"/>
    <w:rsid w:val="00170140"/>
    <w:rsid w:val="001731C2"/>
    <w:rsid w:val="0017348D"/>
    <w:rsid w:val="00173744"/>
    <w:rsid w:val="001742BB"/>
    <w:rsid w:val="00174AB6"/>
    <w:rsid w:val="00176ECA"/>
    <w:rsid w:val="00177005"/>
    <w:rsid w:val="00180BF0"/>
    <w:rsid w:val="00182FFC"/>
    <w:rsid w:val="001845EC"/>
    <w:rsid w:val="001856FE"/>
    <w:rsid w:val="0018708E"/>
    <w:rsid w:val="001873C5"/>
    <w:rsid w:val="00190FD5"/>
    <w:rsid w:val="0019175E"/>
    <w:rsid w:val="0019301C"/>
    <w:rsid w:val="001954B6"/>
    <w:rsid w:val="001A28A0"/>
    <w:rsid w:val="001A40A0"/>
    <w:rsid w:val="001A4A1B"/>
    <w:rsid w:val="001A6C76"/>
    <w:rsid w:val="001A789E"/>
    <w:rsid w:val="001A7E13"/>
    <w:rsid w:val="001B0805"/>
    <w:rsid w:val="001B087E"/>
    <w:rsid w:val="001B1709"/>
    <w:rsid w:val="001B2842"/>
    <w:rsid w:val="001B344C"/>
    <w:rsid w:val="001B3E91"/>
    <w:rsid w:val="001B4316"/>
    <w:rsid w:val="001B4996"/>
    <w:rsid w:val="001B4AEE"/>
    <w:rsid w:val="001B537A"/>
    <w:rsid w:val="001B54CC"/>
    <w:rsid w:val="001B680A"/>
    <w:rsid w:val="001B6900"/>
    <w:rsid w:val="001B71E7"/>
    <w:rsid w:val="001B7760"/>
    <w:rsid w:val="001C123B"/>
    <w:rsid w:val="001C4568"/>
    <w:rsid w:val="001C484C"/>
    <w:rsid w:val="001C6C63"/>
    <w:rsid w:val="001C7898"/>
    <w:rsid w:val="001D21B1"/>
    <w:rsid w:val="001D2D3F"/>
    <w:rsid w:val="001D3059"/>
    <w:rsid w:val="001D51EF"/>
    <w:rsid w:val="001D5356"/>
    <w:rsid w:val="001D56A7"/>
    <w:rsid w:val="001D68C0"/>
    <w:rsid w:val="001D6AD2"/>
    <w:rsid w:val="001D7479"/>
    <w:rsid w:val="001D77F4"/>
    <w:rsid w:val="001E1BB0"/>
    <w:rsid w:val="001E1E69"/>
    <w:rsid w:val="001E229F"/>
    <w:rsid w:val="001E5C21"/>
    <w:rsid w:val="001E5FB6"/>
    <w:rsid w:val="001E7057"/>
    <w:rsid w:val="001F150D"/>
    <w:rsid w:val="001F34B0"/>
    <w:rsid w:val="001F5498"/>
    <w:rsid w:val="001F7D5D"/>
    <w:rsid w:val="00203DEE"/>
    <w:rsid w:val="00206490"/>
    <w:rsid w:val="002074CC"/>
    <w:rsid w:val="00207C2C"/>
    <w:rsid w:val="00210296"/>
    <w:rsid w:val="002106DC"/>
    <w:rsid w:val="002122F2"/>
    <w:rsid w:val="00214984"/>
    <w:rsid w:val="00216144"/>
    <w:rsid w:val="00216556"/>
    <w:rsid w:val="0021793C"/>
    <w:rsid w:val="00220FFA"/>
    <w:rsid w:val="002210C5"/>
    <w:rsid w:val="00221B8A"/>
    <w:rsid w:val="0022541F"/>
    <w:rsid w:val="00225A70"/>
    <w:rsid w:val="002264FB"/>
    <w:rsid w:val="00226585"/>
    <w:rsid w:val="00226F43"/>
    <w:rsid w:val="00232650"/>
    <w:rsid w:val="00233F22"/>
    <w:rsid w:val="00234C62"/>
    <w:rsid w:val="00241F8D"/>
    <w:rsid w:val="00246224"/>
    <w:rsid w:val="00246E9E"/>
    <w:rsid w:val="00247941"/>
    <w:rsid w:val="00247A6F"/>
    <w:rsid w:val="00250CEB"/>
    <w:rsid w:val="0025105E"/>
    <w:rsid w:val="00253028"/>
    <w:rsid w:val="002531EE"/>
    <w:rsid w:val="0025777D"/>
    <w:rsid w:val="00260BD7"/>
    <w:rsid w:val="00261709"/>
    <w:rsid w:val="002626C2"/>
    <w:rsid w:val="0026288E"/>
    <w:rsid w:val="00262C69"/>
    <w:rsid w:val="002631D0"/>
    <w:rsid w:val="00263B25"/>
    <w:rsid w:val="00263D7F"/>
    <w:rsid w:val="00264251"/>
    <w:rsid w:val="00265477"/>
    <w:rsid w:val="00267721"/>
    <w:rsid w:val="0027018B"/>
    <w:rsid w:val="00273F11"/>
    <w:rsid w:val="00274ADF"/>
    <w:rsid w:val="00276C6B"/>
    <w:rsid w:val="00277895"/>
    <w:rsid w:val="00280846"/>
    <w:rsid w:val="00280C2B"/>
    <w:rsid w:val="00280CFE"/>
    <w:rsid w:val="0028206E"/>
    <w:rsid w:val="00282DBD"/>
    <w:rsid w:val="00293E23"/>
    <w:rsid w:val="002953B9"/>
    <w:rsid w:val="00297562"/>
    <w:rsid w:val="002A2970"/>
    <w:rsid w:val="002A3152"/>
    <w:rsid w:val="002A3EBD"/>
    <w:rsid w:val="002A4EB7"/>
    <w:rsid w:val="002B0C47"/>
    <w:rsid w:val="002B1557"/>
    <w:rsid w:val="002B2608"/>
    <w:rsid w:val="002B3202"/>
    <w:rsid w:val="002B4540"/>
    <w:rsid w:val="002B478E"/>
    <w:rsid w:val="002B78E1"/>
    <w:rsid w:val="002C1D51"/>
    <w:rsid w:val="002C2AC2"/>
    <w:rsid w:val="002C475B"/>
    <w:rsid w:val="002C4829"/>
    <w:rsid w:val="002C7989"/>
    <w:rsid w:val="002D0668"/>
    <w:rsid w:val="002D06B2"/>
    <w:rsid w:val="002D2688"/>
    <w:rsid w:val="002D2723"/>
    <w:rsid w:val="002D3741"/>
    <w:rsid w:val="002D55D2"/>
    <w:rsid w:val="002D59FC"/>
    <w:rsid w:val="002E3388"/>
    <w:rsid w:val="002E4E97"/>
    <w:rsid w:val="002E6545"/>
    <w:rsid w:val="002E6E71"/>
    <w:rsid w:val="002E7368"/>
    <w:rsid w:val="002F1ACF"/>
    <w:rsid w:val="002F2F82"/>
    <w:rsid w:val="002F33D4"/>
    <w:rsid w:val="002F5070"/>
    <w:rsid w:val="002F5097"/>
    <w:rsid w:val="002F59D5"/>
    <w:rsid w:val="002F6242"/>
    <w:rsid w:val="00300C62"/>
    <w:rsid w:val="0030112A"/>
    <w:rsid w:val="00301749"/>
    <w:rsid w:val="00301A8A"/>
    <w:rsid w:val="0030278A"/>
    <w:rsid w:val="00304570"/>
    <w:rsid w:val="003045C2"/>
    <w:rsid w:val="00305AD0"/>
    <w:rsid w:val="00310566"/>
    <w:rsid w:val="00310631"/>
    <w:rsid w:val="0031460C"/>
    <w:rsid w:val="00314883"/>
    <w:rsid w:val="00315D0C"/>
    <w:rsid w:val="003215FB"/>
    <w:rsid w:val="00322FE1"/>
    <w:rsid w:val="00325470"/>
    <w:rsid w:val="0032670F"/>
    <w:rsid w:val="00326CC1"/>
    <w:rsid w:val="003271AC"/>
    <w:rsid w:val="0033178A"/>
    <w:rsid w:val="00331F63"/>
    <w:rsid w:val="003321F7"/>
    <w:rsid w:val="00334971"/>
    <w:rsid w:val="00335E5B"/>
    <w:rsid w:val="00341308"/>
    <w:rsid w:val="00341C90"/>
    <w:rsid w:val="00344E6E"/>
    <w:rsid w:val="00345FE9"/>
    <w:rsid w:val="00347947"/>
    <w:rsid w:val="0035019D"/>
    <w:rsid w:val="0035172B"/>
    <w:rsid w:val="003531E3"/>
    <w:rsid w:val="003565C5"/>
    <w:rsid w:val="00356D48"/>
    <w:rsid w:val="0035726B"/>
    <w:rsid w:val="0035751B"/>
    <w:rsid w:val="00357A9B"/>
    <w:rsid w:val="00361026"/>
    <w:rsid w:val="00362749"/>
    <w:rsid w:val="0036367D"/>
    <w:rsid w:val="00364C3D"/>
    <w:rsid w:val="00365E59"/>
    <w:rsid w:val="00366692"/>
    <w:rsid w:val="00374329"/>
    <w:rsid w:val="00374DC7"/>
    <w:rsid w:val="003760EE"/>
    <w:rsid w:val="00376DC9"/>
    <w:rsid w:val="003777EA"/>
    <w:rsid w:val="00380EC5"/>
    <w:rsid w:val="00381B5E"/>
    <w:rsid w:val="0038328C"/>
    <w:rsid w:val="003834D1"/>
    <w:rsid w:val="00384979"/>
    <w:rsid w:val="00385519"/>
    <w:rsid w:val="00386841"/>
    <w:rsid w:val="00387D1C"/>
    <w:rsid w:val="00387E37"/>
    <w:rsid w:val="0039448F"/>
    <w:rsid w:val="00395D86"/>
    <w:rsid w:val="0039626C"/>
    <w:rsid w:val="003A1E15"/>
    <w:rsid w:val="003A242B"/>
    <w:rsid w:val="003A27DB"/>
    <w:rsid w:val="003A2E88"/>
    <w:rsid w:val="003A3A2F"/>
    <w:rsid w:val="003A5130"/>
    <w:rsid w:val="003A54BC"/>
    <w:rsid w:val="003A6F05"/>
    <w:rsid w:val="003A7955"/>
    <w:rsid w:val="003A7DE1"/>
    <w:rsid w:val="003A7F12"/>
    <w:rsid w:val="003B1B1E"/>
    <w:rsid w:val="003B3DA8"/>
    <w:rsid w:val="003B7115"/>
    <w:rsid w:val="003B743A"/>
    <w:rsid w:val="003C0291"/>
    <w:rsid w:val="003C02DF"/>
    <w:rsid w:val="003C226A"/>
    <w:rsid w:val="003C249B"/>
    <w:rsid w:val="003C400F"/>
    <w:rsid w:val="003C7E67"/>
    <w:rsid w:val="003D00DC"/>
    <w:rsid w:val="003D06BF"/>
    <w:rsid w:val="003D2BBC"/>
    <w:rsid w:val="003D663F"/>
    <w:rsid w:val="003D7FA3"/>
    <w:rsid w:val="003E1F74"/>
    <w:rsid w:val="003E24C4"/>
    <w:rsid w:val="003E48FA"/>
    <w:rsid w:val="003E734E"/>
    <w:rsid w:val="003E7B76"/>
    <w:rsid w:val="003F04ED"/>
    <w:rsid w:val="003F0F2E"/>
    <w:rsid w:val="003F1AC2"/>
    <w:rsid w:val="003F2786"/>
    <w:rsid w:val="003F56E9"/>
    <w:rsid w:val="003F5E6C"/>
    <w:rsid w:val="003F5FB4"/>
    <w:rsid w:val="00405512"/>
    <w:rsid w:val="00406651"/>
    <w:rsid w:val="00406EB7"/>
    <w:rsid w:val="004108B9"/>
    <w:rsid w:val="00411741"/>
    <w:rsid w:val="0041182C"/>
    <w:rsid w:val="00413908"/>
    <w:rsid w:val="00413D1D"/>
    <w:rsid w:val="004157B3"/>
    <w:rsid w:val="0041641E"/>
    <w:rsid w:val="00416C9F"/>
    <w:rsid w:val="004201EB"/>
    <w:rsid w:val="0042076B"/>
    <w:rsid w:val="0042103A"/>
    <w:rsid w:val="00422A2C"/>
    <w:rsid w:val="00422C9A"/>
    <w:rsid w:val="0042327A"/>
    <w:rsid w:val="0042501C"/>
    <w:rsid w:val="00425768"/>
    <w:rsid w:val="00430332"/>
    <w:rsid w:val="00433512"/>
    <w:rsid w:val="00434B83"/>
    <w:rsid w:val="00434CE0"/>
    <w:rsid w:val="00434F11"/>
    <w:rsid w:val="004365DB"/>
    <w:rsid w:val="004405CF"/>
    <w:rsid w:val="0044299E"/>
    <w:rsid w:val="00444C9F"/>
    <w:rsid w:val="004457AA"/>
    <w:rsid w:val="004466AE"/>
    <w:rsid w:val="0045000F"/>
    <w:rsid w:val="00451829"/>
    <w:rsid w:val="00452794"/>
    <w:rsid w:val="004527BA"/>
    <w:rsid w:val="0045568F"/>
    <w:rsid w:val="00455B01"/>
    <w:rsid w:val="0045797B"/>
    <w:rsid w:val="00457C2E"/>
    <w:rsid w:val="004635FF"/>
    <w:rsid w:val="00463AD4"/>
    <w:rsid w:val="00463E1E"/>
    <w:rsid w:val="00465EAD"/>
    <w:rsid w:val="00465ED3"/>
    <w:rsid w:val="00467F5C"/>
    <w:rsid w:val="004702C0"/>
    <w:rsid w:val="00472765"/>
    <w:rsid w:val="00472A1E"/>
    <w:rsid w:val="00476D02"/>
    <w:rsid w:val="004817AE"/>
    <w:rsid w:val="00485944"/>
    <w:rsid w:val="00487E2F"/>
    <w:rsid w:val="0049052D"/>
    <w:rsid w:val="00493F1F"/>
    <w:rsid w:val="0049563F"/>
    <w:rsid w:val="0049626A"/>
    <w:rsid w:val="00496313"/>
    <w:rsid w:val="004A0282"/>
    <w:rsid w:val="004A0636"/>
    <w:rsid w:val="004A0B81"/>
    <w:rsid w:val="004A1DD8"/>
    <w:rsid w:val="004A5A78"/>
    <w:rsid w:val="004A62FD"/>
    <w:rsid w:val="004A7274"/>
    <w:rsid w:val="004A757E"/>
    <w:rsid w:val="004B6C23"/>
    <w:rsid w:val="004B7457"/>
    <w:rsid w:val="004C017D"/>
    <w:rsid w:val="004C043C"/>
    <w:rsid w:val="004C08F3"/>
    <w:rsid w:val="004C27CB"/>
    <w:rsid w:val="004C2E3B"/>
    <w:rsid w:val="004C3EE8"/>
    <w:rsid w:val="004C409B"/>
    <w:rsid w:val="004C4668"/>
    <w:rsid w:val="004C628B"/>
    <w:rsid w:val="004C7D52"/>
    <w:rsid w:val="004C7FBF"/>
    <w:rsid w:val="004D1510"/>
    <w:rsid w:val="004D21BC"/>
    <w:rsid w:val="004D3F25"/>
    <w:rsid w:val="004D48B3"/>
    <w:rsid w:val="004D5A8B"/>
    <w:rsid w:val="004D6E0A"/>
    <w:rsid w:val="004E2621"/>
    <w:rsid w:val="004E4282"/>
    <w:rsid w:val="004E4740"/>
    <w:rsid w:val="004E5698"/>
    <w:rsid w:val="004E6086"/>
    <w:rsid w:val="004F376C"/>
    <w:rsid w:val="004F5035"/>
    <w:rsid w:val="004F6624"/>
    <w:rsid w:val="004F7B01"/>
    <w:rsid w:val="0050279E"/>
    <w:rsid w:val="0050386C"/>
    <w:rsid w:val="00510648"/>
    <w:rsid w:val="00511B69"/>
    <w:rsid w:val="00513CEF"/>
    <w:rsid w:val="0051662F"/>
    <w:rsid w:val="00516FBF"/>
    <w:rsid w:val="00517F73"/>
    <w:rsid w:val="005252BA"/>
    <w:rsid w:val="00530F57"/>
    <w:rsid w:val="0053189E"/>
    <w:rsid w:val="00540832"/>
    <w:rsid w:val="00542DEF"/>
    <w:rsid w:val="00545B20"/>
    <w:rsid w:val="00546F4B"/>
    <w:rsid w:val="00547F98"/>
    <w:rsid w:val="005524CB"/>
    <w:rsid w:val="00552555"/>
    <w:rsid w:val="005563F1"/>
    <w:rsid w:val="005609C3"/>
    <w:rsid w:val="00560C92"/>
    <w:rsid w:val="005621FA"/>
    <w:rsid w:val="005623C6"/>
    <w:rsid w:val="0056286F"/>
    <w:rsid w:val="00562C3C"/>
    <w:rsid w:val="005636DA"/>
    <w:rsid w:val="00563AB7"/>
    <w:rsid w:val="00565551"/>
    <w:rsid w:val="005672C1"/>
    <w:rsid w:val="005709DA"/>
    <w:rsid w:val="0057181C"/>
    <w:rsid w:val="00571B41"/>
    <w:rsid w:val="00572271"/>
    <w:rsid w:val="005732F8"/>
    <w:rsid w:val="0057503B"/>
    <w:rsid w:val="0057606B"/>
    <w:rsid w:val="00576B54"/>
    <w:rsid w:val="00581030"/>
    <w:rsid w:val="00581396"/>
    <w:rsid w:val="00581A00"/>
    <w:rsid w:val="00581D09"/>
    <w:rsid w:val="005820B3"/>
    <w:rsid w:val="00583529"/>
    <w:rsid w:val="005849C8"/>
    <w:rsid w:val="00585996"/>
    <w:rsid w:val="00585D7F"/>
    <w:rsid w:val="00585EEA"/>
    <w:rsid w:val="005864A2"/>
    <w:rsid w:val="0058682F"/>
    <w:rsid w:val="00586C65"/>
    <w:rsid w:val="005904F8"/>
    <w:rsid w:val="00590A9B"/>
    <w:rsid w:val="00590FA0"/>
    <w:rsid w:val="00591A2E"/>
    <w:rsid w:val="00594A6B"/>
    <w:rsid w:val="00594BCE"/>
    <w:rsid w:val="005973EC"/>
    <w:rsid w:val="00597407"/>
    <w:rsid w:val="0059779E"/>
    <w:rsid w:val="0059799C"/>
    <w:rsid w:val="005A1799"/>
    <w:rsid w:val="005A2883"/>
    <w:rsid w:val="005A3C54"/>
    <w:rsid w:val="005A40DF"/>
    <w:rsid w:val="005A42FF"/>
    <w:rsid w:val="005A4360"/>
    <w:rsid w:val="005A49EC"/>
    <w:rsid w:val="005A52AB"/>
    <w:rsid w:val="005A59AF"/>
    <w:rsid w:val="005A6685"/>
    <w:rsid w:val="005A7CB4"/>
    <w:rsid w:val="005B3406"/>
    <w:rsid w:val="005B41F2"/>
    <w:rsid w:val="005B55AE"/>
    <w:rsid w:val="005B6E11"/>
    <w:rsid w:val="005B7060"/>
    <w:rsid w:val="005C449D"/>
    <w:rsid w:val="005C490B"/>
    <w:rsid w:val="005C4CFE"/>
    <w:rsid w:val="005C5091"/>
    <w:rsid w:val="005C6D9D"/>
    <w:rsid w:val="005D300F"/>
    <w:rsid w:val="005D365E"/>
    <w:rsid w:val="005D37DA"/>
    <w:rsid w:val="005D3ED6"/>
    <w:rsid w:val="005D4BDD"/>
    <w:rsid w:val="005D4C4E"/>
    <w:rsid w:val="005D5816"/>
    <w:rsid w:val="005E004F"/>
    <w:rsid w:val="005E2C10"/>
    <w:rsid w:val="005E3053"/>
    <w:rsid w:val="005E4259"/>
    <w:rsid w:val="005E4B2C"/>
    <w:rsid w:val="005E66D5"/>
    <w:rsid w:val="005F088A"/>
    <w:rsid w:val="005F092B"/>
    <w:rsid w:val="005F0B3E"/>
    <w:rsid w:val="005F1388"/>
    <w:rsid w:val="005F2020"/>
    <w:rsid w:val="00602F0A"/>
    <w:rsid w:val="00602FDC"/>
    <w:rsid w:val="00604578"/>
    <w:rsid w:val="00604676"/>
    <w:rsid w:val="006060DB"/>
    <w:rsid w:val="006067BC"/>
    <w:rsid w:val="00610AA1"/>
    <w:rsid w:val="0061287B"/>
    <w:rsid w:val="0061309F"/>
    <w:rsid w:val="006151FB"/>
    <w:rsid w:val="0061532E"/>
    <w:rsid w:val="006207DE"/>
    <w:rsid w:val="00624FA7"/>
    <w:rsid w:val="00625C94"/>
    <w:rsid w:val="0062645C"/>
    <w:rsid w:val="00630370"/>
    <w:rsid w:val="00630671"/>
    <w:rsid w:val="00632A07"/>
    <w:rsid w:val="006362AA"/>
    <w:rsid w:val="006426AA"/>
    <w:rsid w:val="006506AF"/>
    <w:rsid w:val="00651D5D"/>
    <w:rsid w:val="006520EF"/>
    <w:rsid w:val="0065371F"/>
    <w:rsid w:val="00654D87"/>
    <w:rsid w:val="00654DB3"/>
    <w:rsid w:val="0065563D"/>
    <w:rsid w:val="00657A9C"/>
    <w:rsid w:val="0066657E"/>
    <w:rsid w:val="00672B30"/>
    <w:rsid w:val="00674B2D"/>
    <w:rsid w:val="006759A2"/>
    <w:rsid w:val="00675EBA"/>
    <w:rsid w:val="00676A70"/>
    <w:rsid w:val="00682F6C"/>
    <w:rsid w:val="00683C54"/>
    <w:rsid w:val="00685E09"/>
    <w:rsid w:val="00686064"/>
    <w:rsid w:val="006871CE"/>
    <w:rsid w:val="006908E2"/>
    <w:rsid w:val="00690A20"/>
    <w:rsid w:val="00694CB5"/>
    <w:rsid w:val="0069632C"/>
    <w:rsid w:val="006966F8"/>
    <w:rsid w:val="00696C52"/>
    <w:rsid w:val="006A02E0"/>
    <w:rsid w:val="006B174E"/>
    <w:rsid w:val="006B1E6C"/>
    <w:rsid w:val="006B21C4"/>
    <w:rsid w:val="006B3012"/>
    <w:rsid w:val="006B335C"/>
    <w:rsid w:val="006B381B"/>
    <w:rsid w:val="006B3E9F"/>
    <w:rsid w:val="006B4110"/>
    <w:rsid w:val="006B4910"/>
    <w:rsid w:val="006B4F85"/>
    <w:rsid w:val="006B6FD9"/>
    <w:rsid w:val="006B7C60"/>
    <w:rsid w:val="006C0D04"/>
    <w:rsid w:val="006C1C14"/>
    <w:rsid w:val="006C3401"/>
    <w:rsid w:val="006C5ED6"/>
    <w:rsid w:val="006C6D38"/>
    <w:rsid w:val="006C7745"/>
    <w:rsid w:val="006C7EEC"/>
    <w:rsid w:val="006D018C"/>
    <w:rsid w:val="006D0B0D"/>
    <w:rsid w:val="006D3D2B"/>
    <w:rsid w:val="006D474C"/>
    <w:rsid w:val="006D4B7D"/>
    <w:rsid w:val="006D6705"/>
    <w:rsid w:val="006E028B"/>
    <w:rsid w:val="006E1DB6"/>
    <w:rsid w:val="006E32A6"/>
    <w:rsid w:val="006E47B7"/>
    <w:rsid w:val="006E5519"/>
    <w:rsid w:val="006E5AA5"/>
    <w:rsid w:val="006E62E0"/>
    <w:rsid w:val="006E6848"/>
    <w:rsid w:val="006E7725"/>
    <w:rsid w:val="006E7730"/>
    <w:rsid w:val="006F1319"/>
    <w:rsid w:val="006F14A8"/>
    <w:rsid w:val="006F1F2B"/>
    <w:rsid w:val="006F2E5E"/>
    <w:rsid w:val="006F3640"/>
    <w:rsid w:val="006F45BC"/>
    <w:rsid w:val="006F4D52"/>
    <w:rsid w:val="006F566B"/>
    <w:rsid w:val="006F5A96"/>
    <w:rsid w:val="006F689D"/>
    <w:rsid w:val="00700037"/>
    <w:rsid w:val="00700DEA"/>
    <w:rsid w:val="00704142"/>
    <w:rsid w:val="00704E07"/>
    <w:rsid w:val="007123A0"/>
    <w:rsid w:val="00712B96"/>
    <w:rsid w:val="007148D4"/>
    <w:rsid w:val="00714D3E"/>
    <w:rsid w:val="00714E13"/>
    <w:rsid w:val="0071503A"/>
    <w:rsid w:val="00715161"/>
    <w:rsid w:val="0071528C"/>
    <w:rsid w:val="00717C48"/>
    <w:rsid w:val="00717EC0"/>
    <w:rsid w:val="00720DD4"/>
    <w:rsid w:val="00721843"/>
    <w:rsid w:val="00721A93"/>
    <w:rsid w:val="00722226"/>
    <w:rsid w:val="007300E0"/>
    <w:rsid w:val="0073029B"/>
    <w:rsid w:val="00730EE1"/>
    <w:rsid w:val="007313F2"/>
    <w:rsid w:val="00735100"/>
    <w:rsid w:val="00735461"/>
    <w:rsid w:val="0073739A"/>
    <w:rsid w:val="00740525"/>
    <w:rsid w:val="00742BE4"/>
    <w:rsid w:val="007448F7"/>
    <w:rsid w:val="00744940"/>
    <w:rsid w:val="00745B4E"/>
    <w:rsid w:val="00745D5E"/>
    <w:rsid w:val="00746614"/>
    <w:rsid w:val="00747EA3"/>
    <w:rsid w:val="00750836"/>
    <w:rsid w:val="0075162C"/>
    <w:rsid w:val="0075190B"/>
    <w:rsid w:val="00751B07"/>
    <w:rsid w:val="007521FC"/>
    <w:rsid w:val="00753832"/>
    <w:rsid w:val="0075543E"/>
    <w:rsid w:val="00756572"/>
    <w:rsid w:val="00760F9A"/>
    <w:rsid w:val="00761C24"/>
    <w:rsid w:val="007705EC"/>
    <w:rsid w:val="0077178B"/>
    <w:rsid w:val="007722C2"/>
    <w:rsid w:val="00772BF8"/>
    <w:rsid w:val="00774589"/>
    <w:rsid w:val="0077540C"/>
    <w:rsid w:val="0077580A"/>
    <w:rsid w:val="00775A61"/>
    <w:rsid w:val="00776726"/>
    <w:rsid w:val="007771D4"/>
    <w:rsid w:val="00780D96"/>
    <w:rsid w:val="00782863"/>
    <w:rsid w:val="00783FEA"/>
    <w:rsid w:val="007841B5"/>
    <w:rsid w:val="00784C6D"/>
    <w:rsid w:val="00786D0E"/>
    <w:rsid w:val="00786DD4"/>
    <w:rsid w:val="0078737F"/>
    <w:rsid w:val="0079021A"/>
    <w:rsid w:val="00795B9B"/>
    <w:rsid w:val="00796FFB"/>
    <w:rsid w:val="00797AA1"/>
    <w:rsid w:val="007A0B72"/>
    <w:rsid w:val="007A1AD9"/>
    <w:rsid w:val="007A4764"/>
    <w:rsid w:val="007B0BBC"/>
    <w:rsid w:val="007B1050"/>
    <w:rsid w:val="007B373A"/>
    <w:rsid w:val="007B3866"/>
    <w:rsid w:val="007B5EBC"/>
    <w:rsid w:val="007B61A3"/>
    <w:rsid w:val="007B6B3D"/>
    <w:rsid w:val="007C383D"/>
    <w:rsid w:val="007C651A"/>
    <w:rsid w:val="007C6877"/>
    <w:rsid w:val="007C7D66"/>
    <w:rsid w:val="007D25EF"/>
    <w:rsid w:val="007D37A8"/>
    <w:rsid w:val="007D3FDA"/>
    <w:rsid w:val="007D5795"/>
    <w:rsid w:val="007D656F"/>
    <w:rsid w:val="007D73BB"/>
    <w:rsid w:val="007D7844"/>
    <w:rsid w:val="007D7BF5"/>
    <w:rsid w:val="007D7DB1"/>
    <w:rsid w:val="007E4942"/>
    <w:rsid w:val="007E798C"/>
    <w:rsid w:val="007F0185"/>
    <w:rsid w:val="007F0497"/>
    <w:rsid w:val="007F262B"/>
    <w:rsid w:val="007F3469"/>
    <w:rsid w:val="007F346F"/>
    <w:rsid w:val="007F4DEA"/>
    <w:rsid w:val="00800251"/>
    <w:rsid w:val="008010EA"/>
    <w:rsid w:val="00801858"/>
    <w:rsid w:val="00802373"/>
    <w:rsid w:val="00804D33"/>
    <w:rsid w:val="0080530B"/>
    <w:rsid w:val="0081196A"/>
    <w:rsid w:val="008123E8"/>
    <w:rsid w:val="0081364E"/>
    <w:rsid w:val="008137CB"/>
    <w:rsid w:val="0081432A"/>
    <w:rsid w:val="008145F5"/>
    <w:rsid w:val="008155E6"/>
    <w:rsid w:val="008158A8"/>
    <w:rsid w:val="00815F2A"/>
    <w:rsid w:val="008166D3"/>
    <w:rsid w:val="00816CD3"/>
    <w:rsid w:val="00817035"/>
    <w:rsid w:val="00820263"/>
    <w:rsid w:val="00824A76"/>
    <w:rsid w:val="00825967"/>
    <w:rsid w:val="00830142"/>
    <w:rsid w:val="008303E9"/>
    <w:rsid w:val="0083222C"/>
    <w:rsid w:val="00834EA0"/>
    <w:rsid w:val="00834F3D"/>
    <w:rsid w:val="00840C1D"/>
    <w:rsid w:val="0084247F"/>
    <w:rsid w:val="008428CB"/>
    <w:rsid w:val="00843B97"/>
    <w:rsid w:val="00844056"/>
    <w:rsid w:val="00846585"/>
    <w:rsid w:val="00847DBA"/>
    <w:rsid w:val="00847EF0"/>
    <w:rsid w:val="00850C86"/>
    <w:rsid w:val="00850CC1"/>
    <w:rsid w:val="00852FEB"/>
    <w:rsid w:val="00853203"/>
    <w:rsid w:val="00853E2D"/>
    <w:rsid w:val="008545A9"/>
    <w:rsid w:val="0085502B"/>
    <w:rsid w:val="008563E3"/>
    <w:rsid w:val="008564DC"/>
    <w:rsid w:val="00856BB1"/>
    <w:rsid w:val="00857B2A"/>
    <w:rsid w:val="00861521"/>
    <w:rsid w:val="008616E1"/>
    <w:rsid w:val="0086223D"/>
    <w:rsid w:val="00862E3D"/>
    <w:rsid w:val="008649C2"/>
    <w:rsid w:val="00865266"/>
    <w:rsid w:val="00867B98"/>
    <w:rsid w:val="008708EF"/>
    <w:rsid w:val="00872030"/>
    <w:rsid w:val="00872646"/>
    <w:rsid w:val="00873133"/>
    <w:rsid w:val="00873DBC"/>
    <w:rsid w:val="00873FEC"/>
    <w:rsid w:val="008758CD"/>
    <w:rsid w:val="0088239A"/>
    <w:rsid w:val="00882C7C"/>
    <w:rsid w:val="00883FF7"/>
    <w:rsid w:val="00885684"/>
    <w:rsid w:val="0088621C"/>
    <w:rsid w:val="00886B83"/>
    <w:rsid w:val="00890A3D"/>
    <w:rsid w:val="0089195F"/>
    <w:rsid w:val="00891C69"/>
    <w:rsid w:val="00891FC9"/>
    <w:rsid w:val="008928B6"/>
    <w:rsid w:val="00894411"/>
    <w:rsid w:val="00894BB2"/>
    <w:rsid w:val="00895651"/>
    <w:rsid w:val="00895C1D"/>
    <w:rsid w:val="00896F54"/>
    <w:rsid w:val="008A1082"/>
    <w:rsid w:val="008A256E"/>
    <w:rsid w:val="008A40D0"/>
    <w:rsid w:val="008A5176"/>
    <w:rsid w:val="008B0E10"/>
    <w:rsid w:val="008B3E1F"/>
    <w:rsid w:val="008B4512"/>
    <w:rsid w:val="008B4D66"/>
    <w:rsid w:val="008B61CD"/>
    <w:rsid w:val="008B6D89"/>
    <w:rsid w:val="008C04E5"/>
    <w:rsid w:val="008C07E9"/>
    <w:rsid w:val="008C08DC"/>
    <w:rsid w:val="008C14EE"/>
    <w:rsid w:val="008C219B"/>
    <w:rsid w:val="008C2884"/>
    <w:rsid w:val="008C59B5"/>
    <w:rsid w:val="008D0625"/>
    <w:rsid w:val="008D1B1B"/>
    <w:rsid w:val="008D4D85"/>
    <w:rsid w:val="008D5587"/>
    <w:rsid w:val="008D797F"/>
    <w:rsid w:val="008E4250"/>
    <w:rsid w:val="008E533A"/>
    <w:rsid w:val="008E67B6"/>
    <w:rsid w:val="008E7072"/>
    <w:rsid w:val="008E7CD6"/>
    <w:rsid w:val="008F1217"/>
    <w:rsid w:val="008F1646"/>
    <w:rsid w:val="008F3243"/>
    <w:rsid w:val="008F3283"/>
    <w:rsid w:val="008F3E32"/>
    <w:rsid w:val="008F4A0A"/>
    <w:rsid w:val="008F5C05"/>
    <w:rsid w:val="008F6CD5"/>
    <w:rsid w:val="00900822"/>
    <w:rsid w:val="00900B60"/>
    <w:rsid w:val="00902CD2"/>
    <w:rsid w:val="00903089"/>
    <w:rsid w:val="00904329"/>
    <w:rsid w:val="00904CD1"/>
    <w:rsid w:val="00905DE6"/>
    <w:rsid w:val="0090608F"/>
    <w:rsid w:val="00906FEC"/>
    <w:rsid w:val="00907BCB"/>
    <w:rsid w:val="00907C8D"/>
    <w:rsid w:val="00910E08"/>
    <w:rsid w:val="00910F6A"/>
    <w:rsid w:val="0091207C"/>
    <w:rsid w:val="00912F86"/>
    <w:rsid w:val="00913C0D"/>
    <w:rsid w:val="0091459C"/>
    <w:rsid w:val="009163B7"/>
    <w:rsid w:val="00917BD4"/>
    <w:rsid w:val="00920B6C"/>
    <w:rsid w:val="009214F5"/>
    <w:rsid w:val="009239D3"/>
    <w:rsid w:val="009243A4"/>
    <w:rsid w:val="00927DED"/>
    <w:rsid w:val="00932348"/>
    <w:rsid w:val="00935011"/>
    <w:rsid w:val="00941C01"/>
    <w:rsid w:val="009425BD"/>
    <w:rsid w:val="009434C6"/>
    <w:rsid w:val="009437A2"/>
    <w:rsid w:val="00945746"/>
    <w:rsid w:val="00946C0B"/>
    <w:rsid w:val="00947100"/>
    <w:rsid w:val="00947197"/>
    <w:rsid w:val="009503E6"/>
    <w:rsid w:val="00952C46"/>
    <w:rsid w:val="00953E2E"/>
    <w:rsid w:val="00953F59"/>
    <w:rsid w:val="00954145"/>
    <w:rsid w:val="009555A2"/>
    <w:rsid w:val="00955988"/>
    <w:rsid w:val="00956B52"/>
    <w:rsid w:val="0095735B"/>
    <w:rsid w:val="0096139D"/>
    <w:rsid w:val="00961F11"/>
    <w:rsid w:val="0096357B"/>
    <w:rsid w:val="0096499D"/>
    <w:rsid w:val="00965E30"/>
    <w:rsid w:val="00965F47"/>
    <w:rsid w:val="009665ED"/>
    <w:rsid w:val="00966B35"/>
    <w:rsid w:val="009673C4"/>
    <w:rsid w:val="0096781E"/>
    <w:rsid w:val="00973948"/>
    <w:rsid w:val="00975092"/>
    <w:rsid w:val="0098092C"/>
    <w:rsid w:val="00981CD7"/>
    <w:rsid w:val="00982A8F"/>
    <w:rsid w:val="009830E8"/>
    <w:rsid w:val="00983250"/>
    <w:rsid w:val="009839D5"/>
    <w:rsid w:val="009856E7"/>
    <w:rsid w:val="0098723E"/>
    <w:rsid w:val="00987521"/>
    <w:rsid w:val="00987797"/>
    <w:rsid w:val="00990150"/>
    <w:rsid w:val="00990545"/>
    <w:rsid w:val="0099095A"/>
    <w:rsid w:val="009912AF"/>
    <w:rsid w:val="009946BA"/>
    <w:rsid w:val="00994FFC"/>
    <w:rsid w:val="00995DC5"/>
    <w:rsid w:val="00996264"/>
    <w:rsid w:val="00996679"/>
    <w:rsid w:val="009971FB"/>
    <w:rsid w:val="009A09F7"/>
    <w:rsid w:val="009A14B2"/>
    <w:rsid w:val="009A17EA"/>
    <w:rsid w:val="009A3356"/>
    <w:rsid w:val="009A391D"/>
    <w:rsid w:val="009A4338"/>
    <w:rsid w:val="009A4B34"/>
    <w:rsid w:val="009A7A2A"/>
    <w:rsid w:val="009B0F10"/>
    <w:rsid w:val="009B1A23"/>
    <w:rsid w:val="009B1ED3"/>
    <w:rsid w:val="009B20BD"/>
    <w:rsid w:val="009B345F"/>
    <w:rsid w:val="009B4A3B"/>
    <w:rsid w:val="009B5444"/>
    <w:rsid w:val="009B6D7F"/>
    <w:rsid w:val="009B7B12"/>
    <w:rsid w:val="009C0C54"/>
    <w:rsid w:val="009C0C6E"/>
    <w:rsid w:val="009C13B8"/>
    <w:rsid w:val="009C1581"/>
    <w:rsid w:val="009C1DFB"/>
    <w:rsid w:val="009C2509"/>
    <w:rsid w:val="009C26D6"/>
    <w:rsid w:val="009C4204"/>
    <w:rsid w:val="009C4D36"/>
    <w:rsid w:val="009C6034"/>
    <w:rsid w:val="009C66E5"/>
    <w:rsid w:val="009C68BC"/>
    <w:rsid w:val="009C71DE"/>
    <w:rsid w:val="009C7E8F"/>
    <w:rsid w:val="009D0C65"/>
    <w:rsid w:val="009D10C9"/>
    <w:rsid w:val="009D1CB4"/>
    <w:rsid w:val="009D41D8"/>
    <w:rsid w:val="009D438A"/>
    <w:rsid w:val="009D5BF8"/>
    <w:rsid w:val="009D7A00"/>
    <w:rsid w:val="009E002B"/>
    <w:rsid w:val="009E0194"/>
    <w:rsid w:val="009E2CD5"/>
    <w:rsid w:val="009E4BF5"/>
    <w:rsid w:val="009E605F"/>
    <w:rsid w:val="009E6B89"/>
    <w:rsid w:val="009E7637"/>
    <w:rsid w:val="009F0843"/>
    <w:rsid w:val="009F0860"/>
    <w:rsid w:val="009F2039"/>
    <w:rsid w:val="009F39D9"/>
    <w:rsid w:val="009F3A84"/>
    <w:rsid w:val="009F47FA"/>
    <w:rsid w:val="009F4F0A"/>
    <w:rsid w:val="009F57E7"/>
    <w:rsid w:val="009F69EE"/>
    <w:rsid w:val="009F69FE"/>
    <w:rsid w:val="009F7978"/>
    <w:rsid w:val="009F7C4E"/>
    <w:rsid w:val="00A020BB"/>
    <w:rsid w:val="00A057EB"/>
    <w:rsid w:val="00A0691B"/>
    <w:rsid w:val="00A0737D"/>
    <w:rsid w:val="00A10905"/>
    <w:rsid w:val="00A11BEA"/>
    <w:rsid w:val="00A12824"/>
    <w:rsid w:val="00A1355F"/>
    <w:rsid w:val="00A14496"/>
    <w:rsid w:val="00A2066D"/>
    <w:rsid w:val="00A2538C"/>
    <w:rsid w:val="00A261F9"/>
    <w:rsid w:val="00A30CE0"/>
    <w:rsid w:val="00A31A60"/>
    <w:rsid w:val="00A333D7"/>
    <w:rsid w:val="00A3370F"/>
    <w:rsid w:val="00A367C3"/>
    <w:rsid w:val="00A371C4"/>
    <w:rsid w:val="00A3726D"/>
    <w:rsid w:val="00A40490"/>
    <w:rsid w:val="00A40A23"/>
    <w:rsid w:val="00A42381"/>
    <w:rsid w:val="00A42C20"/>
    <w:rsid w:val="00A42C62"/>
    <w:rsid w:val="00A436B5"/>
    <w:rsid w:val="00A45FAC"/>
    <w:rsid w:val="00A467C5"/>
    <w:rsid w:val="00A50179"/>
    <w:rsid w:val="00A5060C"/>
    <w:rsid w:val="00A508F7"/>
    <w:rsid w:val="00A50971"/>
    <w:rsid w:val="00A54363"/>
    <w:rsid w:val="00A614A6"/>
    <w:rsid w:val="00A62214"/>
    <w:rsid w:val="00A635CE"/>
    <w:rsid w:val="00A7051E"/>
    <w:rsid w:val="00A70767"/>
    <w:rsid w:val="00A7160F"/>
    <w:rsid w:val="00A719D7"/>
    <w:rsid w:val="00A74156"/>
    <w:rsid w:val="00A753AE"/>
    <w:rsid w:val="00A77793"/>
    <w:rsid w:val="00A77DA6"/>
    <w:rsid w:val="00A80691"/>
    <w:rsid w:val="00A81305"/>
    <w:rsid w:val="00A8177A"/>
    <w:rsid w:val="00A83884"/>
    <w:rsid w:val="00A85B8A"/>
    <w:rsid w:val="00A866CE"/>
    <w:rsid w:val="00A90F71"/>
    <w:rsid w:val="00A92B4D"/>
    <w:rsid w:val="00A92DE5"/>
    <w:rsid w:val="00A93278"/>
    <w:rsid w:val="00A94C6C"/>
    <w:rsid w:val="00A970BA"/>
    <w:rsid w:val="00AA0386"/>
    <w:rsid w:val="00AA048C"/>
    <w:rsid w:val="00AA08E7"/>
    <w:rsid w:val="00AA2A27"/>
    <w:rsid w:val="00AA382D"/>
    <w:rsid w:val="00AA784A"/>
    <w:rsid w:val="00AB0781"/>
    <w:rsid w:val="00AB3D82"/>
    <w:rsid w:val="00AB4558"/>
    <w:rsid w:val="00AB5775"/>
    <w:rsid w:val="00AB6F40"/>
    <w:rsid w:val="00AC0599"/>
    <w:rsid w:val="00AC1B36"/>
    <w:rsid w:val="00AC1F10"/>
    <w:rsid w:val="00AC27CE"/>
    <w:rsid w:val="00AC38D6"/>
    <w:rsid w:val="00AC3A2C"/>
    <w:rsid w:val="00AC3DF2"/>
    <w:rsid w:val="00AC4CD5"/>
    <w:rsid w:val="00AC63C9"/>
    <w:rsid w:val="00AD0606"/>
    <w:rsid w:val="00AD074F"/>
    <w:rsid w:val="00AD0817"/>
    <w:rsid w:val="00AD0BFF"/>
    <w:rsid w:val="00AD1A0C"/>
    <w:rsid w:val="00AD1F9B"/>
    <w:rsid w:val="00AD5CED"/>
    <w:rsid w:val="00AE00E1"/>
    <w:rsid w:val="00AE1682"/>
    <w:rsid w:val="00AE1D03"/>
    <w:rsid w:val="00AE3008"/>
    <w:rsid w:val="00AE30CB"/>
    <w:rsid w:val="00AE46CC"/>
    <w:rsid w:val="00AE7C46"/>
    <w:rsid w:val="00AE7DA7"/>
    <w:rsid w:val="00AE7E2B"/>
    <w:rsid w:val="00AF056E"/>
    <w:rsid w:val="00AF3763"/>
    <w:rsid w:val="00AF6436"/>
    <w:rsid w:val="00B01144"/>
    <w:rsid w:val="00B01B9A"/>
    <w:rsid w:val="00B04D34"/>
    <w:rsid w:val="00B06506"/>
    <w:rsid w:val="00B10287"/>
    <w:rsid w:val="00B11CEE"/>
    <w:rsid w:val="00B11E68"/>
    <w:rsid w:val="00B1301B"/>
    <w:rsid w:val="00B13FF1"/>
    <w:rsid w:val="00B20410"/>
    <w:rsid w:val="00B20E9D"/>
    <w:rsid w:val="00B216DB"/>
    <w:rsid w:val="00B2459D"/>
    <w:rsid w:val="00B25FF4"/>
    <w:rsid w:val="00B26EE8"/>
    <w:rsid w:val="00B300D2"/>
    <w:rsid w:val="00B302CC"/>
    <w:rsid w:val="00B308C0"/>
    <w:rsid w:val="00B31140"/>
    <w:rsid w:val="00B317CE"/>
    <w:rsid w:val="00B32E33"/>
    <w:rsid w:val="00B332E2"/>
    <w:rsid w:val="00B33F38"/>
    <w:rsid w:val="00B3487E"/>
    <w:rsid w:val="00B34C2D"/>
    <w:rsid w:val="00B40531"/>
    <w:rsid w:val="00B40712"/>
    <w:rsid w:val="00B4071B"/>
    <w:rsid w:val="00B40CA3"/>
    <w:rsid w:val="00B41B4B"/>
    <w:rsid w:val="00B43078"/>
    <w:rsid w:val="00B43AD1"/>
    <w:rsid w:val="00B43E8C"/>
    <w:rsid w:val="00B506CF"/>
    <w:rsid w:val="00B52395"/>
    <w:rsid w:val="00B52C9C"/>
    <w:rsid w:val="00B551C4"/>
    <w:rsid w:val="00B5526A"/>
    <w:rsid w:val="00B55389"/>
    <w:rsid w:val="00B5667B"/>
    <w:rsid w:val="00B609AA"/>
    <w:rsid w:val="00B61342"/>
    <w:rsid w:val="00B61AF9"/>
    <w:rsid w:val="00B634AC"/>
    <w:rsid w:val="00B63900"/>
    <w:rsid w:val="00B66110"/>
    <w:rsid w:val="00B70B93"/>
    <w:rsid w:val="00B70D59"/>
    <w:rsid w:val="00B71E7C"/>
    <w:rsid w:val="00B72FC2"/>
    <w:rsid w:val="00B75918"/>
    <w:rsid w:val="00B76F65"/>
    <w:rsid w:val="00B80853"/>
    <w:rsid w:val="00B81DCF"/>
    <w:rsid w:val="00B84DFD"/>
    <w:rsid w:val="00B86109"/>
    <w:rsid w:val="00B86196"/>
    <w:rsid w:val="00B94500"/>
    <w:rsid w:val="00B94EB0"/>
    <w:rsid w:val="00B95F76"/>
    <w:rsid w:val="00B97061"/>
    <w:rsid w:val="00BA001D"/>
    <w:rsid w:val="00BA37DC"/>
    <w:rsid w:val="00BA38CB"/>
    <w:rsid w:val="00BA531B"/>
    <w:rsid w:val="00BA698C"/>
    <w:rsid w:val="00BA6AFD"/>
    <w:rsid w:val="00BA6E4A"/>
    <w:rsid w:val="00BA7070"/>
    <w:rsid w:val="00BB156F"/>
    <w:rsid w:val="00BB3D5E"/>
    <w:rsid w:val="00BB4268"/>
    <w:rsid w:val="00BB550F"/>
    <w:rsid w:val="00BB7900"/>
    <w:rsid w:val="00BC066F"/>
    <w:rsid w:val="00BC319A"/>
    <w:rsid w:val="00BC31F0"/>
    <w:rsid w:val="00BC4C0B"/>
    <w:rsid w:val="00BC4D36"/>
    <w:rsid w:val="00BC5588"/>
    <w:rsid w:val="00BC66D3"/>
    <w:rsid w:val="00BC6EE6"/>
    <w:rsid w:val="00BD036C"/>
    <w:rsid w:val="00BD4068"/>
    <w:rsid w:val="00BD4D9F"/>
    <w:rsid w:val="00BD5307"/>
    <w:rsid w:val="00BD53F6"/>
    <w:rsid w:val="00BD629B"/>
    <w:rsid w:val="00BD6E33"/>
    <w:rsid w:val="00BD703C"/>
    <w:rsid w:val="00BD7813"/>
    <w:rsid w:val="00BD7909"/>
    <w:rsid w:val="00BE2F5A"/>
    <w:rsid w:val="00BE3000"/>
    <w:rsid w:val="00BE3187"/>
    <w:rsid w:val="00BE3E96"/>
    <w:rsid w:val="00BE61D8"/>
    <w:rsid w:val="00BF055D"/>
    <w:rsid w:val="00BF272B"/>
    <w:rsid w:val="00BF58BB"/>
    <w:rsid w:val="00BF595D"/>
    <w:rsid w:val="00BF71FD"/>
    <w:rsid w:val="00BF7394"/>
    <w:rsid w:val="00BF7D35"/>
    <w:rsid w:val="00C00915"/>
    <w:rsid w:val="00C016BE"/>
    <w:rsid w:val="00C02E05"/>
    <w:rsid w:val="00C04040"/>
    <w:rsid w:val="00C04C70"/>
    <w:rsid w:val="00C1035E"/>
    <w:rsid w:val="00C13F05"/>
    <w:rsid w:val="00C1463B"/>
    <w:rsid w:val="00C16B0E"/>
    <w:rsid w:val="00C172C1"/>
    <w:rsid w:val="00C21F13"/>
    <w:rsid w:val="00C22105"/>
    <w:rsid w:val="00C243BF"/>
    <w:rsid w:val="00C26783"/>
    <w:rsid w:val="00C304FF"/>
    <w:rsid w:val="00C308B0"/>
    <w:rsid w:val="00C30AC4"/>
    <w:rsid w:val="00C333E6"/>
    <w:rsid w:val="00C349A0"/>
    <w:rsid w:val="00C42088"/>
    <w:rsid w:val="00C42B45"/>
    <w:rsid w:val="00C46610"/>
    <w:rsid w:val="00C46AB7"/>
    <w:rsid w:val="00C47FBF"/>
    <w:rsid w:val="00C509FA"/>
    <w:rsid w:val="00C50AAB"/>
    <w:rsid w:val="00C514CC"/>
    <w:rsid w:val="00C51E60"/>
    <w:rsid w:val="00C52218"/>
    <w:rsid w:val="00C53A9A"/>
    <w:rsid w:val="00C553B3"/>
    <w:rsid w:val="00C55406"/>
    <w:rsid w:val="00C564FB"/>
    <w:rsid w:val="00C57862"/>
    <w:rsid w:val="00C61C2B"/>
    <w:rsid w:val="00C65025"/>
    <w:rsid w:val="00C65AA8"/>
    <w:rsid w:val="00C660B6"/>
    <w:rsid w:val="00C670BC"/>
    <w:rsid w:val="00C708EC"/>
    <w:rsid w:val="00C72B31"/>
    <w:rsid w:val="00C72C9D"/>
    <w:rsid w:val="00C72DF2"/>
    <w:rsid w:val="00C73807"/>
    <w:rsid w:val="00C74176"/>
    <w:rsid w:val="00C774E9"/>
    <w:rsid w:val="00C80E56"/>
    <w:rsid w:val="00C812AF"/>
    <w:rsid w:val="00C83704"/>
    <w:rsid w:val="00C8489C"/>
    <w:rsid w:val="00C8561E"/>
    <w:rsid w:val="00C86AA2"/>
    <w:rsid w:val="00C86CEB"/>
    <w:rsid w:val="00C8795A"/>
    <w:rsid w:val="00C91A32"/>
    <w:rsid w:val="00C925EF"/>
    <w:rsid w:val="00C92E6F"/>
    <w:rsid w:val="00C95FA3"/>
    <w:rsid w:val="00CA0435"/>
    <w:rsid w:val="00CA0976"/>
    <w:rsid w:val="00CA2009"/>
    <w:rsid w:val="00CA2346"/>
    <w:rsid w:val="00CA2B92"/>
    <w:rsid w:val="00CA58C6"/>
    <w:rsid w:val="00CB0855"/>
    <w:rsid w:val="00CB1DD9"/>
    <w:rsid w:val="00CB22FF"/>
    <w:rsid w:val="00CB3A42"/>
    <w:rsid w:val="00CB5804"/>
    <w:rsid w:val="00CB59F2"/>
    <w:rsid w:val="00CC130E"/>
    <w:rsid w:val="00CC22BB"/>
    <w:rsid w:val="00CC315A"/>
    <w:rsid w:val="00CC57D5"/>
    <w:rsid w:val="00CC6492"/>
    <w:rsid w:val="00CC7FB1"/>
    <w:rsid w:val="00CD01FC"/>
    <w:rsid w:val="00CD3285"/>
    <w:rsid w:val="00CD6125"/>
    <w:rsid w:val="00CD640F"/>
    <w:rsid w:val="00CD6910"/>
    <w:rsid w:val="00CD6C04"/>
    <w:rsid w:val="00CE058F"/>
    <w:rsid w:val="00CE067C"/>
    <w:rsid w:val="00CE16DE"/>
    <w:rsid w:val="00CE22D8"/>
    <w:rsid w:val="00CE2A45"/>
    <w:rsid w:val="00CE436D"/>
    <w:rsid w:val="00CE6665"/>
    <w:rsid w:val="00CE7409"/>
    <w:rsid w:val="00CF018A"/>
    <w:rsid w:val="00CF102D"/>
    <w:rsid w:val="00CF2182"/>
    <w:rsid w:val="00CF2283"/>
    <w:rsid w:val="00CF5322"/>
    <w:rsid w:val="00CF64ED"/>
    <w:rsid w:val="00CF66CD"/>
    <w:rsid w:val="00D0084D"/>
    <w:rsid w:val="00D015D1"/>
    <w:rsid w:val="00D03096"/>
    <w:rsid w:val="00D03863"/>
    <w:rsid w:val="00D050E0"/>
    <w:rsid w:val="00D07399"/>
    <w:rsid w:val="00D07AE1"/>
    <w:rsid w:val="00D10045"/>
    <w:rsid w:val="00D11FB3"/>
    <w:rsid w:val="00D13CE4"/>
    <w:rsid w:val="00D160FB"/>
    <w:rsid w:val="00D16FED"/>
    <w:rsid w:val="00D22CB5"/>
    <w:rsid w:val="00D22DB3"/>
    <w:rsid w:val="00D2323B"/>
    <w:rsid w:val="00D23330"/>
    <w:rsid w:val="00D301F3"/>
    <w:rsid w:val="00D34755"/>
    <w:rsid w:val="00D35A3A"/>
    <w:rsid w:val="00D36725"/>
    <w:rsid w:val="00D36796"/>
    <w:rsid w:val="00D40CA3"/>
    <w:rsid w:val="00D426BD"/>
    <w:rsid w:val="00D42DA7"/>
    <w:rsid w:val="00D43DEB"/>
    <w:rsid w:val="00D4690D"/>
    <w:rsid w:val="00D46B67"/>
    <w:rsid w:val="00D47047"/>
    <w:rsid w:val="00D47A7B"/>
    <w:rsid w:val="00D50FC6"/>
    <w:rsid w:val="00D52277"/>
    <w:rsid w:val="00D52CF0"/>
    <w:rsid w:val="00D5328E"/>
    <w:rsid w:val="00D5508D"/>
    <w:rsid w:val="00D55120"/>
    <w:rsid w:val="00D55159"/>
    <w:rsid w:val="00D56EA8"/>
    <w:rsid w:val="00D56F81"/>
    <w:rsid w:val="00D60842"/>
    <w:rsid w:val="00D60B9D"/>
    <w:rsid w:val="00D60BF7"/>
    <w:rsid w:val="00D60F64"/>
    <w:rsid w:val="00D61A95"/>
    <w:rsid w:val="00D63303"/>
    <w:rsid w:val="00D637EC"/>
    <w:rsid w:val="00D65521"/>
    <w:rsid w:val="00D660BC"/>
    <w:rsid w:val="00D662B3"/>
    <w:rsid w:val="00D7059D"/>
    <w:rsid w:val="00D724B0"/>
    <w:rsid w:val="00D73276"/>
    <w:rsid w:val="00D73F78"/>
    <w:rsid w:val="00D7613B"/>
    <w:rsid w:val="00D773E8"/>
    <w:rsid w:val="00D82ACA"/>
    <w:rsid w:val="00D8310B"/>
    <w:rsid w:val="00D84581"/>
    <w:rsid w:val="00D85968"/>
    <w:rsid w:val="00D90AEF"/>
    <w:rsid w:val="00D92165"/>
    <w:rsid w:val="00D93362"/>
    <w:rsid w:val="00D94325"/>
    <w:rsid w:val="00D972FA"/>
    <w:rsid w:val="00DA0362"/>
    <w:rsid w:val="00DA3A6A"/>
    <w:rsid w:val="00DA46A4"/>
    <w:rsid w:val="00DB0761"/>
    <w:rsid w:val="00DB2A06"/>
    <w:rsid w:val="00DB3E66"/>
    <w:rsid w:val="00DB4B43"/>
    <w:rsid w:val="00DB5A94"/>
    <w:rsid w:val="00DB6D73"/>
    <w:rsid w:val="00DC2D88"/>
    <w:rsid w:val="00DC4188"/>
    <w:rsid w:val="00DC462B"/>
    <w:rsid w:val="00DC5EB8"/>
    <w:rsid w:val="00DC7F10"/>
    <w:rsid w:val="00DD0253"/>
    <w:rsid w:val="00DD1AAD"/>
    <w:rsid w:val="00DD284A"/>
    <w:rsid w:val="00DD2F81"/>
    <w:rsid w:val="00DD2FAF"/>
    <w:rsid w:val="00DD536D"/>
    <w:rsid w:val="00DD732E"/>
    <w:rsid w:val="00DE09B9"/>
    <w:rsid w:val="00DE1ADA"/>
    <w:rsid w:val="00DE29E8"/>
    <w:rsid w:val="00DE38CD"/>
    <w:rsid w:val="00DE3EB8"/>
    <w:rsid w:val="00DE40CD"/>
    <w:rsid w:val="00DE4614"/>
    <w:rsid w:val="00DE6950"/>
    <w:rsid w:val="00DE6C37"/>
    <w:rsid w:val="00DE7638"/>
    <w:rsid w:val="00DE7851"/>
    <w:rsid w:val="00DF190A"/>
    <w:rsid w:val="00DF1B0C"/>
    <w:rsid w:val="00DF228D"/>
    <w:rsid w:val="00DF4790"/>
    <w:rsid w:val="00DF4987"/>
    <w:rsid w:val="00DF6E7D"/>
    <w:rsid w:val="00DF7669"/>
    <w:rsid w:val="00DF7C9B"/>
    <w:rsid w:val="00E036C5"/>
    <w:rsid w:val="00E03E49"/>
    <w:rsid w:val="00E1368F"/>
    <w:rsid w:val="00E15345"/>
    <w:rsid w:val="00E1599B"/>
    <w:rsid w:val="00E17B1A"/>
    <w:rsid w:val="00E21F5A"/>
    <w:rsid w:val="00E22269"/>
    <w:rsid w:val="00E228F6"/>
    <w:rsid w:val="00E22EAE"/>
    <w:rsid w:val="00E2496F"/>
    <w:rsid w:val="00E25103"/>
    <w:rsid w:val="00E25F56"/>
    <w:rsid w:val="00E303E9"/>
    <w:rsid w:val="00E327C5"/>
    <w:rsid w:val="00E32843"/>
    <w:rsid w:val="00E3340F"/>
    <w:rsid w:val="00E35C42"/>
    <w:rsid w:val="00E35E7F"/>
    <w:rsid w:val="00E362E8"/>
    <w:rsid w:val="00E36C9E"/>
    <w:rsid w:val="00E36DE6"/>
    <w:rsid w:val="00E40702"/>
    <w:rsid w:val="00E41EDE"/>
    <w:rsid w:val="00E4324F"/>
    <w:rsid w:val="00E446A2"/>
    <w:rsid w:val="00E45340"/>
    <w:rsid w:val="00E45C1F"/>
    <w:rsid w:val="00E46397"/>
    <w:rsid w:val="00E46A46"/>
    <w:rsid w:val="00E50DA2"/>
    <w:rsid w:val="00E52643"/>
    <w:rsid w:val="00E56F80"/>
    <w:rsid w:val="00E57BDF"/>
    <w:rsid w:val="00E62028"/>
    <w:rsid w:val="00E6205B"/>
    <w:rsid w:val="00E627BD"/>
    <w:rsid w:val="00E64537"/>
    <w:rsid w:val="00E6461B"/>
    <w:rsid w:val="00E659EB"/>
    <w:rsid w:val="00E66A29"/>
    <w:rsid w:val="00E752BD"/>
    <w:rsid w:val="00E7538B"/>
    <w:rsid w:val="00E759B2"/>
    <w:rsid w:val="00E76923"/>
    <w:rsid w:val="00E8169D"/>
    <w:rsid w:val="00E84300"/>
    <w:rsid w:val="00E848FD"/>
    <w:rsid w:val="00E8733F"/>
    <w:rsid w:val="00E90983"/>
    <w:rsid w:val="00E9145C"/>
    <w:rsid w:val="00E918CF"/>
    <w:rsid w:val="00E91B15"/>
    <w:rsid w:val="00E961FC"/>
    <w:rsid w:val="00E97B70"/>
    <w:rsid w:val="00EA09BC"/>
    <w:rsid w:val="00EA3507"/>
    <w:rsid w:val="00EA4774"/>
    <w:rsid w:val="00EA5A75"/>
    <w:rsid w:val="00EA5C3E"/>
    <w:rsid w:val="00EB356E"/>
    <w:rsid w:val="00EB41C6"/>
    <w:rsid w:val="00EB46E3"/>
    <w:rsid w:val="00EB49EB"/>
    <w:rsid w:val="00EB585C"/>
    <w:rsid w:val="00EC0C83"/>
    <w:rsid w:val="00EC1315"/>
    <w:rsid w:val="00EC64E3"/>
    <w:rsid w:val="00ED090D"/>
    <w:rsid w:val="00ED1E82"/>
    <w:rsid w:val="00ED219E"/>
    <w:rsid w:val="00ED2C63"/>
    <w:rsid w:val="00ED398F"/>
    <w:rsid w:val="00ED6701"/>
    <w:rsid w:val="00EE0277"/>
    <w:rsid w:val="00EE14EB"/>
    <w:rsid w:val="00EE159D"/>
    <w:rsid w:val="00EE17AB"/>
    <w:rsid w:val="00EE3F65"/>
    <w:rsid w:val="00EE4371"/>
    <w:rsid w:val="00EE5444"/>
    <w:rsid w:val="00EE674D"/>
    <w:rsid w:val="00EE6C31"/>
    <w:rsid w:val="00EF322B"/>
    <w:rsid w:val="00EF40F3"/>
    <w:rsid w:val="00EF46CF"/>
    <w:rsid w:val="00EF56A7"/>
    <w:rsid w:val="00EF6B6F"/>
    <w:rsid w:val="00EF6F21"/>
    <w:rsid w:val="00F01A48"/>
    <w:rsid w:val="00F02ECE"/>
    <w:rsid w:val="00F04385"/>
    <w:rsid w:val="00F05AE5"/>
    <w:rsid w:val="00F06772"/>
    <w:rsid w:val="00F069F2"/>
    <w:rsid w:val="00F070A5"/>
    <w:rsid w:val="00F11010"/>
    <w:rsid w:val="00F114AA"/>
    <w:rsid w:val="00F12DB8"/>
    <w:rsid w:val="00F14CE0"/>
    <w:rsid w:val="00F15DB8"/>
    <w:rsid w:val="00F164DA"/>
    <w:rsid w:val="00F166D7"/>
    <w:rsid w:val="00F16CDA"/>
    <w:rsid w:val="00F20BA5"/>
    <w:rsid w:val="00F216F0"/>
    <w:rsid w:val="00F23AEE"/>
    <w:rsid w:val="00F253E1"/>
    <w:rsid w:val="00F271C5"/>
    <w:rsid w:val="00F31BE1"/>
    <w:rsid w:val="00F35719"/>
    <w:rsid w:val="00F36128"/>
    <w:rsid w:val="00F40917"/>
    <w:rsid w:val="00F4183B"/>
    <w:rsid w:val="00F476DC"/>
    <w:rsid w:val="00F47FAF"/>
    <w:rsid w:val="00F51538"/>
    <w:rsid w:val="00F5438F"/>
    <w:rsid w:val="00F57027"/>
    <w:rsid w:val="00F6342C"/>
    <w:rsid w:val="00F63726"/>
    <w:rsid w:val="00F63990"/>
    <w:rsid w:val="00F63E46"/>
    <w:rsid w:val="00F64067"/>
    <w:rsid w:val="00F64661"/>
    <w:rsid w:val="00F66094"/>
    <w:rsid w:val="00F67263"/>
    <w:rsid w:val="00F702F7"/>
    <w:rsid w:val="00F71AD2"/>
    <w:rsid w:val="00F74F03"/>
    <w:rsid w:val="00F74F7B"/>
    <w:rsid w:val="00F764BF"/>
    <w:rsid w:val="00F8063A"/>
    <w:rsid w:val="00F83082"/>
    <w:rsid w:val="00F833FD"/>
    <w:rsid w:val="00F8371F"/>
    <w:rsid w:val="00F8455C"/>
    <w:rsid w:val="00F86291"/>
    <w:rsid w:val="00F90EFB"/>
    <w:rsid w:val="00F910EB"/>
    <w:rsid w:val="00F9308B"/>
    <w:rsid w:val="00F933CE"/>
    <w:rsid w:val="00F93B14"/>
    <w:rsid w:val="00F93E25"/>
    <w:rsid w:val="00F94F07"/>
    <w:rsid w:val="00F950AF"/>
    <w:rsid w:val="00F951A1"/>
    <w:rsid w:val="00F968E6"/>
    <w:rsid w:val="00FA0FF2"/>
    <w:rsid w:val="00FA10CB"/>
    <w:rsid w:val="00FA1EA2"/>
    <w:rsid w:val="00FA4680"/>
    <w:rsid w:val="00FA489F"/>
    <w:rsid w:val="00FA76B4"/>
    <w:rsid w:val="00FB063A"/>
    <w:rsid w:val="00FB2FBB"/>
    <w:rsid w:val="00FB4CE6"/>
    <w:rsid w:val="00FB619F"/>
    <w:rsid w:val="00FB64B0"/>
    <w:rsid w:val="00FC07EA"/>
    <w:rsid w:val="00FC1D22"/>
    <w:rsid w:val="00FC339F"/>
    <w:rsid w:val="00FC426C"/>
    <w:rsid w:val="00FC504C"/>
    <w:rsid w:val="00FD016D"/>
    <w:rsid w:val="00FD0D59"/>
    <w:rsid w:val="00FD105F"/>
    <w:rsid w:val="00FD37A3"/>
    <w:rsid w:val="00FD4640"/>
    <w:rsid w:val="00FD4D80"/>
    <w:rsid w:val="00FD66FA"/>
    <w:rsid w:val="00FD7853"/>
    <w:rsid w:val="00FE058B"/>
    <w:rsid w:val="00FE1B89"/>
    <w:rsid w:val="00FE1E64"/>
    <w:rsid w:val="00FE2D92"/>
    <w:rsid w:val="00FE3470"/>
    <w:rsid w:val="00FE446E"/>
    <w:rsid w:val="00FE4946"/>
    <w:rsid w:val="00FE4C89"/>
    <w:rsid w:val="00FE58B9"/>
    <w:rsid w:val="00FE5E6F"/>
    <w:rsid w:val="00FE716C"/>
    <w:rsid w:val="00FF0E32"/>
    <w:rsid w:val="00FF1B4B"/>
    <w:rsid w:val="00FF59F7"/>
    <w:rsid w:val="00FF6061"/>
    <w:rsid w:val="53D9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6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3" w:lineRule="auto"/>
      <w:outlineLvl w:val="2"/>
    </w:pPr>
    <w:rPr>
      <w:b/>
      <w:bCs/>
      <w:szCs w:val="32"/>
    </w:rPr>
  </w:style>
  <w:style w:type="character" w:default="1" w:styleId="21">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45"/>
    <w:qFormat/>
    <w:uiPriority w:val="0"/>
    <w:pPr>
      <w:widowControl/>
      <w:ind w:firstLine="420"/>
      <w:jc w:val="left"/>
    </w:pPr>
    <w:rPr>
      <w:rFonts w:asciiTheme="minorHAnsi" w:hAnsiTheme="minorHAnsi" w:cstheme="minorBidi"/>
      <w:sz w:val="21"/>
      <w:szCs w:val="22"/>
    </w:rPr>
  </w:style>
  <w:style w:type="paragraph" w:styleId="5">
    <w:name w:val="annotation text"/>
    <w:basedOn w:val="1"/>
    <w:link w:val="46"/>
    <w:qFormat/>
    <w:uiPriority w:val="0"/>
    <w:pPr>
      <w:jc w:val="left"/>
    </w:pPr>
  </w:style>
  <w:style w:type="paragraph" w:styleId="6">
    <w:name w:val="Body Text"/>
    <w:basedOn w:val="1"/>
    <w:link w:val="40"/>
    <w:semiHidden/>
    <w:unhideWhenUsed/>
    <w:uiPriority w:val="99"/>
    <w:pPr>
      <w:spacing w:after="120"/>
    </w:pPr>
  </w:style>
  <w:style w:type="paragraph" w:styleId="7">
    <w:name w:val="List 2"/>
    <w:basedOn w:val="1"/>
    <w:qFormat/>
    <w:uiPriority w:val="0"/>
    <w:pPr>
      <w:ind w:left="840" w:hanging="420"/>
    </w:pPr>
    <w:rPr>
      <w:rFonts w:ascii="宋体"/>
      <w:color w:val="000000"/>
      <w:kern w:val="0"/>
      <w:sz w:val="28"/>
      <w:szCs w:val="20"/>
    </w:rPr>
  </w:style>
  <w:style w:type="paragraph" w:styleId="8">
    <w:name w:val="Body Text Indent 2"/>
    <w:basedOn w:val="1"/>
    <w:link w:val="47"/>
    <w:unhideWhenUsed/>
    <w:qFormat/>
    <w:uiPriority w:val="99"/>
    <w:pPr>
      <w:spacing w:after="120" w:line="480" w:lineRule="auto"/>
      <w:ind w:left="420" w:leftChars="200"/>
    </w:pPr>
  </w:style>
  <w:style w:type="paragraph" w:styleId="9">
    <w:name w:val="Balloon Text"/>
    <w:basedOn w:val="1"/>
    <w:link w:val="35"/>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sz w:val="18"/>
      <w:szCs w:val="20"/>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Body Text 2"/>
    <w:basedOn w:val="1"/>
    <w:link w:val="42"/>
    <w:semiHidden/>
    <w:unhideWhenUsed/>
    <w:qFormat/>
    <w:uiPriority w:val="99"/>
    <w:pPr>
      <w:spacing w:after="120" w:line="480" w:lineRule="auto"/>
    </w:pPr>
  </w:style>
  <w:style w:type="paragraph" w:styleId="15">
    <w:name w:val="Normal (Web)"/>
    <w:basedOn w:val="1"/>
    <w:semiHidden/>
    <w:unhideWhenUsed/>
    <w:qFormat/>
    <w:uiPriority w:val="99"/>
    <w:rPr>
      <w:sz w:val="24"/>
    </w:rPr>
  </w:style>
  <w:style w:type="paragraph" w:styleId="16">
    <w:name w:val="annotation subject"/>
    <w:basedOn w:val="5"/>
    <w:next w:val="5"/>
    <w:link w:val="54"/>
    <w:semiHidden/>
    <w:unhideWhenUsed/>
    <w:qFormat/>
    <w:uiPriority w:val="99"/>
    <w:rPr>
      <w:b/>
      <w:bCs/>
    </w:rPr>
  </w:style>
  <w:style w:type="paragraph" w:styleId="17">
    <w:name w:val="Body Text First Indent"/>
    <w:basedOn w:val="6"/>
    <w:link w:val="41"/>
    <w:semiHidden/>
    <w:unhideWhenUsed/>
    <w:qFormat/>
    <w:uiPriority w:val="99"/>
    <w:pPr>
      <w:ind w:firstLine="420" w:firstLineChars="100"/>
    </w:pPr>
  </w:style>
  <w:style w:type="table" w:styleId="19">
    <w:name w:val="Table Grid"/>
    <w:basedOn w:val="18"/>
    <w:unhideWhenUse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20">
    <w:name w:val="Table Grid 5"/>
    <w:basedOn w:val="1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页眉 字符"/>
    <w:basedOn w:val="21"/>
    <w:link w:val="11"/>
    <w:qFormat/>
    <w:uiPriority w:val="0"/>
    <w:rPr>
      <w:rFonts w:ascii="Times New Roman" w:hAnsi="Times New Roman" w:eastAsia="宋体" w:cs="Times New Roman"/>
      <w:sz w:val="18"/>
      <w:szCs w:val="20"/>
    </w:rPr>
  </w:style>
  <w:style w:type="character" w:customStyle="1" w:styleId="26">
    <w:name w:val="页脚 字符"/>
    <w:basedOn w:val="21"/>
    <w:link w:val="10"/>
    <w:qFormat/>
    <w:uiPriority w:val="99"/>
    <w:rPr>
      <w:rFonts w:ascii="Times New Roman" w:hAnsi="Times New Roman" w:eastAsia="宋体" w:cs="Times New Roman"/>
      <w:sz w:val="18"/>
      <w:szCs w:val="20"/>
    </w:rPr>
  </w:style>
  <w:style w:type="paragraph" w:customStyle="1" w:styleId="27">
    <w:name w:val="表"/>
    <w:basedOn w:val="1"/>
    <w:qFormat/>
    <w:uiPriority w:val="0"/>
    <w:pPr>
      <w:snapToGrid w:val="0"/>
      <w:jc w:val="center"/>
    </w:pPr>
    <w:rPr>
      <w:spacing w:val="2"/>
    </w:rPr>
  </w:style>
  <w:style w:type="paragraph" w:customStyle="1" w:styleId="28">
    <w:name w:val="2编制说明"/>
    <w:qFormat/>
    <w:uiPriority w:val="0"/>
    <w:pPr>
      <w:spacing w:line="600" w:lineRule="exact"/>
      <w:jc w:val="center"/>
    </w:pPr>
    <w:rPr>
      <w:rFonts w:ascii="Times New Roman" w:hAnsi="宋体" w:eastAsia="仿宋_GB2312" w:cs="Times New Roman"/>
      <w:kern w:val="0"/>
      <w:sz w:val="32"/>
      <w:szCs w:val="24"/>
      <w:lang w:val="en-US" w:eastAsia="zh-CN" w:bidi="ar-SA"/>
    </w:rPr>
  </w:style>
  <w:style w:type="paragraph" w:customStyle="1" w:styleId="29">
    <w:name w:val="2正文"/>
    <w:qFormat/>
    <w:uiPriority w:val="0"/>
    <w:pPr>
      <w:spacing w:line="600" w:lineRule="exact"/>
      <w:ind w:firstLine="200" w:firstLineChars="200"/>
      <w:jc w:val="both"/>
    </w:pPr>
    <w:rPr>
      <w:rFonts w:ascii="Times New Roman" w:hAnsi="Times New Roman" w:eastAsia="仿宋_GB2312" w:cs="Times New Roman"/>
      <w:kern w:val="0"/>
      <w:sz w:val="28"/>
      <w:szCs w:val="24"/>
      <w:lang w:val="en-US" w:eastAsia="zh-CN" w:bidi="ar-SA"/>
    </w:rPr>
  </w:style>
  <w:style w:type="character" w:customStyle="1" w:styleId="30">
    <w:name w:val="-报告书四级标题 Char"/>
    <w:link w:val="31"/>
    <w:uiPriority w:val="0"/>
    <w:rPr>
      <w:b/>
      <w:sz w:val="24"/>
      <w:szCs w:val="24"/>
    </w:rPr>
  </w:style>
  <w:style w:type="paragraph" w:customStyle="1" w:styleId="31">
    <w:name w:val="-报告书四级标题"/>
    <w:basedOn w:val="1"/>
    <w:link w:val="30"/>
    <w:uiPriority w:val="0"/>
    <w:pPr>
      <w:spacing w:line="440" w:lineRule="atLeast"/>
      <w:ind w:firstLine="482" w:firstLineChars="200"/>
      <w:outlineLvl w:val="3"/>
    </w:pPr>
    <w:rPr>
      <w:rFonts w:asciiTheme="minorHAnsi" w:hAnsiTheme="minorHAnsi" w:eastAsiaTheme="minorEastAsia" w:cstheme="minorBidi"/>
      <w:b/>
      <w:sz w:val="24"/>
    </w:rPr>
  </w:style>
  <w:style w:type="character" w:customStyle="1" w:styleId="32">
    <w:name w:val="流程图 Char"/>
    <w:link w:val="33"/>
    <w:uiPriority w:val="0"/>
    <w:rPr>
      <w:color w:val="000000"/>
      <w:szCs w:val="24"/>
    </w:rPr>
  </w:style>
  <w:style w:type="paragraph" w:customStyle="1" w:styleId="33">
    <w:name w:val="流程图"/>
    <w:link w:val="32"/>
    <w:qFormat/>
    <w:uiPriority w:val="0"/>
    <w:pPr>
      <w:jc w:val="center"/>
    </w:pPr>
    <w:rPr>
      <w:rFonts w:asciiTheme="minorHAnsi" w:hAnsiTheme="minorHAnsi" w:eastAsiaTheme="minorEastAsia" w:cstheme="minorBidi"/>
      <w:color w:val="000000"/>
      <w:kern w:val="2"/>
      <w:sz w:val="21"/>
      <w:szCs w:val="24"/>
      <w:lang w:val="en-US" w:eastAsia="zh-CN" w:bidi="ar-SA"/>
    </w:rPr>
  </w:style>
  <w:style w:type="paragraph" w:customStyle="1" w:styleId="34">
    <w:name w:val="报告"/>
    <w:basedOn w:val="1"/>
    <w:uiPriority w:val="0"/>
    <w:pPr>
      <w:adjustRightInd w:val="0"/>
      <w:spacing w:line="360" w:lineRule="auto"/>
      <w:ind w:firstLine="505"/>
      <w:textAlignment w:val="center"/>
    </w:pPr>
    <w:rPr>
      <w:rFonts w:ascii="TimesNewRoman" w:hAnsi="TimesNewRoman"/>
      <w:kern w:val="0"/>
      <w:sz w:val="24"/>
    </w:rPr>
  </w:style>
  <w:style w:type="character" w:customStyle="1" w:styleId="35">
    <w:name w:val="批注框文本 字符"/>
    <w:basedOn w:val="21"/>
    <w:link w:val="9"/>
    <w:semiHidden/>
    <w:qFormat/>
    <w:uiPriority w:val="99"/>
    <w:rPr>
      <w:rFonts w:ascii="Times New Roman" w:hAnsi="Times New Roman" w:eastAsia="宋体" w:cs="Times New Roman"/>
      <w:sz w:val="18"/>
      <w:szCs w:val="18"/>
    </w:rPr>
  </w:style>
  <w:style w:type="character" w:customStyle="1" w:styleId="36">
    <w:name w:val="标题 3 字符"/>
    <w:basedOn w:val="21"/>
    <w:link w:val="3"/>
    <w:qFormat/>
    <w:uiPriority w:val="0"/>
    <w:rPr>
      <w:rFonts w:ascii="Times New Roman" w:hAnsi="Times New Roman" w:eastAsia="宋体" w:cs="Times New Roman"/>
      <w:b/>
      <w:bCs/>
      <w:sz w:val="32"/>
      <w:szCs w:val="32"/>
    </w:rPr>
  </w:style>
  <w:style w:type="paragraph" w:customStyle="1" w:styleId="37">
    <w:name w:val="样式 (符号) 宋体 小四 行距: 1.5 倍行距"/>
    <w:basedOn w:val="1"/>
    <w:qFormat/>
    <w:uiPriority w:val="0"/>
    <w:pPr>
      <w:spacing w:line="360" w:lineRule="auto"/>
      <w:ind w:firstLine="480" w:firstLineChars="200"/>
    </w:pPr>
    <w:rPr>
      <w:rFonts w:hAnsi="宋体" w:cs="宋体"/>
      <w:sz w:val="24"/>
    </w:rPr>
  </w:style>
  <w:style w:type="paragraph" w:customStyle="1" w:styleId="38">
    <w:name w:val="表格文字"/>
    <w:basedOn w:val="17"/>
    <w:link w:val="39"/>
    <w:qFormat/>
    <w:uiPriority w:val="0"/>
    <w:pPr>
      <w:snapToGrid w:val="0"/>
      <w:spacing w:after="0"/>
      <w:ind w:firstLine="0" w:firstLineChars="0"/>
      <w:jc w:val="center"/>
    </w:pPr>
    <w:rPr>
      <w:rFonts w:ascii="Calibri" w:hAnsi="Calibri"/>
      <w:sz w:val="21"/>
      <w:szCs w:val="21"/>
    </w:rPr>
  </w:style>
  <w:style w:type="character" w:customStyle="1" w:styleId="39">
    <w:name w:val="表格文字 Char"/>
    <w:link w:val="38"/>
    <w:locked/>
    <w:uiPriority w:val="0"/>
    <w:rPr>
      <w:rFonts w:ascii="Calibri" w:hAnsi="Calibri" w:eastAsia="宋体" w:cs="Times New Roman"/>
      <w:szCs w:val="21"/>
    </w:rPr>
  </w:style>
  <w:style w:type="character" w:customStyle="1" w:styleId="40">
    <w:name w:val="正文文本 字符"/>
    <w:basedOn w:val="21"/>
    <w:link w:val="6"/>
    <w:semiHidden/>
    <w:qFormat/>
    <w:uiPriority w:val="99"/>
    <w:rPr>
      <w:rFonts w:ascii="Times New Roman" w:hAnsi="Times New Roman" w:eastAsia="宋体" w:cs="Times New Roman"/>
      <w:sz w:val="32"/>
      <w:szCs w:val="24"/>
    </w:rPr>
  </w:style>
  <w:style w:type="character" w:customStyle="1" w:styleId="41">
    <w:name w:val="正文文本首行缩进 字符"/>
    <w:basedOn w:val="40"/>
    <w:link w:val="17"/>
    <w:semiHidden/>
    <w:uiPriority w:val="99"/>
    <w:rPr>
      <w:rFonts w:ascii="Times New Roman" w:hAnsi="Times New Roman" w:eastAsia="宋体" w:cs="Times New Roman"/>
      <w:sz w:val="32"/>
      <w:szCs w:val="24"/>
    </w:rPr>
  </w:style>
  <w:style w:type="character" w:customStyle="1" w:styleId="42">
    <w:name w:val="正文文本 2 字符"/>
    <w:basedOn w:val="21"/>
    <w:link w:val="14"/>
    <w:semiHidden/>
    <w:qFormat/>
    <w:uiPriority w:val="99"/>
    <w:rPr>
      <w:rFonts w:ascii="Times New Roman" w:hAnsi="Times New Roman" w:eastAsia="宋体" w:cs="Times New Roman"/>
      <w:sz w:val="32"/>
      <w:szCs w:val="24"/>
    </w:rPr>
  </w:style>
  <w:style w:type="paragraph" w:customStyle="1" w:styleId="43">
    <w:name w:val="p0"/>
    <w:basedOn w:val="1"/>
    <w:uiPriority w:val="0"/>
    <w:pPr>
      <w:widowControl/>
    </w:pPr>
    <w:rPr>
      <w:kern w:val="0"/>
      <w:szCs w:val="32"/>
    </w:rPr>
  </w:style>
  <w:style w:type="paragraph" w:customStyle="1" w:styleId="44">
    <w:name w:val="1文章"/>
    <w:basedOn w:val="1"/>
    <w:qFormat/>
    <w:uiPriority w:val="0"/>
    <w:pPr>
      <w:snapToGrid w:val="0"/>
      <w:spacing w:line="360" w:lineRule="auto"/>
      <w:ind w:firstLine="573"/>
    </w:pPr>
    <w:rPr>
      <w:rFonts w:eastAsia="仿宋_GB2312"/>
      <w:sz w:val="28"/>
      <w:szCs w:val="20"/>
    </w:rPr>
  </w:style>
  <w:style w:type="character" w:customStyle="1" w:styleId="45">
    <w:name w:val="正文缩进 字符"/>
    <w:link w:val="4"/>
    <w:qFormat/>
    <w:locked/>
    <w:uiPriority w:val="0"/>
    <w:rPr>
      <w:rFonts w:eastAsia="宋体"/>
    </w:rPr>
  </w:style>
  <w:style w:type="character" w:customStyle="1" w:styleId="46">
    <w:name w:val="批注文字 字符"/>
    <w:basedOn w:val="21"/>
    <w:link w:val="5"/>
    <w:qFormat/>
    <w:uiPriority w:val="0"/>
    <w:rPr>
      <w:rFonts w:ascii="Times New Roman" w:hAnsi="Times New Roman" w:eastAsia="宋体" w:cs="Times New Roman"/>
      <w:sz w:val="32"/>
      <w:szCs w:val="24"/>
    </w:rPr>
  </w:style>
  <w:style w:type="character" w:customStyle="1" w:styleId="47">
    <w:name w:val="正文文本缩进 2 字符"/>
    <w:basedOn w:val="21"/>
    <w:link w:val="8"/>
    <w:qFormat/>
    <w:uiPriority w:val="99"/>
    <w:rPr>
      <w:rFonts w:ascii="Times New Roman" w:hAnsi="Times New Roman" w:eastAsia="宋体" w:cs="Times New Roman"/>
      <w:sz w:val="32"/>
      <w:szCs w:val="24"/>
    </w:rPr>
  </w:style>
  <w:style w:type="character" w:customStyle="1" w:styleId="48">
    <w:name w:val="样式2 Char"/>
    <w:link w:val="49"/>
    <w:qFormat/>
    <w:uiPriority w:val="0"/>
    <w:rPr>
      <w:rFonts w:eastAsia="宋体"/>
      <w:sz w:val="24"/>
      <w:szCs w:val="24"/>
    </w:rPr>
  </w:style>
  <w:style w:type="paragraph" w:customStyle="1" w:styleId="49">
    <w:name w:val="样式2"/>
    <w:basedOn w:val="1"/>
    <w:link w:val="48"/>
    <w:qFormat/>
    <w:uiPriority w:val="0"/>
    <w:pPr>
      <w:spacing w:line="500" w:lineRule="exact"/>
      <w:ind w:firstLine="480" w:firstLineChars="200"/>
      <w:textAlignment w:val="baseline"/>
    </w:pPr>
    <w:rPr>
      <w:rFonts w:asciiTheme="minorHAnsi" w:hAnsiTheme="minorHAnsi" w:cstheme="minorBidi"/>
      <w:sz w:val="24"/>
    </w:rPr>
  </w:style>
  <w:style w:type="paragraph" w:customStyle="1" w:styleId="50">
    <w:name w:val="正文首行缩进1"/>
    <w:basedOn w:val="6"/>
    <w:qFormat/>
    <w:uiPriority w:val="0"/>
    <w:pPr>
      <w:adjustRightInd w:val="0"/>
      <w:snapToGrid w:val="0"/>
      <w:spacing w:after="0" w:line="360" w:lineRule="auto"/>
      <w:ind w:firstLine="200" w:firstLineChars="200"/>
    </w:pPr>
    <w:rPr>
      <w:sz w:val="24"/>
    </w:rPr>
  </w:style>
  <w:style w:type="paragraph" w:customStyle="1" w:styleId="51">
    <w:name w:val="-报告书正文"/>
    <w:basedOn w:val="1"/>
    <w:qFormat/>
    <w:uiPriority w:val="0"/>
    <w:pPr>
      <w:spacing w:line="360" w:lineRule="auto"/>
      <w:ind w:firstLine="200" w:firstLineChars="200"/>
    </w:pPr>
    <w:rPr>
      <w:sz w:val="24"/>
    </w:rPr>
  </w:style>
  <w:style w:type="paragraph" w:customStyle="1" w:styleId="52">
    <w:name w:val="特殊标题３"/>
    <w:basedOn w:val="1"/>
    <w:qFormat/>
    <w:uiPriority w:val="0"/>
    <w:pPr>
      <w:overflowPunct w:val="0"/>
      <w:autoSpaceDE w:val="0"/>
      <w:autoSpaceDN w:val="0"/>
      <w:adjustRightInd w:val="0"/>
      <w:spacing w:line="360" w:lineRule="auto"/>
      <w:textAlignment w:val="baseline"/>
    </w:pPr>
    <w:rPr>
      <w:rFonts w:eastAsia="仿宋_GB2312"/>
      <w:kern w:val="0"/>
      <w:sz w:val="28"/>
      <w:szCs w:val="20"/>
    </w:rPr>
  </w:style>
  <w:style w:type="paragraph" w:styleId="53">
    <w:name w:val="List Paragraph"/>
    <w:basedOn w:val="1"/>
    <w:qFormat/>
    <w:uiPriority w:val="34"/>
    <w:pPr>
      <w:ind w:firstLine="420" w:firstLineChars="200"/>
    </w:pPr>
  </w:style>
  <w:style w:type="character" w:customStyle="1" w:styleId="54">
    <w:name w:val="批注主题 字符"/>
    <w:basedOn w:val="46"/>
    <w:link w:val="16"/>
    <w:semiHidden/>
    <w:uiPriority w:val="99"/>
    <w:rPr>
      <w:rFonts w:ascii="Times New Roman" w:hAnsi="Times New Roman" w:eastAsia="宋体" w:cs="Times New Roman"/>
      <w:b/>
      <w:bCs/>
      <w:sz w:val="32"/>
      <w:szCs w:val="24"/>
    </w:rPr>
  </w:style>
  <w:style w:type="paragraph" w:customStyle="1" w:styleId="55">
    <w:name w:val="Char"/>
    <w:basedOn w:val="1"/>
    <w:qFormat/>
    <w:uiPriority w:val="0"/>
    <w:pPr>
      <w:snapToGrid w:val="0"/>
      <w:spacing w:line="360" w:lineRule="auto"/>
      <w:ind w:firstLine="529" w:firstLineChars="200"/>
    </w:pPr>
    <w:rPr>
      <w:rFonts w:ascii="Calibri" w:hAnsi="宋体" w:cs="宋体"/>
      <w:sz w:val="24"/>
    </w:rPr>
  </w:style>
  <w:style w:type="paragraph" w:customStyle="1" w:styleId="56">
    <w:name w:val="表格"/>
    <w:basedOn w:val="1"/>
    <w:link w:val="57"/>
    <w:uiPriority w:val="0"/>
    <w:pPr>
      <w:adjustRightInd w:val="0"/>
      <w:spacing w:before="40" w:after="40"/>
      <w:textAlignment w:val="baseline"/>
    </w:pPr>
    <w:rPr>
      <w:rFonts w:ascii="昆仑仿宋" w:eastAsia="昆仑仿宋"/>
      <w:kern w:val="0"/>
      <w:sz w:val="24"/>
      <w:szCs w:val="20"/>
    </w:rPr>
  </w:style>
  <w:style w:type="character" w:customStyle="1" w:styleId="57">
    <w:name w:val="表格 Char"/>
    <w:basedOn w:val="21"/>
    <w:link w:val="56"/>
    <w:qFormat/>
    <w:uiPriority w:val="0"/>
    <w:rPr>
      <w:rFonts w:ascii="昆仑仿宋" w:hAnsi="Times New Roman" w:eastAsia="昆仑仿宋" w:cs="Times New Roman"/>
      <w:kern w:val="0"/>
      <w:sz w:val="24"/>
      <w:szCs w:val="20"/>
    </w:rPr>
  </w:style>
  <w:style w:type="paragraph" w:customStyle="1" w:styleId="58">
    <w:name w:val="Char1"/>
    <w:basedOn w:val="1"/>
    <w:qFormat/>
    <w:uiPriority w:val="0"/>
    <w:pPr>
      <w:spacing w:line="360" w:lineRule="auto"/>
      <w:ind w:firstLine="200" w:firstLineChars="200"/>
    </w:pPr>
    <w:rPr>
      <w:rFonts w:ascii="宋体"/>
      <w:sz w:val="24"/>
    </w:rPr>
  </w:style>
  <w:style w:type="paragraph" w:customStyle="1" w:styleId="59">
    <w:name w:val="表文"/>
    <w:basedOn w:val="1"/>
    <w:link w:val="60"/>
    <w:qFormat/>
    <w:uiPriority w:val="0"/>
    <w:pPr>
      <w:tabs>
        <w:tab w:val="left" w:pos="1021"/>
      </w:tabs>
      <w:jc w:val="center"/>
    </w:pPr>
    <w:rPr>
      <w:color w:val="000000"/>
      <w:kern w:val="0"/>
      <w:position w:val="-24"/>
      <w:sz w:val="21"/>
      <w:szCs w:val="21"/>
    </w:rPr>
  </w:style>
  <w:style w:type="character" w:customStyle="1" w:styleId="60">
    <w:name w:val="表文 Char"/>
    <w:basedOn w:val="21"/>
    <w:link w:val="59"/>
    <w:locked/>
    <w:uiPriority w:val="0"/>
    <w:rPr>
      <w:rFonts w:ascii="Times New Roman" w:hAnsi="Times New Roman" w:eastAsia="宋体" w:cs="Times New Roman"/>
      <w:color w:val="000000"/>
      <w:kern w:val="0"/>
      <w:position w:val="-24"/>
      <w:szCs w:val="21"/>
    </w:rPr>
  </w:style>
  <w:style w:type="paragraph" w:customStyle="1" w:styleId="61">
    <w:name w:val="Char2"/>
    <w:basedOn w:val="1"/>
    <w:qFormat/>
    <w:uiPriority w:val="0"/>
    <w:pPr>
      <w:widowControl/>
      <w:jc w:val="left"/>
    </w:pPr>
    <w:rPr>
      <w:kern w:val="0"/>
      <w:sz w:val="20"/>
      <w:szCs w:val="20"/>
    </w:rPr>
  </w:style>
  <w:style w:type="paragraph" w:customStyle="1" w:styleId="62">
    <w:name w:val="样式 行距: 固定值 24 磅 首行缩进:  2 字符"/>
    <w:basedOn w:val="1"/>
    <w:uiPriority w:val="0"/>
    <w:pPr>
      <w:spacing w:line="480" w:lineRule="exact"/>
      <w:ind w:firstLine="480" w:firstLineChars="200"/>
    </w:pPr>
    <w:rPr>
      <w:rFonts w:cs="宋体"/>
      <w:sz w:val="24"/>
      <w:szCs w:val="20"/>
    </w:rPr>
  </w:style>
  <w:style w:type="paragraph" w:customStyle="1" w:styleId="63">
    <w:name w:val="九晟正文"/>
    <w:basedOn w:val="1"/>
    <w:uiPriority w:val="0"/>
    <w:pPr>
      <w:spacing w:line="360" w:lineRule="auto"/>
      <w:ind w:firstLine="480" w:firstLineChars="200"/>
      <w:jc w:val="left"/>
    </w:pPr>
    <w:rPr>
      <w:sz w:val="24"/>
    </w:rPr>
  </w:style>
  <w:style w:type="paragraph" w:customStyle="1" w:styleId="64">
    <w:name w:val="表格文本"/>
    <w:basedOn w:val="1"/>
    <w:qFormat/>
    <w:uiPriority w:val="0"/>
    <w:pPr>
      <w:jc w:val="center"/>
    </w:pPr>
    <w:rPr>
      <w:sz w:val="21"/>
      <w:szCs w:val="21"/>
    </w:rPr>
  </w:style>
  <w:style w:type="table" w:customStyle="1" w:styleId="6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paragraph" w:customStyle="1" w:styleId="66">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eastAsia="en-US"/>
    </w:rPr>
  </w:style>
  <w:style w:type="character" w:customStyle="1" w:styleId="67">
    <w:name w:val="表字体 Char"/>
    <w:link w:val="68"/>
    <w:uiPriority w:val="0"/>
    <w:rPr>
      <w:rFonts w:ascii="Times New Roman" w:hAnsi="Times New Roman"/>
    </w:rPr>
  </w:style>
  <w:style w:type="paragraph" w:customStyle="1" w:styleId="68">
    <w:name w:val="表字体"/>
    <w:basedOn w:val="1"/>
    <w:next w:val="1"/>
    <w:link w:val="67"/>
    <w:qFormat/>
    <w:uiPriority w:val="0"/>
    <w:pPr>
      <w:jc w:val="center"/>
    </w:pPr>
    <w:rPr>
      <w:rFonts w:eastAsiaTheme="minorEastAsia" w:cstheme="minorBidi"/>
      <w:sz w:val="21"/>
      <w:szCs w:val="22"/>
    </w:rPr>
  </w:style>
  <w:style w:type="character" w:customStyle="1" w:styleId="69">
    <w:name w:val="标题 1 字符"/>
    <w:basedOn w:val="21"/>
    <w:link w:val="2"/>
    <w:qFormat/>
    <w:uiPriority w:val="9"/>
    <w:rPr>
      <w:rFonts w:ascii="Times New Roman" w:hAnsi="Times New Roman" w:eastAsia="宋体" w:cs="Times New Roman"/>
      <w:b/>
      <w:bCs/>
      <w:kern w:val="44"/>
      <w:sz w:val="44"/>
      <w:szCs w:val="44"/>
    </w:rPr>
  </w:style>
  <w:style w:type="paragraph" w:customStyle="1" w:styleId="7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1335B-5D68-4365-9B38-6E811AEC6B39}">
  <ds:schemaRefs/>
</ds:datastoreItem>
</file>

<file path=docProps/app.xml><?xml version="1.0" encoding="utf-8"?>
<Properties xmlns="http://schemas.openxmlformats.org/officeDocument/2006/extended-properties" xmlns:vt="http://schemas.openxmlformats.org/officeDocument/2006/docPropsVTypes">
  <Template>Normal</Template>
  <Pages>65</Pages>
  <Words>6684</Words>
  <Characters>38103</Characters>
  <Lines>317</Lines>
  <Paragraphs>89</Paragraphs>
  <TotalTime>10583</TotalTime>
  <ScaleCrop>false</ScaleCrop>
  <LinksUpToDate>false</LinksUpToDate>
  <CharactersWithSpaces>44698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2018-11-27T01:27:00Z</dcterms:created>
  <dc:creator>lenovo</dc:creator>
  <cp:lastModifiedBy>Administrator</cp:lastModifiedBy>
  <cp:lastPrinted>2018-06-19T08:17:00Z</cp:lastPrinted>
  <dcterms:modified xsi:type="dcterms:W3CDTF">2019-04-09T08:42:41Z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