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72"/>
          <w:szCs w:val="72"/>
        </w:rPr>
      </w:pPr>
    </w:p>
    <w:p>
      <w:pPr>
        <w:spacing w:after="312" w:afterLines="100"/>
        <w:jc w:val="center"/>
        <w:rPr>
          <w:b/>
          <w:bCs/>
          <w:sz w:val="72"/>
          <w:szCs w:val="72"/>
        </w:rPr>
      </w:pPr>
    </w:p>
    <w:p>
      <w:pPr>
        <w:spacing w:after="312" w:afterLines="100"/>
        <w:jc w:val="center"/>
        <w:rPr>
          <w:b/>
          <w:bCs/>
          <w:sz w:val="72"/>
          <w:szCs w:val="72"/>
        </w:rPr>
      </w:pPr>
      <w:r>
        <w:rPr>
          <w:b/>
          <w:bCs/>
          <w:sz w:val="72"/>
          <w:szCs w:val="72"/>
        </w:rPr>
        <w:t>建设项目环境影响报告表</w:t>
      </w:r>
    </w:p>
    <w:p>
      <w:pPr>
        <w:jc w:val="center"/>
        <w:rPr>
          <w:b/>
          <w:bCs/>
          <w:sz w:val="32"/>
          <w:szCs w:val="32"/>
        </w:rPr>
      </w:pPr>
    </w:p>
    <w:p>
      <w:pPr>
        <w:spacing w:before="4056" w:beforeLines="1300"/>
        <w:ind w:left="1605" w:leftChars="458" w:hanging="643" w:hangingChars="200"/>
        <w:rPr>
          <w:b/>
          <w:bCs/>
          <w:sz w:val="32"/>
          <w:szCs w:val="32"/>
          <w:u w:val="single"/>
        </w:rPr>
      </w:pPr>
      <w:r>
        <w:rPr>
          <w:b/>
          <w:bCs/>
          <w:sz w:val="32"/>
          <w:szCs w:val="32"/>
        </w:rPr>
        <w:t>项目名称：</w:t>
      </w:r>
      <w:r>
        <w:rPr>
          <w:rFonts w:hint="eastAsia"/>
          <w:b/>
          <w:bCs/>
          <w:sz w:val="32"/>
          <w:szCs w:val="32"/>
          <w:u w:val="single"/>
        </w:rPr>
        <w:t>年产</w:t>
      </w:r>
      <w:r>
        <w:rPr>
          <w:b/>
          <w:bCs/>
          <w:sz w:val="32"/>
          <w:szCs w:val="32"/>
          <w:u w:val="single"/>
        </w:rPr>
        <w:t>2</w:t>
      </w:r>
      <w:r>
        <w:rPr>
          <w:rFonts w:hint="eastAsia"/>
          <w:b/>
          <w:bCs/>
          <w:sz w:val="32"/>
          <w:szCs w:val="32"/>
          <w:u w:val="single"/>
        </w:rPr>
        <w:t>0万立方米商品混凝土建设项目</w:t>
      </w:r>
    </w:p>
    <w:p>
      <w:pPr>
        <w:ind w:left="2568" w:leftChars="458" w:hanging="1606" w:hangingChars="500"/>
        <w:rPr>
          <w:b/>
          <w:bCs/>
          <w:sz w:val="32"/>
          <w:szCs w:val="32"/>
          <w:u w:val="single"/>
        </w:rPr>
      </w:pPr>
      <w:r>
        <w:rPr>
          <w:b/>
          <w:bCs/>
          <w:sz w:val="32"/>
          <w:szCs w:val="32"/>
        </w:rPr>
        <w:t>建设单位</w:t>
      </w:r>
      <w:r>
        <w:rPr>
          <w:b/>
          <w:bCs/>
          <w:color w:val="000000"/>
          <w:sz w:val="32"/>
          <w:szCs w:val="32"/>
        </w:rPr>
        <w:t>：</w:t>
      </w:r>
      <w:r>
        <w:rPr>
          <w:rFonts w:hint="eastAsia"/>
          <w:b/>
          <w:bCs/>
          <w:sz w:val="32"/>
          <w:szCs w:val="32"/>
          <w:u w:val="single"/>
        </w:rPr>
        <w:t>湘阴临资口混凝土有限公司</w:t>
      </w:r>
    </w:p>
    <w:p>
      <w:pPr>
        <w:pStyle w:val="2"/>
      </w:pPr>
    </w:p>
    <w:p>
      <w:pPr>
        <w:pStyle w:val="2"/>
      </w:pPr>
    </w:p>
    <w:p>
      <w:pPr>
        <w:pStyle w:val="2"/>
      </w:pPr>
    </w:p>
    <w:p>
      <w:pPr>
        <w:pStyle w:val="2"/>
      </w:pPr>
    </w:p>
    <w:p>
      <w:pPr>
        <w:pStyle w:val="2"/>
      </w:pPr>
    </w:p>
    <w:p>
      <w:pPr>
        <w:pStyle w:val="2"/>
      </w:pPr>
    </w:p>
    <w:p>
      <w:pPr>
        <w:pStyle w:val="2"/>
        <w:jc w:val="center"/>
        <w:rPr>
          <w:b/>
          <w:bCs/>
          <w:sz w:val="32"/>
          <w:szCs w:val="32"/>
        </w:rPr>
      </w:pPr>
      <w:r>
        <w:rPr>
          <w:rFonts w:hint="eastAsia"/>
          <w:b/>
          <w:bCs/>
          <w:sz w:val="32"/>
          <w:szCs w:val="32"/>
        </w:rPr>
        <w:t>国家环境保护部制</w:t>
      </w:r>
    </w:p>
    <w:p>
      <w:pPr>
        <w:pStyle w:val="2"/>
        <w:jc w:val="center"/>
      </w:pPr>
      <w:r>
        <w:rPr>
          <w:b/>
          <w:bCs/>
          <w:sz w:val="32"/>
          <w:szCs w:val="32"/>
        </w:rPr>
        <w:t>编制日期：二〇</w:t>
      </w:r>
      <w:r>
        <w:rPr>
          <w:rFonts w:hint="eastAsia"/>
          <w:b/>
          <w:bCs/>
          <w:sz w:val="32"/>
          <w:szCs w:val="32"/>
        </w:rPr>
        <w:t>二〇</w:t>
      </w:r>
      <w:r>
        <w:rPr>
          <w:b/>
          <w:bCs/>
          <w:sz w:val="32"/>
          <w:szCs w:val="32"/>
        </w:rPr>
        <w:t>年</w:t>
      </w:r>
      <w:r>
        <w:rPr>
          <w:rFonts w:hint="eastAsia"/>
          <w:b/>
          <w:bCs/>
          <w:sz w:val="32"/>
          <w:szCs w:val="32"/>
        </w:rPr>
        <w:t>二月</w:t>
      </w:r>
    </w:p>
    <w:p>
      <w:pPr>
        <w:pStyle w:val="2"/>
      </w:pPr>
    </w:p>
    <w:p>
      <w:pPr>
        <w:pStyle w:val="33"/>
        <w:jc w:val="both"/>
        <w:sectPr>
          <w:pgSz w:w="11906" w:h="16838"/>
          <w:pgMar w:top="1134" w:right="1417" w:bottom="1134" w:left="1417" w:header="851" w:footer="992" w:gutter="0"/>
          <w:cols w:space="720" w:num="1"/>
          <w:docGrid w:type="lines" w:linePitch="312" w:charSpace="0"/>
        </w:sectPr>
      </w:pPr>
    </w:p>
    <w:p>
      <w:pPr>
        <w:spacing w:line="360" w:lineRule="auto"/>
        <w:jc w:val="center"/>
        <w:rPr>
          <w:b/>
          <w:sz w:val="32"/>
          <w:szCs w:val="32"/>
        </w:rPr>
      </w:pPr>
      <w:r>
        <w:rPr>
          <w:b/>
          <w:sz w:val="32"/>
          <w:szCs w:val="32"/>
        </w:rPr>
        <w:t>《建设项目环境影响报告表》编制说明</w:t>
      </w:r>
    </w:p>
    <w:p>
      <w:pPr>
        <w:ind w:firstLine="560" w:firstLineChars="200"/>
        <w:rPr>
          <w:sz w:val="28"/>
          <w:szCs w:val="36"/>
        </w:rPr>
      </w:pPr>
    </w:p>
    <w:p>
      <w:pPr>
        <w:ind w:firstLine="560" w:firstLineChars="200"/>
        <w:rPr>
          <w:sz w:val="28"/>
          <w:szCs w:val="36"/>
        </w:rPr>
      </w:pPr>
      <w:r>
        <w:rPr>
          <w:sz w:val="28"/>
          <w:szCs w:val="36"/>
        </w:rPr>
        <w:t>《建设项目环境影响报告表》由具有从事环境影响评价工作资质的单位编写。</w:t>
      </w:r>
    </w:p>
    <w:p>
      <w:pPr>
        <w:rPr>
          <w:sz w:val="28"/>
          <w:szCs w:val="36"/>
        </w:rPr>
      </w:pPr>
      <w:r>
        <w:rPr>
          <w:sz w:val="28"/>
          <w:szCs w:val="36"/>
        </w:rPr>
        <w:t>1、项目名称——指项目立项批复时的名称，应不超过30字（两个英文字段作一个汉字）。</w:t>
      </w:r>
    </w:p>
    <w:p>
      <w:pPr>
        <w:rPr>
          <w:sz w:val="28"/>
          <w:szCs w:val="36"/>
        </w:rPr>
      </w:pPr>
      <w:r>
        <w:rPr>
          <w:sz w:val="28"/>
          <w:szCs w:val="36"/>
        </w:rPr>
        <w:t>2、建设地点——指项目所在地详细地址，公路、铁路应填写起止地点。</w:t>
      </w:r>
    </w:p>
    <w:p>
      <w:pPr>
        <w:rPr>
          <w:sz w:val="28"/>
          <w:szCs w:val="36"/>
        </w:rPr>
      </w:pPr>
      <w:r>
        <w:rPr>
          <w:sz w:val="28"/>
          <w:szCs w:val="36"/>
        </w:rPr>
        <w:t>3、行业类别——按国标填写。</w:t>
      </w:r>
    </w:p>
    <w:p>
      <w:pPr>
        <w:rPr>
          <w:sz w:val="28"/>
          <w:szCs w:val="36"/>
        </w:rPr>
      </w:pPr>
      <w:r>
        <w:rPr>
          <w:sz w:val="28"/>
          <w:szCs w:val="36"/>
        </w:rPr>
        <w:t>4、总投资——指项目投资总额。</w:t>
      </w:r>
    </w:p>
    <w:p>
      <w:pPr>
        <w:rPr>
          <w:sz w:val="28"/>
          <w:szCs w:val="36"/>
        </w:rPr>
      </w:pPr>
      <w:r>
        <w:rPr>
          <w:sz w:val="28"/>
          <w:szCs w:val="36"/>
        </w:rPr>
        <w:t>5、主要环境保护目标——指项目区周围一定范围内集中居民住宅区、学校、医院、保护文物、风景名胜区、水源地和生态敏感点等，应尽可能给出保护目标、性质、规模和距厂界距离等。</w:t>
      </w:r>
    </w:p>
    <w:p>
      <w:pPr>
        <w:rPr>
          <w:sz w:val="28"/>
          <w:szCs w:val="36"/>
        </w:rPr>
      </w:pPr>
      <w:r>
        <w:rPr>
          <w:sz w:val="28"/>
          <w:szCs w:val="36"/>
        </w:rPr>
        <w:t>6、结论与建议——给出本项目清洁生产、达标排放和总量控制的分析结论，确定污染防治措施的有效性，说明本项目对环境造成的影响，给出建设项目环境可行性的明确结论。同时提出减少环境影响的其他建议。</w:t>
      </w:r>
    </w:p>
    <w:p>
      <w:pPr>
        <w:rPr>
          <w:sz w:val="28"/>
          <w:szCs w:val="36"/>
        </w:rPr>
      </w:pPr>
      <w:r>
        <w:rPr>
          <w:sz w:val="28"/>
          <w:szCs w:val="36"/>
        </w:rPr>
        <w:t>7、预审意见——由行业主管部门填写答复意见，无主管部门项目，可不填。</w:t>
      </w:r>
    </w:p>
    <w:p>
      <w:pPr>
        <w:pStyle w:val="35"/>
        <w:rPr>
          <w:rFonts w:ascii="Times New Roman" w:cs="Times New Roman"/>
          <w:color w:val="auto"/>
          <w:sz w:val="28"/>
          <w:szCs w:val="36"/>
        </w:rPr>
        <w:sectPr>
          <w:pgSz w:w="11906" w:h="16838"/>
          <w:pgMar w:top="1134" w:right="1417" w:bottom="1134" w:left="1417" w:header="851" w:footer="992" w:gutter="0"/>
          <w:cols w:space="720" w:num="1"/>
          <w:docGrid w:type="lines" w:linePitch="312" w:charSpace="0"/>
        </w:sectPr>
      </w:pPr>
      <w:r>
        <w:rPr>
          <w:rFonts w:ascii="Times New Roman" w:cs="Times New Roman"/>
          <w:color w:val="auto"/>
          <w:sz w:val="28"/>
          <w:szCs w:val="36"/>
        </w:rPr>
        <w:t>8、审批意见——由负责审批该项目的环境保护行政主管部门批复。</w:t>
      </w:r>
    </w:p>
    <w:p>
      <w:pPr>
        <w:spacing w:after="0" w:line="240" w:lineRule="auto"/>
        <w:jc w:val="center"/>
        <w:outlineLvl w:val="0"/>
        <w:rPr>
          <w:rFonts w:hint="eastAsia" w:ascii="黑体" w:hAnsi="黑体" w:eastAsia="黑体" w:cs="Times New Roman"/>
          <w:sz w:val="32"/>
          <w:szCs w:val="32"/>
        </w:rPr>
      </w:pPr>
      <w:r>
        <w:rPr>
          <w:rFonts w:hint="eastAsia" w:ascii="黑体" w:hAnsi="黑体" w:eastAsia="黑体" w:cs="Times New Roman"/>
          <w:sz w:val="32"/>
          <w:szCs w:val="32"/>
        </w:rPr>
        <w:t>湘阴临资口混凝土有限公司</w:t>
      </w:r>
    </w:p>
    <w:p>
      <w:pPr>
        <w:spacing w:after="0" w:line="240" w:lineRule="auto"/>
        <w:jc w:val="center"/>
        <w:outlineLvl w:val="0"/>
        <w:rPr>
          <w:rFonts w:hint="eastAsia" w:ascii="Times New Roman" w:hAnsi="黑体" w:eastAsia="黑体" w:cs="Times New Roman"/>
          <w:color w:val="000000"/>
          <w:sz w:val="32"/>
          <w:szCs w:val="32"/>
        </w:rPr>
      </w:pPr>
      <w:r>
        <w:rPr>
          <w:rFonts w:hint="eastAsia" w:ascii="黑体" w:hAnsi="黑体" w:eastAsia="黑体" w:cs="Times New Roman"/>
          <w:sz w:val="32"/>
          <w:szCs w:val="32"/>
        </w:rPr>
        <w:t>年产20万立方商品混凝土建设项目</w:t>
      </w:r>
      <w:r>
        <w:rPr>
          <w:rFonts w:ascii="Times New Roman" w:hAnsi="黑体" w:eastAsia="黑体" w:cs="Times New Roman"/>
          <w:color w:val="000000"/>
          <w:sz w:val="32"/>
          <w:szCs w:val="32"/>
        </w:rPr>
        <w:t>环境影响报告</w:t>
      </w:r>
      <w:r>
        <w:rPr>
          <w:rFonts w:hint="eastAsia" w:ascii="Times New Roman" w:hAnsi="黑体" w:eastAsia="黑体" w:cs="Times New Roman"/>
          <w:color w:val="000000"/>
          <w:sz w:val="32"/>
          <w:szCs w:val="32"/>
        </w:rPr>
        <w:t>表</w:t>
      </w:r>
    </w:p>
    <w:p>
      <w:pPr>
        <w:spacing w:after="0" w:line="240" w:lineRule="auto"/>
        <w:jc w:val="center"/>
        <w:outlineLvl w:val="0"/>
        <w:rPr>
          <w:rFonts w:hint="eastAsia" w:ascii="Times New Roman" w:hAnsi="黑体" w:eastAsia="黑体" w:cs="Times New Roman"/>
          <w:color w:val="000000"/>
          <w:sz w:val="32"/>
          <w:szCs w:val="32"/>
        </w:rPr>
      </w:pPr>
      <w:r>
        <w:rPr>
          <w:rFonts w:ascii="Times New Roman" w:hAnsi="黑体" w:eastAsia="黑体" w:cs="Times New Roman"/>
          <w:color w:val="000000"/>
          <w:sz w:val="32"/>
          <w:szCs w:val="32"/>
        </w:rPr>
        <w:t>修改说明</w:t>
      </w:r>
    </w:p>
    <w:tbl>
      <w:tblPr>
        <w:tblStyle w:val="22"/>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4706"/>
        <w:gridCol w:w="4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4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评审意见</w:t>
            </w:r>
          </w:p>
        </w:tc>
        <w:tc>
          <w:tcPr>
            <w:tcW w:w="43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修改</w:t>
            </w:r>
            <w:r>
              <w:rPr>
                <w:rFonts w:hint="default" w:ascii="Times New Roman" w:hAnsi="Times New Roman" w:eastAsia="宋体" w:cs="Times New Roman"/>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4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完善工程建设内容，明确料仓设置情况；核实项目粉煤灰等主要原辅材料用量和最大储存量、不同规格料仓尺寸和排气口高度，完善主要设备规格型号。</w:t>
            </w:r>
          </w:p>
        </w:tc>
        <w:tc>
          <w:tcPr>
            <w:tcW w:w="43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完善工程建设内容</w:t>
            </w:r>
            <w:r>
              <w:rPr>
                <w:rFonts w:hint="eastAsia" w:ascii="Times New Roman" w:hAnsi="Times New Roman" w:cs="Times New Roman"/>
                <w:sz w:val="24"/>
                <w:szCs w:val="24"/>
                <w:lang w:val="en-US" w:eastAsia="zh-CN"/>
              </w:rPr>
              <w:t>及</w:t>
            </w:r>
            <w:r>
              <w:rPr>
                <w:rFonts w:hint="eastAsia" w:ascii="Times New Roman" w:hAnsi="Times New Roman" w:eastAsia="宋体" w:cs="Times New Roman"/>
                <w:sz w:val="24"/>
                <w:szCs w:val="24"/>
                <w:lang w:val="en-US" w:eastAsia="zh-CN"/>
              </w:rPr>
              <w:t>料仓设置情况；</w:t>
            </w: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核实项目粉煤灰等主要原辅材料用量和最大储存量、不同规格料仓尺寸和排气口高度，</w:t>
            </w: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完善主要设备规格型号。</w:t>
            </w:r>
            <w:r>
              <w:rPr>
                <w:rFonts w:hint="default" w:ascii="Times New Roman" w:hAnsi="Times New Roman" w:eastAsia="宋体" w:cs="Times New Roman"/>
                <w:sz w:val="24"/>
                <w:szCs w:val="24"/>
                <w:lang w:val="en-US" w:eastAsia="zh-CN"/>
              </w:rPr>
              <w:t>详见正文</w:t>
            </w:r>
            <w:r>
              <w:rPr>
                <w:rFonts w:hint="default" w:ascii="Times New Roman" w:hAnsi="Times New Roman" w:eastAsia="宋体" w:cs="Times New Roman"/>
                <w:sz w:val="24"/>
                <w:szCs w:val="24"/>
              </w:rPr>
              <w:t>P</w:t>
            </w:r>
            <w:r>
              <w:rPr>
                <w:rFonts w:hint="eastAsia" w:ascii="Times New Roman" w:hAnsi="Times New Roman"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4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补充原有工程基本情况、环保设施建设运行情况、污染物排放及达标等情况说明，明确是否存在遗留的环境问题及处理处置措施。</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强化项目选址及周边情况调查，明确杨林寨水厂基本情况及其水源情况，核实本项目与饮用水源保护区的关系；强化环境保护目标调查，核实各环境要素评价范围内涉及的环境敏感区、需特殊保护对象的名称、功能、与建设项目的位置关系以及环境保护要求等。</w:t>
            </w:r>
          </w:p>
        </w:tc>
        <w:tc>
          <w:tcPr>
            <w:tcW w:w="43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补充原有工程基本情况、环保设施建设运行情况、污染物排放及达标等情况说明</w:t>
            </w:r>
            <w:r>
              <w:rPr>
                <w:rFonts w:hint="eastAsia" w:ascii="Times New Roman" w:hAnsi="Times New Roman" w:cs="Times New Roman"/>
                <w:sz w:val="24"/>
                <w:szCs w:val="24"/>
                <w:lang w:val="en-US" w:eastAsia="zh-CN"/>
              </w:rPr>
              <w:t>，</w:t>
            </w:r>
            <w:r>
              <w:rPr>
                <w:rFonts w:hint="eastAsia" w:ascii="Times New Roman" w:hAnsi="Times New Roman" w:eastAsia="宋体" w:cs="Times New Roman"/>
                <w:sz w:val="24"/>
                <w:szCs w:val="24"/>
                <w:lang w:val="en-US" w:eastAsia="zh-CN"/>
              </w:rPr>
              <w:t>是否存在遗留的环境问题及处理处置措施。</w:t>
            </w:r>
            <w:r>
              <w:rPr>
                <w:rFonts w:hint="default" w:ascii="Times New Roman" w:hAnsi="Times New Roman" w:eastAsia="宋体" w:cs="Times New Roman"/>
                <w:sz w:val="24"/>
                <w:szCs w:val="24"/>
                <w:lang w:val="en-US" w:eastAsia="zh-CN"/>
              </w:rPr>
              <w:t>详见正文</w:t>
            </w:r>
            <w:r>
              <w:rPr>
                <w:rFonts w:hint="default" w:ascii="Times New Roman" w:hAnsi="Times New Roman" w:eastAsia="宋体" w:cs="Times New Roman"/>
                <w:sz w:val="24"/>
                <w:szCs w:val="24"/>
              </w:rPr>
              <w:t>P</w:t>
            </w:r>
            <w:r>
              <w:rPr>
                <w:rFonts w:hint="eastAsia" w:ascii="Times New Roman" w:hAnsi="Times New Roman" w:cs="Times New Roman"/>
                <w:sz w:val="24"/>
                <w:szCs w:val="24"/>
                <w:lang w:val="en-US" w:eastAsia="zh-CN"/>
              </w:rPr>
              <w:t>6~</w:t>
            </w:r>
            <w:r>
              <w:rPr>
                <w:rFonts w:hint="default" w:ascii="Times New Roman" w:hAnsi="Times New Roman" w:eastAsia="宋体" w:cs="Times New Roman"/>
                <w:sz w:val="24"/>
                <w:szCs w:val="24"/>
              </w:rPr>
              <w:t>P</w:t>
            </w:r>
            <w:r>
              <w:rPr>
                <w:rFonts w:hint="eastAsia" w:ascii="Times New Roman" w:hAnsi="Times New Roman" w:cs="Times New Roman"/>
                <w:sz w:val="24"/>
                <w:szCs w:val="24"/>
                <w:lang w:val="en-US" w:eastAsia="zh-CN"/>
              </w:rPr>
              <w:t>7；已补充</w:t>
            </w:r>
            <w:r>
              <w:rPr>
                <w:rFonts w:hint="eastAsia" w:ascii="Times New Roman" w:hAnsi="Times New Roman" w:eastAsia="宋体" w:cs="Times New Roman"/>
                <w:sz w:val="24"/>
                <w:szCs w:val="24"/>
                <w:lang w:val="en-US" w:eastAsia="zh-CN"/>
              </w:rPr>
              <w:t>项目选址及周边情况调查，</w:t>
            </w:r>
            <w:r>
              <w:rPr>
                <w:rFonts w:hint="eastAsia" w:ascii="Times New Roman" w:hAnsi="Times New Roman" w:cs="Times New Roman"/>
                <w:sz w:val="24"/>
                <w:szCs w:val="24"/>
                <w:lang w:val="en-US" w:eastAsia="zh-CN"/>
              </w:rPr>
              <w:t>详见正文P10；已补充</w:t>
            </w:r>
            <w:r>
              <w:rPr>
                <w:rFonts w:hint="eastAsia" w:ascii="Times New Roman" w:hAnsi="Times New Roman" w:eastAsia="宋体" w:cs="Times New Roman"/>
                <w:sz w:val="24"/>
                <w:szCs w:val="24"/>
                <w:lang w:val="en-US" w:eastAsia="zh-CN"/>
              </w:rPr>
              <w:t>杨林寨水厂基本情况及其水源情况，</w:t>
            </w: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核实本项目与饮用水源保护区的关系</w:t>
            </w:r>
            <w:r>
              <w:rPr>
                <w:rFonts w:hint="eastAsia" w:ascii="Times New Roman" w:hAnsi="Times New Roman" w:cs="Times New Roman"/>
                <w:sz w:val="24"/>
                <w:szCs w:val="24"/>
                <w:lang w:val="en-US" w:eastAsia="zh-CN"/>
              </w:rPr>
              <w:t>，详见正文P14；已</w:t>
            </w:r>
            <w:r>
              <w:rPr>
                <w:rFonts w:hint="eastAsia" w:ascii="Times New Roman" w:hAnsi="Times New Roman" w:eastAsia="宋体" w:cs="Times New Roman"/>
                <w:sz w:val="24"/>
                <w:szCs w:val="24"/>
                <w:lang w:val="en-US" w:eastAsia="zh-CN"/>
              </w:rPr>
              <w:t>强化环境保护目标调查，核实各环境要素评价范围内涉及的环境敏感区、需特殊保护对象的名称、功能、与建设项目的位置关系以及环境保护要求等</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详见正文</w:t>
            </w:r>
            <w:r>
              <w:rPr>
                <w:rFonts w:hint="default" w:ascii="Times New Roman" w:hAnsi="Times New Roman" w:eastAsia="宋体" w:cs="Times New Roman"/>
                <w:sz w:val="24"/>
                <w:szCs w:val="24"/>
              </w:rPr>
              <w:t>P</w:t>
            </w:r>
            <w:r>
              <w:rPr>
                <w:rFonts w:hint="eastAsia" w:ascii="Times New Roman" w:hAnsi="Times New Roman" w:cs="Times New Roman"/>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4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完善项目搅拌过程等产排污节点，明确密闭储存、搅拌和输送要求，补充项目物料平衡。</w:t>
            </w:r>
          </w:p>
        </w:tc>
        <w:tc>
          <w:tcPr>
            <w:tcW w:w="43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完善项目搅拌过程等产排污节点，</w:t>
            </w:r>
            <w:r>
              <w:rPr>
                <w:rFonts w:hint="eastAsia" w:ascii="Times New Roman" w:hAnsi="Times New Roman" w:cs="Times New Roman"/>
                <w:sz w:val="24"/>
                <w:szCs w:val="24"/>
                <w:lang w:val="en-US" w:eastAsia="zh-CN"/>
              </w:rPr>
              <w:t>已补充</w:t>
            </w:r>
            <w:r>
              <w:rPr>
                <w:rFonts w:hint="eastAsia" w:ascii="Times New Roman" w:hAnsi="Times New Roman" w:eastAsia="宋体" w:cs="Times New Roman"/>
                <w:sz w:val="24"/>
                <w:szCs w:val="24"/>
                <w:lang w:val="en-US" w:eastAsia="zh-CN"/>
              </w:rPr>
              <w:t>密闭储存、搅拌和输送要求，</w:t>
            </w: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补充项目物料平衡。</w:t>
            </w:r>
            <w:r>
              <w:rPr>
                <w:rFonts w:hint="default" w:ascii="Times New Roman" w:hAnsi="Times New Roman" w:eastAsia="宋体" w:cs="Times New Roman"/>
                <w:sz w:val="24"/>
                <w:szCs w:val="24"/>
              </w:rPr>
              <w:t>详见</w:t>
            </w:r>
            <w:r>
              <w:rPr>
                <w:rFonts w:hint="default" w:ascii="Times New Roman" w:hAnsi="Times New Roman" w:eastAsia="宋体" w:cs="Times New Roman"/>
                <w:sz w:val="24"/>
                <w:szCs w:val="24"/>
                <w:lang w:val="en-US" w:eastAsia="zh-CN"/>
              </w:rPr>
              <w:t>正文</w:t>
            </w:r>
            <w:r>
              <w:rPr>
                <w:rFonts w:hint="default" w:ascii="Times New Roman" w:hAnsi="Times New Roman" w:eastAsia="宋体" w:cs="Times New Roman"/>
                <w:sz w:val="24"/>
                <w:szCs w:val="24"/>
              </w:rPr>
              <w:t>P</w:t>
            </w:r>
            <w:r>
              <w:rPr>
                <w:rFonts w:hint="eastAsia" w:ascii="Times New Roman" w:hAnsi="Times New Roman" w:cs="Times New Roman"/>
                <w:sz w:val="24"/>
                <w:szCs w:val="24"/>
                <w:lang w:val="en-US" w:eastAsia="zh-CN"/>
              </w:rPr>
              <w:t>20、P26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4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不同料仓和搅拌设备的规格、进出物料量等情况，校核各部分废气源强，核实收集效率和处理效率，强化达标排放的可靠性分析；鉴于项目区属于环境空气质量不达标区，应进一步强化项目粉尘控制措施，尽量减小废气的无组织排放；校核大气评价等级，完善大气环境影响分析及大气环境防护距离，明确项目废气对杨林寨水厂的影响，提出针对性的控制措施。</w:t>
            </w:r>
          </w:p>
        </w:tc>
        <w:tc>
          <w:tcPr>
            <w:tcW w:w="43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根据不同料仓和搅拌设备的规格、进出物料量等情况，</w:t>
            </w:r>
            <w:r>
              <w:rPr>
                <w:rFonts w:hint="eastAsia" w:ascii="Times New Roman" w:hAnsi="Times New Roman" w:cs="Times New Roman"/>
                <w:sz w:val="24"/>
                <w:szCs w:val="24"/>
                <w:lang w:val="en-US" w:eastAsia="zh-CN"/>
              </w:rPr>
              <w:t>重新计算</w:t>
            </w:r>
            <w:r>
              <w:rPr>
                <w:rFonts w:hint="eastAsia" w:ascii="Times New Roman" w:hAnsi="Times New Roman" w:eastAsia="宋体" w:cs="Times New Roman"/>
                <w:sz w:val="24"/>
                <w:szCs w:val="24"/>
                <w:lang w:val="en-US" w:eastAsia="zh-CN"/>
              </w:rPr>
              <w:t>各部分废气源强</w:t>
            </w: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核实收集效率和处理效率，</w:t>
            </w: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达标排放的可靠性分析；</w:t>
            </w:r>
            <w:r>
              <w:rPr>
                <w:rFonts w:hint="eastAsia" w:ascii="Times New Roman" w:hAnsi="Times New Roman" w:cs="Times New Roman"/>
                <w:sz w:val="24"/>
                <w:szCs w:val="24"/>
                <w:lang w:val="en-US" w:eastAsia="zh-CN"/>
              </w:rPr>
              <w:t>已补充并</w:t>
            </w:r>
            <w:r>
              <w:rPr>
                <w:rFonts w:hint="eastAsia" w:ascii="Times New Roman" w:hAnsi="Times New Roman" w:eastAsia="宋体" w:cs="Times New Roman"/>
                <w:sz w:val="24"/>
                <w:szCs w:val="24"/>
                <w:lang w:val="en-US" w:eastAsia="zh-CN"/>
              </w:rPr>
              <w:t>强化项目粉尘控制措施，尽量减小废气的无组织排放；</w:t>
            </w: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校核大气评价等级，</w:t>
            </w:r>
            <w:r>
              <w:rPr>
                <w:rFonts w:hint="eastAsia" w:ascii="Times New Roman" w:hAnsi="Times New Roman" w:cs="Times New Roman"/>
                <w:sz w:val="24"/>
                <w:szCs w:val="24"/>
                <w:lang w:val="en-US" w:eastAsia="zh-CN"/>
              </w:rPr>
              <w:t>为二级评价，无需补充</w:t>
            </w:r>
            <w:r>
              <w:rPr>
                <w:rFonts w:hint="eastAsia" w:ascii="Times New Roman" w:hAnsi="Times New Roman" w:eastAsia="宋体" w:cs="Times New Roman"/>
                <w:sz w:val="24"/>
                <w:szCs w:val="24"/>
                <w:lang w:val="en-US" w:eastAsia="zh-CN"/>
              </w:rPr>
              <w:t>大气环境防护距离</w:t>
            </w: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完善大气环境影响分析，</w:t>
            </w: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明确项目废气对杨林寨水厂的影响，</w:t>
            </w:r>
            <w:r>
              <w:rPr>
                <w:rFonts w:hint="eastAsia" w:ascii="Times New Roman" w:hAnsi="Times New Roman" w:cs="Times New Roman"/>
                <w:sz w:val="24"/>
                <w:szCs w:val="24"/>
                <w:lang w:val="en-US" w:eastAsia="zh-CN"/>
              </w:rPr>
              <w:t>并</w:t>
            </w:r>
            <w:r>
              <w:rPr>
                <w:rFonts w:hint="eastAsia" w:ascii="Times New Roman" w:hAnsi="Times New Roman" w:eastAsia="宋体" w:cs="Times New Roman"/>
                <w:sz w:val="24"/>
                <w:szCs w:val="24"/>
                <w:lang w:val="en-US" w:eastAsia="zh-CN"/>
              </w:rPr>
              <w:t>提出针对性的控制措施。</w:t>
            </w:r>
            <w:r>
              <w:rPr>
                <w:rFonts w:hint="default" w:ascii="Times New Roman" w:hAnsi="Times New Roman" w:eastAsia="宋体" w:cs="Times New Roman"/>
                <w:sz w:val="24"/>
                <w:szCs w:val="24"/>
              </w:rPr>
              <w:t>详见</w:t>
            </w:r>
            <w:r>
              <w:rPr>
                <w:rFonts w:hint="default" w:ascii="Times New Roman" w:hAnsi="Times New Roman" w:eastAsia="宋体" w:cs="Times New Roman"/>
                <w:sz w:val="24"/>
                <w:szCs w:val="24"/>
                <w:lang w:val="en-US" w:eastAsia="zh-CN"/>
              </w:rPr>
              <w:t>正文</w:t>
            </w:r>
            <w:r>
              <w:rPr>
                <w:rFonts w:hint="default" w:ascii="Times New Roman" w:hAnsi="Times New Roman" w:eastAsia="宋体" w:cs="Times New Roman"/>
                <w:sz w:val="24"/>
                <w:szCs w:val="24"/>
              </w:rPr>
              <w:t>P</w:t>
            </w:r>
            <w:r>
              <w:rPr>
                <w:rFonts w:hint="eastAsia" w:ascii="Times New Roman" w:hAnsi="Times New Roman" w:cs="Times New Roman"/>
                <w:sz w:val="24"/>
                <w:szCs w:val="24"/>
                <w:lang w:val="en-US" w:eastAsia="zh-CN"/>
              </w:rPr>
              <w:t>22~P25，P34~P39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4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补充事故风险情况下对饮用水源及自来水厂的影响分析，完善水泥粉尘爆炸的环境风险识别，以此强化项目风险防范及减缓和应急措施。</w:t>
            </w:r>
          </w:p>
        </w:tc>
        <w:tc>
          <w:tcPr>
            <w:tcW w:w="43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补充事故风险情况下对饮用水源及自来水厂的影响分析，</w:t>
            </w:r>
            <w:r>
              <w:rPr>
                <w:rFonts w:hint="eastAsia" w:ascii="Times New Roman" w:hAnsi="Times New Roman" w:cs="Times New Roman"/>
                <w:sz w:val="24"/>
                <w:szCs w:val="24"/>
                <w:lang w:val="en-US" w:eastAsia="zh-CN"/>
              </w:rPr>
              <w:t>并</w:t>
            </w:r>
            <w:r>
              <w:rPr>
                <w:rFonts w:hint="eastAsia" w:ascii="Times New Roman" w:hAnsi="Times New Roman" w:eastAsia="宋体" w:cs="Times New Roman"/>
                <w:sz w:val="24"/>
                <w:szCs w:val="24"/>
                <w:lang w:val="en-US" w:eastAsia="zh-CN"/>
              </w:rPr>
              <w:t>完善水泥粉尘爆炸的环境风险识别，以此强化项目风险防范及减缓和应急措施。</w:t>
            </w:r>
            <w:r>
              <w:rPr>
                <w:rFonts w:hint="eastAsia" w:ascii="Times New Roman" w:hAnsi="Times New Roman" w:cs="Times New Roman"/>
                <w:sz w:val="24"/>
                <w:szCs w:val="24"/>
                <w:lang w:val="en-US" w:eastAsia="zh-CN"/>
              </w:rPr>
              <w:t>详见</w:t>
            </w:r>
            <w:r>
              <w:rPr>
                <w:rFonts w:hint="default" w:ascii="Times New Roman" w:hAnsi="Times New Roman" w:eastAsia="宋体" w:cs="Times New Roman"/>
                <w:sz w:val="24"/>
                <w:szCs w:val="24"/>
                <w:lang w:val="en-US" w:eastAsia="zh-CN"/>
              </w:rPr>
              <w:t>正文</w:t>
            </w:r>
            <w:r>
              <w:rPr>
                <w:rFonts w:hint="default" w:ascii="Times New Roman" w:hAnsi="Times New Roman" w:eastAsia="宋体" w:cs="Times New Roman"/>
                <w:sz w:val="24"/>
                <w:szCs w:val="24"/>
              </w:rPr>
              <w:t>P</w:t>
            </w:r>
            <w:r>
              <w:rPr>
                <w:rFonts w:hint="eastAsia" w:ascii="Times New Roman" w:hAnsi="Times New Roman" w:cs="Times New Roman"/>
                <w:sz w:val="24"/>
                <w:szCs w:val="24"/>
                <w:lang w:val="en-US" w:eastAsia="zh-CN"/>
              </w:rPr>
              <w:t>42~P44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4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进一步强化项目建设对自来水厂的环境影响分析，结合饮用水源保护区设置情况及原料供应情况，强化项目选址的合理性；根据区域环境空气质量现状及本项目的大气环境影响，分析项目与区域环境质量改善目标要求的符合性及建设的环境合理性。</w:t>
            </w:r>
          </w:p>
        </w:tc>
        <w:tc>
          <w:tcPr>
            <w:tcW w:w="43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强化项目建设对自来水厂的环境影响分析，结合饮用水源保护区设置情况及原料供应情况，强化项目选址的合理性</w:t>
            </w:r>
            <w:r>
              <w:rPr>
                <w:rFonts w:hint="eastAsia" w:ascii="Times New Roman" w:hAnsi="Times New Roman" w:cs="Times New Roman"/>
                <w:sz w:val="24"/>
                <w:szCs w:val="24"/>
                <w:lang w:val="en-US" w:eastAsia="zh-CN"/>
              </w:rPr>
              <w:t>。详见正文P45；</w:t>
            </w:r>
            <w:r>
              <w:rPr>
                <w:rFonts w:hint="eastAsia" w:ascii="Times New Roman" w:hAnsi="Times New Roman" w:eastAsia="宋体" w:cs="Times New Roman"/>
                <w:sz w:val="24"/>
                <w:szCs w:val="24"/>
                <w:lang w:val="en-US" w:eastAsia="zh-CN"/>
              </w:rPr>
              <w:t>根据区域环境空气质量现状及本项目的大气环境影响，分析项目与区域环境质量改善目标要求的符合性及建设的环境合理性。</w:t>
            </w:r>
            <w:r>
              <w:rPr>
                <w:rFonts w:hint="eastAsia" w:ascii="Times New Roman" w:hAnsi="Times New Roman" w:cs="Times New Roman"/>
                <w:color w:val="auto"/>
                <w:sz w:val="24"/>
                <w:szCs w:val="24"/>
                <w:lang w:val="en-US" w:eastAsia="zh-CN"/>
              </w:rPr>
              <w:t>详</w:t>
            </w:r>
            <w:r>
              <w:rPr>
                <w:rFonts w:hint="eastAsia" w:ascii="Times New Roman" w:hAnsi="Times New Roman" w:cs="Times New Roman"/>
                <w:sz w:val="24"/>
                <w:szCs w:val="24"/>
                <w:lang w:val="en-US" w:eastAsia="zh-CN"/>
              </w:rPr>
              <w:t>见</w:t>
            </w:r>
            <w:r>
              <w:rPr>
                <w:rFonts w:hint="default" w:ascii="Times New Roman" w:hAnsi="Times New Roman" w:eastAsia="宋体" w:cs="Times New Roman"/>
                <w:sz w:val="24"/>
                <w:szCs w:val="24"/>
                <w:lang w:val="en-US" w:eastAsia="zh-CN"/>
              </w:rPr>
              <w:t>正文</w:t>
            </w:r>
            <w:r>
              <w:rPr>
                <w:rFonts w:hint="default" w:ascii="Times New Roman" w:hAnsi="Times New Roman" w:eastAsia="宋体" w:cs="Times New Roman"/>
                <w:sz w:val="24"/>
                <w:szCs w:val="24"/>
              </w:rPr>
              <w:t>P</w:t>
            </w:r>
            <w:r>
              <w:rPr>
                <w:rFonts w:hint="eastAsia" w:ascii="Times New Roman" w:hAnsi="Times New Roman" w:cs="Times New Roman"/>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7</w:t>
            </w:r>
          </w:p>
        </w:tc>
        <w:tc>
          <w:tcPr>
            <w:tcW w:w="470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补充项目“三线一单”、《湖南省长江经济带发展负面清单实施细则（试行）》等要求的符合性分析； 核实项目环保投资，完善竣工环保验收表及环境监测计划；完善项目总平面布置图等图件。</w:t>
            </w:r>
          </w:p>
        </w:tc>
        <w:tc>
          <w:tcPr>
            <w:tcW w:w="4365"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补充项目“三线一单”、《湖南省长江经济带发展负面清单实施细则（试行）》等要求的符合性分析；</w:t>
            </w: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核实项目环保投资，</w:t>
            </w:r>
            <w:r>
              <w:rPr>
                <w:rFonts w:hint="eastAsia" w:ascii="Times New Roman" w:hAnsi="Times New Roman" w:cs="Times New Roman"/>
                <w:sz w:val="24"/>
                <w:szCs w:val="24"/>
                <w:lang w:val="en-US" w:eastAsia="zh-CN"/>
              </w:rPr>
              <w:t>已</w:t>
            </w:r>
            <w:r>
              <w:rPr>
                <w:rFonts w:hint="eastAsia" w:ascii="Times New Roman" w:hAnsi="Times New Roman" w:eastAsia="宋体" w:cs="Times New Roman"/>
                <w:sz w:val="24"/>
                <w:szCs w:val="24"/>
                <w:lang w:val="en-US" w:eastAsia="zh-CN"/>
              </w:rPr>
              <w:t>完善竣工环保验收表及环境监测计划</w:t>
            </w:r>
            <w:r>
              <w:rPr>
                <w:rFonts w:hint="eastAsia" w:ascii="Times New Roman" w:hAnsi="Times New Roman" w:cs="Times New Roman"/>
                <w:sz w:val="24"/>
                <w:szCs w:val="24"/>
                <w:lang w:val="en-US" w:eastAsia="zh-CN"/>
              </w:rPr>
              <w:t>。详见正文P45~P50；已</w:t>
            </w:r>
            <w:r>
              <w:rPr>
                <w:rFonts w:hint="eastAsia" w:ascii="Times New Roman" w:hAnsi="Times New Roman" w:eastAsia="宋体" w:cs="Times New Roman"/>
                <w:sz w:val="24"/>
                <w:szCs w:val="24"/>
                <w:lang w:val="en-US" w:eastAsia="zh-CN"/>
              </w:rPr>
              <w:t>完善项目总平面布置图等图件</w:t>
            </w:r>
            <w:r>
              <w:rPr>
                <w:rFonts w:hint="eastAsia" w:ascii="Times New Roman" w:hAnsi="Times New Roman" w:cs="Times New Roman"/>
                <w:sz w:val="24"/>
                <w:szCs w:val="24"/>
                <w:lang w:val="en-US" w:eastAsia="zh-CN"/>
              </w:rPr>
              <w:t>，详见附图。</w:t>
            </w:r>
          </w:p>
        </w:tc>
      </w:tr>
    </w:tbl>
    <w:p>
      <w:pPr>
        <w:spacing w:after="0" w:line="240" w:lineRule="auto"/>
        <w:ind w:right="280"/>
        <w:rPr>
          <w:rFonts w:hint="eastAsia" w:ascii="Times New Roman" w:hAnsi="宋体" w:cs="Times New Roman"/>
          <w:b/>
          <w:bCs/>
          <w:sz w:val="21"/>
          <w:szCs w:val="21"/>
        </w:rPr>
      </w:pPr>
      <w:r>
        <w:rPr>
          <w:rFonts w:hint="eastAsia" w:ascii="Times New Roman" w:hAnsi="宋体" w:cs="Times New Roman"/>
          <w:b/>
          <w:bCs/>
          <w:sz w:val="21"/>
          <w:szCs w:val="21"/>
        </w:rPr>
        <w:t>注：文本中修改、完善、补充的内容均用下划线标出。</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p>
    <w:p>
      <w:pPr>
        <w:spacing w:after="0" w:line="240" w:lineRule="auto"/>
        <w:jc w:val="both"/>
        <w:rPr>
          <w:rFonts w:hint="eastAsia" w:ascii="Times New Roman" w:hAnsi="Times New Roman" w:cs="Times New Roman"/>
          <w:sz w:val="24"/>
          <w:szCs w:val="24"/>
          <w:lang w:eastAsia="zh-CN"/>
        </w:rPr>
      </w:pPr>
    </w:p>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修改日期：</w:t>
      </w:r>
      <w:r>
        <w:rPr>
          <w:rFonts w:hint="eastAsia" w:ascii="Times New Roman" w:hAnsi="Times New Roman" w:cs="Times New Roman"/>
          <w:sz w:val="24"/>
          <w:szCs w:val="24"/>
          <w:lang w:val="en-US" w:eastAsia="zh-CN"/>
        </w:rPr>
        <w:t>2020</w:t>
      </w:r>
      <w:r>
        <w:rPr>
          <w:rFonts w:ascii="Times New Roman" w:hAnsi="Times New Roman" w:cs="Times New Roman"/>
          <w:sz w:val="24"/>
          <w:szCs w:val="24"/>
        </w:rPr>
        <w:t>年</w:t>
      </w:r>
      <w:r>
        <w:rPr>
          <w:rFonts w:hint="eastAsia" w:ascii="Times New Roman" w:hAnsi="Times New Roman" w:cs="Times New Roman"/>
          <w:sz w:val="24"/>
          <w:szCs w:val="24"/>
          <w:lang w:val="en-US" w:eastAsia="zh-CN"/>
        </w:rPr>
        <w:t>04</w:t>
      </w:r>
      <w:r>
        <w:rPr>
          <w:rFonts w:ascii="Times New Roman" w:hAnsi="Times New Roman" w:cs="Times New Roman"/>
          <w:sz w:val="24"/>
          <w:szCs w:val="24"/>
        </w:rPr>
        <w:t>月</w:t>
      </w:r>
      <w:r>
        <w:rPr>
          <w:rFonts w:hint="eastAsia" w:ascii="Times New Roman" w:hAnsi="Times New Roman" w:cs="Times New Roman"/>
          <w:sz w:val="24"/>
          <w:szCs w:val="24"/>
          <w:lang w:val="en-US" w:eastAsia="zh-CN"/>
        </w:rPr>
        <w:t>07</w:t>
      </w:r>
      <w:r>
        <w:rPr>
          <w:rFonts w:ascii="Times New Roman" w:hAnsi="Times New Roman" w:cs="Times New Roman"/>
          <w:sz w:val="24"/>
          <w:szCs w:val="24"/>
        </w:rPr>
        <w:t>日</w:t>
      </w:r>
    </w:p>
    <w:p>
      <w:pPr>
        <w:pStyle w:val="35"/>
        <w:jc w:val="center"/>
        <w:rPr>
          <w:rFonts w:ascii="Times New Roman" w:cs="Times New Roman"/>
          <w:b/>
          <w:bCs/>
          <w:color w:val="auto"/>
          <w:sz w:val="32"/>
          <w:szCs w:val="40"/>
        </w:rPr>
        <w:sectPr>
          <w:headerReference r:id="rId3" w:type="default"/>
          <w:pgSz w:w="11906" w:h="16838"/>
          <w:pgMar w:top="1134" w:right="1417" w:bottom="1134" w:left="1417" w:header="851" w:footer="992" w:gutter="0"/>
          <w:cols w:space="720" w:num="1"/>
          <w:docGrid w:type="lines" w:linePitch="312" w:charSpace="0"/>
        </w:sectPr>
      </w:pPr>
    </w:p>
    <w:p>
      <w:pPr>
        <w:pStyle w:val="35"/>
        <w:jc w:val="center"/>
        <w:rPr>
          <w:rFonts w:ascii="Times New Roman" w:cs="Times New Roman"/>
          <w:b/>
          <w:bCs/>
          <w:color w:val="auto"/>
          <w:sz w:val="32"/>
          <w:szCs w:val="40"/>
        </w:rPr>
      </w:pPr>
    </w:p>
    <w:p>
      <w:pPr>
        <w:pStyle w:val="4"/>
        <w:jc w:val="center"/>
      </w:pPr>
      <w:r>
        <w:t>目</w:t>
      </w:r>
      <w:r>
        <w:rPr>
          <w:rFonts w:hint="eastAsia"/>
        </w:rPr>
        <w:t xml:space="preserve">   </w:t>
      </w:r>
      <w:r>
        <w:t>录</w:t>
      </w:r>
    </w:p>
    <w:p>
      <w:pPr>
        <w:pStyle w:val="44"/>
        <w:tabs>
          <w:tab w:val="right" w:leader="dot" w:pos="9072"/>
        </w:tabs>
        <w:spacing w:line="360" w:lineRule="auto"/>
        <w:rPr>
          <w:sz w:val="24"/>
          <w:szCs w:val="24"/>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"_Toc3005" </w:instrText>
      </w:r>
      <w:r>
        <w:fldChar w:fldCharType="separate"/>
      </w:r>
      <w:r>
        <w:rPr>
          <w:rFonts w:hint="eastAsia"/>
          <w:bCs/>
          <w:sz w:val="24"/>
          <w:szCs w:val="24"/>
        </w:rPr>
        <w:t>1建设项目基本情况</w:t>
      </w:r>
      <w:r>
        <w:rPr>
          <w:sz w:val="24"/>
          <w:szCs w:val="24"/>
        </w:rPr>
        <w:tab/>
      </w:r>
      <w:r>
        <w:rPr>
          <w:sz w:val="24"/>
          <w:szCs w:val="24"/>
        </w:rPr>
        <w:fldChar w:fldCharType="begin"/>
      </w:r>
      <w:r>
        <w:rPr>
          <w:sz w:val="24"/>
          <w:szCs w:val="24"/>
        </w:rPr>
        <w:instrText xml:space="preserve"> PAGEREF _Toc3005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44"/>
        <w:tabs>
          <w:tab w:val="right" w:leader="dot" w:pos="9072"/>
        </w:tabs>
        <w:spacing w:line="360" w:lineRule="auto"/>
        <w:rPr>
          <w:sz w:val="24"/>
          <w:szCs w:val="24"/>
        </w:rPr>
      </w:pPr>
      <w:r>
        <w:fldChar w:fldCharType="begin"/>
      </w:r>
      <w:r>
        <w:instrText xml:space="preserve"> HYPERLINK \l "_Toc32708" </w:instrText>
      </w:r>
      <w:r>
        <w:fldChar w:fldCharType="separate"/>
      </w:r>
      <w:r>
        <w:rPr>
          <w:rFonts w:hint="eastAsia"/>
          <w:bCs/>
          <w:sz w:val="24"/>
          <w:szCs w:val="24"/>
        </w:rPr>
        <w:t>2建设项目所在地自然环境社会环境简况</w:t>
      </w:r>
      <w:r>
        <w:rPr>
          <w:sz w:val="24"/>
          <w:szCs w:val="24"/>
        </w:rPr>
        <w:tab/>
      </w:r>
      <w:r>
        <w:rPr>
          <w:sz w:val="24"/>
          <w:szCs w:val="24"/>
        </w:rPr>
        <w:fldChar w:fldCharType="begin"/>
      </w:r>
      <w:r>
        <w:rPr>
          <w:sz w:val="24"/>
          <w:szCs w:val="24"/>
        </w:rPr>
        <w:instrText xml:space="preserve"> PAGEREF _Toc32708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44"/>
        <w:tabs>
          <w:tab w:val="right" w:leader="dot" w:pos="9072"/>
        </w:tabs>
        <w:spacing w:line="360" w:lineRule="auto"/>
        <w:rPr>
          <w:sz w:val="24"/>
          <w:szCs w:val="24"/>
        </w:rPr>
      </w:pPr>
      <w:r>
        <w:fldChar w:fldCharType="begin"/>
      </w:r>
      <w:r>
        <w:instrText xml:space="preserve"> HYPERLINK \l "_Toc3786" </w:instrText>
      </w:r>
      <w:r>
        <w:fldChar w:fldCharType="separate"/>
      </w:r>
      <w:r>
        <w:rPr>
          <w:rFonts w:hint="eastAsia"/>
          <w:bCs/>
          <w:sz w:val="24"/>
          <w:szCs w:val="24"/>
        </w:rPr>
        <w:t>3环境质量状况</w:t>
      </w:r>
      <w:r>
        <w:rPr>
          <w:sz w:val="24"/>
          <w:szCs w:val="24"/>
        </w:rPr>
        <w:tab/>
      </w:r>
      <w:r>
        <w:rPr>
          <w:sz w:val="24"/>
          <w:szCs w:val="24"/>
        </w:rPr>
        <w:fldChar w:fldCharType="begin"/>
      </w:r>
      <w:r>
        <w:rPr>
          <w:sz w:val="24"/>
          <w:szCs w:val="24"/>
        </w:rPr>
        <w:instrText xml:space="preserve"> PAGEREF _Toc3786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44"/>
        <w:tabs>
          <w:tab w:val="right" w:leader="dot" w:pos="9072"/>
        </w:tabs>
        <w:spacing w:line="360" w:lineRule="auto"/>
        <w:rPr>
          <w:sz w:val="24"/>
          <w:szCs w:val="24"/>
        </w:rPr>
      </w:pPr>
      <w:r>
        <w:fldChar w:fldCharType="begin"/>
      </w:r>
      <w:r>
        <w:instrText xml:space="preserve"> HYPERLINK \l "_Toc8857" </w:instrText>
      </w:r>
      <w:r>
        <w:fldChar w:fldCharType="separate"/>
      </w:r>
      <w:r>
        <w:rPr>
          <w:rFonts w:hint="eastAsia"/>
          <w:bCs/>
          <w:sz w:val="24"/>
          <w:szCs w:val="24"/>
        </w:rPr>
        <w:t>4评价适用标准</w:t>
      </w:r>
      <w:r>
        <w:rPr>
          <w:sz w:val="24"/>
          <w:szCs w:val="24"/>
        </w:rPr>
        <w:tab/>
      </w:r>
      <w:r>
        <w:rPr>
          <w:sz w:val="24"/>
          <w:szCs w:val="24"/>
        </w:rPr>
        <w:fldChar w:fldCharType="begin"/>
      </w:r>
      <w:r>
        <w:rPr>
          <w:sz w:val="24"/>
          <w:szCs w:val="24"/>
        </w:rPr>
        <w:instrText xml:space="preserve"> PAGEREF _Toc8857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44"/>
        <w:tabs>
          <w:tab w:val="right" w:leader="dot" w:pos="9072"/>
        </w:tabs>
        <w:spacing w:line="360" w:lineRule="auto"/>
        <w:rPr>
          <w:sz w:val="24"/>
          <w:szCs w:val="24"/>
        </w:rPr>
      </w:pPr>
      <w:r>
        <w:fldChar w:fldCharType="begin"/>
      </w:r>
      <w:r>
        <w:instrText xml:space="preserve"> HYPERLINK \l "_Toc32638" </w:instrText>
      </w:r>
      <w:r>
        <w:fldChar w:fldCharType="separate"/>
      </w:r>
      <w:r>
        <w:rPr>
          <w:rFonts w:hint="eastAsia"/>
          <w:bCs/>
          <w:sz w:val="24"/>
          <w:szCs w:val="24"/>
        </w:rPr>
        <w:t>5建设项目工程分析</w:t>
      </w:r>
      <w:r>
        <w:rPr>
          <w:sz w:val="24"/>
          <w:szCs w:val="24"/>
        </w:rPr>
        <w:tab/>
      </w:r>
      <w:r>
        <w:rPr>
          <w:sz w:val="24"/>
          <w:szCs w:val="24"/>
        </w:rPr>
        <w:fldChar w:fldCharType="begin"/>
      </w:r>
      <w:r>
        <w:rPr>
          <w:sz w:val="24"/>
          <w:szCs w:val="24"/>
        </w:rPr>
        <w:instrText xml:space="preserve"> PAGEREF _Toc32638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44"/>
        <w:tabs>
          <w:tab w:val="right" w:leader="dot" w:pos="9072"/>
        </w:tabs>
        <w:spacing w:line="360" w:lineRule="auto"/>
        <w:rPr>
          <w:sz w:val="24"/>
          <w:szCs w:val="24"/>
        </w:rPr>
      </w:pPr>
      <w:r>
        <w:fldChar w:fldCharType="begin"/>
      </w:r>
      <w:r>
        <w:instrText xml:space="preserve"> HYPERLINK \l "_Toc5631" </w:instrText>
      </w:r>
      <w:r>
        <w:fldChar w:fldCharType="separate"/>
      </w:r>
      <w:r>
        <w:rPr>
          <w:rFonts w:hint="eastAsia"/>
          <w:bCs/>
          <w:sz w:val="24"/>
          <w:szCs w:val="24"/>
        </w:rPr>
        <w:t>6项目主要污染物产生及预计排放情况</w:t>
      </w:r>
      <w:r>
        <w:rPr>
          <w:sz w:val="24"/>
          <w:szCs w:val="24"/>
        </w:rPr>
        <w:tab/>
      </w:r>
      <w:r>
        <w:rPr>
          <w:sz w:val="24"/>
          <w:szCs w:val="24"/>
        </w:rPr>
        <w:fldChar w:fldCharType="begin"/>
      </w:r>
      <w:r>
        <w:rPr>
          <w:sz w:val="24"/>
          <w:szCs w:val="24"/>
        </w:rPr>
        <w:instrText xml:space="preserve"> PAGEREF _Toc5631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44"/>
        <w:tabs>
          <w:tab w:val="right" w:leader="dot" w:pos="9072"/>
        </w:tabs>
        <w:spacing w:line="360" w:lineRule="auto"/>
        <w:rPr>
          <w:sz w:val="24"/>
          <w:szCs w:val="24"/>
        </w:rPr>
      </w:pPr>
      <w:r>
        <w:fldChar w:fldCharType="begin"/>
      </w:r>
      <w:r>
        <w:instrText xml:space="preserve"> HYPERLINK \l "_Toc23219" </w:instrText>
      </w:r>
      <w:r>
        <w:fldChar w:fldCharType="separate"/>
      </w:r>
      <w:r>
        <w:rPr>
          <w:rFonts w:hint="eastAsia"/>
          <w:bCs/>
          <w:sz w:val="24"/>
          <w:szCs w:val="24"/>
        </w:rPr>
        <w:t>7环境影响分析</w:t>
      </w:r>
      <w:r>
        <w:rPr>
          <w:sz w:val="24"/>
          <w:szCs w:val="24"/>
        </w:rPr>
        <w:tab/>
      </w:r>
      <w:r>
        <w:rPr>
          <w:sz w:val="24"/>
          <w:szCs w:val="24"/>
        </w:rPr>
        <w:fldChar w:fldCharType="begin"/>
      </w:r>
      <w:r>
        <w:rPr>
          <w:sz w:val="24"/>
          <w:szCs w:val="24"/>
        </w:rPr>
        <w:instrText xml:space="preserve"> PAGEREF _Toc23219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44"/>
        <w:tabs>
          <w:tab w:val="right" w:leader="dot" w:pos="9072"/>
        </w:tabs>
        <w:spacing w:line="360" w:lineRule="auto"/>
        <w:rPr>
          <w:sz w:val="24"/>
          <w:szCs w:val="24"/>
        </w:rPr>
      </w:pPr>
      <w:r>
        <w:fldChar w:fldCharType="begin"/>
      </w:r>
      <w:r>
        <w:instrText xml:space="preserve"> HYPERLINK \l "_Toc17058" </w:instrText>
      </w:r>
      <w:r>
        <w:fldChar w:fldCharType="separate"/>
      </w:r>
      <w:r>
        <w:rPr>
          <w:rFonts w:hint="eastAsia"/>
          <w:bCs/>
          <w:sz w:val="24"/>
          <w:szCs w:val="24"/>
        </w:rPr>
        <w:t>8建设项目拟采取的防治措施及预期治理效果</w:t>
      </w:r>
      <w:r>
        <w:rPr>
          <w:sz w:val="24"/>
          <w:szCs w:val="24"/>
        </w:rPr>
        <w:tab/>
      </w:r>
      <w:r>
        <w:rPr>
          <w:sz w:val="24"/>
          <w:szCs w:val="24"/>
        </w:rPr>
        <w:fldChar w:fldCharType="begin"/>
      </w:r>
      <w:r>
        <w:rPr>
          <w:sz w:val="24"/>
          <w:szCs w:val="24"/>
        </w:rPr>
        <w:instrText xml:space="preserve"> PAGEREF _Toc17058 </w:instrText>
      </w:r>
      <w:r>
        <w:rPr>
          <w:sz w:val="24"/>
          <w:szCs w:val="24"/>
        </w:rPr>
        <w:fldChar w:fldCharType="separate"/>
      </w:r>
      <w:r>
        <w:rPr>
          <w:sz w:val="24"/>
          <w:szCs w:val="24"/>
        </w:rPr>
        <w:t>51</w:t>
      </w:r>
      <w:r>
        <w:rPr>
          <w:sz w:val="24"/>
          <w:szCs w:val="24"/>
        </w:rPr>
        <w:fldChar w:fldCharType="end"/>
      </w:r>
      <w:r>
        <w:rPr>
          <w:sz w:val="24"/>
          <w:szCs w:val="24"/>
        </w:rPr>
        <w:fldChar w:fldCharType="end"/>
      </w:r>
    </w:p>
    <w:p>
      <w:pPr>
        <w:pStyle w:val="44"/>
        <w:tabs>
          <w:tab w:val="right" w:leader="dot" w:pos="9072"/>
        </w:tabs>
        <w:spacing w:line="360" w:lineRule="auto"/>
      </w:pPr>
      <w:r>
        <w:fldChar w:fldCharType="begin"/>
      </w:r>
      <w:r>
        <w:instrText xml:space="preserve"> HYPERLINK \l "_Toc31466" </w:instrText>
      </w:r>
      <w:r>
        <w:fldChar w:fldCharType="separate"/>
      </w:r>
      <w:r>
        <w:rPr>
          <w:bCs/>
          <w:sz w:val="24"/>
          <w:szCs w:val="24"/>
        </w:rPr>
        <w:t>9结论与建议</w:t>
      </w:r>
      <w:r>
        <w:rPr>
          <w:sz w:val="24"/>
          <w:szCs w:val="24"/>
        </w:rPr>
        <w:tab/>
      </w:r>
      <w:r>
        <w:rPr>
          <w:sz w:val="24"/>
          <w:szCs w:val="24"/>
        </w:rPr>
        <w:fldChar w:fldCharType="begin"/>
      </w:r>
      <w:r>
        <w:rPr>
          <w:sz w:val="24"/>
          <w:szCs w:val="24"/>
        </w:rPr>
        <w:instrText xml:space="preserve"> PAGEREF _Toc31466 </w:instrText>
      </w:r>
      <w:r>
        <w:rPr>
          <w:sz w:val="24"/>
          <w:szCs w:val="24"/>
        </w:rPr>
        <w:fldChar w:fldCharType="separate"/>
      </w:r>
      <w:r>
        <w:rPr>
          <w:sz w:val="24"/>
          <w:szCs w:val="24"/>
        </w:rPr>
        <w:t>53</w:t>
      </w:r>
      <w:r>
        <w:rPr>
          <w:sz w:val="24"/>
          <w:szCs w:val="24"/>
        </w:rPr>
        <w:fldChar w:fldCharType="end"/>
      </w:r>
      <w:r>
        <w:rPr>
          <w:sz w:val="24"/>
          <w:szCs w:val="24"/>
        </w:rPr>
        <w:fldChar w:fldCharType="end"/>
      </w:r>
    </w:p>
    <w:p>
      <w:pPr>
        <w:spacing w:line="360" w:lineRule="auto"/>
        <w:rPr>
          <w:sz w:val="28"/>
          <w:szCs w:val="28"/>
        </w:rPr>
      </w:pPr>
      <w:r>
        <w:rPr>
          <w:szCs w:val="28"/>
        </w:rPr>
        <w:fldChar w:fldCharType="end"/>
      </w:r>
    </w:p>
    <w:p>
      <w:pPr>
        <w:pStyle w:val="9"/>
        <w:spacing w:line="360" w:lineRule="auto"/>
        <w:jc w:val="left"/>
        <w:rPr>
          <w:b/>
          <w:bCs/>
          <w:sz w:val="24"/>
        </w:rPr>
      </w:pPr>
    </w:p>
    <w:p/>
    <w:p/>
    <w:p/>
    <w:p/>
    <w:p/>
    <w:p/>
    <w:p/>
    <w:p/>
    <w:p/>
    <w:p/>
    <w:p/>
    <w:p>
      <w:pPr>
        <w:widowControl/>
        <w:jc w:val="left"/>
        <w:outlineLvl w:val="0"/>
        <w:rPr>
          <w:b/>
          <w:sz w:val="24"/>
        </w:rPr>
      </w:pPr>
      <w:bookmarkStart w:id="0" w:name="_Toc17160"/>
      <w:bookmarkStart w:id="1" w:name="_Toc25540_WPSOffice_Level1"/>
      <w:bookmarkStart w:id="2" w:name="_Toc4795_WPSOffice_Level1"/>
      <w:bookmarkStart w:id="3" w:name="_Toc14393_WPSOffice_Level1"/>
      <w:r>
        <w:rPr>
          <w:b/>
          <w:sz w:val="24"/>
        </w:rPr>
        <w:t>附图</w:t>
      </w:r>
      <w:bookmarkEnd w:id="0"/>
      <w:bookmarkEnd w:id="1"/>
      <w:bookmarkEnd w:id="2"/>
      <w:bookmarkEnd w:id="3"/>
    </w:p>
    <w:p>
      <w:pPr>
        <w:snapToGrid w:val="0"/>
        <w:spacing w:before="156" w:beforeLines="50" w:line="300" w:lineRule="exact"/>
        <w:outlineLvl w:val="0"/>
        <w:rPr>
          <w:sz w:val="24"/>
        </w:rPr>
      </w:pPr>
      <w:bookmarkStart w:id="4" w:name="_Toc29579_WPSOffice_Level1"/>
      <w:bookmarkStart w:id="5" w:name="_Toc25692_WPSOffice_Level1"/>
      <w:bookmarkStart w:id="6" w:name="_Toc12859"/>
      <w:bookmarkStart w:id="7" w:name="_Toc6146_WPSOffice_Level1"/>
      <w:r>
        <w:rPr>
          <w:sz w:val="24"/>
        </w:rPr>
        <w:t>附图1：项目地理位置图</w:t>
      </w:r>
      <w:bookmarkEnd w:id="4"/>
      <w:bookmarkEnd w:id="5"/>
      <w:bookmarkEnd w:id="6"/>
      <w:bookmarkEnd w:id="7"/>
    </w:p>
    <w:p>
      <w:pPr>
        <w:snapToGrid w:val="0"/>
        <w:spacing w:before="156" w:beforeLines="50" w:line="300" w:lineRule="exact"/>
        <w:outlineLvl w:val="0"/>
        <w:rPr>
          <w:sz w:val="24"/>
        </w:rPr>
      </w:pPr>
      <w:bookmarkStart w:id="8" w:name="_Toc21419"/>
      <w:bookmarkStart w:id="9" w:name="_Toc24547_WPSOffice_Level1"/>
      <w:bookmarkStart w:id="10" w:name="_Toc25608_WPSOffice_Level1"/>
      <w:bookmarkStart w:id="11" w:name="_Toc9811_WPSOffice_Level1"/>
      <w:r>
        <w:rPr>
          <w:sz w:val="24"/>
        </w:rPr>
        <w:t>附图2：环境保护目标分布图</w:t>
      </w:r>
      <w:bookmarkEnd w:id="8"/>
      <w:bookmarkEnd w:id="9"/>
      <w:bookmarkEnd w:id="10"/>
      <w:bookmarkEnd w:id="11"/>
    </w:p>
    <w:p>
      <w:pPr>
        <w:snapToGrid w:val="0"/>
        <w:spacing w:before="156" w:beforeLines="50" w:line="300" w:lineRule="exact"/>
        <w:outlineLvl w:val="0"/>
        <w:rPr>
          <w:sz w:val="24"/>
        </w:rPr>
      </w:pPr>
      <w:bookmarkStart w:id="12" w:name="_Toc25600_WPSOffice_Level1"/>
      <w:bookmarkStart w:id="13" w:name="_Toc5155_WPSOffice_Level1"/>
      <w:bookmarkStart w:id="14" w:name="_Toc22321"/>
      <w:bookmarkStart w:id="15" w:name="_Toc941_WPSOffice_Level1"/>
      <w:r>
        <w:rPr>
          <w:sz w:val="24"/>
        </w:rPr>
        <w:t>附图3：环境监测布点图</w:t>
      </w:r>
      <w:bookmarkEnd w:id="12"/>
      <w:bookmarkEnd w:id="13"/>
      <w:bookmarkEnd w:id="14"/>
      <w:bookmarkEnd w:id="15"/>
    </w:p>
    <w:p>
      <w:pPr>
        <w:snapToGrid w:val="0"/>
        <w:spacing w:before="156" w:beforeLines="50" w:line="300" w:lineRule="exact"/>
        <w:outlineLvl w:val="0"/>
        <w:rPr>
          <w:sz w:val="24"/>
        </w:rPr>
      </w:pPr>
      <w:bookmarkStart w:id="16" w:name="_Toc7164_WPSOffice_Level1"/>
      <w:bookmarkStart w:id="17" w:name="_Toc13899"/>
      <w:bookmarkStart w:id="18" w:name="_Toc26592_WPSOffice_Level1"/>
      <w:bookmarkStart w:id="19" w:name="_Toc21149_WPSOffice_Level1"/>
      <w:r>
        <w:rPr>
          <w:sz w:val="24"/>
        </w:rPr>
        <w:t>附图4：平面布置示意图</w:t>
      </w:r>
      <w:bookmarkEnd w:id="16"/>
      <w:bookmarkEnd w:id="17"/>
      <w:bookmarkEnd w:id="18"/>
      <w:bookmarkEnd w:id="19"/>
    </w:p>
    <w:p>
      <w:pPr>
        <w:snapToGrid w:val="0"/>
        <w:spacing w:before="156" w:beforeLines="50" w:line="300" w:lineRule="exact"/>
        <w:outlineLvl w:val="0"/>
      </w:pPr>
      <w:r>
        <w:rPr>
          <w:rFonts w:hint="eastAsia"/>
          <w:sz w:val="24"/>
        </w:rPr>
        <w:t>附图5：项目与饮用水源保护区位置图</w:t>
      </w:r>
    </w:p>
    <w:p>
      <w:pPr>
        <w:snapToGrid w:val="0"/>
        <w:spacing w:before="156" w:beforeLines="50" w:line="300" w:lineRule="exact"/>
        <w:outlineLvl w:val="0"/>
        <w:rPr>
          <w:sz w:val="24"/>
        </w:rPr>
      </w:pPr>
      <w:bookmarkStart w:id="20" w:name="_Toc32402_WPSOffice_Level1"/>
      <w:bookmarkStart w:id="21" w:name="_Toc14442"/>
      <w:bookmarkStart w:id="22" w:name="_Toc10427_WPSOffice_Level1"/>
      <w:bookmarkStart w:id="23" w:name="_Toc32232_WPSOffice_Level1"/>
      <w:r>
        <w:rPr>
          <w:sz w:val="24"/>
        </w:rPr>
        <w:t>附图</w:t>
      </w:r>
      <w:r>
        <w:rPr>
          <w:rFonts w:hint="eastAsia"/>
          <w:sz w:val="24"/>
        </w:rPr>
        <w:t>6</w:t>
      </w:r>
      <w:r>
        <w:rPr>
          <w:sz w:val="24"/>
        </w:rPr>
        <w:t>：项目现场踏勘图</w:t>
      </w:r>
      <w:bookmarkEnd w:id="20"/>
      <w:bookmarkEnd w:id="21"/>
      <w:bookmarkEnd w:id="22"/>
      <w:bookmarkEnd w:id="23"/>
    </w:p>
    <w:p>
      <w:pPr>
        <w:spacing w:before="156" w:beforeLines="50" w:line="360" w:lineRule="auto"/>
        <w:rPr>
          <w:b/>
          <w:sz w:val="24"/>
        </w:rPr>
      </w:pPr>
      <w:bookmarkStart w:id="24" w:name="_Toc26089_WPSOffice_Level1"/>
      <w:bookmarkStart w:id="25" w:name="_Toc14120_WPSOffice_Level1"/>
      <w:bookmarkStart w:id="26" w:name="_Toc6482_WPSOffice_Level1"/>
    </w:p>
    <w:p>
      <w:pPr>
        <w:spacing w:before="156" w:beforeLines="50" w:line="360" w:lineRule="auto"/>
        <w:outlineLvl w:val="0"/>
        <w:rPr>
          <w:b/>
          <w:sz w:val="24"/>
        </w:rPr>
      </w:pPr>
      <w:bookmarkStart w:id="27" w:name="_Toc32379"/>
      <w:r>
        <w:rPr>
          <w:b/>
          <w:sz w:val="24"/>
        </w:rPr>
        <w:t>附件</w:t>
      </w:r>
      <w:bookmarkEnd w:id="24"/>
      <w:bookmarkEnd w:id="25"/>
      <w:bookmarkEnd w:id="26"/>
      <w:bookmarkEnd w:id="27"/>
    </w:p>
    <w:p>
      <w:pPr>
        <w:snapToGrid w:val="0"/>
        <w:spacing w:line="360" w:lineRule="auto"/>
        <w:outlineLvl w:val="0"/>
        <w:rPr>
          <w:sz w:val="24"/>
        </w:rPr>
      </w:pPr>
      <w:bookmarkStart w:id="28" w:name="_Toc29284_WPSOffice_Level1"/>
      <w:bookmarkStart w:id="29" w:name="_Toc13715_WPSOffice_Level1"/>
      <w:bookmarkStart w:id="30" w:name="_Toc22021_WPSOffice_Level1"/>
      <w:bookmarkStart w:id="31" w:name="_Toc1771"/>
      <w:r>
        <w:rPr>
          <w:sz w:val="24"/>
        </w:rPr>
        <w:t>附件1：</w:t>
      </w:r>
      <w:bookmarkEnd w:id="28"/>
      <w:bookmarkEnd w:id="29"/>
      <w:bookmarkEnd w:id="30"/>
      <w:r>
        <w:rPr>
          <w:sz w:val="24"/>
        </w:rPr>
        <w:t>项目委托书</w:t>
      </w:r>
      <w:bookmarkEnd w:id="31"/>
    </w:p>
    <w:p>
      <w:pPr>
        <w:snapToGrid w:val="0"/>
        <w:spacing w:line="360" w:lineRule="auto"/>
        <w:outlineLvl w:val="0"/>
        <w:rPr>
          <w:sz w:val="24"/>
        </w:rPr>
      </w:pPr>
      <w:bookmarkStart w:id="32" w:name="_Toc7084_WPSOffice_Level1"/>
      <w:bookmarkStart w:id="33" w:name="_Toc22789_WPSOffice_Level1"/>
      <w:bookmarkStart w:id="34" w:name="_Toc10029_WPSOffice_Level1"/>
      <w:bookmarkStart w:id="35" w:name="_Toc24036"/>
      <w:r>
        <w:rPr>
          <w:sz w:val="24"/>
        </w:rPr>
        <w:t>附件2：</w:t>
      </w:r>
      <w:bookmarkEnd w:id="32"/>
      <w:bookmarkEnd w:id="33"/>
      <w:bookmarkEnd w:id="34"/>
      <w:r>
        <w:rPr>
          <w:sz w:val="24"/>
        </w:rPr>
        <w:t>营业执照</w:t>
      </w:r>
      <w:bookmarkEnd w:id="35"/>
    </w:p>
    <w:p>
      <w:pPr>
        <w:snapToGrid w:val="0"/>
        <w:spacing w:line="360" w:lineRule="auto"/>
        <w:outlineLvl w:val="0"/>
        <w:rPr>
          <w:sz w:val="24"/>
        </w:rPr>
      </w:pPr>
      <w:bookmarkStart w:id="36" w:name="_Toc3583_WPSOffice_Level1"/>
      <w:bookmarkStart w:id="37" w:name="_Toc13053_WPSOffice_Level1"/>
      <w:bookmarkStart w:id="38" w:name="_Toc18317"/>
      <w:bookmarkStart w:id="39" w:name="_Toc12559_WPSOffice_Level1"/>
      <w:r>
        <w:rPr>
          <w:sz w:val="24"/>
        </w:rPr>
        <w:t>附件3：监测质量保证单</w:t>
      </w:r>
      <w:bookmarkEnd w:id="36"/>
      <w:bookmarkEnd w:id="37"/>
      <w:bookmarkEnd w:id="38"/>
      <w:bookmarkEnd w:id="39"/>
    </w:p>
    <w:p>
      <w:pPr>
        <w:snapToGrid w:val="0"/>
        <w:spacing w:line="360" w:lineRule="auto"/>
        <w:outlineLvl w:val="0"/>
        <w:rPr>
          <w:sz w:val="24"/>
        </w:rPr>
      </w:pPr>
      <w:bookmarkStart w:id="40" w:name="_Toc9565_WPSOffice_Level1"/>
      <w:bookmarkStart w:id="41" w:name="_Toc24602_WPSOffice_Level1"/>
      <w:bookmarkStart w:id="42" w:name="_Toc21611_WPSOffice_Level1"/>
      <w:bookmarkStart w:id="43" w:name="_Toc16517"/>
      <w:r>
        <w:rPr>
          <w:sz w:val="24"/>
        </w:rPr>
        <w:t>附件4：</w:t>
      </w:r>
      <w:bookmarkEnd w:id="40"/>
      <w:bookmarkEnd w:id="41"/>
      <w:bookmarkEnd w:id="42"/>
      <w:r>
        <w:rPr>
          <w:sz w:val="24"/>
        </w:rPr>
        <w:t>租赁合同</w:t>
      </w:r>
      <w:bookmarkEnd w:id="43"/>
    </w:p>
    <w:p>
      <w:pPr>
        <w:pStyle w:val="16"/>
        <w:spacing w:line="360" w:lineRule="auto"/>
        <w:ind w:left="0" w:leftChars="0"/>
        <w:outlineLvl w:val="0"/>
        <w:rPr>
          <w:rFonts w:hint="default" w:eastAsia="宋体"/>
          <w:sz w:val="24"/>
          <w:lang w:val="en-US" w:eastAsia="zh-CN"/>
        </w:rPr>
      </w:pPr>
      <w:bookmarkStart w:id="44" w:name="_Toc28342"/>
      <w:r>
        <w:rPr>
          <w:sz w:val="24"/>
        </w:rPr>
        <w:t>附件</w:t>
      </w:r>
      <w:r>
        <w:rPr>
          <w:rFonts w:hint="eastAsia"/>
          <w:sz w:val="24"/>
          <w:lang w:val="en-US" w:eastAsia="zh-CN"/>
        </w:rPr>
        <w:t>5</w:t>
      </w:r>
      <w:r>
        <w:rPr>
          <w:sz w:val="24"/>
        </w:rPr>
        <w:t>：</w:t>
      </w:r>
      <w:r>
        <w:rPr>
          <w:rFonts w:hint="eastAsia"/>
          <w:sz w:val="24"/>
          <w:lang w:val="en-US" w:eastAsia="zh-CN"/>
        </w:rPr>
        <w:t>湘阴县人民政府县长办公会议纪要</w:t>
      </w:r>
    </w:p>
    <w:p>
      <w:pPr>
        <w:pStyle w:val="16"/>
        <w:spacing w:line="360" w:lineRule="auto"/>
        <w:ind w:left="0" w:leftChars="0"/>
        <w:outlineLvl w:val="0"/>
        <w:rPr>
          <w:rFonts w:hint="default" w:eastAsia="宋体"/>
          <w:sz w:val="24"/>
          <w:lang w:val="en-US" w:eastAsia="zh-CN"/>
        </w:rPr>
      </w:pPr>
      <w:r>
        <w:rPr>
          <w:sz w:val="24"/>
        </w:rPr>
        <w:t>附件</w:t>
      </w:r>
      <w:r>
        <w:rPr>
          <w:rFonts w:hint="eastAsia"/>
          <w:sz w:val="24"/>
          <w:lang w:val="en-US" w:eastAsia="zh-CN"/>
        </w:rPr>
        <w:t>6</w:t>
      </w:r>
      <w:r>
        <w:rPr>
          <w:sz w:val="24"/>
        </w:rPr>
        <w:t>：</w:t>
      </w:r>
      <w:r>
        <w:rPr>
          <w:rFonts w:hint="eastAsia"/>
          <w:sz w:val="24"/>
          <w:lang w:val="en-US" w:eastAsia="zh-CN"/>
        </w:rPr>
        <w:t>关于批准《湘阴县预拌混凝土专项规范（2017-2020）》的指示</w:t>
      </w:r>
    </w:p>
    <w:p>
      <w:pPr>
        <w:pStyle w:val="16"/>
        <w:spacing w:line="360" w:lineRule="auto"/>
        <w:ind w:left="0" w:leftChars="0"/>
        <w:outlineLvl w:val="0"/>
        <w:rPr>
          <w:rFonts w:hint="eastAsia"/>
          <w:sz w:val="24"/>
        </w:rPr>
      </w:pPr>
      <w:r>
        <w:rPr>
          <w:sz w:val="24"/>
        </w:rPr>
        <w:t>附件</w:t>
      </w:r>
      <w:r>
        <w:rPr>
          <w:rFonts w:hint="eastAsia"/>
          <w:sz w:val="24"/>
          <w:lang w:val="en-US" w:eastAsia="zh-CN"/>
        </w:rPr>
        <w:t>7</w:t>
      </w:r>
      <w:r>
        <w:rPr>
          <w:sz w:val="24"/>
        </w:rPr>
        <w:t>：</w:t>
      </w:r>
      <w:r>
        <w:rPr>
          <w:rFonts w:hint="eastAsia"/>
          <w:sz w:val="24"/>
        </w:rPr>
        <w:t>选址联审表</w:t>
      </w:r>
      <w:bookmarkEnd w:id="44"/>
    </w:p>
    <w:p>
      <w:pPr>
        <w:snapToGrid w:val="0"/>
        <w:spacing w:before="156" w:beforeLines="50" w:line="360" w:lineRule="auto"/>
        <w:outlineLvl w:val="0"/>
        <w:rPr>
          <w:sz w:val="24"/>
        </w:rPr>
      </w:pPr>
      <w:bookmarkStart w:id="45" w:name="_Toc10246"/>
      <w:r>
        <w:rPr>
          <w:sz w:val="24"/>
        </w:rPr>
        <w:t>附件</w:t>
      </w:r>
      <w:r>
        <w:rPr>
          <w:rFonts w:hint="eastAsia"/>
          <w:sz w:val="24"/>
          <w:lang w:val="en-US" w:eastAsia="zh-CN"/>
        </w:rPr>
        <w:t>8</w:t>
      </w:r>
      <w:r>
        <w:rPr>
          <w:sz w:val="24"/>
        </w:rPr>
        <w:t>：建设项目大气环境影响评价自</w:t>
      </w:r>
      <w:bookmarkStart w:id="100" w:name="_GoBack"/>
      <w:bookmarkEnd w:id="100"/>
      <w:r>
        <w:rPr>
          <w:sz w:val="24"/>
        </w:rPr>
        <w:t>查表</w:t>
      </w:r>
      <w:bookmarkEnd w:id="45"/>
    </w:p>
    <w:p>
      <w:pPr>
        <w:snapToGrid w:val="0"/>
        <w:spacing w:before="156" w:beforeLines="50" w:line="360" w:lineRule="auto"/>
        <w:outlineLvl w:val="0"/>
        <w:rPr>
          <w:sz w:val="24"/>
        </w:rPr>
      </w:pPr>
      <w:bookmarkStart w:id="46" w:name="_Toc17119"/>
      <w:r>
        <w:rPr>
          <w:sz w:val="24"/>
        </w:rPr>
        <w:t>附件</w:t>
      </w:r>
      <w:r>
        <w:rPr>
          <w:rFonts w:hint="eastAsia"/>
          <w:sz w:val="24"/>
          <w:lang w:val="en-US" w:eastAsia="zh-CN"/>
        </w:rPr>
        <w:t>9</w:t>
      </w:r>
      <w:r>
        <w:rPr>
          <w:sz w:val="24"/>
        </w:rPr>
        <w:t>：建设项目地表水环境影响评价自查表</w:t>
      </w:r>
      <w:bookmarkEnd w:id="46"/>
    </w:p>
    <w:p>
      <w:pPr>
        <w:snapToGrid w:val="0"/>
        <w:spacing w:before="156" w:beforeLines="50" w:line="360" w:lineRule="auto"/>
        <w:outlineLvl w:val="0"/>
        <w:rPr>
          <w:sz w:val="24"/>
        </w:rPr>
      </w:pPr>
      <w:bookmarkStart w:id="47" w:name="_Toc9893"/>
      <w:r>
        <w:rPr>
          <w:sz w:val="24"/>
        </w:rPr>
        <w:t>附件</w:t>
      </w:r>
      <w:r>
        <w:rPr>
          <w:rFonts w:hint="eastAsia"/>
          <w:sz w:val="24"/>
          <w:lang w:val="en-US" w:eastAsia="zh-CN"/>
        </w:rPr>
        <w:t>10</w:t>
      </w:r>
      <w:r>
        <w:rPr>
          <w:sz w:val="24"/>
        </w:rPr>
        <w:t>：建设项目</w:t>
      </w:r>
      <w:r>
        <w:rPr>
          <w:rFonts w:hint="eastAsia"/>
          <w:sz w:val="24"/>
        </w:rPr>
        <w:t>环境风险</w:t>
      </w:r>
      <w:r>
        <w:rPr>
          <w:sz w:val="24"/>
        </w:rPr>
        <w:t>评价自查表</w:t>
      </w:r>
      <w:bookmarkEnd w:id="47"/>
    </w:p>
    <w:p>
      <w:pPr>
        <w:pStyle w:val="2"/>
        <w:rPr>
          <w:sz w:val="24"/>
        </w:rPr>
      </w:pPr>
    </w:p>
    <w:p>
      <w:pPr>
        <w:spacing w:before="156" w:beforeLines="50" w:line="360" w:lineRule="auto"/>
        <w:jc w:val="center"/>
        <w:rPr>
          <w:b/>
          <w:sz w:val="24"/>
        </w:rPr>
      </w:pPr>
    </w:p>
    <w:p>
      <w:pPr>
        <w:spacing w:before="156" w:beforeLines="50" w:line="360" w:lineRule="auto"/>
        <w:outlineLvl w:val="0"/>
        <w:rPr>
          <w:b/>
          <w:sz w:val="24"/>
        </w:rPr>
      </w:pPr>
      <w:bookmarkStart w:id="48" w:name="_Toc1106"/>
      <w:bookmarkStart w:id="49" w:name="_Toc15392_WPSOffice_Level1"/>
      <w:bookmarkStart w:id="50" w:name="_Toc7419_WPSOffice_Level1"/>
      <w:bookmarkStart w:id="51" w:name="_Toc4568_WPSOffice_Level1"/>
      <w:r>
        <w:rPr>
          <w:b/>
          <w:sz w:val="24"/>
        </w:rPr>
        <w:t>附表</w:t>
      </w:r>
      <w:bookmarkEnd w:id="48"/>
      <w:bookmarkEnd w:id="49"/>
      <w:bookmarkEnd w:id="50"/>
      <w:bookmarkEnd w:id="51"/>
    </w:p>
    <w:p>
      <w:pPr>
        <w:snapToGrid w:val="0"/>
        <w:spacing w:before="156" w:beforeLines="50" w:line="300" w:lineRule="exact"/>
        <w:outlineLvl w:val="0"/>
        <w:rPr>
          <w:sz w:val="24"/>
        </w:rPr>
      </w:pPr>
      <w:bookmarkStart w:id="52" w:name="_Toc17053_WPSOffice_Level1"/>
      <w:bookmarkStart w:id="53" w:name="_Toc27204_WPSOffice_Level1"/>
      <w:bookmarkStart w:id="54" w:name="_Toc7810"/>
      <w:bookmarkStart w:id="55" w:name="_Toc29760_WPSOffice_Level1"/>
      <w:r>
        <w:rPr>
          <w:sz w:val="24"/>
        </w:rPr>
        <w:t>附表：建设项目环评审批基础信息表</w:t>
      </w:r>
      <w:bookmarkEnd w:id="52"/>
      <w:bookmarkEnd w:id="53"/>
      <w:bookmarkEnd w:id="54"/>
      <w:bookmarkEnd w:id="55"/>
    </w:p>
    <w:p>
      <w:pPr>
        <w:pStyle w:val="35"/>
        <w:jc w:val="both"/>
        <w:rPr>
          <w:rFonts w:ascii="Times New Roman" w:cs="Times New Roman"/>
          <w:b/>
          <w:bCs/>
          <w:color w:val="auto"/>
          <w:sz w:val="32"/>
          <w:szCs w:val="40"/>
        </w:rPr>
      </w:pPr>
    </w:p>
    <w:p>
      <w:pPr>
        <w:pStyle w:val="35"/>
        <w:jc w:val="both"/>
        <w:rPr>
          <w:rFonts w:ascii="Times New Roman" w:cs="Times New Roman"/>
          <w:b/>
          <w:bCs/>
          <w:color w:val="auto"/>
          <w:sz w:val="32"/>
          <w:szCs w:val="40"/>
        </w:rPr>
        <w:sectPr>
          <w:pgSz w:w="11906" w:h="16838"/>
          <w:pgMar w:top="1134" w:right="1417" w:bottom="1134" w:left="1417" w:header="851" w:footer="992" w:gutter="0"/>
          <w:cols w:space="720" w:num="1"/>
          <w:docGrid w:type="lines" w:linePitch="312" w:charSpace="0"/>
        </w:sectPr>
      </w:pPr>
    </w:p>
    <w:p>
      <w:pPr>
        <w:pStyle w:val="35"/>
        <w:outlineLvl w:val="0"/>
        <w:rPr>
          <w:rFonts w:ascii="Times New Roman" w:cs="Times New Roman"/>
          <w:b/>
          <w:bCs/>
          <w:color w:val="auto"/>
          <w:sz w:val="32"/>
          <w:szCs w:val="40"/>
        </w:rPr>
      </w:pPr>
      <w:bookmarkStart w:id="56" w:name="_Toc3005"/>
      <w:r>
        <w:rPr>
          <w:rFonts w:hint="eastAsia" w:ascii="Times New Roman" w:cs="Times New Roman"/>
          <w:b/>
          <w:bCs/>
          <w:color w:val="auto"/>
          <w:sz w:val="32"/>
          <w:szCs w:val="40"/>
        </w:rPr>
        <w:t>1建设项目基本情况</w:t>
      </w:r>
      <w:bookmarkEnd w:id="56"/>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6"/>
        <w:gridCol w:w="1452"/>
        <w:gridCol w:w="1824"/>
        <w:gridCol w:w="1850"/>
        <w:gridCol w:w="1294"/>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6"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项目名称</w:t>
            </w:r>
          </w:p>
        </w:tc>
        <w:tc>
          <w:tcPr>
            <w:tcW w:w="7762" w:type="dxa"/>
            <w:gridSpan w:val="5"/>
            <w:vAlign w:val="center"/>
          </w:tcPr>
          <w:p>
            <w:pPr>
              <w:pStyle w:val="39"/>
              <w:adjustRightInd w:val="0"/>
              <w:snapToGrid w:val="0"/>
              <w:spacing w:after="0"/>
              <w:rPr>
                <w:rFonts w:ascii="Times New Roman" w:hAnsi="Times New Roman"/>
                <w:szCs w:val="24"/>
              </w:rPr>
            </w:pPr>
            <w:r>
              <w:rPr>
                <w:rFonts w:hint="eastAsia" w:ascii="Times New Roman" w:hAnsi="Times New Roman"/>
                <w:szCs w:val="24"/>
              </w:rPr>
              <w:t>年产20万立方商品混凝土</w:t>
            </w:r>
            <w:r>
              <w:rPr>
                <w:rFonts w:ascii="Times New Roman" w:hAnsi="Times New Roman"/>
                <w:szCs w:val="24"/>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6"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建设单位</w:t>
            </w:r>
          </w:p>
        </w:tc>
        <w:tc>
          <w:tcPr>
            <w:tcW w:w="7762" w:type="dxa"/>
            <w:gridSpan w:val="5"/>
            <w:vAlign w:val="center"/>
          </w:tcPr>
          <w:p>
            <w:pPr>
              <w:pStyle w:val="39"/>
              <w:adjustRightInd w:val="0"/>
              <w:snapToGrid w:val="0"/>
              <w:spacing w:after="0"/>
              <w:rPr>
                <w:rFonts w:ascii="Times New Roman" w:hAnsi="Times New Roman"/>
                <w:szCs w:val="24"/>
              </w:rPr>
            </w:pPr>
            <w:r>
              <w:rPr>
                <w:rFonts w:hint="eastAsia" w:ascii="Times New Roman" w:hAnsi="Times New Roman"/>
                <w:szCs w:val="24"/>
              </w:rPr>
              <w:t>湘阴临资口混凝土有限公司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6"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法人代表</w:t>
            </w:r>
          </w:p>
        </w:tc>
        <w:tc>
          <w:tcPr>
            <w:tcW w:w="3276" w:type="dxa"/>
            <w:gridSpan w:val="2"/>
            <w:vAlign w:val="center"/>
          </w:tcPr>
          <w:p>
            <w:pPr>
              <w:pStyle w:val="39"/>
              <w:adjustRightInd w:val="0"/>
              <w:snapToGrid w:val="0"/>
              <w:spacing w:after="0"/>
              <w:rPr>
                <w:rFonts w:ascii="Times New Roman" w:hAnsi="Times New Roman"/>
                <w:szCs w:val="24"/>
              </w:rPr>
            </w:pPr>
            <w:r>
              <w:rPr>
                <w:rFonts w:hint="eastAsia" w:ascii="Times New Roman" w:hAnsi="Times New Roman"/>
                <w:szCs w:val="24"/>
              </w:rPr>
              <w:t>张立辉</w:t>
            </w:r>
          </w:p>
        </w:tc>
        <w:tc>
          <w:tcPr>
            <w:tcW w:w="1850" w:type="dxa"/>
            <w:vAlign w:val="center"/>
          </w:tcPr>
          <w:p>
            <w:pPr>
              <w:pStyle w:val="39"/>
              <w:spacing w:after="0"/>
              <w:rPr>
                <w:rFonts w:ascii="Times New Roman" w:hAnsi="Times New Roman"/>
                <w:szCs w:val="24"/>
              </w:rPr>
            </w:pPr>
            <w:r>
              <w:rPr>
                <w:rFonts w:ascii="Times New Roman" w:hAnsi="Times New Roman"/>
                <w:szCs w:val="24"/>
              </w:rPr>
              <w:t>联系人</w:t>
            </w:r>
          </w:p>
        </w:tc>
        <w:tc>
          <w:tcPr>
            <w:tcW w:w="2636" w:type="dxa"/>
            <w:gridSpan w:val="2"/>
            <w:vAlign w:val="center"/>
          </w:tcPr>
          <w:p>
            <w:pPr>
              <w:pStyle w:val="39"/>
              <w:spacing w:after="0"/>
              <w:rPr>
                <w:rFonts w:ascii="Times New Roman" w:hAnsi="Times New Roman"/>
                <w:szCs w:val="24"/>
              </w:rPr>
            </w:pPr>
            <w:r>
              <w:rPr>
                <w:rFonts w:hint="eastAsia" w:ascii="Times New Roman" w:hAnsi="Times New Roman"/>
                <w:szCs w:val="24"/>
              </w:rPr>
              <w:t>张立辉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6"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通讯地址</w:t>
            </w:r>
          </w:p>
        </w:tc>
        <w:tc>
          <w:tcPr>
            <w:tcW w:w="7762" w:type="dxa"/>
            <w:gridSpan w:val="5"/>
            <w:vAlign w:val="center"/>
          </w:tcPr>
          <w:p>
            <w:pPr>
              <w:pStyle w:val="35"/>
              <w:spacing w:after="0"/>
              <w:jc w:val="center"/>
              <w:rPr>
                <w:rFonts w:ascii="Times New Roman" w:cs="Times New Roman"/>
                <w:color w:val="auto"/>
                <w:szCs w:val="32"/>
              </w:rPr>
            </w:pPr>
            <w:r>
              <w:rPr>
                <w:rFonts w:hint="eastAsia" w:ascii="Times New Roman"/>
                <w:color w:val="auto"/>
              </w:rPr>
              <w:t>湖南省岳阳市湘阴县湘滨镇临资口村小河边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6"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联系电话</w:t>
            </w:r>
          </w:p>
        </w:tc>
        <w:tc>
          <w:tcPr>
            <w:tcW w:w="3276" w:type="dxa"/>
            <w:gridSpan w:val="2"/>
            <w:vAlign w:val="center"/>
          </w:tcPr>
          <w:p>
            <w:pPr>
              <w:pStyle w:val="35"/>
              <w:spacing w:after="0"/>
              <w:jc w:val="center"/>
              <w:rPr>
                <w:rFonts w:ascii="Times New Roman" w:cs="Times New Roman"/>
                <w:color w:val="auto"/>
                <w:szCs w:val="32"/>
              </w:rPr>
            </w:pPr>
            <w:r>
              <w:rPr>
                <w:rFonts w:hint="eastAsia" w:ascii="Times New Roman"/>
              </w:rPr>
              <w:t>13054072363</w:t>
            </w:r>
          </w:p>
        </w:tc>
        <w:tc>
          <w:tcPr>
            <w:tcW w:w="1850"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邮编</w:t>
            </w:r>
          </w:p>
        </w:tc>
        <w:tc>
          <w:tcPr>
            <w:tcW w:w="2636" w:type="dxa"/>
            <w:gridSpan w:val="2"/>
            <w:vAlign w:val="center"/>
          </w:tcPr>
          <w:p>
            <w:pPr>
              <w:pStyle w:val="35"/>
              <w:spacing w:after="0"/>
              <w:jc w:val="center"/>
              <w:rPr>
                <w:rFonts w:ascii="Times New Roman" w:cs="Times New Roman"/>
                <w:color w:val="auto"/>
                <w:szCs w:val="32"/>
              </w:rPr>
            </w:pPr>
            <w:r>
              <w:rPr>
                <w:rFonts w:hint="eastAsia" w:ascii="Times New Roman" w:cs="Times New Roman"/>
                <w:kern w:val="2"/>
                <w:szCs w:val="22"/>
              </w:rPr>
              <w:t>414600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6"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建设地点</w:t>
            </w:r>
          </w:p>
        </w:tc>
        <w:tc>
          <w:tcPr>
            <w:tcW w:w="7762" w:type="dxa"/>
            <w:gridSpan w:val="5"/>
            <w:vAlign w:val="center"/>
          </w:tcPr>
          <w:p>
            <w:pPr>
              <w:pStyle w:val="39"/>
              <w:adjustRightInd w:val="0"/>
              <w:snapToGrid w:val="0"/>
              <w:spacing w:after="0"/>
              <w:rPr>
                <w:rFonts w:ascii="Times New Roman" w:hAnsi="Times New Roman"/>
                <w:szCs w:val="24"/>
              </w:rPr>
            </w:pPr>
            <w:r>
              <w:rPr>
                <w:rFonts w:ascii="Times New Roman" w:hAnsi="Times New Roman"/>
                <w:szCs w:val="24"/>
              </w:rPr>
              <w:t>湖南省</w:t>
            </w:r>
            <w:r>
              <w:rPr>
                <w:rFonts w:hint="eastAsia" w:ascii="Times New Roman" w:hAnsi="Times New Roman"/>
                <w:szCs w:val="24"/>
              </w:rPr>
              <w:t>岳阳市湘阴县杨林寨乡沅潭村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6"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立项审批部门</w:t>
            </w:r>
          </w:p>
        </w:tc>
        <w:tc>
          <w:tcPr>
            <w:tcW w:w="3276" w:type="dxa"/>
            <w:gridSpan w:val="2"/>
            <w:vAlign w:val="center"/>
          </w:tcPr>
          <w:p>
            <w:pPr>
              <w:pStyle w:val="39"/>
              <w:adjustRightInd w:val="0"/>
              <w:snapToGrid w:val="0"/>
              <w:spacing w:after="0"/>
              <w:rPr>
                <w:rFonts w:ascii="Times New Roman" w:hAnsi="Times New Roman"/>
                <w:szCs w:val="24"/>
              </w:rPr>
            </w:pPr>
            <w:r>
              <w:rPr>
                <w:rFonts w:ascii="Times New Roman" w:hAnsi="Times New Roman"/>
                <w:szCs w:val="24"/>
              </w:rPr>
              <w:t>—</w:t>
            </w:r>
          </w:p>
        </w:tc>
        <w:tc>
          <w:tcPr>
            <w:tcW w:w="1850" w:type="dxa"/>
            <w:vAlign w:val="center"/>
          </w:tcPr>
          <w:p>
            <w:pPr>
              <w:pStyle w:val="39"/>
              <w:spacing w:after="0"/>
              <w:rPr>
                <w:rFonts w:ascii="Times New Roman" w:hAnsi="Times New Roman"/>
                <w:szCs w:val="24"/>
              </w:rPr>
            </w:pPr>
            <w:r>
              <w:rPr>
                <w:rFonts w:ascii="Times New Roman" w:hAnsi="Times New Roman"/>
                <w:szCs w:val="24"/>
              </w:rPr>
              <w:t>批准文号</w:t>
            </w:r>
          </w:p>
        </w:tc>
        <w:tc>
          <w:tcPr>
            <w:tcW w:w="2636" w:type="dxa"/>
            <w:gridSpan w:val="2"/>
            <w:vAlign w:val="center"/>
          </w:tcPr>
          <w:p>
            <w:pPr>
              <w:pStyle w:val="39"/>
              <w:spacing w:after="0"/>
              <w:rPr>
                <w:rFonts w:ascii="Times New Roman" w:hAnsi="Times New Roman"/>
                <w:szCs w:val="24"/>
              </w:rPr>
            </w:pPr>
            <w:r>
              <w:rPr>
                <w:rFonts w:ascii="Times New Roman" w:hAnsi="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6"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建设性质</w:t>
            </w:r>
          </w:p>
        </w:tc>
        <w:tc>
          <w:tcPr>
            <w:tcW w:w="3276" w:type="dxa"/>
            <w:gridSpan w:val="2"/>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新建</w:t>
            </w:r>
            <w:r>
              <w:rPr>
                <w:rFonts w:hint="eastAsia" w:ascii="Times New Roman" w:cs="Times New Roman"/>
                <w:color w:val="auto"/>
              </w:rPr>
              <w:t>（迁建）</w:t>
            </w:r>
          </w:p>
        </w:tc>
        <w:tc>
          <w:tcPr>
            <w:tcW w:w="1850"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行业类别及代码</w:t>
            </w:r>
          </w:p>
        </w:tc>
        <w:tc>
          <w:tcPr>
            <w:tcW w:w="2636" w:type="dxa"/>
            <w:gridSpan w:val="2"/>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C3021水泥制品制造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6"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占地面积</w:t>
            </w:r>
          </w:p>
          <w:p>
            <w:pPr>
              <w:pStyle w:val="35"/>
              <w:spacing w:after="0"/>
              <w:jc w:val="center"/>
              <w:rPr>
                <w:rFonts w:ascii="Times New Roman" w:cs="Times New Roman"/>
                <w:color w:val="auto"/>
                <w:szCs w:val="32"/>
              </w:rPr>
            </w:pPr>
            <w:r>
              <w:rPr>
                <w:rFonts w:hint="eastAsia" w:ascii="Times New Roman" w:cs="Times New Roman"/>
                <w:color w:val="auto"/>
                <w:szCs w:val="32"/>
              </w:rPr>
              <w:t>（m</w:t>
            </w:r>
            <w:r>
              <w:rPr>
                <w:rFonts w:hint="eastAsia" w:ascii="Times New Roman" w:cs="Times New Roman"/>
                <w:color w:val="auto"/>
                <w:szCs w:val="32"/>
                <w:vertAlign w:val="superscript"/>
              </w:rPr>
              <w:t>2</w:t>
            </w:r>
            <w:r>
              <w:rPr>
                <w:rFonts w:hint="eastAsia" w:ascii="Times New Roman" w:cs="Times New Roman"/>
                <w:color w:val="auto"/>
                <w:szCs w:val="32"/>
              </w:rPr>
              <w:t>）</w:t>
            </w:r>
          </w:p>
        </w:tc>
        <w:tc>
          <w:tcPr>
            <w:tcW w:w="3276" w:type="dxa"/>
            <w:gridSpan w:val="2"/>
            <w:vAlign w:val="center"/>
          </w:tcPr>
          <w:p>
            <w:pPr>
              <w:pStyle w:val="39"/>
              <w:adjustRightInd w:val="0"/>
              <w:snapToGrid w:val="0"/>
              <w:spacing w:after="0"/>
              <w:rPr>
                <w:rFonts w:ascii="Times New Roman" w:hAnsi="Times New Roman"/>
                <w:szCs w:val="24"/>
              </w:rPr>
            </w:pPr>
            <w:r>
              <w:rPr>
                <w:rFonts w:hint="eastAsia" w:ascii="Times New Roman" w:hAnsi="Times New Roman"/>
                <w:szCs w:val="24"/>
              </w:rPr>
              <w:t>8000</w:t>
            </w:r>
          </w:p>
        </w:tc>
        <w:tc>
          <w:tcPr>
            <w:tcW w:w="1850" w:type="dxa"/>
            <w:vAlign w:val="center"/>
          </w:tcPr>
          <w:p>
            <w:pPr>
              <w:pStyle w:val="39"/>
              <w:spacing w:after="0"/>
              <w:rPr>
                <w:rFonts w:ascii="Times New Roman" w:hAnsi="Times New Roman"/>
                <w:szCs w:val="24"/>
              </w:rPr>
            </w:pPr>
            <w:r>
              <w:rPr>
                <w:rFonts w:ascii="Times New Roman" w:hAnsi="Times New Roman"/>
                <w:szCs w:val="24"/>
              </w:rPr>
              <w:t>绿化率（%）</w:t>
            </w:r>
          </w:p>
        </w:tc>
        <w:tc>
          <w:tcPr>
            <w:tcW w:w="2636" w:type="dxa"/>
            <w:gridSpan w:val="2"/>
            <w:vAlign w:val="center"/>
          </w:tcPr>
          <w:p>
            <w:pPr>
              <w:pStyle w:val="39"/>
              <w:spacing w:after="0"/>
              <w:rPr>
                <w:rFonts w:ascii="Times New Roman" w:hAnsi="Times New Roman"/>
                <w:szCs w:val="24"/>
              </w:rPr>
            </w:pPr>
            <w:r>
              <w:rPr>
                <w:rFonts w:hint="eastAsia" w:ascii="Times New Roman" w:hAnsi="Times New Roman"/>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6"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总投资</w:t>
            </w:r>
          </w:p>
          <w:p>
            <w:pPr>
              <w:pStyle w:val="35"/>
              <w:spacing w:after="0"/>
              <w:jc w:val="center"/>
              <w:rPr>
                <w:rFonts w:ascii="Times New Roman" w:cs="Times New Roman"/>
                <w:color w:val="auto"/>
                <w:szCs w:val="32"/>
              </w:rPr>
            </w:pPr>
            <w:r>
              <w:rPr>
                <w:rFonts w:hint="eastAsia" w:ascii="Times New Roman" w:cs="Times New Roman"/>
                <w:color w:val="auto"/>
                <w:szCs w:val="32"/>
              </w:rPr>
              <w:t>（万元）</w:t>
            </w:r>
          </w:p>
        </w:tc>
        <w:tc>
          <w:tcPr>
            <w:tcW w:w="1452" w:type="dxa"/>
            <w:vAlign w:val="center"/>
          </w:tcPr>
          <w:p>
            <w:pPr>
              <w:adjustRightInd w:val="0"/>
              <w:snapToGrid w:val="0"/>
              <w:spacing w:after="0"/>
              <w:jc w:val="center"/>
              <w:rPr>
                <w:color w:val="000000"/>
                <w:sz w:val="24"/>
              </w:rPr>
            </w:pPr>
            <w:r>
              <w:rPr>
                <w:rFonts w:hint="eastAsia"/>
                <w:color w:val="000000"/>
                <w:sz w:val="24"/>
              </w:rPr>
              <w:t>2500</w:t>
            </w:r>
          </w:p>
        </w:tc>
        <w:tc>
          <w:tcPr>
            <w:tcW w:w="1824" w:type="dxa"/>
            <w:vAlign w:val="center"/>
          </w:tcPr>
          <w:p>
            <w:pPr>
              <w:pStyle w:val="39"/>
              <w:adjustRightInd w:val="0"/>
              <w:snapToGrid w:val="0"/>
              <w:spacing w:after="0"/>
              <w:rPr>
                <w:rFonts w:ascii="Times New Roman" w:hAnsi="Times New Roman"/>
                <w:szCs w:val="24"/>
              </w:rPr>
            </w:pPr>
            <w:r>
              <w:rPr>
                <w:rFonts w:ascii="Times New Roman" w:hAnsi="Times New Roman"/>
                <w:szCs w:val="24"/>
              </w:rPr>
              <w:t>其中：环保投资（万元）</w:t>
            </w:r>
          </w:p>
        </w:tc>
        <w:tc>
          <w:tcPr>
            <w:tcW w:w="1850" w:type="dxa"/>
            <w:vAlign w:val="center"/>
          </w:tcPr>
          <w:p>
            <w:pPr>
              <w:pStyle w:val="39"/>
              <w:adjustRightInd w:val="0"/>
              <w:snapToGrid w:val="0"/>
              <w:spacing w:after="0"/>
              <w:rPr>
                <w:rFonts w:ascii="Times New Roman" w:hAnsi="Times New Roman"/>
                <w:color w:val="auto"/>
                <w:szCs w:val="24"/>
              </w:rPr>
            </w:pPr>
            <w:r>
              <w:rPr>
                <w:rFonts w:hint="eastAsia" w:ascii="Times New Roman" w:hAnsi="Times New Roman"/>
                <w:color w:val="auto"/>
                <w:szCs w:val="24"/>
              </w:rPr>
              <w:t>11</w:t>
            </w:r>
            <w:r>
              <w:rPr>
                <w:rFonts w:ascii="Times New Roman" w:hAnsi="Times New Roman"/>
                <w:color w:val="auto"/>
                <w:szCs w:val="24"/>
              </w:rPr>
              <w:t>2.1</w:t>
            </w:r>
          </w:p>
        </w:tc>
        <w:tc>
          <w:tcPr>
            <w:tcW w:w="1294" w:type="dxa"/>
            <w:vAlign w:val="center"/>
          </w:tcPr>
          <w:p>
            <w:pPr>
              <w:pStyle w:val="39"/>
              <w:adjustRightInd w:val="0"/>
              <w:snapToGrid w:val="0"/>
              <w:spacing w:after="0"/>
              <w:rPr>
                <w:rFonts w:ascii="Times New Roman" w:hAnsi="Times New Roman"/>
                <w:szCs w:val="24"/>
              </w:rPr>
            </w:pPr>
            <w:r>
              <w:rPr>
                <w:rFonts w:ascii="Times New Roman" w:hAnsi="Times New Roman"/>
                <w:szCs w:val="24"/>
              </w:rPr>
              <w:t>环保投资占总投资比例</w:t>
            </w:r>
          </w:p>
        </w:tc>
        <w:tc>
          <w:tcPr>
            <w:tcW w:w="1342" w:type="dxa"/>
            <w:vAlign w:val="center"/>
          </w:tcPr>
          <w:p>
            <w:pPr>
              <w:pStyle w:val="39"/>
              <w:spacing w:after="0"/>
              <w:rPr>
                <w:rFonts w:ascii="Times New Roman" w:hAnsi="Times New Roman"/>
                <w:color w:val="auto"/>
                <w:szCs w:val="24"/>
              </w:rPr>
            </w:pPr>
            <w:r>
              <w:rPr>
                <w:rFonts w:hint="eastAsia" w:ascii="Times New Roman" w:hAnsi="Times New Roman"/>
                <w:color w:val="auto"/>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6"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评价经费</w:t>
            </w:r>
          </w:p>
          <w:p>
            <w:pPr>
              <w:pStyle w:val="35"/>
              <w:spacing w:after="0"/>
              <w:jc w:val="center"/>
              <w:rPr>
                <w:rFonts w:ascii="Times New Roman" w:cs="Times New Roman"/>
                <w:color w:val="auto"/>
                <w:szCs w:val="32"/>
              </w:rPr>
            </w:pPr>
            <w:r>
              <w:rPr>
                <w:rFonts w:hint="eastAsia" w:ascii="Times New Roman" w:cs="Times New Roman"/>
                <w:color w:val="auto"/>
                <w:szCs w:val="32"/>
              </w:rPr>
              <w:t>（万元）</w:t>
            </w:r>
          </w:p>
        </w:tc>
        <w:tc>
          <w:tcPr>
            <w:tcW w:w="3276" w:type="dxa"/>
            <w:gridSpan w:val="2"/>
            <w:vAlign w:val="center"/>
          </w:tcPr>
          <w:p>
            <w:pPr>
              <w:pStyle w:val="42"/>
              <w:spacing w:after="0"/>
            </w:pPr>
            <w:r>
              <w:rPr>
                <w:rFonts w:hint="eastAsia"/>
              </w:rPr>
              <w:t>/</w:t>
            </w:r>
          </w:p>
        </w:tc>
        <w:tc>
          <w:tcPr>
            <w:tcW w:w="1850" w:type="dxa"/>
            <w:vAlign w:val="center"/>
          </w:tcPr>
          <w:p>
            <w:pPr>
              <w:pStyle w:val="42"/>
              <w:spacing w:after="0"/>
            </w:pPr>
            <w:r>
              <w:rPr>
                <w:rFonts w:hint="eastAsia"/>
              </w:rPr>
              <w:t>投产日期</w:t>
            </w:r>
          </w:p>
        </w:tc>
        <w:tc>
          <w:tcPr>
            <w:tcW w:w="2636" w:type="dxa"/>
            <w:gridSpan w:val="2"/>
            <w:vAlign w:val="center"/>
          </w:tcPr>
          <w:p>
            <w:pPr>
              <w:pStyle w:val="42"/>
              <w:spacing w:after="0"/>
            </w:pPr>
            <w:r>
              <w:rPr>
                <w:rFonts w:cs="Times New Roman"/>
              </w:rPr>
              <w:t>2020年</w:t>
            </w:r>
            <w:r>
              <w:rPr>
                <w:rFonts w:hint="eastAsia" w:cs="Times New Roman"/>
              </w:rPr>
              <w:t>6</w:t>
            </w:r>
            <w:r>
              <w:rPr>
                <w:rFonts w:cs="Times New Roma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88" w:type="dxa"/>
            <w:gridSpan w:val="6"/>
            <w:vAlign w:val="center"/>
          </w:tcPr>
          <w:p>
            <w:pPr>
              <w:pStyle w:val="35"/>
              <w:spacing w:after="0" w:line="360" w:lineRule="auto"/>
              <w:rPr>
                <w:rFonts w:ascii="Times New Roman" w:cs="Times New Roman"/>
                <w:b/>
                <w:bCs/>
                <w:color w:val="auto"/>
                <w:szCs w:val="32"/>
              </w:rPr>
            </w:pPr>
            <w:r>
              <w:rPr>
                <w:rFonts w:hint="eastAsia" w:ascii="Times New Roman" w:cs="Times New Roman"/>
                <w:b/>
                <w:bCs/>
                <w:color w:val="auto"/>
                <w:szCs w:val="32"/>
              </w:rPr>
              <w:t>工程内容及规模</w:t>
            </w:r>
          </w:p>
          <w:p>
            <w:pPr>
              <w:pStyle w:val="35"/>
              <w:spacing w:after="0" w:line="360" w:lineRule="auto"/>
            </w:pPr>
            <w:r>
              <w:rPr>
                <w:rFonts w:hint="eastAsia" w:ascii="Times New Roman" w:cs="Times New Roman"/>
                <w:b/>
                <w:bCs/>
                <w:color w:val="auto"/>
                <w:szCs w:val="32"/>
              </w:rPr>
              <w:t>一、项目背景</w:t>
            </w:r>
          </w:p>
          <w:p>
            <w:pPr>
              <w:pStyle w:val="35"/>
              <w:spacing w:after="0" w:line="360" w:lineRule="auto"/>
              <w:ind w:firstLine="480" w:firstLineChars="200"/>
              <w:jc w:val="both"/>
              <w:rPr>
                <w:rFonts w:ascii="Times New Roman" w:cs="Times New Roman"/>
                <w:color w:val="auto"/>
                <w:szCs w:val="32"/>
              </w:rPr>
            </w:pPr>
            <w:r>
              <w:rPr>
                <w:rFonts w:hint="eastAsia" w:ascii="Times New Roman" w:cs="Times New Roman"/>
                <w:color w:val="auto"/>
                <w:szCs w:val="32"/>
              </w:rPr>
              <w:t>商品混凝土是由水泥、骨料、水及根据需要掺入的外加剂等组分按照一定比例，在搅拌站经计量、拌制后出售，并采用运输车在规定时间内运送到使用地点的商品混凝土拌合物。随着国家对基础设施建设投资的增加以及房地产的兴盛，商品混凝土作为重要的建筑材料，市场对其的需求越来越大，并将保持急剧增加的态势。</w:t>
            </w:r>
          </w:p>
          <w:p>
            <w:pPr>
              <w:pStyle w:val="35"/>
              <w:spacing w:after="0" w:line="360" w:lineRule="auto"/>
              <w:ind w:firstLine="480" w:firstLineChars="200"/>
              <w:jc w:val="both"/>
              <w:rPr>
                <w:rFonts w:ascii="Times New Roman"/>
              </w:rPr>
            </w:pPr>
            <w:r>
              <w:rPr>
                <w:rFonts w:hint="eastAsia" w:ascii="Times New Roman"/>
              </w:rPr>
              <w:t>湘阴临资口混凝土有限公司原厂址位于</w:t>
            </w:r>
            <w:r>
              <w:rPr>
                <w:rFonts w:hint="eastAsia" w:ascii="Times New Roman"/>
                <w:color w:val="auto"/>
              </w:rPr>
              <w:t>湖南省岳阳市湘阴县湘滨镇临资口村小河边，原厂未办理环评手续。现湘阴县政府加强了对全县预拌商品混凝土行业的监管行动，对违规企业进行整治，公司原厂被要求重新选址。公司根据《湘阴县预拌混凝土专项规划（2017-2020）》文件要求，向有关行政主管部门</w:t>
            </w:r>
            <w:r>
              <w:rPr>
                <w:rFonts w:hint="eastAsia" w:ascii="Times New Roman"/>
              </w:rPr>
              <w:t>重新申报了生产资质及选址申请，并经得同意后（见附件5）</w:t>
            </w:r>
            <w:r>
              <w:rPr>
                <w:rFonts w:hint="eastAsia" w:ascii="Times New Roman"/>
                <w:color w:val="auto"/>
              </w:rPr>
              <w:t>将新地址选定于</w:t>
            </w:r>
            <w:r>
              <w:rPr>
                <w:rFonts w:hint="eastAsia" w:ascii="Times New Roman"/>
              </w:rPr>
              <w:t>湘阴县杨林寨乡沅潭村，利用</w:t>
            </w:r>
            <w:r>
              <w:rPr>
                <w:rFonts w:hint="eastAsia" w:ascii="Times New Roman" w:cs="Times New Roman"/>
                <w:bCs/>
              </w:rPr>
              <w:t>湘阴县杨林赛砖瓦厂部分用地进行建设。</w:t>
            </w:r>
          </w:p>
          <w:p>
            <w:pPr>
              <w:pStyle w:val="35"/>
              <w:spacing w:after="0" w:line="360" w:lineRule="auto"/>
              <w:ind w:firstLine="480" w:firstLineChars="200"/>
              <w:rPr>
                <w:rFonts w:ascii="Calibri" w:cs="Times New Roman"/>
                <w:color w:val="auto"/>
                <w:kern w:val="2"/>
              </w:rPr>
            </w:pPr>
            <w:r>
              <w:rPr>
                <w:rFonts w:ascii="Times New Roman"/>
              </w:rPr>
              <w:t>根据</w:t>
            </w:r>
            <w:r>
              <w:rPr>
                <w:rFonts w:hint="eastAsia" w:ascii="Times New Roman"/>
              </w:rPr>
              <w:t>《中华人民共和国环境保护法》</w:t>
            </w:r>
            <w:r>
              <w:rPr>
                <w:rFonts w:ascii="Times New Roman"/>
              </w:rPr>
              <w:t>《中华人民共和国环境影响评价法》《建设项目环境保护管理条例》</w:t>
            </w:r>
            <w:r>
              <w:rPr>
                <w:rFonts w:hint="eastAsia" w:ascii="Times New Roman"/>
              </w:rPr>
              <w:t>（2017年修正）</w:t>
            </w:r>
            <w:r>
              <w:rPr>
                <w:rFonts w:ascii="Times New Roman"/>
              </w:rPr>
              <w:t>等法律法规的有关规定和要求，本项目需要办理环境影响评价手续</w:t>
            </w:r>
            <w:r>
              <w:rPr>
                <w:rFonts w:hint="eastAsia" w:ascii="Times New Roman"/>
              </w:rPr>
              <w:t>。</w:t>
            </w:r>
            <w:r>
              <w:rPr>
                <w:rFonts w:ascii="Times New Roman"/>
              </w:rPr>
              <w:t>对照《建设项目环境影响评价分类管理名录》（生态环境部令〔2018〕第1号），</w:t>
            </w:r>
            <w:r>
              <w:rPr>
                <w:rFonts w:hint="eastAsia" w:ascii="Times New Roman"/>
              </w:rPr>
              <w:t>本项目属于“十九、非金属矿物制品业”中“50、砼结构构件制造、商品混凝土加工”中“全部”，应编制环境影响评价报告表。湘阴临资口混凝土有限公司</w:t>
            </w:r>
            <w:r>
              <w:rPr>
                <w:rFonts w:hint="eastAsia" w:ascii="Calibri" w:cs="Times New Roman"/>
                <w:color w:val="auto"/>
                <w:kern w:val="2"/>
              </w:rPr>
              <w:t>委托我司承担该项目环境影响评价工作。</w:t>
            </w:r>
          </w:p>
          <w:p>
            <w:pPr>
              <w:spacing w:after="0" w:line="360" w:lineRule="auto"/>
              <w:ind w:firstLine="480" w:firstLineChars="200"/>
              <w:jc w:val="left"/>
              <w:rPr>
                <w:szCs w:val="32"/>
              </w:rPr>
            </w:pPr>
            <w:r>
              <w:rPr>
                <w:rFonts w:hint="eastAsia"/>
                <w:sz w:val="24"/>
                <w:szCs w:val="32"/>
              </w:rPr>
              <w:t>我司</w:t>
            </w:r>
            <w:r>
              <w:rPr>
                <w:rFonts w:hint="eastAsia" w:cs="宋体"/>
                <w:color w:val="000000"/>
                <w:sz w:val="24"/>
              </w:rPr>
              <w:t>接受委托后，立即组织专业工作组开展现场踏勘、资料收集工作，在对本项目工程有关环境现状和可能造成的环境影响进行分析后，依照相关环评技术导则的要求编制了本项目环境影响报告表。</w:t>
            </w:r>
          </w:p>
          <w:p>
            <w:pPr>
              <w:pStyle w:val="35"/>
              <w:spacing w:after="0" w:line="360" w:lineRule="auto"/>
              <w:jc w:val="both"/>
              <w:rPr>
                <w:rFonts w:ascii="Times New Roman" w:cs="Times New Roman"/>
                <w:b/>
                <w:bCs/>
                <w:color w:val="auto"/>
                <w:szCs w:val="32"/>
              </w:rPr>
            </w:pPr>
            <w:r>
              <w:rPr>
                <w:rFonts w:hint="eastAsia" w:ascii="Times New Roman" w:cs="Times New Roman"/>
                <w:b/>
                <w:bCs/>
                <w:color w:val="auto"/>
                <w:szCs w:val="32"/>
              </w:rPr>
              <w:t>二、项目工程概况</w:t>
            </w:r>
          </w:p>
          <w:p>
            <w:pPr>
              <w:pStyle w:val="35"/>
              <w:spacing w:after="0" w:line="360" w:lineRule="auto"/>
              <w:ind w:firstLine="480" w:firstLineChars="200"/>
              <w:jc w:val="both"/>
              <w:rPr>
                <w:rFonts w:ascii="Times New Roman" w:cs="Times New Roman"/>
                <w:color w:val="auto"/>
                <w:szCs w:val="32"/>
              </w:rPr>
            </w:pPr>
            <w:r>
              <w:rPr>
                <w:rFonts w:hint="eastAsia" w:ascii="Times New Roman" w:cs="Times New Roman"/>
                <w:color w:val="auto"/>
                <w:szCs w:val="32"/>
              </w:rPr>
              <w:t>（1）项目工程建设内容</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宋体"/>
                <w:kern w:val="2"/>
              </w:rPr>
            </w:pPr>
            <w:r>
              <w:rPr>
                <w:rFonts w:hint="eastAsia" w:ascii="Times New Roman" w:hAnsi="Times New Roman" w:cs="宋体"/>
                <w:kern w:val="2"/>
              </w:rPr>
              <w:t>本项目建设内容主要为</w:t>
            </w:r>
            <w:r>
              <w:rPr>
                <w:rFonts w:hint="eastAsia" w:ascii="Times New Roman" w:cs="Times New Roman"/>
                <w:color w:val="auto"/>
                <w:szCs w:val="32"/>
              </w:rPr>
              <w:t>混凝土生产搅拌区、原料堆场、配电室、办公室、</w:t>
            </w:r>
            <w:r>
              <w:rPr>
                <w:rFonts w:hint="eastAsia" w:ascii="Times New Roman" w:cs="Times New Roman"/>
                <w:color w:val="auto"/>
              </w:rPr>
              <w:t>食堂、宿舍、</w:t>
            </w:r>
            <w:r>
              <w:rPr>
                <w:rFonts w:hint="eastAsia" w:ascii="Times New Roman" w:cs="Times New Roman"/>
                <w:color w:val="auto"/>
                <w:szCs w:val="32"/>
              </w:rPr>
              <w:t>实验室、地磅房等相关设施，</w:t>
            </w:r>
            <w:r>
              <w:rPr>
                <w:rFonts w:hint="eastAsia" w:ascii="Times New Roman" w:hAnsi="Times New Roman" w:cs="宋体"/>
                <w:kern w:val="2"/>
              </w:rPr>
              <w:t>项目总面积</w:t>
            </w:r>
            <w:r>
              <w:rPr>
                <w:rFonts w:hint="eastAsia" w:ascii="Times New Roman" w:cs="Times New Roman"/>
                <w:color w:val="auto"/>
                <w:szCs w:val="32"/>
              </w:rPr>
              <w:t>8000m</w:t>
            </w:r>
            <w:r>
              <w:rPr>
                <w:rFonts w:hint="eastAsia" w:ascii="Times New Roman" w:cs="Times New Roman"/>
                <w:color w:val="auto"/>
                <w:szCs w:val="32"/>
                <w:vertAlign w:val="superscript"/>
              </w:rPr>
              <w:t>2</w:t>
            </w:r>
            <w:r>
              <w:rPr>
                <w:rFonts w:hint="eastAsia" w:ascii="Times New Roman" w:cs="Times New Roman"/>
                <w:color w:val="auto"/>
                <w:szCs w:val="32"/>
              </w:rPr>
              <w:t>，</w:t>
            </w:r>
            <w:r>
              <w:rPr>
                <w:rFonts w:hint="eastAsia" w:ascii="Times New Roman" w:hAnsi="Times New Roman" w:cs="宋体"/>
                <w:kern w:val="2"/>
              </w:rPr>
              <w:t>详细建设内容见下表所示。</w:t>
            </w:r>
          </w:p>
          <w:p>
            <w:pPr>
              <w:pStyle w:val="35"/>
              <w:spacing w:after="0" w:line="360" w:lineRule="auto"/>
              <w:jc w:val="center"/>
              <w:rPr>
                <w:rFonts w:ascii="Times New Roman" w:cs="Times New Roman"/>
                <w:b/>
                <w:bCs/>
                <w:color w:val="auto"/>
                <w:szCs w:val="32"/>
                <w:u w:val="wave"/>
              </w:rPr>
            </w:pPr>
            <w:r>
              <w:rPr>
                <w:rFonts w:hint="eastAsia" w:ascii="Times New Roman" w:cs="Times New Roman"/>
                <w:b/>
                <w:bCs/>
                <w:color w:val="auto"/>
                <w:szCs w:val="32"/>
                <w:u w:val="wave"/>
              </w:rPr>
              <w:t>表1-1  主要建设内容一览表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1734"/>
              <w:gridCol w:w="5780"/>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名称</w:t>
                  </w:r>
                </w:p>
              </w:tc>
              <w:tc>
                <w:tcPr>
                  <w:tcW w:w="1734"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项目内容</w:t>
                  </w:r>
                </w:p>
              </w:tc>
              <w:tc>
                <w:tcPr>
                  <w:tcW w:w="5780" w:type="dxa"/>
                  <w:vAlign w:val="center"/>
                </w:tcPr>
                <w:p>
                  <w:pPr>
                    <w:pStyle w:val="35"/>
                    <w:spacing w:after="0"/>
                    <w:jc w:val="center"/>
                    <w:rPr>
                      <w:rFonts w:ascii="Times New Roman" w:cs="Times New Roman"/>
                      <w:color w:val="auto"/>
                      <w:sz w:val="21"/>
                      <w:szCs w:val="21"/>
                      <w:u w:val="wave"/>
                    </w:rPr>
                  </w:pPr>
                  <w:r>
                    <w:rPr>
                      <w:rFonts w:ascii="Times New Roman" w:cs="Times New Roman"/>
                      <w:sz w:val="21"/>
                      <w:szCs w:val="21"/>
                      <w:u w:val="wave"/>
                      <w:lang w:bidi="ar"/>
                    </w:rPr>
                    <w:t>功能设计及规模</w:t>
                  </w:r>
                </w:p>
              </w:tc>
              <w:tc>
                <w:tcPr>
                  <w:tcW w:w="1027" w:type="dxa"/>
                  <w:vAlign w:val="center"/>
                </w:tcPr>
                <w:p>
                  <w:pPr>
                    <w:pStyle w:val="35"/>
                    <w:spacing w:after="0"/>
                    <w:jc w:val="center"/>
                    <w:rPr>
                      <w:rFonts w:ascii="Times New Roman" w:cs="Times New Roman"/>
                      <w:color w:val="auto"/>
                      <w:sz w:val="21"/>
                      <w:szCs w:val="21"/>
                      <w:u w:val="wave"/>
                    </w:rPr>
                  </w:pPr>
                  <w:r>
                    <w:rPr>
                      <w:rFonts w:ascii="Times New Roman" w:cs="Times New Roman"/>
                      <w:sz w:val="21"/>
                      <w:szCs w:val="21"/>
                      <w:u w:val="wav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restart"/>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主体工程</w:t>
                  </w:r>
                </w:p>
              </w:tc>
              <w:tc>
                <w:tcPr>
                  <w:tcW w:w="1734"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混凝土生产搅拌区</w:t>
                  </w:r>
                </w:p>
              </w:tc>
              <w:tc>
                <w:tcPr>
                  <w:tcW w:w="5780" w:type="dxa"/>
                  <w:vAlign w:val="center"/>
                </w:tcPr>
                <w:p>
                  <w:pPr>
                    <w:pStyle w:val="35"/>
                    <w:spacing w:after="0"/>
                    <w:jc w:val="center"/>
                    <w:rPr>
                      <w:rFonts w:ascii="Times New Roman" w:cs="Times New Roman"/>
                      <w:color w:val="auto"/>
                      <w:sz w:val="21"/>
                      <w:szCs w:val="21"/>
                      <w:u w:val="wave"/>
                    </w:rPr>
                  </w:pPr>
                  <w:r>
                    <w:rPr>
                      <w:rFonts w:hint="eastAsia"/>
                      <w:sz w:val="21"/>
                      <w:szCs w:val="21"/>
                      <w:u w:val="wave"/>
                    </w:rPr>
                    <w:t>露天场地，</w:t>
                  </w:r>
                  <w:r>
                    <w:rPr>
                      <w:rFonts w:hint="eastAsia" w:ascii="Times New Roman" w:cs="Times New Roman"/>
                      <w:color w:val="auto"/>
                      <w:sz w:val="21"/>
                      <w:szCs w:val="21"/>
                      <w:u w:val="wave"/>
                    </w:rPr>
                    <w:t>占地</w:t>
                  </w:r>
                  <w:r>
                    <w:rPr>
                      <w:rFonts w:ascii="Times New Roman" w:cs="Times New Roman"/>
                      <w:color w:val="auto"/>
                      <w:sz w:val="21"/>
                      <w:szCs w:val="21"/>
                      <w:u w:val="wave"/>
                    </w:rPr>
                    <w:t>面积：</w:t>
                  </w:r>
                  <w:r>
                    <w:rPr>
                      <w:rFonts w:hint="eastAsia" w:ascii="Times New Roman" w:cs="Times New Roman"/>
                      <w:color w:val="auto"/>
                      <w:sz w:val="21"/>
                      <w:szCs w:val="21"/>
                      <w:u w:val="wave"/>
                    </w:rPr>
                    <w:t>3300</w:t>
                  </w:r>
                  <w:r>
                    <w:rPr>
                      <w:rFonts w:ascii="Times New Roman" w:cs="Times New Roman"/>
                      <w:color w:val="auto"/>
                      <w:sz w:val="21"/>
                      <w:szCs w:val="21"/>
                      <w:u w:val="wave"/>
                    </w:rPr>
                    <w:t>m</w:t>
                  </w:r>
                  <w:r>
                    <w:rPr>
                      <w:rFonts w:ascii="Times New Roman" w:cs="Times New Roman"/>
                      <w:color w:val="auto"/>
                      <w:sz w:val="21"/>
                      <w:szCs w:val="21"/>
                      <w:u w:val="wave"/>
                      <w:vertAlign w:val="superscript"/>
                    </w:rPr>
                    <w:t>2</w:t>
                  </w:r>
                  <w:r>
                    <w:rPr>
                      <w:rFonts w:ascii="Times New Roman" w:cs="Times New Roman"/>
                      <w:color w:val="auto"/>
                      <w:sz w:val="21"/>
                      <w:szCs w:val="21"/>
                      <w:u w:val="wave"/>
                    </w:rPr>
                    <w:t>，</w:t>
                  </w:r>
                  <w:r>
                    <w:rPr>
                      <w:rFonts w:hint="eastAsia" w:ascii="Times New Roman" w:cs="Times New Roman"/>
                      <w:color w:val="auto"/>
                      <w:sz w:val="21"/>
                      <w:szCs w:val="21"/>
                      <w:u w:val="wave"/>
                    </w:rPr>
                    <w:t>主要用于混凝土生产搅拌</w:t>
                  </w:r>
                </w:p>
              </w:tc>
              <w:tc>
                <w:tcPr>
                  <w:tcW w:w="1027" w:type="dxa"/>
                  <w:vAlign w:val="center"/>
                </w:tcPr>
                <w:p>
                  <w:pPr>
                    <w:spacing w:after="0"/>
                    <w:jc w:val="center"/>
                    <w:rPr>
                      <w:szCs w:val="21"/>
                      <w:u w:val="wave"/>
                    </w:rPr>
                  </w:pPr>
                  <w:r>
                    <w:rPr>
                      <w:rFonts w:hint="eastAsia"/>
                      <w:szCs w:val="21"/>
                      <w:u w:val="wav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原料仓库</w:t>
                  </w:r>
                </w:p>
              </w:tc>
              <w:tc>
                <w:tcPr>
                  <w:tcW w:w="5780" w:type="dxa"/>
                  <w:vAlign w:val="center"/>
                </w:tcPr>
                <w:p>
                  <w:pPr>
                    <w:pStyle w:val="35"/>
                    <w:spacing w:after="0"/>
                    <w:jc w:val="center"/>
                    <w:rPr>
                      <w:rFonts w:ascii="Times New Roman" w:cs="Times New Roman"/>
                      <w:color w:val="auto"/>
                      <w:sz w:val="21"/>
                      <w:szCs w:val="21"/>
                      <w:u w:val="wave"/>
                    </w:rPr>
                  </w:pPr>
                  <w:r>
                    <w:rPr>
                      <w:rFonts w:hint="eastAsia"/>
                      <w:sz w:val="21"/>
                      <w:szCs w:val="21"/>
                      <w:u w:val="wave"/>
                    </w:rPr>
                    <w:t>地面硬化，搭建密闭厂房，不露天，</w:t>
                  </w:r>
                  <w:r>
                    <w:rPr>
                      <w:rFonts w:hint="eastAsia" w:ascii="Times New Roman" w:cs="Times New Roman"/>
                      <w:color w:val="auto"/>
                      <w:sz w:val="21"/>
                      <w:szCs w:val="21"/>
                      <w:u w:val="wave"/>
                    </w:rPr>
                    <w:t>占地面积：2016</w:t>
                  </w:r>
                  <w:r>
                    <w:rPr>
                      <w:rFonts w:ascii="Times New Roman" w:cs="Times New Roman"/>
                      <w:color w:val="auto"/>
                      <w:sz w:val="21"/>
                      <w:szCs w:val="21"/>
                      <w:u w:val="wave"/>
                    </w:rPr>
                    <w:t>m</w:t>
                  </w:r>
                  <w:r>
                    <w:rPr>
                      <w:rFonts w:ascii="Times New Roman" w:cs="Times New Roman"/>
                      <w:color w:val="auto"/>
                      <w:sz w:val="21"/>
                      <w:szCs w:val="21"/>
                      <w:u w:val="wave"/>
                      <w:vertAlign w:val="superscript"/>
                    </w:rPr>
                    <w:t>2</w:t>
                  </w:r>
                  <w:r>
                    <w:rPr>
                      <w:rFonts w:ascii="Times New Roman" w:cs="Times New Roman"/>
                      <w:color w:val="auto"/>
                      <w:sz w:val="21"/>
                      <w:szCs w:val="21"/>
                      <w:u w:val="wave"/>
                    </w:rPr>
                    <w:t>，主要用于</w:t>
                  </w:r>
                  <w:r>
                    <w:rPr>
                      <w:rFonts w:hint="eastAsia" w:ascii="Times New Roman" w:cs="Times New Roman"/>
                      <w:color w:val="auto"/>
                      <w:sz w:val="21"/>
                      <w:szCs w:val="21"/>
                      <w:u w:val="wave"/>
                    </w:rPr>
                    <w:t>放置机制砂、碎石等原料</w:t>
                  </w:r>
                </w:p>
              </w:tc>
              <w:tc>
                <w:tcPr>
                  <w:tcW w:w="1027" w:type="dxa"/>
                  <w:vAlign w:val="center"/>
                </w:tcPr>
                <w:p>
                  <w:pPr>
                    <w:spacing w:after="0"/>
                    <w:jc w:val="center"/>
                    <w:rPr>
                      <w:szCs w:val="21"/>
                      <w:u w:val="wave"/>
                    </w:rPr>
                  </w:pPr>
                  <w:r>
                    <w:rPr>
                      <w:rFonts w:hint="eastAsia"/>
                      <w:szCs w:val="21"/>
                      <w:u w:val="wav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配电室</w:t>
                  </w:r>
                </w:p>
              </w:tc>
              <w:tc>
                <w:tcPr>
                  <w:tcW w:w="5780"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lang w:bidi="ar"/>
                    </w:rPr>
                    <w:t>砖混</w:t>
                  </w:r>
                  <w:r>
                    <w:rPr>
                      <w:rFonts w:ascii="Times New Roman" w:cs="Times New Roman"/>
                      <w:color w:val="auto"/>
                      <w:sz w:val="21"/>
                      <w:szCs w:val="21"/>
                      <w:u w:val="wave"/>
                      <w:lang w:bidi="ar"/>
                    </w:rPr>
                    <w:t>结构，</w:t>
                  </w:r>
                  <w:r>
                    <w:rPr>
                      <w:rFonts w:hint="eastAsia" w:ascii="Times New Roman" w:cs="Times New Roman"/>
                      <w:color w:val="auto"/>
                      <w:sz w:val="21"/>
                      <w:szCs w:val="21"/>
                      <w:u w:val="wave"/>
                      <w:lang w:bidi="ar"/>
                    </w:rPr>
                    <w:t>占地</w:t>
                  </w:r>
                  <w:r>
                    <w:rPr>
                      <w:rFonts w:ascii="Times New Roman" w:cs="Times New Roman"/>
                      <w:color w:val="auto"/>
                      <w:sz w:val="21"/>
                      <w:szCs w:val="21"/>
                      <w:u w:val="wave"/>
                      <w:lang w:bidi="ar"/>
                    </w:rPr>
                    <w:t>面积</w:t>
                  </w:r>
                  <w:r>
                    <w:rPr>
                      <w:rFonts w:hint="eastAsia" w:ascii="Times New Roman" w:cs="Times New Roman"/>
                      <w:color w:val="auto"/>
                      <w:sz w:val="21"/>
                      <w:szCs w:val="21"/>
                      <w:u w:val="wave"/>
                    </w:rPr>
                    <w:t>36</w:t>
                  </w:r>
                  <w:r>
                    <w:rPr>
                      <w:rFonts w:ascii="Times New Roman" w:cs="Times New Roman"/>
                      <w:color w:val="auto"/>
                      <w:sz w:val="21"/>
                      <w:szCs w:val="21"/>
                      <w:u w:val="wave"/>
                    </w:rPr>
                    <w:t>m</w:t>
                  </w:r>
                  <w:r>
                    <w:rPr>
                      <w:rFonts w:ascii="Times New Roman" w:cs="Times New Roman"/>
                      <w:color w:val="auto"/>
                      <w:sz w:val="21"/>
                      <w:szCs w:val="21"/>
                      <w:u w:val="wave"/>
                      <w:vertAlign w:val="superscript"/>
                    </w:rPr>
                    <w:t>2</w:t>
                  </w:r>
                  <w:r>
                    <w:rPr>
                      <w:rFonts w:ascii="Times New Roman" w:cs="Times New Roman"/>
                      <w:color w:val="auto"/>
                      <w:sz w:val="21"/>
                      <w:szCs w:val="21"/>
                      <w:u w:val="wave"/>
                      <w:lang w:bidi="ar"/>
                    </w:rPr>
                    <w:t>，用于安装1台柴油发电机（备用电源）</w:t>
                  </w:r>
                </w:p>
              </w:tc>
              <w:tc>
                <w:tcPr>
                  <w:tcW w:w="1027" w:type="dxa"/>
                  <w:vAlign w:val="center"/>
                </w:tcPr>
                <w:p>
                  <w:pPr>
                    <w:spacing w:after="0"/>
                    <w:jc w:val="center"/>
                    <w:rPr>
                      <w:szCs w:val="21"/>
                      <w:u w:val="wave"/>
                    </w:rPr>
                  </w:pPr>
                  <w:r>
                    <w:rPr>
                      <w:rFonts w:hint="eastAsia"/>
                      <w:szCs w:val="21"/>
                      <w:u w:val="wav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辅助工程</w:t>
                  </w:r>
                </w:p>
              </w:tc>
              <w:tc>
                <w:tcPr>
                  <w:tcW w:w="1734"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办公区域</w:t>
                  </w:r>
                </w:p>
              </w:tc>
              <w:tc>
                <w:tcPr>
                  <w:tcW w:w="5780" w:type="dxa"/>
                  <w:vAlign w:val="center"/>
                </w:tcPr>
                <w:p>
                  <w:pPr>
                    <w:pStyle w:val="35"/>
                    <w:spacing w:after="0"/>
                    <w:jc w:val="center"/>
                    <w:rPr>
                      <w:rFonts w:ascii="Times New Roman" w:cs="Times New Roman"/>
                      <w:color w:val="auto"/>
                      <w:sz w:val="21"/>
                      <w:szCs w:val="21"/>
                      <w:u w:val="wave"/>
                      <w:lang w:bidi="ar"/>
                    </w:rPr>
                  </w:pPr>
                  <w:r>
                    <w:rPr>
                      <w:rFonts w:hint="eastAsia" w:ascii="Times New Roman" w:cs="Times New Roman"/>
                      <w:color w:val="auto"/>
                      <w:sz w:val="21"/>
                      <w:szCs w:val="21"/>
                      <w:u w:val="wave"/>
                      <w:lang w:bidi="ar"/>
                    </w:rPr>
                    <w:t>钢结构，占地面积1300</w:t>
                  </w:r>
                  <w:r>
                    <w:rPr>
                      <w:rFonts w:ascii="Times New Roman" w:cs="Times New Roman"/>
                      <w:sz w:val="21"/>
                      <w:szCs w:val="21"/>
                      <w:u w:val="wave"/>
                    </w:rPr>
                    <w:t>m</w:t>
                  </w:r>
                  <w:r>
                    <w:rPr>
                      <w:rFonts w:ascii="Times New Roman" w:cs="Times New Roman"/>
                      <w:sz w:val="21"/>
                      <w:szCs w:val="21"/>
                      <w:u w:val="wave"/>
                      <w:vertAlign w:val="superscript"/>
                    </w:rPr>
                    <w:t>2</w:t>
                  </w:r>
                </w:p>
              </w:tc>
              <w:tc>
                <w:tcPr>
                  <w:tcW w:w="1027" w:type="dxa"/>
                  <w:vAlign w:val="center"/>
                </w:tcPr>
                <w:p>
                  <w:pPr>
                    <w:spacing w:after="0"/>
                    <w:jc w:val="center"/>
                    <w:rPr>
                      <w:szCs w:val="21"/>
                      <w:u w:val="wave"/>
                    </w:rPr>
                  </w:pPr>
                  <w:r>
                    <w:rPr>
                      <w:rFonts w:hint="eastAsia"/>
                      <w:szCs w:val="21"/>
                      <w:u w:val="wav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restart"/>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公用工程</w:t>
                  </w:r>
                </w:p>
              </w:tc>
              <w:tc>
                <w:tcPr>
                  <w:tcW w:w="1734"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供水系统</w:t>
                  </w:r>
                </w:p>
              </w:tc>
              <w:tc>
                <w:tcPr>
                  <w:tcW w:w="5780"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当地自来水管网</w:t>
                  </w:r>
                </w:p>
              </w:tc>
              <w:tc>
                <w:tcPr>
                  <w:tcW w:w="1027" w:type="dxa"/>
                  <w:vAlign w:val="center"/>
                </w:tcPr>
                <w:p>
                  <w:pPr>
                    <w:spacing w:after="0"/>
                    <w:jc w:val="center"/>
                    <w:rPr>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sz w:val="21"/>
                      <w:szCs w:val="21"/>
                      <w:u w:val="wave"/>
                    </w:rPr>
                  </w:pPr>
                </w:p>
              </w:tc>
              <w:tc>
                <w:tcPr>
                  <w:tcW w:w="1734"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排水系统</w:t>
                  </w:r>
                </w:p>
              </w:tc>
              <w:tc>
                <w:tcPr>
                  <w:tcW w:w="5780" w:type="dxa"/>
                  <w:vAlign w:val="center"/>
                </w:tcPr>
                <w:p>
                  <w:pPr>
                    <w:pStyle w:val="17"/>
                    <w:widowControl w:val="0"/>
                    <w:adjustRightInd w:val="0"/>
                    <w:snapToGrid w:val="0"/>
                    <w:spacing w:before="0" w:beforeAutospacing="0" w:after="0" w:afterAutospacing="0"/>
                    <w:jc w:val="center"/>
                    <w:rPr>
                      <w:rFonts w:ascii="Times New Roman" w:hAnsi="Times New Roman" w:cs="Times New Roman"/>
                      <w:color w:val="auto"/>
                      <w:sz w:val="21"/>
                      <w:szCs w:val="21"/>
                      <w:u w:val="wave"/>
                    </w:rPr>
                  </w:pPr>
                  <w:r>
                    <w:rPr>
                      <w:rFonts w:hint="eastAsia" w:ascii="Times New Roman" w:hAnsi="Times New Roman" w:cs="Times New Roman"/>
                      <w:color w:val="auto"/>
                      <w:sz w:val="21"/>
                      <w:szCs w:val="21"/>
                      <w:u w:val="wave"/>
                    </w:rPr>
                    <w:t>本项目</w:t>
                  </w:r>
                  <w:r>
                    <w:rPr>
                      <w:rFonts w:hint="eastAsia"/>
                      <w:bCs/>
                      <w:sz w:val="21"/>
                      <w:szCs w:val="21"/>
                      <w:u w:val="wave"/>
                    </w:rPr>
                    <w:t>采用雨污分流制，</w:t>
                  </w:r>
                  <w:r>
                    <w:rPr>
                      <w:rFonts w:hint="eastAsia" w:ascii="Times New Roman" w:hAnsi="Times New Roman" w:cs="Times New Roman"/>
                      <w:color w:val="auto"/>
                      <w:sz w:val="21"/>
                      <w:szCs w:val="21"/>
                      <w:u w:val="wave"/>
                    </w:rPr>
                    <w:t>场内修建两个雨水收集池（各200</w:t>
                  </w:r>
                  <w:r>
                    <w:rPr>
                      <w:rFonts w:ascii="Times New Roman" w:hAnsi="Times New Roman" w:cs="Times New Roman"/>
                      <w:sz w:val="21"/>
                      <w:szCs w:val="21"/>
                      <w:u w:val="wave"/>
                    </w:rPr>
                    <w:t>m</w:t>
                  </w:r>
                  <w:r>
                    <w:rPr>
                      <w:rFonts w:hint="eastAsia" w:ascii="Times New Roman" w:hAnsi="Times New Roman" w:cs="Times New Roman"/>
                      <w:sz w:val="21"/>
                      <w:szCs w:val="21"/>
                      <w:u w:val="wave"/>
                      <w:vertAlign w:val="superscript"/>
                    </w:rPr>
                    <w:t>3</w:t>
                  </w:r>
                  <w:r>
                    <w:rPr>
                      <w:rFonts w:hint="eastAsia" w:ascii="Times New Roman" w:hAnsi="Times New Roman" w:cs="Times New Roman"/>
                      <w:color w:val="auto"/>
                      <w:sz w:val="21"/>
                      <w:szCs w:val="21"/>
                      <w:u w:val="wave"/>
                    </w:rPr>
                    <w:t>）对雨水进行收集回用；厂区设置了食堂及宿舍，生活废水经隔油器及化粪池处理后用于附近农田灌溉；</w:t>
                  </w:r>
                  <w:r>
                    <w:rPr>
                      <w:rFonts w:hint="eastAsia"/>
                      <w:sz w:val="21"/>
                      <w:szCs w:val="21"/>
                      <w:u w:val="wave"/>
                    </w:rPr>
                    <w:t>生产</w:t>
                  </w:r>
                  <w:r>
                    <w:rPr>
                      <w:rFonts w:hint="eastAsia" w:ascii="Times New Roman" w:hAnsi="Times New Roman" w:cs="Times New Roman"/>
                      <w:color w:val="auto"/>
                      <w:sz w:val="21"/>
                      <w:szCs w:val="21"/>
                      <w:u w:val="wave"/>
                    </w:rPr>
                    <w:t>废水经厂区内设置的三级沉淀池沉淀处理后循环使用不外排</w:t>
                  </w:r>
                </w:p>
              </w:tc>
              <w:tc>
                <w:tcPr>
                  <w:tcW w:w="1027" w:type="dxa"/>
                  <w:vAlign w:val="center"/>
                </w:tcPr>
                <w:p>
                  <w:pPr>
                    <w:spacing w:after="0"/>
                    <w:jc w:val="center"/>
                    <w:rPr>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供电系统</w:t>
                  </w:r>
                </w:p>
              </w:tc>
              <w:tc>
                <w:tcPr>
                  <w:tcW w:w="5780"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当地电网供电</w:t>
                  </w:r>
                </w:p>
              </w:tc>
              <w:tc>
                <w:tcPr>
                  <w:tcW w:w="1027" w:type="dxa"/>
                  <w:vAlign w:val="center"/>
                </w:tcPr>
                <w:p>
                  <w:pPr>
                    <w:spacing w:after="0"/>
                    <w:jc w:val="center"/>
                    <w:rPr>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restar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储运工程</w:t>
                  </w:r>
                </w:p>
              </w:tc>
              <w:tc>
                <w:tcPr>
                  <w:tcW w:w="1734" w:type="dxa"/>
                  <w:vAlign w:val="center"/>
                </w:tcPr>
                <w:p>
                  <w:pPr>
                    <w:autoSpaceDE w:val="0"/>
                    <w:autoSpaceDN w:val="0"/>
                    <w:spacing w:after="0"/>
                    <w:jc w:val="center"/>
                    <w:outlineLvl w:val="0"/>
                    <w:rPr>
                      <w:szCs w:val="21"/>
                      <w:u w:val="wave"/>
                    </w:rPr>
                  </w:pPr>
                  <w:bookmarkStart w:id="57" w:name="_Toc20567"/>
                  <w:r>
                    <w:rPr>
                      <w:szCs w:val="21"/>
                      <w:u w:val="wave"/>
                    </w:rPr>
                    <w:t>水泥筒仓</w:t>
                  </w:r>
                  <w:bookmarkEnd w:id="57"/>
                </w:p>
              </w:tc>
              <w:tc>
                <w:tcPr>
                  <w:tcW w:w="5780" w:type="dxa"/>
                  <w:vAlign w:val="center"/>
                </w:tcPr>
                <w:p>
                  <w:pPr>
                    <w:autoSpaceDE w:val="0"/>
                    <w:autoSpaceDN w:val="0"/>
                    <w:spacing w:after="0"/>
                    <w:jc w:val="center"/>
                    <w:outlineLvl w:val="0"/>
                    <w:rPr>
                      <w:szCs w:val="21"/>
                      <w:u w:val="wave"/>
                    </w:rPr>
                  </w:pPr>
                  <w:bookmarkStart w:id="58" w:name="_Toc24215"/>
                  <w:r>
                    <w:rPr>
                      <w:rFonts w:hint="eastAsia"/>
                      <w:kern w:val="0"/>
                      <w:szCs w:val="21"/>
                      <w:u w:val="wave"/>
                    </w:rPr>
                    <w:t>6个</w:t>
                  </w:r>
                  <w:r>
                    <w:rPr>
                      <w:kern w:val="0"/>
                      <w:szCs w:val="21"/>
                      <w:u w:val="wave"/>
                    </w:rPr>
                    <w:t>，用于储存水泥，</w:t>
                  </w:r>
                  <w:r>
                    <w:rPr>
                      <w:rFonts w:hint="eastAsia"/>
                      <w:kern w:val="0"/>
                      <w:szCs w:val="21"/>
                      <w:u w:val="wave"/>
                    </w:rPr>
                    <w:t>尺寸：</w:t>
                  </w:r>
                  <w:r>
                    <w:rPr>
                      <w:u w:val="wave"/>
                    </w:rPr>
                    <w:t>4.2x24.7m</w:t>
                  </w:r>
                  <w:r>
                    <w:rPr>
                      <w:rFonts w:hint="eastAsia"/>
                      <w:u w:val="wave"/>
                    </w:rPr>
                    <w:t>，</w:t>
                  </w:r>
                  <w:r>
                    <w:rPr>
                      <w:kern w:val="0"/>
                      <w:szCs w:val="21"/>
                      <w:u w:val="wave"/>
                    </w:rPr>
                    <w:t>每</w:t>
                  </w:r>
                  <w:r>
                    <w:rPr>
                      <w:rFonts w:hint="eastAsia"/>
                      <w:kern w:val="0"/>
                      <w:szCs w:val="21"/>
                      <w:u w:val="wave"/>
                    </w:rPr>
                    <w:t>个</w:t>
                  </w:r>
                  <w:r>
                    <w:rPr>
                      <w:szCs w:val="21"/>
                      <w:u w:val="wave"/>
                    </w:rPr>
                    <w:t>容积</w:t>
                  </w:r>
                  <w:r>
                    <w:rPr>
                      <w:rFonts w:hint="eastAsia"/>
                      <w:szCs w:val="21"/>
                      <w:u w:val="wave"/>
                    </w:rPr>
                    <w:t>2</w:t>
                  </w:r>
                  <w:r>
                    <w:rPr>
                      <w:szCs w:val="21"/>
                      <w:u w:val="wave"/>
                    </w:rPr>
                    <w:t>00t</w:t>
                  </w:r>
                  <w:bookmarkEnd w:id="58"/>
                </w:p>
              </w:tc>
              <w:tc>
                <w:tcPr>
                  <w:tcW w:w="1027" w:type="dxa"/>
                  <w:vAlign w:val="center"/>
                </w:tcPr>
                <w:p>
                  <w:pPr>
                    <w:spacing w:after="0"/>
                    <w:jc w:val="center"/>
                    <w:rPr>
                      <w:szCs w:val="21"/>
                      <w:u w:val="wave"/>
                    </w:rPr>
                  </w:pPr>
                  <w:r>
                    <w:rPr>
                      <w:rFonts w:hint="eastAsia"/>
                      <w:szCs w:val="21"/>
                      <w:u w:val="wave"/>
                    </w:rPr>
                    <w:t>原厂设备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Align w:val="center"/>
                </w:tcPr>
                <w:p>
                  <w:pPr>
                    <w:autoSpaceDE w:val="0"/>
                    <w:autoSpaceDN w:val="0"/>
                    <w:spacing w:after="0"/>
                    <w:jc w:val="center"/>
                    <w:outlineLvl w:val="0"/>
                    <w:rPr>
                      <w:szCs w:val="21"/>
                      <w:u w:val="wave"/>
                    </w:rPr>
                  </w:pPr>
                  <w:bookmarkStart w:id="59" w:name="_Toc23773"/>
                  <w:r>
                    <w:rPr>
                      <w:rFonts w:hint="eastAsia"/>
                      <w:szCs w:val="21"/>
                      <w:u w:val="wave"/>
                    </w:rPr>
                    <w:t>水泥筒仓</w:t>
                  </w:r>
                  <w:bookmarkEnd w:id="59"/>
                </w:p>
              </w:tc>
              <w:tc>
                <w:tcPr>
                  <w:tcW w:w="5780" w:type="dxa"/>
                  <w:vAlign w:val="center"/>
                </w:tcPr>
                <w:p>
                  <w:pPr>
                    <w:autoSpaceDE w:val="0"/>
                    <w:autoSpaceDN w:val="0"/>
                    <w:spacing w:after="0"/>
                    <w:jc w:val="center"/>
                    <w:outlineLvl w:val="0"/>
                    <w:rPr>
                      <w:kern w:val="0"/>
                      <w:szCs w:val="21"/>
                      <w:u w:val="wave"/>
                    </w:rPr>
                  </w:pPr>
                  <w:bookmarkStart w:id="60" w:name="_Toc28518"/>
                  <w:r>
                    <w:rPr>
                      <w:kern w:val="0"/>
                      <w:szCs w:val="21"/>
                      <w:u w:val="wave"/>
                    </w:rPr>
                    <w:t>3</w:t>
                  </w:r>
                  <w:r>
                    <w:rPr>
                      <w:rFonts w:hint="eastAsia"/>
                      <w:kern w:val="0"/>
                      <w:szCs w:val="21"/>
                      <w:u w:val="wave"/>
                    </w:rPr>
                    <w:t>个</w:t>
                  </w:r>
                  <w:r>
                    <w:rPr>
                      <w:kern w:val="0"/>
                      <w:szCs w:val="21"/>
                      <w:u w:val="wave"/>
                    </w:rPr>
                    <w:t>，用于储存水泥，</w:t>
                  </w:r>
                  <w:r>
                    <w:rPr>
                      <w:rFonts w:hint="eastAsia"/>
                      <w:kern w:val="0"/>
                      <w:szCs w:val="21"/>
                      <w:u w:val="wave"/>
                    </w:rPr>
                    <w:t>尺寸：</w:t>
                  </w:r>
                  <w:r>
                    <w:rPr>
                      <w:rFonts w:hint="eastAsia"/>
                      <w:u w:val="wave"/>
                    </w:rPr>
                    <w:t>10</w:t>
                  </w:r>
                  <w:r>
                    <w:rPr>
                      <w:u w:val="wave"/>
                    </w:rPr>
                    <w:t>x24.7m</w:t>
                  </w:r>
                  <w:r>
                    <w:rPr>
                      <w:rFonts w:hint="eastAsia"/>
                      <w:u w:val="wave"/>
                    </w:rPr>
                    <w:t>，</w:t>
                  </w:r>
                  <w:r>
                    <w:rPr>
                      <w:kern w:val="0"/>
                      <w:szCs w:val="21"/>
                      <w:u w:val="wave"/>
                    </w:rPr>
                    <w:t>每</w:t>
                  </w:r>
                  <w:r>
                    <w:rPr>
                      <w:rFonts w:hint="eastAsia"/>
                      <w:kern w:val="0"/>
                      <w:szCs w:val="21"/>
                      <w:u w:val="wave"/>
                    </w:rPr>
                    <w:t>个</w:t>
                  </w:r>
                  <w:r>
                    <w:rPr>
                      <w:szCs w:val="21"/>
                      <w:u w:val="wave"/>
                    </w:rPr>
                    <w:t>容积</w:t>
                  </w:r>
                  <w:r>
                    <w:rPr>
                      <w:rFonts w:hint="eastAsia"/>
                      <w:szCs w:val="21"/>
                      <w:u w:val="wave"/>
                    </w:rPr>
                    <w:t>3000t</w:t>
                  </w:r>
                  <w:bookmarkEnd w:id="60"/>
                </w:p>
              </w:tc>
              <w:tc>
                <w:tcPr>
                  <w:tcW w:w="1027" w:type="dxa"/>
                  <w:vAlign w:val="center"/>
                </w:tcPr>
                <w:p>
                  <w:pPr>
                    <w:spacing w:after="0"/>
                    <w:jc w:val="center"/>
                    <w:rPr>
                      <w:szCs w:val="21"/>
                      <w:u w:val="wave"/>
                    </w:rPr>
                  </w:pPr>
                  <w:r>
                    <w:rPr>
                      <w:rFonts w:hint="eastAsia"/>
                      <w:szCs w:val="21"/>
                      <w:u w:val="wav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Align w:val="center"/>
                </w:tcPr>
                <w:p>
                  <w:pPr>
                    <w:autoSpaceDE w:val="0"/>
                    <w:autoSpaceDN w:val="0"/>
                    <w:spacing w:after="0"/>
                    <w:jc w:val="center"/>
                    <w:outlineLvl w:val="0"/>
                    <w:rPr>
                      <w:szCs w:val="21"/>
                      <w:u w:val="wave"/>
                    </w:rPr>
                  </w:pPr>
                  <w:bookmarkStart w:id="61" w:name="_Toc13935"/>
                  <w:r>
                    <w:rPr>
                      <w:szCs w:val="21"/>
                      <w:u w:val="wave"/>
                    </w:rPr>
                    <w:t>粉煤灰筒仓</w:t>
                  </w:r>
                  <w:bookmarkEnd w:id="61"/>
                </w:p>
              </w:tc>
              <w:tc>
                <w:tcPr>
                  <w:tcW w:w="5780" w:type="dxa"/>
                  <w:vAlign w:val="center"/>
                </w:tcPr>
                <w:p>
                  <w:pPr>
                    <w:autoSpaceDE w:val="0"/>
                    <w:autoSpaceDN w:val="0"/>
                    <w:spacing w:after="0"/>
                    <w:jc w:val="center"/>
                    <w:outlineLvl w:val="0"/>
                    <w:rPr>
                      <w:szCs w:val="21"/>
                      <w:u w:val="wave"/>
                    </w:rPr>
                  </w:pPr>
                  <w:bookmarkStart w:id="62" w:name="_Toc12637"/>
                  <w:r>
                    <w:rPr>
                      <w:rFonts w:hint="eastAsia"/>
                      <w:kern w:val="0"/>
                      <w:szCs w:val="21"/>
                      <w:u w:val="wave"/>
                    </w:rPr>
                    <w:t>2个</w:t>
                  </w:r>
                  <w:r>
                    <w:rPr>
                      <w:kern w:val="0"/>
                      <w:szCs w:val="21"/>
                      <w:u w:val="wave"/>
                    </w:rPr>
                    <w:t>，用于储存粉煤灰，</w:t>
                  </w:r>
                  <w:r>
                    <w:rPr>
                      <w:rFonts w:hint="eastAsia"/>
                      <w:kern w:val="0"/>
                      <w:szCs w:val="21"/>
                      <w:u w:val="wave"/>
                    </w:rPr>
                    <w:t>尺寸：</w:t>
                  </w:r>
                  <w:r>
                    <w:rPr>
                      <w:u w:val="wave"/>
                    </w:rPr>
                    <w:t>4.2x24.7m</w:t>
                  </w:r>
                  <w:r>
                    <w:rPr>
                      <w:rFonts w:hint="eastAsia"/>
                      <w:u w:val="wave"/>
                    </w:rPr>
                    <w:t>，</w:t>
                  </w:r>
                  <w:r>
                    <w:rPr>
                      <w:kern w:val="0"/>
                      <w:szCs w:val="21"/>
                      <w:u w:val="wave"/>
                    </w:rPr>
                    <w:t>每</w:t>
                  </w:r>
                  <w:r>
                    <w:rPr>
                      <w:rFonts w:hint="eastAsia"/>
                      <w:kern w:val="0"/>
                      <w:szCs w:val="21"/>
                      <w:u w:val="wave"/>
                    </w:rPr>
                    <w:t>个</w:t>
                  </w:r>
                  <w:r>
                    <w:rPr>
                      <w:szCs w:val="21"/>
                      <w:u w:val="wave"/>
                    </w:rPr>
                    <w:t>容积</w:t>
                  </w:r>
                  <w:r>
                    <w:rPr>
                      <w:rFonts w:hint="eastAsia"/>
                      <w:szCs w:val="21"/>
                      <w:u w:val="wave"/>
                    </w:rPr>
                    <w:t>2</w:t>
                  </w:r>
                  <w:r>
                    <w:rPr>
                      <w:szCs w:val="21"/>
                      <w:u w:val="wave"/>
                    </w:rPr>
                    <w:t>00t</w:t>
                  </w:r>
                  <w:bookmarkEnd w:id="62"/>
                </w:p>
              </w:tc>
              <w:tc>
                <w:tcPr>
                  <w:tcW w:w="1027" w:type="dxa"/>
                  <w:vAlign w:val="center"/>
                </w:tcPr>
                <w:p>
                  <w:pPr>
                    <w:spacing w:after="0"/>
                    <w:jc w:val="center"/>
                    <w:rPr>
                      <w:szCs w:val="21"/>
                      <w:u w:val="wave"/>
                    </w:rPr>
                  </w:pPr>
                  <w:r>
                    <w:rPr>
                      <w:rFonts w:hint="eastAsia"/>
                      <w:szCs w:val="21"/>
                      <w:u w:val="wave"/>
                    </w:rPr>
                    <w:t>原厂设备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Align w:val="center"/>
                </w:tcPr>
                <w:p>
                  <w:pPr>
                    <w:autoSpaceDE w:val="0"/>
                    <w:autoSpaceDN w:val="0"/>
                    <w:spacing w:after="0"/>
                    <w:jc w:val="center"/>
                    <w:outlineLvl w:val="0"/>
                    <w:rPr>
                      <w:szCs w:val="21"/>
                      <w:u w:val="wave"/>
                    </w:rPr>
                  </w:pPr>
                  <w:bookmarkStart w:id="63" w:name="_Toc11430"/>
                  <w:r>
                    <w:rPr>
                      <w:kern w:val="0"/>
                      <w:szCs w:val="21"/>
                      <w:u w:val="wave"/>
                    </w:rPr>
                    <w:t>外加剂储罐</w:t>
                  </w:r>
                  <w:bookmarkEnd w:id="63"/>
                </w:p>
              </w:tc>
              <w:tc>
                <w:tcPr>
                  <w:tcW w:w="5780" w:type="dxa"/>
                  <w:vAlign w:val="center"/>
                </w:tcPr>
                <w:p>
                  <w:pPr>
                    <w:autoSpaceDE w:val="0"/>
                    <w:autoSpaceDN w:val="0"/>
                    <w:spacing w:after="0"/>
                    <w:jc w:val="center"/>
                    <w:outlineLvl w:val="0"/>
                    <w:rPr>
                      <w:szCs w:val="21"/>
                      <w:u w:val="wave"/>
                    </w:rPr>
                  </w:pPr>
                  <w:bookmarkStart w:id="64" w:name="_Toc8703"/>
                  <w:r>
                    <w:rPr>
                      <w:kern w:val="0"/>
                      <w:szCs w:val="21"/>
                      <w:u w:val="wave"/>
                    </w:rPr>
                    <w:t>2个，用于外加剂储存</w:t>
                  </w:r>
                  <w:r>
                    <w:rPr>
                      <w:szCs w:val="21"/>
                      <w:u w:val="wave"/>
                    </w:rPr>
                    <w:t>，每</w:t>
                  </w:r>
                  <w:r>
                    <w:rPr>
                      <w:rFonts w:hint="eastAsia"/>
                      <w:szCs w:val="21"/>
                      <w:u w:val="wave"/>
                    </w:rPr>
                    <w:t>个</w:t>
                  </w:r>
                  <w:r>
                    <w:rPr>
                      <w:szCs w:val="21"/>
                      <w:u w:val="wave"/>
                    </w:rPr>
                    <w:t>容积为20t</w:t>
                  </w:r>
                  <w:bookmarkEnd w:id="64"/>
                </w:p>
              </w:tc>
              <w:tc>
                <w:tcPr>
                  <w:tcW w:w="1027" w:type="dxa"/>
                  <w:vAlign w:val="center"/>
                </w:tcPr>
                <w:p>
                  <w:pPr>
                    <w:spacing w:after="0"/>
                    <w:jc w:val="center"/>
                    <w:rPr>
                      <w:szCs w:val="21"/>
                      <w:u w:val="wave"/>
                    </w:rPr>
                  </w:pPr>
                  <w:r>
                    <w:rPr>
                      <w:rFonts w:hint="eastAsia"/>
                      <w:szCs w:val="21"/>
                      <w:u w:val="wave"/>
                    </w:rPr>
                    <w:t>原厂设备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Align w:val="center"/>
                </w:tcPr>
                <w:p>
                  <w:pPr>
                    <w:autoSpaceDE w:val="0"/>
                    <w:autoSpaceDN w:val="0"/>
                    <w:spacing w:after="0"/>
                    <w:jc w:val="center"/>
                    <w:outlineLvl w:val="0"/>
                    <w:rPr>
                      <w:szCs w:val="21"/>
                      <w:u w:val="wave"/>
                    </w:rPr>
                  </w:pPr>
                  <w:bookmarkStart w:id="65" w:name="_Toc18954"/>
                  <w:r>
                    <w:rPr>
                      <w:rFonts w:hint="eastAsia"/>
                      <w:szCs w:val="21"/>
                      <w:u w:val="wave"/>
                    </w:rPr>
                    <w:t>水储罐</w:t>
                  </w:r>
                  <w:bookmarkEnd w:id="65"/>
                </w:p>
              </w:tc>
              <w:tc>
                <w:tcPr>
                  <w:tcW w:w="5780" w:type="dxa"/>
                  <w:vAlign w:val="center"/>
                </w:tcPr>
                <w:p>
                  <w:pPr>
                    <w:autoSpaceDE w:val="0"/>
                    <w:autoSpaceDN w:val="0"/>
                    <w:spacing w:after="0"/>
                    <w:jc w:val="center"/>
                    <w:outlineLvl w:val="0"/>
                    <w:rPr>
                      <w:szCs w:val="21"/>
                      <w:u w:val="wave"/>
                    </w:rPr>
                  </w:pPr>
                  <w:bookmarkStart w:id="66" w:name="_Toc16538"/>
                  <w:r>
                    <w:rPr>
                      <w:kern w:val="0"/>
                      <w:szCs w:val="21"/>
                      <w:u w:val="wave"/>
                    </w:rPr>
                    <w:t>1个，用于储存水，容积50t</w:t>
                  </w:r>
                  <w:bookmarkEnd w:id="66"/>
                </w:p>
              </w:tc>
              <w:tc>
                <w:tcPr>
                  <w:tcW w:w="1027" w:type="dxa"/>
                  <w:vAlign w:val="center"/>
                </w:tcPr>
                <w:p>
                  <w:pPr>
                    <w:spacing w:after="0"/>
                    <w:jc w:val="center"/>
                    <w:rPr>
                      <w:szCs w:val="21"/>
                      <w:u w:val="wave"/>
                    </w:rPr>
                  </w:pPr>
                  <w:r>
                    <w:rPr>
                      <w:rFonts w:hint="eastAsia"/>
                      <w:szCs w:val="21"/>
                      <w:u w:val="wave"/>
                    </w:rPr>
                    <w:t>原厂设备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Align w:val="center"/>
                </w:tcPr>
                <w:p>
                  <w:pPr>
                    <w:autoSpaceDE w:val="0"/>
                    <w:autoSpaceDN w:val="0"/>
                    <w:spacing w:after="0"/>
                    <w:jc w:val="center"/>
                    <w:outlineLvl w:val="0"/>
                    <w:rPr>
                      <w:szCs w:val="21"/>
                      <w:u w:val="wave"/>
                    </w:rPr>
                  </w:pPr>
                  <w:bookmarkStart w:id="67" w:name="_Toc15366"/>
                  <w:r>
                    <w:rPr>
                      <w:rFonts w:hint="eastAsia"/>
                      <w:szCs w:val="21"/>
                      <w:u w:val="wave"/>
                    </w:rPr>
                    <w:t>柴油储罐</w:t>
                  </w:r>
                  <w:bookmarkEnd w:id="67"/>
                </w:p>
              </w:tc>
              <w:tc>
                <w:tcPr>
                  <w:tcW w:w="5780" w:type="dxa"/>
                  <w:vAlign w:val="center"/>
                </w:tcPr>
                <w:p>
                  <w:pPr>
                    <w:autoSpaceDE w:val="0"/>
                    <w:autoSpaceDN w:val="0"/>
                    <w:spacing w:after="0"/>
                    <w:jc w:val="center"/>
                    <w:outlineLvl w:val="0"/>
                    <w:rPr>
                      <w:kern w:val="0"/>
                      <w:szCs w:val="21"/>
                      <w:u w:val="wave"/>
                    </w:rPr>
                  </w:pPr>
                  <w:bookmarkStart w:id="68" w:name="_Toc27354"/>
                  <w:r>
                    <w:rPr>
                      <w:rFonts w:hint="eastAsia"/>
                      <w:kern w:val="0"/>
                      <w:szCs w:val="21"/>
                      <w:u w:val="wave"/>
                    </w:rPr>
                    <w:t>1个，用于柴油储存，容积30t</w:t>
                  </w:r>
                  <w:bookmarkEnd w:id="68"/>
                </w:p>
              </w:tc>
              <w:tc>
                <w:tcPr>
                  <w:tcW w:w="1027" w:type="dxa"/>
                  <w:vAlign w:val="center"/>
                </w:tcPr>
                <w:p>
                  <w:pPr>
                    <w:spacing w:after="0"/>
                    <w:jc w:val="center"/>
                    <w:rPr>
                      <w:szCs w:val="21"/>
                      <w:u w:val="wave"/>
                    </w:rPr>
                  </w:pPr>
                  <w:r>
                    <w:rPr>
                      <w:rFonts w:hint="eastAsia"/>
                      <w:szCs w:val="21"/>
                      <w:u w:val="wav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restart"/>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环保工程</w:t>
                  </w:r>
                </w:p>
              </w:tc>
              <w:tc>
                <w:tcPr>
                  <w:tcW w:w="1734" w:type="dxa"/>
                  <w:vMerge w:val="restar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废气</w:t>
                  </w:r>
                </w:p>
              </w:tc>
              <w:tc>
                <w:tcPr>
                  <w:tcW w:w="5780" w:type="dxa"/>
                  <w:vAlign w:val="center"/>
                </w:tcPr>
                <w:p>
                  <w:pPr>
                    <w:pStyle w:val="35"/>
                    <w:spacing w:after="0"/>
                    <w:jc w:val="center"/>
                    <w:rPr>
                      <w:rFonts w:ascii="Times New Roman"/>
                      <w:color w:val="auto"/>
                      <w:sz w:val="21"/>
                      <w:szCs w:val="21"/>
                      <w:u w:val="wave"/>
                      <w:lang w:bidi="ar"/>
                    </w:rPr>
                  </w:pPr>
                  <w:r>
                    <w:rPr>
                      <w:rFonts w:hint="eastAsia" w:ascii="Times New Roman" w:cs="Times New Roman"/>
                      <w:color w:val="auto"/>
                      <w:sz w:val="21"/>
                      <w:szCs w:val="21"/>
                      <w:u w:val="wave"/>
                    </w:rPr>
                    <w:t>混凝土生产搅拌区：</w:t>
                  </w:r>
                  <w:r>
                    <w:rPr>
                      <w:rFonts w:ascii="Times New Roman" w:cs="Times New Roman"/>
                      <w:kern w:val="2"/>
                      <w:sz w:val="21"/>
                      <w:szCs w:val="21"/>
                      <w:u w:val="wave"/>
                    </w:rPr>
                    <w:t>本项目</w:t>
                  </w:r>
                  <w:r>
                    <w:rPr>
                      <w:rFonts w:hint="eastAsia" w:ascii="Times New Roman" w:cs="Times New Roman"/>
                      <w:kern w:val="2"/>
                      <w:sz w:val="21"/>
                      <w:szCs w:val="21"/>
                      <w:u w:val="wave"/>
                    </w:rPr>
                    <w:t>混凝土搅拌区的水泥筒仓呼吸粉尘</w:t>
                  </w:r>
                  <w:r>
                    <w:rPr>
                      <w:rFonts w:ascii="Times New Roman" w:cs="Times New Roman"/>
                      <w:sz w:val="21"/>
                      <w:szCs w:val="21"/>
                      <w:u w:val="wave"/>
                    </w:rPr>
                    <w:t>通过</w:t>
                  </w:r>
                  <w:r>
                    <w:rPr>
                      <w:rFonts w:hint="eastAsia" w:ascii="Times New Roman" w:cs="Times New Roman"/>
                      <w:sz w:val="21"/>
                      <w:szCs w:val="21"/>
                      <w:u w:val="wave"/>
                    </w:rPr>
                    <w:t>脉冲</w:t>
                  </w:r>
                  <w:r>
                    <w:rPr>
                      <w:rFonts w:ascii="Times New Roman" w:cs="Times New Roman"/>
                      <w:sz w:val="21"/>
                      <w:szCs w:val="21"/>
                      <w:u w:val="wave"/>
                    </w:rPr>
                    <w:t>除</w:t>
                  </w:r>
                  <w:r>
                    <w:rPr>
                      <w:rFonts w:ascii="Times New Roman" w:cs="Times New Roman"/>
                      <w:color w:val="auto"/>
                      <w:sz w:val="21"/>
                      <w:szCs w:val="21"/>
                      <w:u w:val="wave"/>
                    </w:rPr>
                    <w:t>尘器处理，处理后</w:t>
                  </w:r>
                  <w:r>
                    <w:rPr>
                      <w:rFonts w:ascii="Times New Roman" w:cs="Times New Roman"/>
                      <w:color w:val="auto"/>
                      <w:kern w:val="2"/>
                      <w:sz w:val="21"/>
                      <w:szCs w:val="21"/>
                      <w:u w:val="wave"/>
                    </w:rPr>
                    <w:t>通过</w:t>
                  </w:r>
                  <w:r>
                    <w:rPr>
                      <w:rFonts w:hint="eastAsia" w:ascii="Times New Roman" w:cs="Times New Roman"/>
                      <w:color w:val="auto"/>
                      <w:kern w:val="2"/>
                      <w:sz w:val="21"/>
                      <w:szCs w:val="21"/>
                      <w:u w:val="wave"/>
                    </w:rPr>
                    <w:t>2</w:t>
                  </w:r>
                  <w:r>
                    <w:rPr>
                      <w:rFonts w:ascii="Times New Roman" w:cs="Times New Roman"/>
                      <w:color w:val="auto"/>
                      <w:kern w:val="2"/>
                      <w:sz w:val="21"/>
                      <w:szCs w:val="21"/>
                      <w:u w:val="wave"/>
                    </w:rPr>
                    <w:t>5m高的P1</w:t>
                  </w:r>
                  <w:r>
                    <w:rPr>
                      <w:rFonts w:hint="eastAsia" w:ascii="Times New Roman" w:cs="Times New Roman"/>
                      <w:color w:val="auto"/>
                      <w:kern w:val="2"/>
                      <w:sz w:val="21"/>
                      <w:szCs w:val="21"/>
                      <w:u w:val="wave"/>
                    </w:rPr>
                    <w:t>~P19</w:t>
                  </w:r>
                  <w:r>
                    <w:rPr>
                      <w:rFonts w:ascii="Times New Roman" w:cs="Times New Roman"/>
                      <w:color w:val="auto"/>
                      <w:kern w:val="2"/>
                      <w:sz w:val="21"/>
                      <w:szCs w:val="21"/>
                      <w:u w:val="wave"/>
                    </w:rPr>
                    <w:t>排气筒排放，</w:t>
                  </w:r>
                  <w:r>
                    <w:rPr>
                      <w:rFonts w:hint="eastAsia" w:ascii="Times New Roman" w:cs="Times New Roman"/>
                      <w:color w:val="auto"/>
                      <w:kern w:val="2"/>
                      <w:sz w:val="21"/>
                      <w:szCs w:val="21"/>
                      <w:u w:val="wave"/>
                    </w:rPr>
                    <w:t>粉煤灰筒仓呼吸粉尘</w:t>
                  </w:r>
                  <w:r>
                    <w:rPr>
                      <w:rFonts w:ascii="Times New Roman" w:cs="Times New Roman"/>
                      <w:color w:val="auto"/>
                      <w:sz w:val="21"/>
                      <w:szCs w:val="21"/>
                      <w:u w:val="wave"/>
                    </w:rPr>
                    <w:t>通过</w:t>
                  </w:r>
                  <w:r>
                    <w:rPr>
                      <w:rFonts w:hint="eastAsia" w:ascii="Times New Roman" w:cs="Times New Roman"/>
                      <w:color w:val="auto"/>
                      <w:sz w:val="21"/>
                      <w:szCs w:val="21"/>
                      <w:u w:val="wave"/>
                    </w:rPr>
                    <w:t>脉冲</w:t>
                  </w:r>
                  <w:r>
                    <w:rPr>
                      <w:rFonts w:ascii="Times New Roman" w:cs="Times New Roman"/>
                      <w:color w:val="auto"/>
                      <w:sz w:val="21"/>
                      <w:szCs w:val="21"/>
                      <w:u w:val="wave"/>
                    </w:rPr>
                    <w:t>除尘器处理，处理后</w:t>
                  </w:r>
                  <w:r>
                    <w:rPr>
                      <w:rFonts w:ascii="Times New Roman" w:cs="Times New Roman"/>
                      <w:color w:val="auto"/>
                      <w:kern w:val="2"/>
                      <w:sz w:val="21"/>
                      <w:szCs w:val="21"/>
                      <w:u w:val="wave"/>
                    </w:rPr>
                    <w:t>通过</w:t>
                  </w:r>
                  <w:r>
                    <w:rPr>
                      <w:rFonts w:hint="eastAsia" w:ascii="Times New Roman" w:cs="Times New Roman"/>
                      <w:color w:val="auto"/>
                      <w:kern w:val="2"/>
                      <w:sz w:val="21"/>
                      <w:szCs w:val="21"/>
                      <w:u w:val="wave"/>
                    </w:rPr>
                    <w:t>2</w:t>
                  </w:r>
                  <w:r>
                    <w:rPr>
                      <w:rFonts w:ascii="Times New Roman" w:cs="Times New Roman"/>
                      <w:color w:val="auto"/>
                      <w:kern w:val="2"/>
                      <w:sz w:val="21"/>
                      <w:szCs w:val="21"/>
                      <w:u w:val="wave"/>
                    </w:rPr>
                    <w:t>5m高的P</w:t>
                  </w:r>
                  <w:r>
                    <w:rPr>
                      <w:rFonts w:hint="eastAsia" w:ascii="Times New Roman" w:cs="Times New Roman"/>
                      <w:color w:val="auto"/>
                      <w:kern w:val="2"/>
                      <w:sz w:val="21"/>
                      <w:szCs w:val="21"/>
                      <w:u w:val="wave"/>
                    </w:rPr>
                    <w:t>10、P11</w:t>
                  </w:r>
                  <w:r>
                    <w:rPr>
                      <w:rFonts w:ascii="Times New Roman" w:cs="Times New Roman"/>
                      <w:color w:val="auto"/>
                      <w:kern w:val="2"/>
                      <w:sz w:val="21"/>
                      <w:szCs w:val="21"/>
                      <w:u w:val="wave"/>
                    </w:rPr>
                    <w:t>排气筒排放</w:t>
                  </w:r>
                  <w:r>
                    <w:rPr>
                      <w:rFonts w:hint="eastAsia" w:ascii="Times New Roman" w:cs="Times New Roman"/>
                      <w:color w:val="auto"/>
                      <w:kern w:val="2"/>
                      <w:sz w:val="21"/>
                      <w:szCs w:val="21"/>
                      <w:u w:val="wave"/>
                    </w:rPr>
                    <w:t>；搅拌粉尘</w:t>
                  </w:r>
                  <w:r>
                    <w:rPr>
                      <w:rFonts w:ascii="Times New Roman" w:cs="Times New Roman"/>
                      <w:color w:val="auto"/>
                      <w:sz w:val="21"/>
                      <w:szCs w:val="21"/>
                      <w:u w:val="wave"/>
                    </w:rPr>
                    <w:t>通过</w:t>
                  </w:r>
                  <w:r>
                    <w:rPr>
                      <w:rFonts w:hint="eastAsia" w:ascii="Times New Roman" w:cs="Times New Roman"/>
                      <w:color w:val="auto"/>
                      <w:sz w:val="21"/>
                      <w:szCs w:val="21"/>
                      <w:u w:val="wave"/>
                    </w:rPr>
                    <w:t>脉冲</w:t>
                  </w:r>
                  <w:r>
                    <w:rPr>
                      <w:rFonts w:ascii="Times New Roman" w:cs="Times New Roman"/>
                      <w:color w:val="auto"/>
                      <w:sz w:val="21"/>
                      <w:szCs w:val="21"/>
                      <w:u w:val="wave"/>
                    </w:rPr>
                    <w:t>除尘器处理，处理后</w:t>
                  </w:r>
                  <w:r>
                    <w:rPr>
                      <w:rFonts w:ascii="Times New Roman" w:cs="Times New Roman"/>
                      <w:color w:val="auto"/>
                      <w:kern w:val="2"/>
                      <w:sz w:val="21"/>
                      <w:szCs w:val="21"/>
                      <w:u w:val="wave"/>
                    </w:rPr>
                    <w:t>通过</w:t>
                  </w:r>
                  <w:r>
                    <w:rPr>
                      <w:rFonts w:hint="eastAsia" w:ascii="Times New Roman" w:cs="Times New Roman"/>
                      <w:color w:val="auto"/>
                      <w:kern w:val="2"/>
                      <w:sz w:val="21"/>
                      <w:szCs w:val="21"/>
                      <w:u w:val="wave"/>
                    </w:rPr>
                    <w:t>2</w:t>
                  </w:r>
                  <w:r>
                    <w:rPr>
                      <w:rFonts w:ascii="Times New Roman" w:cs="Times New Roman"/>
                      <w:color w:val="auto"/>
                      <w:kern w:val="2"/>
                      <w:sz w:val="21"/>
                      <w:szCs w:val="21"/>
                      <w:u w:val="wave"/>
                    </w:rPr>
                    <w:t>5m高的P</w:t>
                  </w:r>
                  <w:r>
                    <w:rPr>
                      <w:rFonts w:hint="eastAsia" w:ascii="Times New Roman" w:cs="Times New Roman"/>
                      <w:color w:val="auto"/>
                      <w:kern w:val="2"/>
                      <w:sz w:val="21"/>
                      <w:szCs w:val="21"/>
                      <w:u w:val="wave"/>
                    </w:rPr>
                    <w:t>12~P14</w:t>
                  </w:r>
                  <w:r>
                    <w:rPr>
                      <w:rFonts w:ascii="Times New Roman" w:cs="Times New Roman"/>
                      <w:color w:val="auto"/>
                      <w:kern w:val="2"/>
                      <w:sz w:val="21"/>
                      <w:szCs w:val="21"/>
                      <w:u w:val="wave"/>
                    </w:rPr>
                    <w:t>排气筒排放</w:t>
                  </w:r>
                  <w:r>
                    <w:rPr>
                      <w:rFonts w:hint="eastAsia" w:ascii="Times New Roman" w:cs="Times New Roman"/>
                      <w:color w:val="auto"/>
                      <w:sz w:val="21"/>
                      <w:szCs w:val="21"/>
                      <w:u w:val="wave"/>
                    </w:rPr>
                    <w:t>；食堂油烟经油烟净化器处理后通过15m高的排气筒排放；</w:t>
                  </w:r>
                </w:p>
              </w:tc>
              <w:tc>
                <w:tcPr>
                  <w:tcW w:w="1027" w:type="dxa"/>
                  <w:vAlign w:val="center"/>
                </w:tcPr>
                <w:p>
                  <w:pPr>
                    <w:spacing w:after="0"/>
                    <w:jc w:val="center"/>
                    <w:rPr>
                      <w:szCs w:val="21"/>
                      <w:u w:val="wave"/>
                    </w:rPr>
                  </w:pPr>
                  <w:r>
                    <w:rPr>
                      <w:rFonts w:hint="eastAsia"/>
                      <w:szCs w:val="21"/>
                      <w:u w:val="wav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Merge w:val="continue"/>
                  <w:vAlign w:val="center"/>
                </w:tcPr>
                <w:p>
                  <w:pPr>
                    <w:pStyle w:val="35"/>
                    <w:spacing w:after="0"/>
                    <w:jc w:val="center"/>
                    <w:rPr>
                      <w:rFonts w:ascii="Times New Roman" w:cs="Times New Roman"/>
                      <w:color w:val="auto"/>
                      <w:sz w:val="21"/>
                      <w:szCs w:val="21"/>
                      <w:u w:val="wave"/>
                    </w:rPr>
                  </w:pPr>
                </w:p>
              </w:tc>
              <w:tc>
                <w:tcPr>
                  <w:tcW w:w="5780" w:type="dxa"/>
                  <w:vAlign w:val="center"/>
                </w:tcPr>
                <w:p>
                  <w:pPr>
                    <w:pStyle w:val="35"/>
                    <w:spacing w:after="0"/>
                    <w:jc w:val="center"/>
                    <w:rPr>
                      <w:rFonts w:ascii="Times New Roman" w:cs="Times New Roman"/>
                      <w:color w:val="auto"/>
                      <w:sz w:val="21"/>
                      <w:szCs w:val="21"/>
                      <w:u w:val="wave"/>
                    </w:rPr>
                  </w:pPr>
                  <w:r>
                    <w:rPr>
                      <w:rFonts w:ascii="Times New Roman"/>
                      <w:color w:val="auto"/>
                      <w:sz w:val="21"/>
                      <w:szCs w:val="21"/>
                      <w:u w:val="wave"/>
                      <w:lang w:bidi="ar"/>
                    </w:rPr>
                    <w:t>原料堆场</w:t>
                  </w:r>
                  <w:r>
                    <w:rPr>
                      <w:rFonts w:hint="eastAsia" w:ascii="Times New Roman"/>
                      <w:color w:val="auto"/>
                      <w:sz w:val="21"/>
                      <w:szCs w:val="21"/>
                      <w:u w:val="wave"/>
                      <w:lang w:bidi="ar"/>
                    </w:rPr>
                    <w:t>：</w:t>
                  </w:r>
                  <w:r>
                    <w:rPr>
                      <w:rFonts w:ascii="Times New Roman"/>
                      <w:color w:val="auto"/>
                      <w:sz w:val="21"/>
                      <w:szCs w:val="21"/>
                      <w:u w:val="wave"/>
                      <w:lang w:bidi="ar"/>
                    </w:rPr>
                    <w:t>地面</w:t>
                  </w:r>
                  <w:r>
                    <w:rPr>
                      <w:rFonts w:hint="eastAsia" w:ascii="Times New Roman"/>
                      <w:color w:val="auto"/>
                      <w:sz w:val="21"/>
                      <w:szCs w:val="21"/>
                      <w:u w:val="wave"/>
                      <w:lang w:bidi="ar"/>
                    </w:rPr>
                    <w:t>硬化并搭建厂房</w:t>
                  </w:r>
                  <w:r>
                    <w:rPr>
                      <w:rFonts w:ascii="Times New Roman"/>
                      <w:color w:val="auto"/>
                      <w:sz w:val="21"/>
                      <w:szCs w:val="21"/>
                      <w:u w:val="wave"/>
                      <w:lang w:bidi="ar"/>
                    </w:rPr>
                    <w:t>，</w:t>
                  </w:r>
                  <w:r>
                    <w:rPr>
                      <w:rFonts w:ascii="Times New Roman" w:cs="Times New Roman"/>
                      <w:kern w:val="2"/>
                      <w:sz w:val="21"/>
                      <w:szCs w:val="21"/>
                      <w:u w:val="wave"/>
                    </w:rPr>
                    <w:t>设置喷水雾化器</w:t>
                  </w:r>
                  <w:r>
                    <w:rPr>
                      <w:rFonts w:ascii="Times New Roman"/>
                      <w:color w:val="auto"/>
                      <w:sz w:val="21"/>
                      <w:szCs w:val="21"/>
                      <w:u w:val="wave"/>
                      <w:lang w:bidi="ar"/>
                    </w:rPr>
                    <w:t>，同时在进出物料口处两侧加强布设喷淋洒水设施</w:t>
                  </w:r>
                </w:p>
              </w:tc>
              <w:tc>
                <w:tcPr>
                  <w:tcW w:w="1027" w:type="dxa"/>
                  <w:vAlign w:val="center"/>
                </w:tcPr>
                <w:p>
                  <w:pPr>
                    <w:spacing w:after="0"/>
                    <w:jc w:val="center"/>
                    <w:rPr>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Merge w:val="continue"/>
                  <w:vAlign w:val="center"/>
                </w:tcPr>
                <w:p>
                  <w:pPr>
                    <w:pStyle w:val="35"/>
                    <w:spacing w:after="0"/>
                    <w:jc w:val="center"/>
                    <w:rPr>
                      <w:rFonts w:ascii="Times New Roman" w:cs="Times New Roman"/>
                      <w:color w:val="auto"/>
                      <w:sz w:val="21"/>
                      <w:szCs w:val="21"/>
                      <w:u w:val="wave"/>
                    </w:rPr>
                  </w:pPr>
                </w:p>
              </w:tc>
              <w:tc>
                <w:tcPr>
                  <w:tcW w:w="5780" w:type="dxa"/>
                  <w:vAlign w:val="center"/>
                </w:tcPr>
                <w:p>
                  <w:pPr>
                    <w:spacing w:after="0"/>
                    <w:jc w:val="center"/>
                    <w:rPr>
                      <w:szCs w:val="21"/>
                      <w:u w:val="wave"/>
                      <w:lang w:bidi="ar"/>
                    </w:rPr>
                  </w:pPr>
                  <w:r>
                    <w:rPr>
                      <w:rFonts w:hint="eastAsia"/>
                      <w:szCs w:val="21"/>
                      <w:u w:val="wave"/>
                    </w:rPr>
                    <w:t>道路扬尘及汽车尾气通过洒水降尘及绿化消减、大气扩散等措施处理</w:t>
                  </w:r>
                </w:p>
              </w:tc>
              <w:tc>
                <w:tcPr>
                  <w:tcW w:w="1027" w:type="dxa"/>
                  <w:vAlign w:val="center"/>
                </w:tcPr>
                <w:p>
                  <w:pPr>
                    <w:spacing w:after="0"/>
                    <w:jc w:val="center"/>
                    <w:rPr>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废水</w:t>
                  </w:r>
                </w:p>
              </w:tc>
              <w:tc>
                <w:tcPr>
                  <w:tcW w:w="5780"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项目</w:t>
                  </w:r>
                  <w:r>
                    <w:rPr>
                      <w:rFonts w:hint="eastAsia" w:ascii="Times New Roman" w:cs="Times New Roman"/>
                      <w:color w:val="auto"/>
                      <w:sz w:val="21"/>
                      <w:szCs w:val="21"/>
                      <w:u w:val="wave"/>
                    </w:rPr>
                    <w:t>生产</w:t>
                  </w:r>
                  <w:r>
                    <w:rPr>
                      <w:rFonts w:ascii="Times New Roman" w:cs="Times New Roman"/>
                      <w:color w:val="auto"/>
                      <w:sz w:val="21"/>
                      <w:szCs w:val="21"/>
                      <w:u w:val="wave"/>
                    </w:rPr>
                    <w:t>废水经过</w:t>
                  </w:r>
                  <w:r>
                    <w:rPr>
                      <w:rFonts w:hint="eastAsia" w:ascii="Times New Roman" w:cs="Times New Roman"/>
                      <w:color w:val="auto"/>
                      <w:sz w:val="21"/>
                      <w:szCs w:val="21"/>
                      <w:u w:val="wave"/>
                    </w:rPr>
                    <w:t>收集及</w:t>
                  </w:r>
                  <w:r>
                    <w:rPr>
                      <w:rFonts w:ascii="Times New Roman" w:cs="Times New Roman"/>
                      <w:color w:val="auto"/>
                      <w:sz w:val="21"/>
                      <w:szCs w:val="21"/>
                      <w:u w:val="wave"/>
                    </w:rPr>
                    <w:t>三级沉淀池沉淀</w:t>
                  </w:r>
                  <w:r>
                    <w:rPr>
                      <w:rFonts w:hint="eastAsia" w:ascii="Times New Roman" w:cs="Times New Roman"/>
                      <w:color w:val="auto"/>
                      <w:sz w:val="21"/>
                      <w:szCs w:val="21"/>
                      <w:u w:val="wave"/>
                    </w:rPr>
                    <w:t>处理</w:t>
                  </w:r>
                  <w:r>
                    <w:rPr>
                      <w:rFonts w:ascii="Times New Roman" w:cs="Times New Roman"/>
                      <w:color w:val="auto"/>
                      <w:sz w:val="21"/>
                      <w:szCs w:val="21"/>
                      <w:u w:val="wave"/>
                    </w:rPr>
                    <w:t>后</w:t>
                  </w:r>
                  <w:r>
                    <w:rPr>
                      <w:rFonts w:hint="eastAsia" w:ascii="Times New Roman" w:cs="Times New Roman"/>
                      <w:color w:val="auto"/>
                      <w:sz w:val="21"/>
                      <w:szCs w:val="21"/>
                      <w:u w:val="wave"/>
                    </w:rPr>
                    <w:t>循环使用</w:t>
                  </w:r>
                  <w:r>
                    <w:rPr>
                      <w:rFonts w:ascii="Times New Roman" w:cs="Times New Roman"/>
                      <w:color w:val="auto"/>
                      <w:sz w:val="21"/>
                      <w:szCs w:val="21"/>
                      <w:u w:val="wave"/>
                    </w:rPr>
                    <w:t>不外排</w:t>
                  </w:r>
                  <w:r>
                    <w:rPr>
                      <w:rFonts w:hint="eastAsia" w:ascii="Times New Roman" w:cs="Times New Roman"/>
                      <w:color w:val="auto"/>
                      <w:sz w:val="21"/>
                      <w:szCs w:val="21"/>
                      <w:u w:val="wave"/>
                    </w:rPr>
                    <w:t>；生活废水经隔油器及化粪池处理后用于周边农田灌溉；初期雨水经雨水收集池收集后作工艺用水循环使用</w:t>
                  </w:r>
                </w:p>
              </w:tc>
              <w:tc>
                <w:tcPr>
                  <w:tcW w:w="1027" w:type="dxa"/>
                  <w:vAlign w:val="center"/>
                </w:tcPr>
                <w:p>
                  <w:pPr>
                    <w:spacing w:after="0"/>
                    <w:jc w:val="center"/>
                    <w:rPr>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固体废物</w:t>
                  </w:r>
                </w:p>
              </w:tc>
              <w:tc>
                <w:tcPr>
                  <w:tcW w:w="5780" w:type="dxa"/>
                  <w:vAlign w:val="center"/>
                </w:tcPr>
                <w:p>
                  <w:pPr>
                    <w:pStyle w:val="35"/>
                    <w:spacing w:after="0"/>
                    <w:jc w:val="center"/>
                    <w:rPr>
                      <w:rFonts w:ascii="Times New Roman" w:cs="Times New Roman"/>
                      <w:color w:val="auto"/>
                      <w:sz w:val="21"/>
                      <w:szCs w:val="21"/>
                      <w:u w:val="wave"/>
                    </w:rPr>
                  </w:pPr>
                  <w:r>
                    <w:rPr>
                      <w:rFonts w:ascii="Times New Roman"/>
                      <w:color w:val="auto"/>
                      <w:sz w:val="21"/>
                      <w:szCs w:val="21"/>
                      <w:u w:val="wave"/>
                    </w:rPr>
                    <w:t>除尘设备收集的粉尘</w:t>
                  </w:r>
                  <w:r>
                    <w:rPr>
                      <w:rFonts w:hint="eastAsia" w:ascii="Times New Roman"/>
                      <w:color w:val="auto"/>
                      <w:sz w:val="21"/>
                      <w:szCs w:val="21"/>
                      <w:u w:val="wave"/>
                    </w:rPr>
                    <w:t>、砂石分离机分离后的砂石、</w:t>
                  </w:r>
                  <w:r>
                    <w:rPr>
                      <w:rFonts w:ascii="Times New Roman"/>
                      <w:color w:val="auto"/>
                      <w:sz w:val="21"/>
                      <w:szCs w:val="21"/>
                      <w:u w:val="wave"/>
                    </w:rPr>
                    <w:t>三级沉淀池沉淀泥砂</w:t>
                  </w:r>
                  <w:r>
                    <w:rPr>
                      <w:rFonts w:hint="eastAsia" w:ascii="Times New Roman"/>
                      <w:color w:val="auto"/>
                      <w:sz w:val="21"/>
                      <w:szCs w:val="21"/>
                      <w:u w:val="wave"/>
                    </w:rPr>
                    <w:t>、实验室废料均回用于生产；生活垃圾统一收集后交由环卫部门处理</w:t>
                  </w:r>
                </w:p>
              </w:tc>
              <w:tc>
                <w:tcPr>
                  <w:tcW w:w="1027" w:type="dxa"/>
                  <w:vAlign w:val="center"/>
                </w:tcPr>
                <w:p>
                  <w:pPr>
                    <w:spacing w:after="0"/>
                    <w:jc w:val="center"/>
                    <w:rPr>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危险废物</w:t>
                  </w:r>
                </w:p>
              </w:tc>
              <w:tc>
                <w:tcPr>
                  <w:tcW w:w="5780"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委托专门的维修机构修理，废机油、含油抹布和手套均不在厂区内贮存，由维修机构带走</w:t>
                  </w:r>
                </w:p>
              </w:tc>
              <w:tc>
                <w:tcPr>
                  <w:tcW w:w="1027" w:type="dxa"/>
                  <w:vAlign w:val="center"/>
                </w:tcPr>
                <w:p>
                  <w:pPr>
                    <w:spacing w:after="0"/>
                    <w:jc w:val="center"/>
                    <w:rPr>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42" w:type="dxa"/>
                  <w:vMerge w:val="continue"/>
                  <w:vAlign w:val="center"/>
                </w:tcPr>
                <w:p>
                  <w:pPr>
                    <w:pStyle w:val="35"/>
                    <w:spacing w:after="0"/>
                    <w:jc w:val="center"/>
                    <w:rPr>
                      <w:rFonts w:ascii="Times New Roman" w:cs="Times New Roman"/>
                      <w:color w:val="auto"/>
                      <w:sz w:val="21"/>
                      <w:szCs w:val="21"/>
                      <w:u w:val="wave"/>
                    </w:rPr>
                  </w:pPr>
                </w:p>
              </w:tc>
              <w:tc>
                <w:tcPr>
                  <w:tcW w:w="1734"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噪声</w:t>
                  </w:r>
                </w:p>
              </w:tc>
              <w:tc>
                <w:tcPr>
                  <w:tcW w:w="5780"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采用低噪声生产工艺及设备；</w:t>
                  </w:r>
                  <w:r>
                    <w:rPr>
                      <w:rFonts w:hint="eastAsia" w:ascii="Times New Roman" w:cs="Times New Roman"/>
                      <w:color w:val="auto"/>
                      <w:sz w:val="21"/>
                      <w:szCs w:val="21"/>
                      <w:u w:val="wave"/>
                    </w:rPr>
                    <w:t>使用低噪声设备</w:t>
                  </w:r>
                  <w:r>
                    <w:rPr>
                      <w:rFonts w:ascii="Times New Roman" w:cs="Times New Roman"/>
                      <w:color w:val="auto"/>
                      <w:sz w:val="21"/>
                      <w:szCs w:val="21"/>
                      <w:u w:val="wave"/>
                    </w:rPr>
                    <w:t>、</w:t>
                  </w:r>
                  <w:r>
                    <w:rPr>
                      <w:rFonts w:hint="eastAsia" w:ascii="Times New Roman" w:cs="Times New Roman"/>
                      <w:color w:val="auto"/>
                      <w:sz w:val="21"/>
                      <w:szCs w:val="21"/>
                      <w:u w:val="wave"/>
                    </w:rPr>
                    <w:t>基础</w:t>
                  </w:r>
                  <w:r>
                    <w:rPr>
                      <w:rFonts w:ascii="Times New Roman" w:cs="Times New Roman"/>
                      <w:color w:val="auto"/>
                      <w:sz w:val="21"/>
                      <w:szCs w:val="21"/>
                      <w:u w:val="wave"/>
                    </w:rPr>
                    <w:t>减振</w:t>
                  </w:r>
                  <w:r>
                    <w:rPr>
                      <w:rFonts w:hint="eastAsia" w:ascii="Times New Roman" w:cs="Times New Roman"/>
                      <w:color w:val="auto"/>
                      <w:sz w:val="21"/>
                      <w:szCs w:val="21"/>
                      <w:u w:val="wave"/>
                    </w:rPr>
                    <w:t>、设置绿化带及厂房隔声</w:t>
                  </w:r>
                  <w:r>
                    <w:rPr>
                      <w:rFonts w:ascii="Times New Roman" w:cs="Times New Roman"/>
                      <w:color w:val="auto"/>
                      <w:sz w:val="21"/>
                      <w:szCs w:val="21"/>
                      <w:u w:val="wave"/>
                    </w:rPr>
                    <w:t>等措施，降低噪声强度</w:t>
                  </w:r>
                </w:p>
              </w:tc>
              <w:tc>
                <w:tcPr>
                  <w:tcW w:w="1027" w:type="dxa"/>
                  <w:vAlign w:val="center"/>
                </w:tcPr>
                <w:p>
                  <w:pPr>
                    <w:spacing w:after="0"/>
                    <w:jc w:val="center"/>
                    <w:rPr>
                      <w:szCs w:val="21"/>
                      <w:u w:val="wave"/>
                    </w:rPr>
                  </w:pPr>
                </w:p>
              </w:tc>
            </w:tr>
          </w:tbl>
          <w:p>
            <w:pPr>
              <w:pStyle w:val="35"/>
              <w:spacing w:after="0" w:line="360" w:lineRule="auto"/>
              <w:ind w:firstLine="480" w:firstLineChars="200"/>
              <w:jc w:val="both"/>
              <w:rPr>
                <w:rFonts w:ascii="Times New Roman" w:cs="Times New Roman"/>
                <w:color w:val="auto"/>
                <w:szCs w:val="32"/>
              </w:rPr>
            </w:pPr>
            <w:r>
              <w:rPr>
                <w:rFonts w:hint="eastAsia" w:ascii="Times New Roman" w:cs="Times New Roman"/>
                <w:color w:val="auto"/>
                <w:szCs w:val="32"/>
              </w:rPr>
              <w:t>（2）主要生产设备</w:t>
            </w:r>
          </w:p>
          <w:p>
            <w:pPr>
              <w:pStyle w:val="35"/>
              <w:spacing w:after="0" w:line="360" w:lineRule="auto"/>
              <w:ind w:firstLine="480" w:firstLineChars="200"/>
              <w:jc w:val="both"/>
              <w:rPr>
                <w:rFonts w:ascii="Times New Roman" w:cs="Times New Roman"/>
                <w:color w:val="auto"/>
                <w:szCs w:val="32"/>
              </w:rPr>
            </w:pPr>
            <w:r>
              <w:rPr>
                <w:rFonts w:hint="eastAsia"/>
              </w:rPr>
              <w:t>项目主要设备详见下表。</w:t>
            </w:r>
          </w:p>
          <w:p>
            <w:pPr>
              <w:pStyle w:val="35"/>
              <w:spacing w:after="0" w:line="360" w:lineRule="auto"/>
              <w:jc w:val="center"/>
              <w:rPr>
                <w:rFonts w:ascii="Times New Roman" w:cs="Times New Roman"/>
                <w:b/>
                <w:bCs/>
                <w:color w:val="auto"/>
                <w:szCs w:val="32"/>
                <w:u w:val="wave"/>
              </w:rPr>
            </w:pPr>
            <w:r>
              <w:rPr>
                <w:rFonts w:hint="eastAsia" w:ascii="Times New Roman" w:cs="Times New Roman"/>
                <w:b/>
                <w:bCs/>
                <w:color w:val="auto"/>
                <w:szCs w:val="32"/>
                <w:u w:val="wave"/>
              </w:rPr>
              <w:t>表1-2  项目主要设备一览表</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1"/>
              <w:gridCol w:w="1306"/>
              <w:gridCol w:w="1965"/>
              <w:gridCol w:w="678"/>
              <w:gridCol w:w="2312"/>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序号</w:t>
                  </w:r>
                </w:p>
              </w:tc>
              <w:tc>
                <w:tcPr>
                  <w:tcW w:w="705" w:type="pct"/>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设备名称</w:t>
                  </w:r>
                </w:p>
              </w:tc>
              <w:tc>
                <w:tcPr>
                  <w:tcW w:w="1060" w:type="pct"/>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型号</w:t>
                  </w:r>
                </w:p>
              </w:tc>
              <w:tc>
                <w:tcPr>
                  <w:tcW w:w="366" w:type="pct"/>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数量</w:t>
                  </w:r>
                </w:p>
              </w:tc>
              <w:tc>
                <w:tcPr>
                  <w:tcW w:w="1247"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作用</w:t>
                  </w:r>
                </w:p>
              </w:tc>
              <w:tc>
                <w:tcPr>
                  <w:tcW w:w="1289"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1</w:t>
                  </w:r>
                </w:p>
              </w:tc>
              <w:tc>
                <w:tcPr>
                  <w:tcW w:w="705" w:type="pct"/>
                  <w:vAlign w:val="center"/>
                </w:tcPr>
                <w:p>
                  <w:pPr>
                    <w:spacing w:after="0"/>
                    <w:jc w:val="center"/>
                    <w:rPr>
                      <w:szCs w:val="21"/>
                      <w:u w:val="wave"/>
                    </w:rPr>
                  </w:pPr>
                  <w:r>
                    <w:rPr>
                      <w:rFonts w:hint="eastAsia"/>
                      <w:szCs w:val="21"/>
                      <w:u w:val="wave"/>
                    </w:rPr>
                    <w:t>搅拌主机</w:t>
                  </w:r>
                </w:p>
              </w:tc>
              <w:tc>
                <w:tcPr>
                  <w:tcW w:w="1060" w:type="pct"/>
                  <w:vAlign w:val="center"/>
                </w:tcPr>
                <w:p>
                  <w:pPr>
                    <w:autoSpaceDE w:val="0"/>
                    <w:autoSpaceDN w:val="0"/>
                    <w:adjustRightInd w:val="0"/>
                    <w:spacing w:after="0"/>
                    <w:jc w:val="center"/>
                    <w:rPr>
                      <w:szCs w:val="21"/>
                      <w:u w:val="wave"/>
                    </w:rPr>
                  </w:pPr>
                  <w:r>
                    <w:rPr>
                      <w:rFonts w:hint="eastAsia"/>
                      <w:szCs w:val="21"/>
                      <w:u w:val="wave"/>
                    </w:rPr>
                    <w:t>中联180线</w:t>
                  </w:r>
                </w:p>
              </w:tc>
              <w:tc>
                <w:tcPr>
                  <w:tcW w:w="366" w:type="pct"/>
                  <w:vAlign w:val="center"/>
                </w:tcPr>
                <w:p>
                  <w:pPr>
                    <w:autoSpaceDE w:val="0"/>
                    <w:autoSpaceDN w:val="0"/>
                    <w:adjustRightInd w:val="0"/>
                    <w:spacing w:after="0"/>
                    <w:jc w:val="center"/>
                    <w:rPr>
                      <w:szCs w:val="21"/>
                      <w:u w:val="wave"/>
                    </w:rPr>
                  </w:pPr>
                  <w:r>
                    <w:rPr>
                      <w:rFonts w:hint="eastAsia"/>
                      <w:szCs w:val="21"/>
                      <w:u w:val="wave"/>
                    </w:rPr>
                    <w:t>1套</w:t>
                  </w:r>
                </w:p>
              </w:tc>
              <w:tc>
                <w:tcPr>
                  <w:tcW w:w="1247" w:type="pct"/>
                  <w:vAlign w:val="center"/>
                </w:tcPr>
                <w:p>
                  <w:pPr>
                    <w:autoSpaceDE w:val="0"/>
                    <w:autoSpaceDN w:val="0"/>
                    <w:adjustRightInd w:val="0"/>
                    <w:spacing w:after="0"/>
                    <w:jc w:val="center"/>
                    <w:rPr>
                      <w:szCs w:val="21"/>
                      <w:u w:val="wave"/>
                    </w:rPr>
                  </w:pPr>
                  <w:r>
                    <w:rPr>
                      <w:rFonts w:hint="eastAsia"/>
                      <w:szCs w:val="21"/>
                      <w:u w:val="wave"/>
                    </w:rPr>
                    <w:t>搅拌原料</w:t>
                  </w:r>
                </w:p>
              </w:tc>
              <w:tc>
                <w:tcPr>
                  <w:tcW w:w="1289" w:type="pct"/>
                  <w:vAlign w:val="center"/>
                </w:tcPr>
                <w:p>
                  <w:pPr>
                    <w:autoSpaceDE w:val="0"/>
                    <w:autoSpaceDN w:val="0"/>
                    <w:adjustRightInd w:val="0"/>
                    <w:spacing w:after="0"/>
                    <w:jc w:val="center"/>
                    <w:rPr>
                      <w:szCs w:val="21"/>
                      <w:u w:val="wave"/>
                    </w:rPr>
                  </w:pPr>
                  <w:r>
                    <w:rPr>
                      <w:rFonts w:hint="eastAsia"/>
                      <w:szCs w:val="21"/>
                      <w:u w:val="wave"/>
                    </w:rPr>
                    <w:t>配置2个水泥筒仓（200t）、1个粉煤灰筒仓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2</w:t>
                  </w:r>
                </w:p>
              </w:tc>
              <w:tc>
                <w:tcPr>
                  <w:tcW w:w="705" w:type="pct"/>
                  <w:vAlign w:val="center"/>
                </w:tcPr>
                <w:p>
                  <w:pPr>
                    <w:spacing w:after="0"/>
                    <w:jc w:val="center"/>
                    <w:rPr>
                      <w:szCs w:val="21"/>
                      <w:u w:val="wave"/>
                    </w:rPr>
                  </w:pPr>
                  <w:r>
                    <w:rPr>
                      <w:rFonts w:hint="eastAsia"/>
                      <w:szCs w:val="21"/>
                      <w:u w:val="wave"/>
                    </w:rPr>
                    <w:t>搅拌主机</w:t>
                  </w:r>
                </w:p>
              </w:tc>
              <w:tc>
                <w:tcPr>
                  <w:tcW w:w="1060" w:type="pct"/>
                  <w:vAlign w:val="center"/>
                </w:tcPr>
                <w:p>
                  <w:pPr>
                    <w:autoSpaceDE w:val="0"/>
                    <w:autoSpaceDN w:val="0"/>
                    <w:adjustRightInd w:val="0"/>
                    <w:spacing w:after="0"/>
                    <w:jc w:val="center"/>
                    <w:rPr>
                      <w:szCs w:val="21"/>
                      <w:u w:val="wave"/>
                    </w:rPr>
                  </w:pPr>
                  <w:r>
                    <w:rPr>
                      <w:rFonts w:hint="eastAsia"/>
                      <w:szCs w:val="21"/>
                      <w:u w:val="wave"/>
                    </w:rPr>
                    <w:t>润天90线</w:t>
                  </w:r>
                </w:p>
              </w:tc>
              <w:tc>
                <w:tcPr>
                  <w:tcW w:w="366" w:type="pct"/>
                  <w:vAlign w:val="center"/>
                </w:tcPr>
                <w:p>
                  <w:pPr>
                    <w:autoSpaceDE w:val="0"/>
                    <w:autoSpaceDN w:val="0"/>
                    <w:adjustRightInd w:val="0"/>
                    <w:spacing w:after="0"/>
                    <w:jc w:val="center"/>
                    <w:rPr>
                      <w:szCs w:val="21"/>
                      <w:u w:val="wave"/>
                    </w:rPr>
                  </w:pPr>
                  <w:r>
                    <w:rPr>
                      <w:rFonts w:hint="eastAsia"/>
                      <w:szCs w:val="21"/>
                      <w:u w:val="wave"/>
                    </w:rPr>
                    <w:t>1套</w:t>
                  </w:r>
                </w:p>
              </w:tc>
              <w:tc>
                <w:tcPr>
                  <w:tcW w:w="1247" w:type="pct"/>
                  <w:vAlign w:val="center"/>
                </w:tcPr>
                <w:p>
                  <w:pPr>
                    <w:autoSpaceDE w:val="0"/>
                    <w:autoSpaceDN w:val="0"/>
                    <w:adjustRightInd w:val="0"/>
                    <w:spacing w:after="0"/>
                    <w:jc w:val="center"/>
                    <w:rPr>
                      <w:szCs w:val="21"/>
                      <w:u w:val="wave"/>
                    </w:rPr>
                  </w:pPr>
                  <w:r>
                    <w:rPr>
                      <w:rFonts w:hint="eastAsia"/>
                      <w:szCs w:val="21"/>
                      <w:u w:val="wave"/>
                    </w:rPr>
                    <w:t>搅拌原料</w:t>
                  </w:r>
                </w:p>
              </w:tc>
              <w:tc>
                <w:tcPr>
                  <w:tcW w:w="1289" w:type="pct"/>
                  <w:vAlign w:val="center"/>
                </w:tcPr>
                <w:p>
                  <w:pPr>
                    <w:autoSpaceDE w:val="0"/>
                    <w:autoSpaceDN w:val="0"/>
                    <w:adjustRightInd w:val="0"/>
                    <w:spacing w:after="0"/>
                    <w:jc w:val="center"/>
                    <w:rPr>
                      <w:szCs w:val="21"/>
                      <w:u w:val="wave"/>
                    </w:rPr>
                  </w:pPr>
                  <w:r>
                    <w:rPr>
                      <w:rFonts w:hint="eastAsia"/>
                      <w:szCs w:val="21"/>
                      <w:u w:val="wave"/>
                    </w:rPr>
                    <w:t>备用，待中联180生产线出故障才使用；配置2个水泥筒仓（200t）、1个粉煤灰筒仓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3</w:t>
                  </w:r>
                </w:p>
              </w:tc>
              <w:tc>
                <w:tcPr>
                  <w:tcW w:w="705"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搅拌主机</w:t>
                  </w:r>
                </w:p>
              </w:tc>
              <w:tc>
                <w:tcPr>
                  <w:tcW w:w="1060" w:type="pct"/>
                  <w:vAlign w:val="center"/>
                </w:tcPr>
                <w:p>
                  <w:pPr>
                    <w:autoSpaceDE w:val="0"/>
                    <w:autoSpaceDN w:val="0"/>
                    <w:adjustRightInd w:val="0"/>
                    <w:spacing w:after="0"/>
                    <w:jc w:val="center"/>
                    <w:rPr>
                      <w:szCs w:val="21"/>
                      <w:u w:val="wave"/>
                    </w:rPr>
                  </w:pPr>
                  <w:r>
                    <w:rPr>
                      <w:rFonts w:hint="eastAsia"/>
                      <w:szCs w:val="21"/>
                      <w:u w:val="wave"/>
                    </w:rPr>
                    <w:t>柳城600吨水稳线</w:t>
                  </w:r>
                </w:p>
              </w:tc>
              <w:tc>
                <w:tcPr>
                  <w:tcW w:w="366" w:type="pct"/>
                  <w:vAlign w:val="center"/>
                </w:tcPr>
                <w:p>
                  <w:pPr>
                    <w:autoSpaceDE w:val="0"/>
                    <w:autoSpaceDN w:val="0"/>
                    <w:adjustRightInd w:val="0"/>
                    <w:spacing w:after="0"/>
                    <w:jc w:val="center"/>
                    <w:rPr>
                      <w:szCs w:val="21"/>
                      <w:u w:val="wave"/>
                    </w:rPr>
                  </w:pPr>
                  <w:r>
                    <w:rPr>
                      <w:rFonts w:hint="eastAsia"/>
                      <w:szCs w:val="21"/>
                      <w:u w:val="wave"/>
                    </w:rPr>
                    <w:t>1套</w:t>
                  </w:r>
                </w:p>
              </w:tc>
              <w:tc>
                <w:tcPr>
                  <w:tcW w:w="1247" w:type="pct"/>
                  <w:vAlign w:val="center"/>
                </w:tcPr>
                <w:p>
                  <w:pPr>
                    <w:autoSpaceDE w:val="0"/>
                    <w:autoSpaceDN w:val="0"/>
                    <w:adjustRightInd w:val="0"/>
                    <w:spacing w:after="0"/>
                    <w:jc w:val="center"/>
                    <w:rPr>
                      <w:szCs w:val="21"/>
                      <w:u w:val="wave"/>
                    </w:rPr>
                  </w:pPr>
                  <w:r>
                    <w:rPr>
                      <w:rFonts w:hint="eastAsia"/>
                      <w:szCs w:val="21"/>
                      <w:u w:val="wave"/>
                    </w:rPr>
                    <w:t>搅拌原料</w:t>
                  </w:r>
                </w:p>
              </w:tc>
              <w:tc>
                <w:tcPr>
                  <w:tcW w:w="1289" w:type="pct"/>
                  <w:vAlign w:val="center"/>
                </w:tcPr>
                <w:p>
                  <w:pPr>
                    <w:autoSpaceDE w:val="0"/>
                    <w:autoSpaceDN w:val="0"/>
                    <w:adjustRightInd w:val="0"/>
                    <w:spacing w:after="0"/>
                    <w:jc w:val="center"/>
                    <w:rPr>
                      <w:szCs w:val="21"/>
                      <w:u w:val="wave"/>
                    </w:rPr>
                  </w:pPr>
                  <w:r>
                    <w:rPr>
                      <w:rFonts w:hint="eastAsia"/>
                      <w:szCs w:val="21"/>
                      <w:u w:val="wave"/>
                    </w:rPr>
                    <w:t>配置2个水泥筒仓（200t）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4</w:t>
                  </w:r>
                </w:p>
              </w:tc>
              <w:tc>
                <w:tcPr>
                  <w:tcW w:w="705"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计量感应器</w:t>
                  </w:r>
                </w:p>
              </w:tc>
              <w:tc>
                <w:tcPr>
                  <w:tcW w:w="1060"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ZMLBF</w:t>
                  </w:r>
                </w:p>
              </w:tc>
              <w:tc>
                <w:tcPr>
                  <w:tcW w:w="366"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12</w:t>
                  </w:r>
                  <w:r>
                    <w:rPr>
                      <w:rFonts w:ascii="Times New Roman" w:cs="Times New Roman"/>
                      <w:color w:val="auto"/>
                      <w:sz w:val="21"/>
                      <w:szCs w:val="21"/>
                      <w:u w:val="wave"/>
                    </w:rPr>
                    <w:t>台</w:t>
                  </w:r>
                </w:p>
              </w:tc>
              <w:tc>
                <w:tcPr>
                  <w:tcW w:w="1247"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计量称重</w:t>
                  </w:r>
                </w:p>
              </w:tc>
              <w:tc>
                <w:tcPr>
                  <w:tcW w:w="1289"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5</w:t>
                  </w:r>
                </w:p>
              </w:tc>
              <w:tc>
                <w:tcPr>
                  <w:tcW w:w="705" w:type="pct"/>
                  <w:vAlign w:val="center"/>
                </w:tcPr>
                <w:p>
                  <w:pPr>
                    <w:autoSpaceDE w:val="0"/>
                    <w:autoSpaceDN w:val="0"/>
                    <w:adjustRightInd w:val="0"/>
                    <w:spacing w:after="0"/>
                    <w:jc w:val="center"/>
                    <w:rPr>
                      <w:szCs w:val="21"/>
                      <w:u w:val="wave"/>
                    </w:rPr>
                  </w:pPr>
                  <w:r>
                    <w:rPr>
                      <w:rFonts w:hint="eastAsia"/>
                      <w:szCs w:val="21"/>
                      <w:u w:val="wave"/>
                    </w:rPr>
                    <w:t>提升机</w:t>
                  </w:r>
                </w:p>
              </w:tc>
              <w:tc>
                <w:tcPr>
                  <w:tcW w:w="1060" w:type="pct"/>
                  <w:vAlign w:val="center"/>
                </w:tcPr>
                <w:p>
                  <w:pPr>
                    <w:autoSpaceDE w:val="0"/>
                    <w:autoSpaceDN w:val="0"/>
                    <w:adjustRightInd w:val="0"/>
                    <w:spacing w:after="0"/>
                    <w:jc w:val="center"/>
                    <w:rPr>
                      <w:szCs w:val="21"/>
                      <w:u w:val="wave"/>
                    </w:rPr>
                  </w:pPr>
                  <w:r>
                    <w:rPr>
                      <w:rFonts w:hint="eastAsia"/>
                      <w:szCs w:val="21"/>
                      <w:u w:val="wave"/>
                    </w:rPr>
                    <w:t>润通1.5M</w:t>
                  </w:r>
                  <w:r>
                    <w:rPr>
                      <w:rFonts w:hint="eastAsia"/>
                      <w:szCs w:val="21"/>
                      <w:u w:val="wave"/>
                      <w:vertAlign w:val="superscript"/>
                    </w:rPr>
                    <w:t>3</w:t>
                  </w:r>
                </w:p>
              </w:tc>
              <w:tc>
                <w:tcPr>
                  <w:tcW w:w="366" w:type="pct"/>
                  <w:vAlign w:val="center"/>
                </w:tcPr>
                <w:p>
                  <w:pPr>
                    <w:autoSpaceDE w:val="0"/>
                    <w:autoSpaceDN w:val="0"/>
                    <w:adjustRightInd w:val="0"/>
                    <w:spacing w:after="0"/>
                    <w:jc w:val="center"/>
                    <w:rPr>
                      <w:szCs w:val="21"/>
                      <w:u w:val="wave"/>
                    </w:rPr>
                  </w:pPr>
                  <w:r>
                    <w:rPr>
                      <w:rFonts w:hint="eastAsia"/>
                      <w:szCs w:val="21"/>
                      <w:u w:val="wave"/>
                    </w:rPr>
                    <w:t>1台</w:t>
                  </w:r>
                </w:p>
              </w:tc>
              <w:tc>
                <w:tcPr>
                  <w:tcW w:w="1247" w:type="pct"/>
                  <w:vAlign w:val="center"/>
                </w:tcPr>
                <w:p>
                  <w:pPr>
                    <w:autoSpaceDE w:val="0"/>
                    <w:autoSpaceDN w:val="0"/>
                    <w:adjustRightInd w:val="0"/>
                    <w:spacing w:after="0"/>
                    <w:jc w:val="center"/>
                    <w:rPr>
                      <w:szCs w:val="21"/>
                      <w:u w:val="wave"/>
                    </w:rPr>
                  </w:pPr>
                  <w:r>
                    <w:rPr>
                      <w:rFonts w:hint="eastAsia"/>
                      <w:szCs w:val="21"/>
                      <w:u w:val="wave"/>
                    </w:rPr>
                    <w:t>提升原料</w:t>
                  </w:r>
                </w:p>
              </w:tc>
              <w:tc>
                <w:tcPr>
                  <w:tcW w:w="1289" w:type="pct"/>
                  <w:vAlign w:val="center"/>
                </w:tcPr>
                <w:p>
                  <w:pPr>
                    <w:autoSpaceDE w:val="0"/>
                    <w:autoSpaceDN w:val="0"/>
                    <w:adjustRightInd w:val="0"/>
                    <w:spacing w:after="0"/>
                    <w:jc w:val="center"/>
                    <w:rPr>
                      <w:szCs w:val="21"/>
                      <w:u w:val="wave"/>
                    </w:rPr>
                  </w:pPr>
                  <w:r>
                    <w:rPr>
                      <w:rFonts w:hint="eastAsia"/>
                      <w:szCs w:val="21"/>
                      <w:u w:val="wav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6</w:t>
                  </w:r>
                </w:p>
              </w:tc>
              <w:tc>
                <w:tcPr>
                  <w:tcW w:w="705" w:type="pct"/>
                  <w:vAlign w:val="center"/>
                </w:tcPr>
                <w:p>
                  <w:pPr>
                    <w:autoSpaceDE w:val="0"/>
                    <w:autoSpaceDN w:val="0"/>
                    <w:adjustRightInd w:val="0"/>
                    <w:spacing w:after="0"/>
                    <w:jc w:val="center"/>
                    <w:rPr>
                      <w:color w:val="000000"/>
                      <w:szCs w:val="21"/>
                      <w:u w:val="wave"/>
                    </w:rPr>
                  </w:pPr>
                  <w:r>
                    <w:rPr>
                      <w:rFonts w:hint="eastAsia"/>
                      <w:color w:val="000000"/>
                      <w:szCs w:val="21"/>
                      <w:u w:val="wave"/>
                    </w:rPr>
                    <w:t>皮带输送机</w:t>
                  </w:r>
                </w:p>
              </w:tc>
              <w:tc>
                <w:tcPr>
                  <w:tcW w:w="1060" w:type="pct"/>
                  <w:vAlign w:val="center"/>
                </w:tcPr>
                <w:p>
                  <w:pPr>
                    <w:autoSpaceDE w:val="0"/>
                    <w:autoSpaceDN w:val="0"/>
                    <w:adjustRightInd w:val="0"/>
                    <w:spacing w:after="0"/>
                    <w:jc w:val="center"/>
                    <w:rPr>
                      <w:szCs w:val="21"/>
                      <w:u w:val="wave"/>
                    </w:rPr>
                  </w:pPr>
                  <w:r>
                    <w:rPr>
                      <w:rFonts w:hint="eastAsia"/>
                      <w:szCs w:val="21"/>
                      <w:u w:val="wave"/>
                    </w:rPr>
                    <w:t>B=800mm/1000mm</w:t>
                  </w:r>
                </w:p>
              </w:tc>
              <w:tc>
                <w:tcPr>
                  <w:tcW w:w="366" w:type="pct"/>
                  <w:vAlign w:val="center"/>
                </w:tcPr>
                <w:p>
                  <w:pPr>
                    <w:autoSpaceDE w:val="0"/>
                    <w:autoSpaceDN w:val="0"/>
                    <w:adjustRightInd w:val="0"/>
                    <w:spacing w:after="0"/>
                    <w:jc w:val="center"/>
                    <w:rPr>
                      <w:szCs w:val="21"/>
                      <w:u w:val="wave"/>
                    </w:rPr>
                  </w:pPr>
                  <w:r>
                    <w:rPr>
                      <w:rFonts w:hint="eastAsia"/>
                      <w:szCs w:val="21"/>
                      <w:u w:val="wave"/>
                    </w:rPr>
                    <w:t>3条</w:t>
                  </w:r>
                </w:p>
              </w:tc>
              <w:tc>
                <w:tcPr>
                  <w:tcW w:w="1247" w:type="pct"/>
                  <w:vAlign w:val="center"/>
                </w:tcPr>
                <w:p>
                  <w:pPr>
                    <w:autoSpaceDE w:val="0"/>
                    <w:autoSpaceDN w:val="0"/>
                    <w:adjustRightInd w:val="0"/>
                    <w:spacing w:after="0"/>
                    <w:jc w:val="center"/>
                    <w:rPr>
                      <w:szCs w:val="21"/>
                      <w:u w:val="wave"/>
                    </w:rPr>
                  </w:pPr>
                  <w:r>
                    <w:rPr>
                      <w:rFonts w:hint="eastAsia"/>
                      <w:szCs w:val="21"/>
                      <w:u w:val="wave"/>
                    </w:rPr>
                    <w:t>输送原料</w:t>
                  </w:r>
                </w:p>
              </w:tc>
              <w:tc>
                <w:tcPr>
                  <w:tcW w:w="1289" w:type="pct"/>
                  <w:vAlign w:val="center"/>
                </w:tcPr>
                <w:p>
                  <w:pPr>
                    <w:autoSpaceDE w:val="0"/>
                    <w:autoSpaceDN w:val="0"/>
                    <w:adjustRightInd w:val="0"/>
                    <w:spacing w:after="0"/>
                    <w:jc w:val="center"/>
                    <w:rPr>
                      <w:szCs w:val="21"/>
                      <w:u w:val="wave"/>
                    </w:rPr>
                  </w:pPr>
                  <w:r>
                    <w:rPr>
                      <w:rFonts w:hint="eastAsia"/>
                      <w:szCs w:val="21"/>
                      <w:u w:val="wav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7</w:t>
                  </w:r>
                </w:p>
              </w:tc>
              <w:tc>
                <w:tcPr>
                  <w:tcW w:w="705" w:type="pct"/>
                  <w:vAlign w:val="center"/>
                </w:tcPr>
                <w:p>
                  <w:pPr>
                    <w:autoSpaceDE w:val="0"/>
                    <w:autoSpaceDN w:val="0"/>
                    <w:adjustRightInd w:val="0"/>
                    <w:spacing w:after="0"/>
                    <w:jc w:val="center"/>
                    <w:rPr>
                      <w:color w:val="000000"/>
                      <w:szCs w:val="21"/>
                      <w:u w:val="wave"/>
                    </w:rPr>
                  </w:pPr>
                  <w:r>
                    <w:rPr>
                      <w:rFonts w:hint="eastAsia"/>
                      <w:color w:val="000000"/>
                      <w:szCs w:val="21"/>
                      <w:u w:val="wave"/>
                    </w:rPr>
                    <w:t>料仓</w:t>
                  </w:r>
                </w:p>
              </w:tc>
              <w:tc>
                <w:tcPr>
                  <w:tcW w:w="1060" w:type="pct"/>
                  <w:vAlign w:val="center"/>
                </w:tcPr>
                <w:p>
                  <w:pPr>
                    <w:autoSpaceDE w:val="0"/>
                    <w:autoSpaceDN w:val="0"/>
                    <w:adjustRightInd w:val="0"/>
                    <w:spacing w:after="0"/>
                    <w:jc w:val="center"/>
                    <w:rPr>
                      <w:szCs w:val="21"/>
                      <w:u w:val="wave"/>
                    </w:rPr>
                  </w:pPr>
                  <w:r>
                    <w:rPr>
                      <w:rFonts w:hint="eastAsia"/>
                      <w:szCs w:val="21"/>
                      <w:u w:val="wave"/>
                    </w:rPr>
                    <w:t>润通单开料门15M</w:t>
                  </w:r>
                  <w:r>
                    <w:rPr>
                      <w:rFonts w:hint="eastAsia"/>
                      <w:szCs w:val="21"/>
                      <w:u w:val="wave"/>
                      <w:vertAlign w:val="superscript"/>
                    </w:rPr>
                    <w:t>3</w:t>
                  </w:r>
                  <w:r>
                    <w:rPr>
                      <w:rFonts w:hint="eastAsia"/>
                      <w:szCs w:val="21"/>
                      <w:u w:val="wave"/>
                    </w:rPr>
                    <w:t>/中联重科</w:t>
                  </w:r>
                </w:p>
              </w:tc>
              <w:tc>
                <w:tcPr>
                  <w:tcW w:w="366" w:type="pct"/>
                  <w:vAlign w:val="center"/>
                </w:tcPr>
                <w:p>
                  <w:pPr>
                    <w:autoSpaceDE w:val="0"/>
                    <w:autoSpaceDN w:val="0"/>
                    <w:adjustRightInd w:val="0"/>
                    <w:spacing w:after="0"/>
                    <w:jc w:val="center"/>
                    <w:rPr>
                      <w:szCs w:val="21"/>
                      <w:u w:val="wave"/>
                    </w:rPr>
                  </w:pPr>
                  <w:r>
                    <w:rPr>
                      <w:rFonts w:hint="eastAsia"/>
                      <w:szCs w:val="21"/>
                      <w:u w:val="wave"/>
                    </w:rPr>
                    <w:t>12个</w:t>
                  </w:r>
                </w:p>
              </w:tc>
              <w:tc>
                <w:tcPr>
                  <w:tcW w:w="1247" w:type="pct"/>
                  <w:vAlign w:val="center"/>
                </w:tcPr>
                <w:p>
                  <w:pPr>
                    <w:autoSpaceDE w:val="0"/>
                    <w:autoSpaceDN w:val="0"/>
                    <w:adjustRightInd w:val="0"/>
                    <w:spacing w:after="0"/>
                    <w:jc w:val="center"/>
                    <w:rPr>
                      <w:szCs w:val="21"/>
                      <w:u w:val="wave"/>
                    </w:rPr>
                  </w:pPr>
                  <w:r>
                    <w:rPr>
                      <w:rFonts w:hint="eastAsia"/>
                      <w:szCs w:val="21"/>
                      <w:u w:val="wave"/>
                    </w:rPr>
                    <w:t>放置原料（配备除尘设备）</w:t>
                  </w:r>
                </w:p>
              </w:tc>
              <w:tc>
                <w:tcPr>
                  <w:tcW w:w="1289" w:type="pct"/>
                  <w:vAlign w:val="center"/>
                </w:tcPr>
                <w:p>
                  <w:pPr>
                    <w:autoSpaceDE w:val="0"/>
                    <w:autoSpaceDN w:val="0"/>
                    <w:adjustRightInd w:val="0"/>
                    <w:spacing w:after="0"/>
                    <w:jc w:val="center"/>
                    <w:rPr>
                      <w:szCs w:val="21"/>
                      <w:u w:val="wave"/>
                    </w:rPr>
                  </w:pPr>
                  <w:r>
                    <w:rPr>
                      <w:rFonts w:hint="eastAsia"/>
                      <w:szCs w:val="21"/>
                      <w:u w:val="wav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8</w:t>
                  </w:r>
                </w:p>
              </w:tc>
              <w:tc>
                <w:tcPr>
                  <w:tcW w:w="705" w:type="pct"/>
                  <w:vAlign w:val="center"/>
                </w:tcPr>
                <w:p>
                  <w:pPr>
                    <w:autoSpaceDE w:val="0"/>
                    <w:autoSpaceDN w:val="0"/>
                    <w:adjustRightInd w:val="0"/>
                    <w:spacing w:after="0"/>
                    <w:jc w:val="center"/>
                    <w:rPr>
                      <w:szCs w:val="21"/>
                      <w:u w:val="wave"/>
                    </w:rPr>
                  </w:pPr>
                  <w:r>
                    <w:rPr>
                      <w:rFonts w:hint="eastAsia"/>
                      <w:szCs w:val="21"/>
                      <w:u w:val="wave"/>
                    </w:rPr>
                    <w:t>空压泵</w:t>
                  </w:r>
                </w:p>
              </w:tc>
              <w:tc>
                <w:tcPr>
                  <w:tcW w:w="1060" w:type="pct"/>
                  <w:vAlign w:val="center"/>
                </w:tcPr>
                <w:p>
                  <w:pPr>
                    <w:autoSpaceDE w:val="0"/>
                    <w:autoSpaceDN w:val="0"/>
                    <w:adjustRightInd w:val="0"/>
                    <w:spacing w:after="0"/>
                    <w:jc w:val="center"/>
                    <w:rPr>
                      <w:szCs w:val="21"/>
                      <w:u w:val="wave"/>
                    </w:rPr>
                  </w:pPr>
                  <w:r>
                    <w:rPr>
                      <w:rFonts w:hint="eastAsia"/>
                      <w:szCs w:val="21"/>
                      <w:u w:val="wave"/>
                    </w:rPr>
                    <w:t>浙江开山1.5M</w:t>
                  </w:r>
                  <w:r>
                    <w:rPr>
                      <w:rFonts w:hint="eastAsia"/>
                      <w:szCs w:val="21"/>
                      <w:u w:val="wave"/>
                      <w:vertAlign w:val="superscript"/>
                    </w:rPr>
                    <w:t>3</w:t>
                  </w:r>
                  <w:r>
                    <w:rPr>
                      <w:rFonts w:hint="eastAsia"/>
                      <w:szCs w:val="21"/>
                      <w:u w:val="wave"/>
                    </w:rPr>
                    <w:t>/min，红五环1.05M</w:t>
                  </w:r>
                  <w:r>
                    <w:rPr>
                      <w:rFonts w:hint="eastAsia"/>
                      <w:szCs w:val="21"/>
                      <w:u w:val="wave"/>
                      <w:vertAlign w:val="superscript"/>
                    </w:rPr>
                    <w:t>3</w:t>
                  </w:r>
                  <w:r>
                    <w:rPr>
                      <w:rFonts w:hint="eastAsia"/>
                      <w:szCs w:val="21"/>
                      <w:u w:val="wave"/>
                    </w:rPr>
                    <w:t>/min</w:t>
                  </w:r>
                </w:p>
              </w:tc>
              <w:tc>
                <w:tcPr>
                  <w:tcW w:w="366" w:type="pct"/>
                  <w:vAlign w:val="center"/>
                </w:tcPr>
                <w:p>
                  <w:pPr>
                    <w:autoSpaceDE w:val="0"/>
                    <w:autoSpaceDN w:val="0"/>
                    <w:adjustRightInd w:val="0"/>
                    <w:spacing w:after="0"/>
                    <w:jc w:val="center"/>
                    <w:rPr>
                      <w:szCs w:val="21"/>
                      <w:u w:val="wave"/>
                    </w:rPr>
                  </w:pPr>
                  <w:r>
                    <w:rPr>
                      <w:rFonts w:hint="eastAsia"/>
                      <w:szCs w:val="21"/>
                      <w:u w:val="wave"/>
                    </w:rPr>
                    <w:t>3台</w:t>
                  </w:r>
                </w:p>
              </w:tc>
              <w:tc>
                <w:tcPr>
                  <w:tcW w:w="1247" w:type="pct"/>
                  <w:vAlign w:val="center"/>
                </w:tcPr>
                <w:p>
                  <w:pPr>
                    <w:autoSpaceDE w:val="0"/>
                    <w:autoSpaceDN w:val="0"/>
                    <w:adjustRightInd w:val="0"/>
                    <w:spacing w:after="0"/>
                    <w:jc w:val="center"/>
                    <w:rPr>
                      <w:szCs w:val="21"/>
                      <w:u w:val="wave"/>
                    </w:rPr>
                  </w:pPr>
                  <w:r>
                    <w:rPr>
                      <w:rFonts w:hint="eastAsia"/>
                      <w:szCs w:val="21"/>
                      <w:u w:val="wave"/>
                    </w:rPr>
                    <w:t>将水泥抽入搅拌机</w:t>
                  </w:r>
                </w:p>
              </w:tc>
              <w:tc>
                <w:tcPr>
                  <w:tcW w:w="1289" w:type="pct"/>
                  <w:vAlign w:val="center"/>
                </w:tcPr>
                <w:p>
                  <w:pPr>
                    <w:autoSpaceDE w:val="0"/>
                    <w:autoSpaceDN w:val="0"/>
                    <w:adjustRightInd w:val="0"/>
                    <w:spacing w:after="0"/>
                    <w:jc w:val="center"/>
                    <w:rPr>
                      <w:szCs w:val="21"/>
                      <w:u w:val="wave"/>
                    </w:rPr>
                  </w:pPr>
                  <w:r>
                    <w:rPr>
                      <w:rFonts w:hint="eastAsia"/>
                      <w:szCs w:val="21"/>
                      <w:u w:val="wav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9</w:t>
                  </w:r>
                </w:p>
              </w:tc>
              <w:tc>
                <w:tcPr>
                  <w:tcW w:w="705" w:type="pct"/>
                  <w:vAlign w:val="center"/>
                </w:tcPr>
                <w:p>
                  <w:pPr>
                    <w:autoSpaceDE w:val="0"/>
                    <w:autoSpaceDN w:val="0"/>
                    <w:adjustRightInd w:val="0"/>
                    <w:spacing w:after="0"/>
                    <w:jc w:val="center"/>
                    <w:rPr>
                      <w:szCs w:val="21"/>
                      <w:u w:val="wave"/>
                    </w:rPr>
                  </w:pPr>
                  <w:r>
                    <w:rPr>
                      <w:rFonts w:hint="eastAsia"/>
                      <w:szCs w:val="21"/>
                      <w:u w:val="wave"/>
                    </w:rPr>
                    <w:t>水泵</w:t>
                  </w:r>
                </w:p>
              </w:tc>
              <w:tc>
                <w:tcPr>
                  <w:tcW w:w="1060" w:type="pct"/>
                  <w:vAlign w:val="center"/>
                </w:tcPr>
                <w:p>
                  <w:pPr>
                    <w:autoSpaceDE w:val="0"/>
                    <w:autoSpaceDN w:val="0"/>
                    <w:adjustRightInd w:val="0"/>
                    <w:spacing w:after="0"/>
                    <w:jc w:val="center"/>
                    <w:rPr>
                      <w:szCs w:val="21"/>
                      <w:u w:val="wave"/>
                    </w:rPr>
                  </w:pPr>
                  <w:r>
                    <w:rPr>
                      <w:rFonts w:hint="eastAsia"/>
                      <w:szCs w:val="21"/>
                      <w:u w:val="wave"/>
                    </w:rPr>
                    <w:t>QY25-26-4/上海国泰</w:t>
                  </w:r>
                </w:p>
              </w:tc>
              <w:tc>
                <w:tcPr>
                  <w:tcW w:w="366" w:type="pct"/>
                  <w:vAlign w:val="center"/>
                </w:tcPr>
                <w:p>
                  <w:pPr>
                    <w:autoSpaceDE w:val="0"/>
                    <w:autoSpaceDN w:val="0"/>
                    <w:adjustRightInd w:val="0"/>
                    <w:spacing w:after="0"/>
                    <w:jc w:val="center"/>
                    <w:rPr>
                      <w:szCs w:val="21"/>
                      <w:u w:val="wave"/>
                    </w:rPr>
                  </w:pPr>
                  <w:r>
                    <w:rPr>
                      <w:rFonts w:hint="eastAsia"/>
                      <w:szCs w:val="21"/>
                      <w:u w:val="wave"/>
                    </w:rPr>
                    <w:t>3台</w:t>
                  </w:r>
                </w:p>
              </w:tc>
              <w:tc>
                <w:tcPr>
                  <w:tcW w:w="1247" w:type="pct"/>
                  <w:vAlign w:val="center"/>
                </w:tcPr>
                <w:p>
                  <w:pPr>
                    <w:autoSpaceDE w:val="0"/>
                    <w:autoSpaceDN w:val="0"/>
                    <w:adjustRightInd w:val="0"/>
                    <w:spacing w:after="0"/>
                    <w:jc w:val="center"/>
                    <w:rPr>
                      <w:szCs w:val="21"/>
                      <w:u w:val="wave"/>
                    </w:rPr>
                  </w:pPr>
                  <w:r>
                    <w:rPr>
                      <w:rFonts w:hint="eastAsia"/>
                      <w:szCs w:val="21"/>
                      <w:u w:val="wave"/>
                    </w:rPr>
                    <w:t>抽外加剂、水入搅拌机</w:t>
                  </w:r>
                </w:p>
              </w:tc>
              <w:tc>
                <w:tcPr>
                  <w:tcW w:w="1289" w:type="pct"/>
                  <w:vAlign w:val="center"/>
                </w:tcPr>
                <w:p>
                  <w:pPr>
                    <w:autoSpaceDE w:val="0"/>
                    <w:autoSpaceDN w:val="0"/>
                    <w:adjustRightInd w:val="0"/>
                    <w:spacing w:after="0"/>
                    <w:jc w:val="center"/>
                    <w:rPr>
                      <w:szCs w:val="21"/>
                      <w:u w:val="wave"/>
                    </w:rPr>
                  </w:pPr>
                  <w:r>
                    <w:rPr>
                      <w:rFonts w:hint="eastAsia"/>
                      <w:szCs w:val="21"/>
                      <w:u w:val="wav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10</w:t>
                  </w:r>
                </w:p>
              </w:tc>
              <w:tc>
                <w:tcPr>
                  <w:tcW w:w="705" w:type="pct"/>
                  <w:vAlign w:val="center"/>
                </w:tcPr>
                <w:p>
                  <w:pPr>
                    <w:autoSpaceDE w:val="0"/>
                    <w:autoSpaceDN w:val="0"/>
                    <w:adjustRightInd w:val="0"/>
                    <w:spacing w:after="0"/>
                    <w:jc w:val="center"/>
                    <w:rPr>
                      <w:szCs w:val="21"/>
                      <w:u w:val="wave"/>
                    </w:rPr>
                  </w:pPr>
                  <w:r>
                    <w:rPr>
                      <w:rFonts w:hint="eastAsia"/>
                      <w:szCs w:val="21"/>
                      <w:u w:val="wave"/>
                    </w:rPr>
                    <w:t>喷水器</w:t>
                  </w:r>
                </w:p>
              </w:tc>
              <w:tc>
                <w:tcPr>
                  <w:tcW w:w="1060" w:type="pct"/>
                  <w:vAlign w:val="center"/>
                </w:tcPr>
                <w:p>
                  <w:pPr>
                    <w:autoSpaceDE w:val="0"/>
                    <w:autoSpaceDN w:val="0"/>
                    <w:adjustRightInd w:val="0"/>
                    <w:spacing w:after="0"/>
                    <w:jc w:val="center"/>
                    <w:rPr>
                      <w:szCs w:val="21"/>
                      <w:u w:val="wave"/>
                    </w:rPr>
                  </w:pPr>
                  <w:r>
                    <w:rPr>
                      <w:rFonts w:hint="eastAsia"/>
                      <w:szCs w:val="21"/>
                      <w:u w:val="wave"/>
                    </w:rPr>
                    <w:t>上海国泰</w:t>
                  </w:r>
                </w:p>
              </w:tc>
              <w:tc>
                <w:tcPr>
                  <w:tcW w:w="366" w:type="pct"/>
                  <w:vAlign w:val="center"/>
                </w:tcPr>
                <w:p>
                  <w:pPr>
                    <w:autoSpaceDE w:val="0"/>
                    <w:autoSpaceDN w:val="0"/>
                    <w:adjustRightInd w:val="0"/>
                    <w:spacing w:after="0"/>
                    <w:jc w:val="center"/>
                    <w:rPr>
                      <w:szCs w:val="21"/>
                      <w:u w:val="wave"/>
                    </w:rPr>
                  </w:pPr>
                  <w:r>
                    <w:rPr>
                      <w:rFonts w:hint="eastAsia"/>
                      <w:szCs w:val="21"/>
                      <w:u w:val="wave"/>
                    </w:rPr>
                    <w:t>3台</w:t>
                  </w:r>
                </w:p>
              </w:tc>
              <w:tc>
                <w:tcPr>
                  <w:tcW w:w="1247" w:type="pct"/>
                  <w:vAlign w:val="center"/>
                </w:tcPr>
                <w:p>
                  <w:pPr>
                    <w:autoSpaceDE w:val="0"/>
                    <w:autoSpaceDN w:val="0"/>
                    <w:adjustRightInd w:val="0"/>
                    <w:spacing w:after="0"/>
                    <w:jc w:val="center"/>
                    <w:rPr>
                      <w:szCs w:val="21"/>
                      <w:u w:val="wave"/>
                    </w:rPr>
                  </w:pPr>
                  <w:r>
                    <w:rPr>
                      <w:rFonts w:hint="eastAsia"/>
                      <w:szCs w:val="21"/>
                      <w:u w:val="wave"/>
                    </w:rPr>
                    <w:t>将外加剂、水喷入搅拌机</w:t>
                  </w:r>
                </w:p>
              </w:tc>
              <w:tc>
                <w:tcPr>
                  <w:tcW w:w="1289" w:type="pct"/>
                  <w:vAlign w:val="center"/>
                </w:tcPr>
                <w:p>
                  <w:pPr>
                    <w:autoSpaceDE w:val="0"/>
                    <w:autoSpaceDN w:val="0"/>
                    <w:adjustRightInd w:val="0"/>
                    <w:spacing w:after="0"/>
                    <w:jc w:val="center"/>
                    <w:rPr>
                      <w:szCs w:val="21"/>
                      <w:u w:val="wave"/>
                    </w:rPr>
                  </w:pPr>
                  <w:r>
                    <w:rPr>
                      <w:rFonts w:hint="eastAsia"/>
                      <w:szCs w:val="21"/>
                      <w:u w:val="wav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11</w:t>
                  </w:r>
                </w:p>
              </w:tc>
              <w:tc>
                <w:tcPr>
                  <w:tcW w:w="705" w:type="pct"/>
                  <w:vAlign w:val="center"/>
                </w:tcPr>
                <w:p>
                  <w:pPr>
                    <w:autoSpaceDE w:val="0"/>
                    <w:autoSpaceDN w:val="0"/>
                    <w:adjustRightInd w:val="0"/>
                    <w:spacing w:after="0"/>
                    <w:jc w:val="center"/>
                    <w:rPr>
                      <w:szCs w:val="21"/>
                      <w:u w:val="wave"/>
                    </w:rPr>
                  </w:pPr>
                  <w:r>
                    <w:rPr>
                      <w:rFonts w:hint="eastAsia"/>
                      <w:szCs w:val="21"/>
                      <w:u w:val="wave"/>
                    </w:rPr>
                    <w:t>称量箱</w:t>
                  </w:r>
                </w:p>
              </w:tc>
              <w:tc>
                <w:tcPr>
                  <w:tcW w:w="1060" w:type="pct"/>
                  <w:vAlign w:val="center"/>
                </w:tcPr>
                <w:p>
                  <w:pPr>
                    <w:autoSpaceDE w:val="0"/>
                    <w:autoSpaceDN w:val="0"/>
                    <w:adjustRightInd w:val="0"/>
                    <w:spacing w:after="0"/>
                    <w:jc w:val="center"/>
                    <w:rPr>
                      <w:szCs w:val="21"/>
                      <w:u w:val="wave"/>
                    </w:rPr>
                  </w:pPr>
                  <w:r>
                    <w:rPr>
                      <w:rFonts w:hint="eastAsia"/>
                      <w:szCs w:val="21"/>
                      <w:u w:val="wave"/>
                    </w:rPr>
                    <w:t>润通0.8M</w:t>
                  </w:r>
                  <w:r>
                    <w:rPr>
                      <w:rFonts w:hint="eastAsia"/>
                      <w:szCs w:val="21"/>
                      <w:u w:val="wave"/>
                      <w:vertAlign w:val="superscript"/>
                    </w:rPr>
                    <w:t>3</w:t>
                  </w:r>
                  <w:r>
                    <w:rPr>
                      <w:rFonts w:hint="eastAsia"/>
                      <w:szCs w:val="21"/>
                      <w:u w:val="wave"/>
                    </w:rPr>
                    <w:t>/中联重科1M</w:t>
                  </w:r>
                  <w:r>
                    <w:rPr>
                      <w:rFonts w:hint="eastAsia"/>
                      <w:szCs w:val="21"/>
                      <w:u w:val="wave"/>
                      <w:vertAlign w:val="superscript"/>
                    </w:rPr>
                    <w:t>3</w:t>
                  </w:r>
                  <w:r>
                    <w:rPr>
                      <w:rFonts w:hint="eastAsia"/>
                      <w:szCs w:val="21"/>
                      <w:u w:val="wave"/>
                    </w:rPr>
                    <w:t>*2、1.8M</w:t>
                  </w:r>
                  <w:r>
                    <w:rPr>
                      <w:rFonts w:hint="eastAsia"/>
                      <w:szCs w:val="21"/>
                      <w:u w:val="wave"/>
                      <w:vertAlign w:val="superscript"/>
                    </w:rPr>
                    <w:t>3</w:t>
                  </w:r>
                </w:p>
              </w:tc>
              <w:tc>
                <w:tcPr>
                  <w:tcW w:w="366" w:type="pct"/>
                  <w:vAlign w:val="center"/>
                </w:tcPr>
                <w:p>
                  <w:pPr>
                    <w:autoSpaceDE w:val="0"/>
                    <w:autoSpaceDN w:val="0"/>
                    <w:adjustRightInd w:val="0"/>
                    <w:spacing w:after="0"/>
                    <w:jc w:val="center"/>
                    <w:rPr>
                      <w:szCs w:val="21"/>
                      <w:u w:val="wave"/>
                    </w:rPr>
                  </w:pPr>
                  <w:r>
                    <w:rPr>
                      <w:rFonts w:hint="eastAsia"/>
                      <w:szCs w:val="21"/>
                      <w:u w:val="wave"/>
                    </w:rPr>
                    <w:t>3台</w:t>
                  </w:r>
                </w:p>
              </w:tc>
              <w:tc>
                <w:tcPr>
                  <w:tcW w:w="1247" w:type="pct"/>
                  <w:vAlign w:val="center"/>
                </w:tcPr>
                <w:p>
                  <w:pPr>
                    <w:autoSpaceDE w:val="0"/>
                    <w:autoSpaceDN w:val="0"/>
                    <w:adjustRightInd w:val="0"/>
                    <w:spacing w:after="0"/>
                    <w:jc w:val="center"/>
                    <w:rPr>
                      <w:szCs w:val="21"/>
                      <w:u w:val="wave"/>
                    </w:rPr>
                  </w:pPr>
                  <w:r>
                    <w:rPr>
                      <w:rFonts w:hint="eastAsia"/>
                      <w:szCs w:val="21"/>
                      <w:u w:val="wave"/>
                    </w:rPr>
                    <w:t>称量外加剂、水</w:t>
                  </w:r>
                </w:p>
              </w:tc>
              <w:tc>
                <w:tcPr>
                  <w:tcW w:w="1289" w:type="pct"/>
                  <w:vAlign w:val="center"/>
                </w:tcPr>
                <w:p>
                  <w:pPr>
                    <w:autoSpaceDE w:val="0"/>
                    <w:autoSpaceDN w:val="0"/>
                    <w:adjustRightInd w:val="0"/>
                    <w:spacing w:after="0"/>
                    <w:jc w:val="center"/>
                    <w:rPr>
                      <w:szCs w:val="21"/>
                      <w:u w:val="wave"/>
                    </w:rPr>
                  </w:pPr>
                  <w:r>
                    <w:rPr>
                      <w:rFonts w:hint="eastAsia"/>
                      <w:szCs w:val="21"/>
                      <w:u w:val="wav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12</w:t>
                  </w:r>
                </w:p>
              </w:tc>
              <w:tc>
                <w:tcPr>
                  <w:tcW w:w="705" w:type="pct"/>
                  <w:vAlign w:val="center"/>
                </w:tcPr>
                <w:p>
                  <w:pPr>
                    <w:autoSpaceDE w:val="0"/>
                    <w:autoSpaceDN w:val="0"/>
                    <w:adjustRightInd w:val="0"/>
                    <w:spacing w:after="0"/>
                    <w:jc w:val="center"/>
                    <w:rPr>
                      <w:szCs w:val="21"/>
                      <w:u w:val="wave"/>
                    </w:rPr>
                  </w:pPr>
                  <w:r>
                    <w:rPr>
                      <w:rFonts w:hint="eastAsia"/>
                      <w:szCs w:val="21"/>
                      <w:u w:val="wave"/>
                    </w:rPr>
                    <w:t>柴油发电机</w:t>
                  </w:r>
                </w:p>
              </w:tc>
              <w:tc>
                <w:tcPr>
                  <w:tcW w:w="1060" w:type="pct"/>
                  <w:vAlign w:val="center"/>
                </w:tcPr>
                <w:p>
                  <w:pPr>
                    <w:autoSpaceDE w:val="0"/>
                    <w:autoSpaceDN w:val="0"/>
                    <w:adjustRightInd w:val="0"/>
                    <w:spacing w:after="0"/>
                    <w:jc w:val="center"/>
                    <w:rPr>
                      <w:szCs w:val="21"/>
                      <w:u w:val="wave"/>
                    </w:rPr>
                  </w:pPr>
                  <w:r>
                    <w:rPr>
                      <w:rFonts w:hint="eastAsia"/>
                      <w:szCs w:val="21"/>
                      <w:u w:val="wave"/>
                    </w:rPr>
                    <w:t>TYPE-TXH2 150</w:t>
                  </w:r>
                </w:p>
              </w:tc>
              <w:tc>
                <w:tcPr>
                  <w:tcW w:w="366" w:type="pct"/>
                  <w:vAlign w:val="center"/>
                </w:tcPr>
                <w:p>
                  <w:pPr>
                    <w:autoSpaceDE w:val="0"/>
                    <w:autoSpaceDN w:val="0"/>
                    <w:adjustRightInd w:val="0"/>
                    <w:spacing w:after="0"/>
                    <w:jc w:val="center"/>
                    <w:rPr>
                      <w:szCs w:val="21"/>
                      <w:u w:val="wave"/>
                    </w:rPr>
                  </w:pPr>
                  <w:r>
                    <w:rPr>
                      <w:rFonts w:hint="eastAsia"/>
                      <w:szCs w:val="21"/>
                      <w:u w:val="wave"/>
                    </w:rPr>
                    <w:t>1台</w:t>
                  </w:r>
                </w:p>
              </w:tc>
              <w:tc>
                <w:tcPr>
                  <w:tcW w:w="1247" w:type="pct"/>
                  <w:vAlign w:val="center"/>
                </w:tcPr>
                <w:p>
                  <w:pPr>
                    <w:autoSpaceDE w:val="0"/>
                    <w:autoSpaceDN w:val="0"/>
                    <w:adjustRightInd w:val="0"/>
                    <w:spacing w:after="0"/>
                    <w:jc w:val="center"/>
                    <w:rPr>
                      <w:szCs w:val="21"/>
                      <w:u w:val="wave"/>
                    </w:rPr>
                  </w:pPr>
                  <w:r>
                    <w:rPr>
                      <w:rFonts w:hint="eastAsia"/>
                      <w:szCs w:val="21"/>
                      <w:u w:val="wave"/>
                    </w:rPr>
                    <w:t>备用电源</w:t>
                  </w:r>
                </w:p>
              </w:tc>
              <w:tc>
                <w:tcPr>
                  <w:tcW w:w="1289" w:type="pct"/>
                  <w:vAlign w:val="center"/>
                </w:tcPr>
                <w:p>
                  <w:pPr>
                    <w:autoSpaceDE w:val="0"/>
                    <w:autoSpaceDN w:val="0"/>
                    <w:adjustRightInd w:val="0"/>
                    <w:spacing w:after="0"/>
                    <w:jc w:val="center"/>
                    <w:rPr>
                      <w:szCs w:val="21"/>
                      <w:u w:val="wave"/>
                    </w:rPr>
                  </w:pPr>
                  <w:r>
                    <w:rPr>
                      <w:rFonts w:hint="eastAsia"/>
                      <w:szCs w:val="21"/>
                      <w:u w:val="wave"/>
                    </w:rPr>
                    <w:t>/</w:t>
                  </w:r>
                </w:p>
              </w:tc>
            </w:tr>
          </w:tbl>
          <w:p>
            <w:pPr>
              <w:pStyle w:val="35"/>
              <w:spacing w:after="0" w:line="360" w:lineRule="auto"/>
              <w:ind w:firstLine="480" w:firstLineChars="200"/>
              <w:jc w:val="both"/>
              <w:rPr>
                <w:rFonts w:ascii="Times New Roman" w:cs="Times New Roman"/>
                <w:color w:val="auto"/>
                <w:szCs w:val="32"/>
              </w:rPr>
            </w:pPr>
            <w:r>
              <w:rPr>
                <w:rFonts w:hint="eastAsia" w:ascii="Times New Roman" w:cs="Times New Roman"/>
                <w:color w:val="auto"/>
                <w:szCs w:val="32"/>
              </w:rPr>
              <w:t>（3）主要原辅材料、能源</w:t>
            </w:r>
          </w:p>
          <w:p>
            <w:pPr>
              <w:pStyle w:val="35"/>
              <w:spacing w:after="0" w:line="360" w:lineRule="auto"/>
              <w:ind w:firstLine="480" w:firstLineChars="200"/>
              <w:jc w:val="both"/>
              <w:rPr>
                <w:rFonts w:ascii="Times New Roman" w:cs="Times New Roman"/>
                <w:color w:val="auto"/>
                <w:szCs w:val="32"/>
              </w:rPr>
            </w:pPr>
            <w:r>
              <w:rPr>
                <w:rFonts w:hint="eastAsia" w:ascii="Times New Roman" w:cs="Times New Roman"/>
                <w:color w:val="auto"/>
                <w:szCs w:val="32"/>
              </w:rPr>
              <w:t>项目原辅材料及能源消耗详见下表。</w:t>
            </w:r>
          </w:p>
          <w:p>
            <w:pPr>
              <w:pStyle w:val="35"/>
              <w:spacing w:after="0" w:line="360" w:lineRule="auto"/>
              <w:ind w:firstLine="482" w:firstLineChars="200"/>
              <w:jc w:val="center"/>
              <w:rPr>
                <w:rFonts w:ascii="Times New Roman" w:cs="Times New Roman"/>
                <w:b/>
                <w:bCs/>
                <w:color w:val="auto"/>
                <w:szCs w:val="32"/>
              </w:rPr>
            </w:pPr>
          </w:p>
          <w:p>
            <w:pPr>
              <w:pStyle w:val="35"/>
              <w:spacing w:after="0" w:line="360" w:lineRule="auto"/>
              <w:ind w:firstLine="482" w:firstLineChars="200"/>
              <w:jc w:val="center"/>
              <w:rPr>
                <w:rFonts w:ascii="Times New Roman" w:cs="Times New Roman"/>
                <w:b/>
                <w:bCs/>
                <w:color w:val="auto"/>
                <w:szCs w:val="32"/>
                <w:u w:val="wave"/>
              </w:rPr>
            </w:pPr>
            <w:r>
              <w:rPr>
                <w:rFonts w:hint="eastAsia" w:ascii="Times New Roman" w:cs="Times New Roman"/>
                <w:b/>
                <w:bCs/>
                <w:color w:val="auto"/>
                <w:szCs w:val="32"/>
                <w:u w:val="wave"/>
              </w:rPr>
              <w:t>表1-3  项目主要原辅材料、能源一览表</w:t>
            </w:r>
          </w:p>
          <w:tbl>
            <w:tblPr>
              <w:tblStyle w:val="22"/>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669"/>
              <w:gridCol w:w="1633"/>
              <w:gridCol w:w="1479"/>
              <w:gridCol w:w="1479"/>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序号</w:t>
                  </w:r>
                </w:p>
              </w:tc>
              <w:tc>
                <w:tcPr>
                  <w:tcW w:w="1669"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名称</w:t>
                  </w:r>
                </w:p>
              </w:tc>
              <w:tc>
                <w:tcPr>
                  <w:tcW w:w="1633"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年用量</w:t>
                  </w:r>
                </w:p>
              </w:tc>
              <w:tc>
                <w:tcPr>
                  <w:tcW w:w="1479"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储存量</w:t>
                  </w:r>
                </w:p>
              </w:tc>
              <w:tc>
                <w:tcPr>
                  <w:tcW w:w="1479"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单位</w:t>
                  </w:r>
                </w:p>
              </w:tc>
              <w:tc>
                <w:tcPr>
                  <w:tcW w:w="2248"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1</w:t>
                  </w:r>
                </w:p>
              </w:tc>
              <w:tc>
                <w:tcPr>
                  <w:tcW w:w="1669" w:type="dxa"/>
                  <w:vAlign w:val="center"/>
                </w:tcPr>
                <w:p>
                  <w:pPr>
                    <w:autoSpaceDE w:val="0"/>
                    <w:autoSpaceDN w:val="0"/>
                    <w:adjustRightInd w:val="0"/>
                    <w:spacing w:after="0"/>
                    <w:jc w:val="center"/>
                    <w:rPr>
                      <w:szCs w:val="21"/>
                      <w:u w:val="wave"/>
                    </w:rPr>
                  </w:pPr>
                  <w:r>
                    <w:rPr>
                      <w:rFonts w:hint="eastAsia"/>
                      <w:szCs w:val="21"/>
                      <w:u w:val="wave"/>
                    </w:rPr>
                    <w:t>水泥</w:t>
                  </w:r>
                </w:p>
              </w:tc>
              <w:tc>
                <w:tcPr>
                  <w:tcW w:w="1633" w:type="dxa"/>
                  <w:vAlign w:val="center"/>
                </w:tcPr>
                <w:p>
                  <w:pPr>
                    <w:autoSpaceDE w:val="0"/>
                    <w:autoSpaceDN w:val="0"/>
                    <w:adjustRightInd w:val="0"/>
                    <w:spacing w:after="0"/>
                    <w:jc w:val="center"/>
                    <w:rPr>
                      <w:szCs w:val="21"/>
                      <w:u w:val="wave"/>
                    </w:rPr>
                  </w:pPr>
                  <w:r>
                    <w:rPr>
                      <w:rFonts w:hint="eastAsia"/>
                      <w:szCs w:val="21"/>
                      <w:u w:val="wave"/>
                    </w:rPr>
                    <w:t>100000</w:t>
                  </w:r>
                </w:p>
              </w:tc>
              <w:tc>
                <w:tcPr>
                  <w:tcW w:w="1479" w:type="dxa"/>
                  <w:vAlign w:val="center"/>
                </w:tcPr>
                <w:p>
                  <w:pPr>
                    <w:autoSpaceDE w:val="0"/>
                    <w:autoSpaceDN w:val="0"/>
                    <w:adjustRightInd w:val="0"/>
                    <w:spacing w:after="0"/>
                    <w:jc w:val="center"/>
                    <w:rPr>
                      <w:szCs w:val="21"/>
                      <w:u w:val="wave"/>
                    </w:rPr>
                  </w:pPr>
                  <w:r>
                    <w:rPr>
                      <w:rFonts w:hint="eastAsia"/>
                      <w:szCs w:val="21"/>
                      <w:u w:val="wave"/>
                    </w:rPr>
                    <w:t>9600</w:t>
                  </w:r>
                </w:p>
              </w:tc>
              <w:tc>
                <w:tcPr>
                  <w:tcW w:w="1479" w:type="dxa"/>
                  <w:vAlign w:val="center"/>
                </w:tcPr>
                <w:p>
                  <w:pPr>
                    <w:spacing w:after="0"/>
                    <w:jc w:val="center"/>
                    <w:rPr>
                      <w:u w:val="wave"/>
                    </w:rPr>
                  </w:pPr>
                  <w:r>
                    <w:rPr>
                      <w:rFonts w:hint="eastAsia"/>
                      <w:szCs w:val="21"/>
                      <w:u w:val="wave"/>
                    </w:rPr>
                    <w:t>t</w:t>
                  </w:r>
                  <w:r>
                    <w:rPr>
                      <w:szCs w:val="21"/>
                      <w:u w:val="wave"/>
                    </w:rPr>
                    <w:t>/a</w:t>
                  </w:r>
                </w:p>
              </w:tc>
              <w:tc>
                <w:tcPr>
                  <w:tcW w:w="2248" w:type="dxa"/>
                  <w:vAlign w:val="center"/>
                </w:tcPr>
                <w:p>
                  <w:pPr>
                    <w:widowControl/>
                    <w:spacing w:after="0"/>
                    <w:jc w:val="center"/>
                    <w:rPr>
                      <w:szCs w:val="21"/>
                      <w:u w:val="wave"/>
                    </w:rPr>
                  </w:pPr>
                  <w:r>
                    <w:rPr>
                      <w:rFonts w:hint="eastAsia"/>
                      <w:szCs w:val="21"/>
                      <w:u w:val="wav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58" w:type="dxa"/>
                  <w:vAlign w:val="center"/>
                </w:tcPr>
                <w:p>
                  <w:pPr>
                    <w:pStyle w:val="35"/>
                    <w:spacing w:after="0"/>
                    <w:jc w:val="center"/>
                    <w:rPr>
                      <w:rFonts w:ascii="Times New Roman" w:cs="Times New Roman"/>
                      <w:color w:val="auto"/>
                      <w:sz w:val="21"/>
                      <w:szCs w:val="21"/>
                      <w:u w:val="wave"/>
                    </w:rPr>
                  </w:pPr>
                  <w:r>
                    <w:rPr>
                      <w:rFonts w:ascii="Times New Roman" w:cs="Times New Roman"/>
                      <w:color w:val="auto"/>
                      <w:sz w:val="21"/>
                      <w:szCs w:val="21"/>
                      <w:u w:val="wave"/>
                    </w:rPr>
                    <w:t>2</w:t>
                  </w:r>
                </w:p>
              </w:tc>
              <w:tc>
                <w:tcPr>
                  <w:tcW w:w="1669" w:type="dxa"/>
                  <w:vAlign w:val="center"/>
                </w:tcPr>
                <w:p>
                  <w:pPr>
                    <w:autoSpaceDE w:val="0"/>
                    <w:autoSpaceDN w:val="0"/>
                    <w:adjustRightInd w:val="0"/>
                    <w:spacing w:after="0"/>
                    <w:jc w:val="center"/>
                    <w:rPr>
                      <w:szCs w:val="21"/>
                      <w:u w:val="wave"/>
                    </w:rPr>
                  </w:pPr>
                  <w:r>
                    <w:rPr>
                      <w:rFonts w:hint="eastAsia"/>
                      <w:szCs w:val="21"/>
                      <w:u w:val="wave"/>
                    </w:rPr>
                    <w:t>机制砂</w:t>
                  </w:r>
                </w:p>
              </w:tc>
              <w:tc>
                <w:tcPr>
                  <w:tcW w:w="1633" w:type="dxa"/>
                  <w:vAlign w:val="center"/>
                </w:tcPr>
                <w:p>
                  <w:pPr>
                    <w:autoSpaceDE w:val="0"/>
                    <w:autoSpaceDN w:val="0"/>
                    <w:adjustRightInd w:val="0"/>
                    <w:spacing w:after="0"/>
                    <w:jc w:val="center"/>
                    <w:rPr>
                      <w:szCs w:val="21"/>
                      <w:u w:val="wave"/>
                    </w:rPr>
                  </w:pPr>
                  <w:r>
                    <w:rPr>
                      <w:rFonts w:hint="eastAsia"/>
                      <w:szCs w:val="21"/>
                      <w:u w:val="wave"/>
                    </w:rPr>
                    <w:t>180000</w:t>
                  </w:r>
                </w:p>
              </w:tc>
              <w:tc>
                <w:tcPr>
                  <w:tcW w:w="1479" w:type="dxa"/>
                  <w:vAlign w:val="center"/>
                </w:tcPr>
                <w:p>
                  <w:pPr>
                    <w:autoSpaceDE w:val="0"/>
                    <w:autoSpaceDN w:val="0"/>
                    <w:adjustRightInd w:val="0"/>
                    <w:spacing w:after="0"/>
                    <w:jc w:val="center"/>
                    <w:rPr>
                      <w:szCs w:val="21"/>
                      <w:u w:val="wave"/>
                    </w:rPr>
                  </w:pPr>
                  <w:r>
                    <w:rPr>
                      <w:rFonts w:hint="eastAsia"/>
                      <w:szCs w:val="21"/>
                      <w:u w:val="wave"/>
                    </w:rPr>
                    <w:t>10000</w:t>
                  </w:r>
                </w:p>
              </w:tc>
              <w:tc>
                <w:tcPr>
                  <w:tcW w:w="1479" w:type="dxa"/>
                  <w:vAlign w:val="center"/>
                </w:tcPr>
                <w:p>
                  <w:pPr>
                    <w:spacing w:after="0"/>
                    <w:jc w:val="center"/>
                    <w:rPr>
                      <w:u w:val="wave"/>
                    </w:rPr>
                  </w:pPr>
                  <w:r>
                    <w:rPr>
                      <w:rFonts w:hint="eastAsia"/>
                      <w:szCs w:val="21"/>
                      <w:u w:val="wave"/>
                    </w:rPr>
                    <w:t>t</w:t>
                  </w:r>
                  <w:r>
                    <w:rPr>
                      <w:szCs w:val="21"/>
                      <w:u w:val="wave"/>
                    </w:rPr>
                    <w:t>/a</w:t>
                  </w:r>
                </w:p>
              </w:tc>
              <w:tc>
                <w:tcPr>
                  <w:tcW w:w="2248" w:type="dxa"/>
                  <w:vAlign w:val="center"/>
                </w:tcPr>
                <w:p>
                  <w:pPr>
                    <w:spacing w:after="0"/>
                    <w:jc w:val="center"/>
                    <w:rPr>
                      <w:u w:val="wave"/>
                    </w:rPr>
                  </w:pPr>
                  <w:r>
                    <w:rPr>
                      <w:rFonts w:hint="eastAsia"/>
                      <w:szCs w:val="21"/>
                      <w:u w:val="wav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3</w:t>
                  </w:r>
                </w:p>
              </w:tc>
              <w:tc>
                <w:tcPr>
                  <w:tcW w:w="1669" w:type="dxa"/>
                  <w:vAlign w:val="center"/>
                </w:tcPr>
                <w:p>
                  <w:pPr>
                    <w:autoSpaceDE w:val="0"/>
                    <w:autoSpaceDN w:val="0"/>
                    <w:adjustRightInd w:val="0"/>
                    <w:spacing w:after="0"/>
                    <w:jc w:val="center"/>
                    <w:rPr>
                      <w:szCs w:val="21"/>
                      <w:u w:val="wave"/>
                    </w:rPr>
                  </w:pPr>
                  <w:r>
                    <w:rPr>
                      <w:rFonts w:hint="eastAsia"/>
                      <w:szCs w:val="21"/>
                      <w:u w:val="wave"/>
                    </w:rPr>
                    <w:t>碎石</w:t>
                  </w:r>
                </w:p>
              </w:tc>
              <w:tc>
                <w:tcPr>
                  <w:tcW w:w="1633" w:type="dxa"/>
                  <w:vAlign w:val="center"/>
                </w:tcPr>
                <w:p>
                  <w:pPr>
                    <w:autoSpaceDE w:val="0"/>
                    <w:autoSpaceDN w:val="0"/>
                    <w:adjustRightInd w:val="0"/>
                    <w:spacing w:after="0"/>
                    <w:jc w:val="center"/>
                    <w:rPr>
                      <w:szCs w:val="21"/>
                      <w:u w:val="wave"/>
                    </w:rPr>
                  </w:pPr>
                  <w:r>
                    <w:rPr>
                      <w:rFonts w:hint="eastAsia"/>
                      <w:szCs w:val="21"/>
                      <w:u w:val="wave"/>
                    </w:rPr>
                    <w:t>213000</w:t>
                  </w:r>
                </w:p>
              </w:tc>
              <w:tc>
                <w:tcPr>
                  <w:tcW w:w="1479" w:type="dxa"/>
                  <w:vAlign w:val="center"/>
                </w:tcPr>
                <w:p>
                  <w:pPr>
                    <w:autoSpaceDE w:val="0"/>
                    <w:autoSpaceDN w:val="0"/>
                    <w:adjustRightInd w:val="0"/>
                    <w:spacing w:after="0"/>
                    <w:jc w:val="center"/>
                    <w:rPr>
                      <w:szCs w:val="21"/>
                      <w:u w:val="wave"/>
                    </w:rPr>
                  </w:pPr>
                  <w:r>
                    <w:rPr>
                      <w:rFonts w:hint="eastAsia"/>
                      <w:szCs w:val="21"/>
                      <w:u w:val="wave"/>
                    </w:rPr>
                    <w:t>10000</w:t>
                  </w:r>
                </w:p>
              </w:tc>
              <w:tc>
                <w:tcPr>
                  <w:tcW w:w="1479" w:type="dxa"/>
                  <w:vAlign w:val="center"/>
                </w:tcPr>
                <w:p>
                  <w:pPr>
                    <w:spacing w:after="0"/>
                    <w:jc w:val="center"/>
                    <w:rPr>
                      <w:szCs w:val="21"/>
                      <w:u w:val="wave"/>
                    </w:rPr>
                  </w:pPr>
                  <w:r>
                    <w:rPr>
                      <w:rFonts w:hint="eastAsia"/>
                      <w:szCs w:val="21"/>
                      <w:u w:val="wave"/>
                    </w:rPr>
                    <w:t>t</w:t>
                  </w:r>
                  <w:r>
                    <w:rPr>
                      <w:szCs w:val="21"/>
                      <w:u w:val="wave"/>
                    </w:rPr>
                    <w:t>/a</w:t>
                  </w:r>
                </w:p>
              </w:tc>
              <w:tc>
                <w:tcPr>
                  <w:tcW w:w="2248" w:type="dxa"/>
                  <w:vAlign w:val="center"/>
                </w:tcPr>
                <w:p>
                  <w:pPr>
                    <w:spacing w:after="0"/>
                    <w:jc w:val="center"/>
                    <w:rPr>
                      <w:u w:val="wave"/>
                    </w:rPr>
                  </w:pPr>
                  <w:r>
                    <w:rPr>
                      <w:rFonts w:hint="eastAsia"/>
                      <w:szCs w:val="21"/>
                      <w:u w:val="wav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4</w:t>
                  </w:r>
                </w:p>
              </w:tc>
              <w:tc>
                <w:tcPr>
                  <w:tcW w:w="1669" w:type="dxa"/>
                  <w:vAlign w:val="center"/>
                </w:tcPr>
                <w:p>
                  <w:pPr>
                    <w:autoSpaceDE w:val="0"/>
                    <w:autoSpaceDN w:val="0"/>
                    <w:adjustRightInd w:val="0"/>
                    <w:spacing w:after="0"/>
                    <w:jc w:val="center"/>
                    <w:rPr>
                      <w:szCs w:val="21"/>
                      <w:u w:val="wave"/>
                    </w:rPr>
                  </w:pPr>
                  <w:r>
                    <w:rPr>
                      <w:rFonts w:hint="eastAsia"/>
                      <w:szCs w:val="21"/>
                      <w:u w:val="wave"/>
                    </w:rPr>
                    <w:t>粉煤灰</w:t>
                  </w:r>
                </w:p>
              </w:tc>
              <w:tc>
                <w:tcPr>
                  <w:tcW w:w="1633" w:type="dxa"/>
                  <w:vAlign w:val="center"/>
                </w:tcPr>
                <w:p>
                  <w:pPr>
                    <w:autoSpaceDE w:val="0"/>
                    <w:autoSpaceDN w:val="0"/>
                    <w:adjustRightInd w:val="0"/>
                    <w:spacing w:after="0"/>
                    <w:jc w:val="center"/>
                    <w:rPr>
                      <w:szCs w:val="21"/>
                      <w:u w:val="wave"/>
                    </w:rPr>
                  </w:pPr>
                  <w:r>
                    <w:rPr>
                      <w:rFonts w:hint="eastAsia"/>
                      <w:szCs w:val="21"/>
                      <w:u w:val="wave"/>
                    </w:rPr>
                    <w:t>4000</w:t>
                  </w:r>
                </w:p>
              </w:tc>
              <w:tc>
                <w:tcPr>
                  <w:tcW w:w="1479" w:type="dxa"/>
                  <w:vAlign w:val="center"/>
                </w:tcPr>
                <w:p>
                  <w:pPr>
                    <w:autoSpaceDE w:val="0"/>
                    <w:autoSpaceDN w:val="0"/>
                    <w:adjustRightInd w:val="0"/>
                    <w:spacing w:after="0"/>
                    <w:jc w:val="center"/>
                    <w:rPr>
                      <w:szCs w:val="21"/>
                      <w:u w:val="wave"/>
                    </w:rPr>
                  </w:pPr>
                  <w:r>
                    <w:rPr>
                      <w:rFonts w:hint="eastAsia"/>
                      <w:szCs w:val="21"/>
                      <w:u w:val="wave"/>
                    </w:rPr>
                    <w:t>320</w:t>
                  </w:r>
                </w:p>
              </w:tc>
              <w:tc>
                <w:tcPr>
                  <w:tcW w:w="1479" w:type="dxa"/>
                  <w:vAlign w:val="center"/>
                </w:tcPr>
                <w:p>
                  <w:pPr>
                    <w:spacing w:after="0"/>
                    <w:jc w:val="center"/>
                    <w:rPr>
                      <w:u w:val="wave"/>
                    </w:rPr>
                  </w:pPr>
                  <w:r>
                    <w:rPr>
                      <w:rFonts w:hint="eastAsia"/>
                      <w:szCs w:val="21"/>
                      <w:u w:val="wave"/>
                    </w:rPr>
                    <w:t>t</w:t>
                  </w:r>
                  <w:r>
                    <w:rPr>
                      <w:szCs w:val="21"/>
                      <w:u w:val="wave"/>
                    </w:rPr>
                    <w:t>/a</w:t>
                  </w:r>
                </w:p>
              </w:tc>
              <w:tc>
                <w:tcPr>
                  <w:tcW w:w="2248" w:type="dxa"/>
                  <w:vAlign w:val="center"/>
                </w:tcPr>
                <w:p>
                  <w:pPr>
                    <w:spacing w:after="0"/>
                    <w:jc w:val="center"/>
                    <w:rPr>
                      <w:u w:val="wave"/>
                    </w:rPr>
                  </w:pPr>
                  <w:r>
                    <w:rPr>
                      <w:rFonts w:hint="eastAsia"/>
                      <w:szCs w:val="21"/>
                      <w:u w:val="wav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58"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5</w:t>
                  </w:r>
                </w:p>
              </w:tc>
              <w:tc>
                <w:tcPr>
                  <w:tcW w:w="1669" w:type="dxa"/>
                  <w:vAlign w:val="center"/>
                </w:tcPr>
                <w:p>
                  <w:pPr>
                    <w:autoSpaceDE w:val="0"/>
                    <w:autoSpaceDN w:val="0"/>
                    <w:adjustRightInd w:val="0"/>
                    <w:spacing w:after="0"/>
                    <w:jc w:val="center"/>
                    <w:rPr>
                      <w:szCs w:val="21"/>
                      <w:u w:val="wave"/>
                    </w:rPr>
                  </w:pPr>
                  <w:r>
                    <w:rPr>
                      <w:rFonts w:hint="eastAsia"/>
                      <w:szCs w:val="21"/>
                      <w:u w:val="wave"/>
                    </w:rPr>
                    <w:t>外加剂</w:t>
                  </w:r>
                </w:p>
              </w:tc>
              <w:tc>
                <w:tcPr>
                  <w:tcW w:w="1633" w:type="dxa"/>
                  <w:vAlign w:val="center"/>
                </w:tcPr>
                <w:p>
                  <w:pPr>
                    <w:autoSpaceDE w:val="0"/>
                    <w:autoSpaceDN w:val="0"/>
                    <w:adjustRightInd w:val="0"/>
                    <w:spacing w:after="0"/>
                    <w:jc w:val="center"/>
                    <w:rPr>
                      <w:color w:val="FF0000"/>
                      <w:szCs w:val="21"/>
                      <w:u w:val="wave"/>
                    </w:rPr>
                  </w:pPr>
                  <w:r>
                    <w:rPr>
                      <w:rFonts w:hint="eastAsia" w:ascii="Times New Roman" w:eastAsia="宋体"/>
                      <w:szCs w:val="21"/>
                      <w:u w:val="wave"/>
                      <w:lang w:val="en-US" w:eastAsia="zh-CN"/>
                    </w:rPr>
                    <w:t>1302.34</w:t>
                  </w:r>
                </w:p>
              </w:tc>
              <w:tc>
                <w:tcPr>
                  <w:tcW w:w="1479" w:type="dxa"/>
                  <w:vAlign w:val="center"/>
                </w:tcPr>
                <w:p>
                  <w:pPr>
                    <w:autoSpaceDE w:val="0"/>
                    <w:autoSpaceDN w:val="0"/>
                    <w:adjustRightInd w:val="0"/>
                    <w:spacing w:after="0"/>
                    <w:jc w:val="center"/>
                    <w:rPr>
                      <w:szCs w:val="21"/>
                      <w:u w:val="wave"/>
                    </w:rPr>
                  </w:pPr>
                  <w:r>
                    <w:rPr>
                      <w:rFonts w:hint="eastAsia"/>
                      <w:szCs w:val="21"/>
                      <w:u w:val="wave"/>
                    </w:rPr>
                    <w:t>35</w:t>
                  </w:r>
                </w:p>
              </w:tc>
              <w:tc>
                <w:tcPr>
                  <w:tcW w:w="1479" w:type="dxa"/>
                  <w:vAlign w:val="center"/>
                </w:tcPr>
                <w:p>
                  <w:pPr>
                    <w:spacing w:after="0"/>
                    <w:jc w:val="center"/>
                    <w:rPr>
                      <w:u w:val="wave"/>
                    </w:rPr>
                  </w:pPr>
                  <w:r>
                    <w:rPr>
                      <w:rFonts w:hint="eastAsia"/>
                      <w:szCs w:val="21"/>
                      <w:u w:val="wave"/>
                    </w:rPr>
                    <w:t>t</w:t>
                  </w:r>
                  <w:r>
                    <w:rPr>
                      <w:szCs w:val="21"/>
                      <w:u w:val="wave"/>
                    </w:rPr>
                    <w:t>/a</w:t>
                  </w:r>
                </w:p>
              </w:tc>
              <w:tc>
                <w:tcPr>
                  <w:tcW w:w="2248" w:type="dxa"/>
                  <w:vAlign w:val="center"/>
                </w:tcPr>
                <w:p>
                  <w:pPr>
                    <w:spacing w:after="0"/>
                    <w:jc w:val="center"/>
                    <w:rPr>
                      <w:u w:val="wave"/>
                    </w:rPr>
                  </w:pPr>
                  <w:r>
                    <w:rPr>
                      <w:rFonts w:hint="eastAsia"/>
                      <w:szCs w:val="21"/>
                      <w:u w:val="wav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6</w:t>
                  </w:r>
                </w:p>
              </w:tc>
              <w:tc>
                <w:tcPr>
                  <w:tcW w:w="1669" w:type="dxa"/>
                  <w:vAlign w:val="center"/>
                </w:tcPr>
                <w:p>
                  <w:pPr>
                    <w:autoSpaceDE w:val="0"/>
                    <w:autoSpaceDN w:val="0"/>
                    <w:adjustRightInd w:val="0"/>
                    <w:spacing w:after="0"/>
                    <w:jc w:val="center"/>
                    <w:rPr>
                      <w:szCs w:val="21"/>
                      <w:u w:val="wave"/>
                    </w:rPr>
                  </w:pPr>
                  <w:r>
                    <w:rPr>
                      <w:szCs w:val="21"/>
                      <w:u w:val="wave"/>
                    </w:rPr>
                    <w:t>水</w:t>
                  </w:r>
                </w:p>
              </w:tc>
              <w:tc>
                <w:tcPr>
                  <w:tcW w:w="1633" w:type="dxa"/>
                  <w:vAlign w:val="center"/>
                </w:tcPr>
                <w:p>
                  <w:pPr>
                    <w:autoSpaceDE w:val="0"/>
                    <w:autoSpaceDN w:val="0"/>
                    <w:adjustRightInd w:val="0"/>
                    <w:spacing w:after="0"/>
                    <w:jc w:val="center"/>
                    <w:rPr>
                      <w:szCs w:val="21"/>
                      <w:u w:val="wave"/>
                    </w:rPr>
                  </w:pPr>
                  <w:r>
                    <w:rPr>
                      <w:rFonts w:hint="eastAsia"/>
                      <w:szCs w:val="21"/>
                      <w:u w:val="wave"/>
                    </w:rPr>
                    <w:t>18318</w:t>
                  </w:r>
                </w:p>
              </w:tc>
              <w:tc>
                <w:tcPr>
                  <w:tcW w:w="1479" w:type="dxa"/>
                  <w:vAlign w:val="center"/>
                </w:tcPr>
                <w:p>
                  <w:pPr>
                    <w:autoSpaceDE w:val="0"/>
                    <w:autoSpaceDN w:val="0"/>
                    <w:adjustRightInd w:val="0"/>
                    <w:spacing w:after="0"/>
                    <w:jc w:val="center"/>
                    <w:rPr>
                      <w:szCs w:val="21"/>
                      <w:u w:val="wave"/>
                    </w:rPr>
                  </w:pPr>
                  <w:r>
                    <w:rPr>
                      <w:rFonts w:hint="eastAsia"/>
                      <w:szCs w:val="21"/>
                      <w:u w:val="wave"/>
                    </w:rPr>
                    <w:t>/</w:t>
                  </w:r>
                </w:p>
              </w:tc>
              <w:tc>
                <w:tcPr>
                  <w:tcW w:w="1479" w:type="dxa"/>
                  <w:vAlign w:val="center"/>
                </w:tcPr>
                <w:p>
                  <w:pPr>
                    <w:autoSpaceDE w:val="0"/>
                    <w:autoSpaceDN w:val="0"/>
                    <w:adjustRightInd w:val="0"/>
                    <w:spacing w:after="0"/>
                    <w:jc w:val="center"/>
                    <w:rPr>
                      <w:szCs w:val="21"/>
                      <w:u w:val="wave"/>
                    </w:rPr>
                  </w:pPr>
                  <w:r>
                    <w:rPr>
                      <w:rFonts w:hint="eastAsia"/>
                      <w:szCs w:val="21"/>
                      <w:u w:val="wave"/>
                    </w:rPr>
                    <w:t>t</w:t>
                  </w:r>
                  <w:r>
                    <w:rPr>
                      <w:szCs w:val="21"/>
                      <w:u w:val="wave"/>
                    </w:rPr>
                    <w:t>/a</w:t>
                  </w:r>
                </w:p>
              </w:tc>
              <w:tc>
                <w:tcPr>
                  <w:tcW w:w="2248" w:type="dxa"/>
                  <w:vAlign w:val="center"/>
                </w:tcPr>
                <w:p>
                  <w:pPr>
                    <w:autoSpaceDE w:val="0"/>
                    <w:autoSpaceDN w:val="0"/>
                    <w:adjustRightInd w:val="0"/>
                    <w:spacing w:after="0"/>
                    <w:jc w:val="center"/>
                    <w:rPr>
                      <w:szCs w:val="21"/>
                      <w:u w:val="wave"/>
                    </w:rPr>
                  </w:pPr>
                  <w:r>
                    <w:rPr>
                      <w:rFonts w:hint="eastAsia"/>
                      <w:szCs w:val="21"/>
                      <w:u w:val="wave"/>
                    </w:rPr>
                    <w:t>当地自来水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8"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7</w:t>
                  </w:r>
                </w:p>
              </w:tc>
              <w:tc>
                <w:tcPr>
                  <w:tcW w:w="1669" w:type="dxa"/>
                  <w:vAlign w:val="center"/>
                </w:tcPr>
                <w:p>
                  <w:pPr>
                    <w:autoSpaceDE w:val="0"/>
                    <w:autoSpaceDN w:val="0"/>
                    <w:adjustRightInd w:val="0"/>
                    <w:spacing w:after="0"/>
                    <w:jc w:val="center"/>
                    <w:rPr>
                      <w:szCs w:val="21"/>
                      <w:u w:val="wave"/>
                    </w:rPr>
                  </w:pPr>
                  <w:r>
                    <w:rPr>
                      <w:szCs w:val="21"/>
                      <w:u w:val="wave"/>
                    </w:rPr>
                    <w:t>电</w:t>
                  </w:r>
                </w:p>
              </w:tc>
              <w:tc>
                <w:tcPr>
                  <w:tcW w:w="1633" w:type="dxa"/>
                  <w:vAlign w:val="center"/>
                </w:tcPr>
                <w:p>
                  <w:pPr>
                    <w:autoSpaceDE w:val="0"/>
                    <w:autoSpaceDN w:val="0"/>
                    <w:adjustRightInd w:val="0"/>
                    <w:spacing w:after="0"/>
                    <w:jc w:val="center"/>
                    <w:rPr>
                      <w:szCs w:val="21"/>
                      <w:u w:val="wave"/>
                    </w:rPr>
                  </w:pPr>
                  <w:r>
                    <w:rPr>
                      <w:rFonts w:hint="eastAsia"/>
                      <w:szCs w:val="21"/>
                      <w:u w:val="wave"/>
                    </w:rPr>
                    <w:t>40</w:t>
                  </w:r>
                </w:p>
              </w:tc>
              <w:tc>
                <w:tcPr>
                  <w:tcW w:w="1479" w:type="dxa"/>
                  <w:vAlign w:val="center"/>
                </w:tcPr>
                <w:p>
                  <w:pPr>
                    <w:autoSpaceDE w:val="0"/>
                    <w:autoSpaceDN w:val="0"/>
                    <w:adjustRightInd w:val="0"/>
                    <w:spacing w:after="0"/>
                    <w:jc w:val="center"/>
                    <w:rPr>
                      <w:szCs w:val="21"/>
                      <w:u w:val="wave"/>
                    </w:rPr>
                  </w:pPr>
                  <w:r>
                    <w:rPr>
                      <w:rFonts w:hint="eastAsia"/>
                      <w:szCs w:val="21"/>
                      <w:u w:val="wave"/>
                    </w:rPr>
                    <w:t>/</w:t>
                  </w:r>
                </w:p>
              </w:tc>
              <w:tc>
                <w:tcPr>
                  <w:tcW w:w="1479" w:type="dxa"/>
                  <w:vAlign w:val="center"/>
                </w:tcPr>
                <w:p>
                  <w:pPr>
                    <w:autoSpaceDE w:val="0"/>
                    <w:autoSpaceDN w:val="0"/>
                    <w:adjustRightInd w:val="0"/>
                    <w:spacing w:after="0"/>
                    <w:jc w:val="center"/>
                    <w:rPr>
                      <w:szCs w:val="21"/>
                      <w:u w:val="wave"/>
                    </w:rPr>
                  </w:pPr>
                  <w:r>
                    <w:rPr>
                      <w:color w:val="000000"/>
                      <w:szCs w:val="21"/>
                      <w:u w:val="wave"/>
                      <w:lang w:bidi="ar"/>
                    </w:rPr>
                    <w:t>万kw·h</w:t>
                  </w:r>
                </w:p>
              </w:tc>
              <w:tc>
                <w:tcPr>
                  <w:tcW w:w="2248" w:type="dxa"/>
                  <w:vAlign w:val="center"/>
                </w:tcPr>
                <w:p>
                  <w:pPr>
                    <w:autoSpaceDE w:val="0"/>
                    <w:autoSpaceDN w:val="0"/>
                    <w:adjustRightInd w:val="0"/>
                    <w:spacing w:after="0"/>
                    <w:jc w:val="center"/>
                    <w:rPr>
                      <w:szCs w:val="21"/>
                      <w:u w:val="wave"/>
                    </w:rPr>
                  </w:pPr>
                  <w:r>
                    <w:rPr>
                      <w:rFonts w:hint="eastAsia"/>
                      <w:szCs w:val="21"/>
                      <w:u w:val="wave"/>
                    </w:rPr>
                    <w:t>当地电网</w:t>
                  </w:r>
                </w:p>
              </w:tc>
            </w:tr>
          </w:tbl>
          <w:p>
            <w:pPr>
              <w:overflowPunct w:val="0"/>
              <w:spacing w:after="0" w:line="360" w:lineRule="auto"/>
              <w:ind w:firstLine="480" w:firstLineChars="200"/>
              <w:rPr>
                <w:kern w:val="0"/>
                <w:sz w:val="24"/>
              </w:rPr>
            </w:pPr>
            <w:r>
              <w:rPr>
                <w:snapToGrid w:val="0"/>
                <w:kern w:val="0"/>
                <w:sz w:val="24"/>
              </w:rPr>
              <w:t>粉煤灰</w:t>
            </w:r>
            <w:r>
              <w:rPr>
                <w:rFonts w:hint="eastAsia"/>
                <w:snapToGrid w:val="0"/>
                <w:kern w:val="0"/>
                <w:sz w:val="24"/>
              </w:rPr>
              <w:t>：</w:t>
            </w:r>
            <w:r>
              <w:rPr>
                <w:snapToGrid w:val="0"/>
                <w:kern w:val="0"/>
                <w:sz w:val="24"/>
              </w:rPr>
              <w:t>粉煤灰是由煤粉炉排出的烟气中收集到的细颗粒白色粉末，是由矿化程度较低的褐煤燃烧后形成的残灰，它的氧化钙含量较高，具有胶凝性质。粉煤灰一般多呈球形，且富含玻璃体，含量在50～70%之间。晶体部分主要是莫来石和石英，还有一定量的未燃尽炭，含量约为1～24%。从化学成份看，粉煤灰主要含有SiO</w:t>
            </w:r>
            <w:r>
              <w:rPr>
                <w:snapToGrid w:val="0"/>
                <w:kern w:val="0"/>
                <w:sz w:val="24"/>
                <w:vertAlign w:val="subscript"/>
              </w:rPr>
              <w:t>2</w:t>
            </w:r>
            <w:r>
              <w:rPr>
                <w:snapToGrid w:val="0"/>
                <w:kern w:val="0"/>
                <w:sz w:val="24"/>
              </w:rPr>
              <w:t>(35～60%)，Al</w:t>
            </w:r>
            <w:r>
              <w:rPr>
                <w:snapToGrid w:val="0"/>
                <w:kern w:val="0"/>
                <w:sz w:val="24"/>
                <w:vertAlign w:val="subscript"/>
              </w:rPr>
              <w:t>2</w:t>
            </w:r>
            <w:r>
              <w:rPr>
                <w:snapToGrid w:val="0"/>
                <w:kern w:val="0"/>
                <w:sz w:val="24"/>
              </w:rPr>
              <w:t>O</w:t>
            </w:r>
            <w:r>
              <w:rPr>
                <w:snapToGrid w:val="0"/>
                <w:kern w:val="0"/>
                <w:sz w:val="24"/>
                <w:vertAlign w:val="subscript"/>
              </w:rPr>
              <w:t>3</w:t>
            </w:r>
            <w:r>
              <w:rPr>
                <w:snapToGrid w:val="0"/>
                <w:kern w:val="0"/>
                <w:sz w:val="24"/>
              </w:rPr>
              <w:t>(13～40%)，CaO(2～5%)，Fe</w:t>
            </w:r>
            <w:r>
              <w:rPr>
                <w:snapToGrid w:val="0"/>
                <w:kern w:val="0"/>
                <w:sz w:val="24"/>
                <w:vertAlign w:val="subscript"/>
              </w:rPr>
              <w:t>2</w:t>
            </w:r>
            <w:r>
              <w:rPr>
                <w:snapToGrid w:val="0"/>
                <w:kern w:val="0"/>
                <w:sz w:val="24"/>
              </w:rPr>
              <w:t>O</w:t>
            </w:r>
            <w:r>
              <w:rPr>
                <w:snapToGrid w:val="0"/>
                <w:kern w:val="0"/>
                <w:sz w:val="24"/>
                <w:vertAlign w:val="subscript"/>
              </w:rPr>
              <w:t>3</w:t>
            </w:r>
            <w:r>
              <w:rPr>
                <w:snapToGrid w:val="0"/>
                <w:kern w:val="0"/>
                <w:sz w:val="24"/>
              </w:rPr>
              <w:t>(3～10%)等。由于粉煤灰经高温熔融，所以其结构非常致密。</w:t>
            </w:r>
          </w:p>
          <w:p>
            <w:pPr>
              <w:autoSpaceDE w:val="0"/>
              <w:autoSpaceDN w:val="0"/>
              <w:adjustRightInd w:val="0"/>
              <w:spacing w:after="0" w:line="360" w:lineRule="auto"/>
              <w:ind w:firstLine="480" w:firstLineChars="200"/>
              <w:rPr>
                <w:szCs w:val="32"/>
              </w:rPr>
            </w:pPr>
            <w:r>
              <w:rPr>
                <w:kern w:val="0"/>
                <w:sz w:val="24"/>
              </w:rPr>
              <w:t>外加</w:t>
            </w:r>
            <w:r>
              <w:rPr>
                <w:snapToGrid w:val="0"/>
                <w:kern w:val="0"/>
                <w:sz w:val="24"/>
              </w:rPr>
              <w:t>剂</w:t>
            </w:r>
            <w:r>
              <w:rPr>
                <w:rFonts w:hint="eastAsia"/>
                <w:snapToGrid w:val="0"/>
                <w:kern w:val="0"/>
                <w:sz w:val="24"/>
              </w:rPr>
              <w:t>：</w:t>
            </w:r>
            <w:r>
              <w:rPr>
                <w:snapToGrid w:val="0"/>
                <w:kern w:val="0"/>
                <w:sz w:val="24"/>
              </w:rPr>
              <w:t>本项目使用的外加剂主要是高效减水剂。高效减水剂又称超塑化剂，它是一种减水率高，缓凝和引气作用极小的混凝土外加剂。以磺酸基为主要官能团的高效减水剂包括：改性木质素磺酸盐系(MLS)、萘系(NSF)、三聚氰胺系(MSF)、氨基磺酸系(ASF)等，它们分子结构单元中都含有磺酸基，最佳的分子结构一般为线型的主链，并同时有多个长支链，主要通过缩合反应得到。混凝土减水剂对混凝土的作用主要只是表面活性作用。减水剂本身并不与水泥产生化学反应。</w:t>
            </w:r>
          </w:p>
          <w:p>
            <w:pPr>
              <w:pStyle w:val="35"/>
              <w:spacing w:after="0" w:line="360" w:lineRule="auto"/>
              <w:ind w:firstLine="480" w:firstLineChars="200"/>
              <w:jc w:val="both"/>
              <w:rPr>
                <w:rFonts w:ascii="Times New Roman" w:cs="Times New Roman"/>
                <w:color w:val="auto"/>
                <w:szCs w:val="32"/>
              </w:rPr>
            </w:pPr>
            <w:r>
              <w:rPr>
                <w:rFonts w:hint="eastAsia" w:ascii="Times New Roman" w:cs="Times New Roman"/>
                <w:color w:val="auto"/>
                <w:szCs w:val="32"/>
              </w:rPr>
              <w:t>（4）产品方案及产量</w:t>
            </w:r>
          </w:p>
          <w:p>
            <w:pPr>
              <w:pStyle w:val="35"/>
              <w:spacing w:after="0" w:line="360" w:lineRule="auto"/>
              <w:ind w:firstLine="480" w:firstLineChars="200"/>
              <w:jc w:val="both"/>
              <w:rPr>
                <w:rFonts w:ascii="Times New Roman" w:cs="Times New Roman"/>
                <w:b/>
                <w:bCs/>
                <w:color w:val="auto"/>
                <w:szCs w:val="32"/>
              </w:rPr>
            </w:pPr>
            <w:r>
              <w:rPr>
                <w:rFonts w:hint="eastAsia"/>
              </w:rPr>
              <w:t>产品情况见下表。</w:t>
            </w:r>
          </w:p>
          <w:p>
            <w:pPr>
              <w:pStyle w:val="35"/>
              <w:spacing w:after="0" w:line="360" w:lineRule="auto"/>
              <w:jc w:val="center"/>
              <w:rPr>
                <w:rFonts w:ascii="Times New Roman" w:cs="Times New Roman"/>
                <w:b/>
                <w:bCs/>
                <w:color w:val="auto"/>
                <w:szCs w:val="32"/>
              </w:rPr>
            </w:pPr>
            <w:r>
              <w:rPr>
                <w:rFonts w:ascii="Times New Roman" w:cs="Times New Roman"/>
                <w:b/>
                <w:bCs/>
                <w:color w:val="auto"/>
                <w:szCs w:val="32"/>
              </w:rPr>
              <w:t>表</w:t>
            </w:r>
            <w:r>
              <w:rPr>
                <w:rFonts w:hint="eastAsia" w:ascii="Times New Roman" w:cs="Times New Roman"/>
                <w:b/>
                <w:bCs/>
                <w:color w:val="auto"/>
                <w:szCs w:val="32"/>
              </w:rPr>
              <w:t>1-4</w:t>
            </w:r>
            <w:r>
              <w:rPr>
                <w:rFonts w:ascii="Times New Roman" w:cs="Times New Roman"/>
                <w:b/>
                <w:bCs/>
                <w:color w:val="auto"/>
                <w:szCs w:val="32"/>
              </w:rPr>
              <w:t xml:space="preserve">  项目产品方案</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440"/>
              <w:gridCol w:w="1876"/>
              <w:gridCol w:w="2371"/>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pct"/>
                  <w:tcBorders>
                    <w:top w:val="single" w:color="auto" w:sz="4" w:space="0"/>
                    <w:left w:val="single" w:color="auto" w:sz="4" w:space="0"/>
                    <w:bottom w:val="single" w:color="auto" w:sz="4" w:space="0"/>
                    <w:right w:val="single" w:color="auto" w:sz="4" w:space="0"/>
                  </w:tcBorders>
                  <w:vAlign w:val="center"/>
                </w:tcPr>
                <w:p>
                  <w:pPr>
                    <w:spacing w:after="0"/>
                    <w:jc w:val="center"/>
                    <w:rPr>
                      <w:kern w:val="0"/>
                    </w:rPr>
                  </w:pPr>
                  <w:r>
                    <w:rPr>
                      <w:kern w:val="0"/>
                      <w:lang w:bidi="ar"/>
                    </w:rPr>
                    <w:t>序号</w:t>
                  </w:r>
                </w:p>
              </w:tc>
              <w:tc>
                <w:tcPr>
                  <w:tcW w:w="777" w:type="pct"/>
                  <w:tcBorders>
                    <w:top w:val="single" w:color="auto" w:sz="4" w:space="0"/>
                    <w:left w:val="single" w:color="auto" w:sz="4" w:space="0"/>
                    <w:bottom w:val="single" w:color="auto" w:sz="4" w:space="0"/>
                    <w:right w:val="single" w:color="auto" w:sz="4" w:space="0"/>
                  </w:tcBorders>
                  <w:vAlign w:val="center"/>
                </w:tcPr>
                <w:p>
                  <w:pPr>
                    <w:spacing w:after="0"/>
                    <w:ind w:right="-172" w:rightChars="-82"/>
                    <w:jc w:val="center"/>
                    <w:rPr>
                      <w:kern w:val="0"/>
                    </w:rPr>
                  </w:pPr>
                  <w:r>
                    <w:rPr>
                      <w:kern w:val="0"/>
                      <w:lang w:bidi="ar"/>
                    </w:rPr>
                    <w:t>产品名称</w:t>
                  </w:r>
                </w:p>
              </w:tc>
              <w:tc>
                <w:tcPr>
                  <w:tcW w:w="1012" w:type="pct"/>
                  <w:tcBorders>
                    <w:top w:val="single" w:color="auto" w:sz="4" w:space="0"/>
                    <w:left w:val="single" w:color="auto" w:sz="4" w:space="0"/>
                    <w:bottom w:val="single" w:color="auto" w:sz="4" w:space="0"/>
                    <w:right w:val="single" w:color="auto" w:sz="4" w:space="0"/>
                  </w:tcBorders>
                  <w:vAlign w:val="center"/>
                </w:tcPr>
                <w:p>
                  <w:pPr>
                    <w:spacing w:after="0"/>
                    <w:jc w:val="center"/>
                    <w:rPr>
                      <w:kern w:val="0"/>
                    </w:rPr>
                  </w:pPr>
                  <w:r>
                    <w:rPr>
                      <w:kern w:val="0"/>
                      <w:lang w:bidi="ar"/>
                    </w:rPr>
                    <w:t>产品强度</w:t>
                  </w:r>
                </w:p>
              </w:tc>
              <w:tc>
                <w:tcPr>
                  <w:tcW w:w="1279" w:type="pct"/>
                  <w:tcBorders>
                    <w:top w:val="single" w:color="auto" w:sz="4" w:space="0"/>
                    <w:left w:val="single" w:color="auto" w:sz="4" w:space="0"/>
                    <w:bottom w:val="single" w:color="auto" w:sz="4" w:space="0"/>
                    <w:right w:val="single" w:color="auto" w:sz="4" w:space="0"/>
                  </w:tcBorders>
                  <w:vAlign w:val="center"/>
                </w:tcPr>
                <w:p>
                  <w:pPr>
                    <w:spacing w:after="0"/>
                    <w:jc w:val="center"/>
                    <w:rPr>
                      <w:kern w:val="0"/>
                    </w:rPr>
                  </w:pPr>
                  <w:r>
                    <w:rPr>
                      <w:kern w:val="0"/>
                      <w:lang w:bidi="ar"/>
                    </w:rPr>
                    <w:t>年产量</w:t>
                  </w:r>
                </w:p>
              </w:tc>
              <w:tc>
                <w:tcPr>
                  <w:tcW w:w="1177" w:type="pct"/>
                  <w:tcBorders>
                    <w:top w:val="single" w:color="auto" w:sz="4" w:space="0"/>
                    <w:left w:val="single" w:color="auto" w:sz="4" w:space="0"/>
                    <w:bottom w:val="single" w:color="auto" w:sz="4" w:space="0"/>
                    <w:right w:val="single" w:color="auto" w:sz="4" w:space="0"/>
                  </w:tcBorders>
                  <w:vAlign w:val="center"/>
                </w:tcPr>
                <w:p>
                  <w:pPr>
                    <w:spacing w:after="0"/>
                    <w:jc w:val="center"/>
                    <w:rPr>
                      <w:kern w:val="0"/>
                    </w:rPr>
                  </w:pPr>
                  <w:r>
                    <w:rPr>
                      <w:kern w:val="0"/>
                      <w:lang w:bidi="ar"/>
                    </w:rPr>
                    <w:t>产品执行标准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pct"/>
                  <w:tcBorders>
                    <w:top w:val="single" w:color="auto" w:sz="4" w:space="0"/>
                    <w:left w:val="single" w:color="auto" w:sz="4" w:space="0"/>
                    <w:bottom w:val="single" w:color="auto" w:sz="4" w:space="0"/>
                    <w:right w:val="single" w:color="auto" w:sz="4" w:space="0"/>
                  </w:tcBorders>
                  <w:vAlign w:val="center"/>
                </w:tcPr>
                <w:p>
                  <w:pPr>
                    <w:spacing w:after="0"/>
                    <w:jc w:val="center"/>
                    <w:rPr>
                      <w:kern w:val="0"/>
                    </w:rPr>
                  </w:pPr>
                  <w:r>
                    <w:rPr>
                      <w:kern w:val="0"/>
                      <w:lang w:bidi="ar"/>
                    </w:rPr>
                    <w:t>1</w:t>
                  </w:r>
                </w:p>
              </w:tc>
              <w:tc>
                <w:tcPr>
                  <w:tcW w:w="777" w:type="pct"/>
                  <w:tcBorders>
                    <w:top w:val="single" w:color="auto" w:sz="4" w:space="0"/>
                    <w:left w:val="single" w:color="auto" w:sz="4" w:space="0"/>
                    <w:bottom w:val="single" w:color="auto" w:sz="4" w:space="0"/>
                    <w:right w:val="single" w:color="auto" w:sz="4" w:space="0"/>
                  </w:tcBorders>
                  <w:vAlign w:val="center"/>
                </w:tcPr>
                <w:p>
                  <w:pPr>
                    <w:spacing w:after="0"/>
                    <w:jc w:val="center"/>
                    <w:rPr>
                      <w:kern w:val="0"/>
                    </w:rPr>
                  </w:pPr>
                  <w:r>
                    <w:rPr>
                      <w:kern w:val="0"/>
                      <w:lang w:bidi="ar"/>
                    </w:rPr>
                    <w:t>商品混凝土</w:t>
                  </w:r>
                </w:p>
              </w:tc>
              <w:tc>
                <w:tcPr>
                  <w:tcW w:w="1012" w:type="pct"/>
                  <w:tcBorders>
                    <w:top w:val="single" w:color="auto" w:sz="4" w:space="0"/>
                    <w:left w:val="single" w:color="auto" w:sz="4" w:space="0"/>
                    <w:bottom w:val="single" w:color="auto" w:sz="4" w:space="0"/>
                    <w:right w:val="single" w:color="auto" w:sz="4" w:space="0"/>
                  </w:tcBorders>
                  <w:vAlign w:val="center"/>
                </w:tcPr>
                <w:p>
                  <w:pPr>
                    <w:spacing w:after="0"/>
                    <w:jc w:val="center"/>
                    <w:rPr>
                      <w:kern w:val="0"/>
                    </w:rPr>
                  </w:pPr>
                  <w:r>
                    <w:rPr>
                      <w:kern w:val="0"/>
                      <w:lang w:bidi="ar"/>
                    </w:rPr>
                    <w:t>C</w:t>
                  </w:r>
                  <w:r>
                    <w:rPr>
                      <w:rFonts w:hint="eastAsia"/>
                      <w:kern w:val="0"/>
                      <w:lang w:bidi="ar"/>
                    </w:rPr>
                    <w:t>15~</w:t>
                  </w:r>
                  <w:r>
                    <w:rPr>
                      <w:kern w:val="0"/>
                      <w:lang w:bidi="ar"/>
                    </w:rPr>
                    <w:t>C40</w:t>
                  </w:r>
                </w:p>
              </w:tc>
              <w:tc>
                <w:tcPr>
                  <w:tcW w:w="1279" w:type="pct"/>
                  <w:tcBorders>
                    <w:top w:val="single" w:color="auto" w:sz="4" w:space="0"/>
                    <w:left w:val="single" w:color="auto" w:sz="4" w:space="0"/>
                    <w:bottom w:val="single" w:color="auto" w:sz="4" w:space="0"/>
                    <w:right w:val="single" w:color="auto" w:sz="4" w:space="0"/>
                  </w:tcBorders>
                  <w:vAlign w:val="center"/>
                </w:tcPr>
                <w:p>
                  <w:pPr>
                    <w:spacing w:after="0"/>
                    <w:jc w:val="center"/>
                    <w:rPr>
                      <w:kern w:val="0"/>
                    </w:rPr>
                  </w:pPr>
                  <w:r>
                    <w:rPr>
                      <w:kern w:val="0"/>
                      <w:lang w:bidi="ar"/>
                    </w:rPr>
                    <w:t>20万m</w:t>
                  </w:r>
                  <w:r>
                    <w:rPr>
                      <w:kern w:val="0"/>
                      <w:vertAlign w:val="superscript"/>
                      <w:lang w:bidi="ar"/>
                    </w:rPr>
                    <w:t>3</w:t>
                  </w:r>
                  <w:r>
                    <w:rPr>
                      <w:kern w:val="0"/>
                      <w:lang w:bidi="ar"/>
                    </w:rPr>
                    <w:t>/a（50万吨/a）</w:t>
                  </w:r>
                </w:p>
              </w:tc>
              <w:tc>
                <w:tcPr>
                  <w:tcW w:w="1177" w:type="pct"/>
                  <w:tcBorders>
                    <w:top w:val="single" w:color="auto" w:sz="4" w:space="0"/>
                    <w:left w:val="single" w:color="auto" w:sz="4" w:space="0"/>
                    <w:bottom w:val="single" w:color="auto" w:sz="4" w:space="0"/>
                    <w:right w:val="single" w:color="auto" w:sz="4" w:space="0"/>
                  </w:tcBorders>
                  <w:vAlign w:val="center"/>
                </w:tcPr>
                <w:p>
                  <w:pPr>
                    <w:spacing w:after="0"/>
                    <w:jc w:val="center"/>
                    <w:rPr>
                      <w:kern w:val="0"/>
                      <w:lang w:bidi="ar"/>
                    </w:rPr>
                  </w:pPr>
                  <w:r>
                    <w:rPr>
                      <w:kern w:val="0"/>
                      <w:lang w:bidi="ar"/>
                    </w:rPr>
                    <w:t>GB/T14902-20</w:t>
                  </w:r>
                  <w:r>
                    <w:rPr>
                      <w:rFonts w:hint="eastAsia"/>
                      <w:kern w:val="0"/>
                      <w:lang w:bidi="ar"/>
                    </w:rPr>
                    <w:t>12</w:t>
                  </w:r>
                </w:p>
                <w:p>
                  <w:pPr>
                    <w:spacing w:after="0"/>
                    <w:jc w:val="center"/>
                    <w:rPr>
                      <w:kern w:val="0"/>
                    </w:rPr>
                  </w:pPr>
                  <w:r>
                    <w:rPr>
                      <w:kern w:val="0"/>
                      <w:lang w:bidi="ar"/>
                    </w:rPr>
                    <w:t>《预拌商品混凝土》</w:t>
                  </w:r>
                </w:p>
              </w:tc>
            </w:tr>
          </w:tbl>
          <w:p>
            <w:pPr>
              <w:pStyle w:val="35"/>
              <w:spacing w:after="0" w:line="360" w:lineRule="auto"/>
              <w:ind w:firstLine="480" w:firstLineChars="200"/>
              <w:jc w:val="both"/>
              <w:rPr>
                <w:rFonts w:ascii="Times New Roman" w:cs="Times New Roman"/>
                <w:color w:val="auto"/>
                <w:szCs w:val="32"/>
              </w:rPr>
            </w:pPr>
            <w:r>
              <w:rPr>
                <w:rFonts w:hint="eastAsia" w:ascii="Times New Roman" w:cs="Times New Roman"/>
                <w:color w:val="auto"/>
                <w:szCs w:val="32"/>
              </w:rPr>
              <w:t>（5）平面布置</w:t>
            </w:r>
          </w:p>
          <w:p>
            <w:pPr>
              <w:autoSpaceDE w:val="0"/>
              <w:autoSpaceDN w:val="0"/>
              <w:spacing w:after="0" w:line="360" w:lineRule="auto"/>
              <w:ind w:firstLine="480" w:firstLineChars="200"/>
              <w:rPr>
                <w:sz w:val="24"/>
              </w:rPr>
            </w:pPr>
            <w:r>
              <w:rPr>
                <w:rFonts w:hint="eastAsia"/>
                <w:sz w:val="24"/>
                <w:lang w:bidi="ar"/>
              </w:rPr>
              <w:t>本项目</w:t>
            </w:r>
            <w:r>
              <w:rPr>
                <w:rFonts w:hint="eastAsia"/>
                <w:sz w:val="24"/>
              </w:rPr>
              <w:t>厂区南侧为入口，且</w:t>
            </w:r>
            <w:r>
              <w:rPr>
                <w:rFonts w:hint="eastAsia"/>
                <w:sz w:val="24"/>
                <w:lang w:bidi="ar"/>
              </w:rPr>
              <w:t>紧邻道</w:t>
            </w:r>
            <w:r>
              <w:rPr>
                <w:sz w:val="24"/>
              </w:rPr>
              <w:t>路</w:t>
            </w:r>
            <w:r>
              <w:rPr>
                <w:sz w:val="24"/>
                <w:lang w:bidi="ar"/>
              </w:rPr>
              <w:t>，便于物料及产品的运输；原料堆场</w:t>
            </w:r>
            <w:r>
              <w:rPr>
                <w:rFonts w:hint="eastAsia"/>
                <w:sz w:val="24"/>
                <w:lang w:bidi="ar"/>
              </w:rPr>
              <w:t>位于厂区南侧紧挨道路，原料堆场北侧为生产区，原料堆场与生产区相隔很近，</w:t>
            </w:r>
            <w:r>
              <w:rPr>
                <w:rFonts w:hint="eastAsia" w:cs="宋体"/>
                <w:sz w:val="24"/>
                <w:shd w:val="clear" w:color="auto" w:fill="FFFFFF"/>
                <w:lang w:bidi="ar"/>
              </w:rPr>
              <w:t>便于上料进行生产作业，三级沉淀池位于生产区东侧；厂区北侧为员工生活区及实验室，办公室位于厂区西南角，</w:t>
            </w:r>
            <w:r>
              <w:rPr>
                <w:sz w:val="24"/>
              </w:rPr>
              <w:t>项目分区较明确，布局较合理，充分的利用了其所在的地理位置，交通十分便利，项目厂区平面布置图详见附图4。</w:t>
            </w:r>
          </w:p>
          <w:p>
            <w:pPr>
              <w:pStyle w:val="35"/>
              <w:spacing w:after="0" w:line="360" w:lineRule="auto"/>
              <w:jc w:val="both"/>
              <w:rPr>
                <w:rFonts w:ascii="Times New Roman" w:cs="Times New Roman"/>
                <w:b/>
                <w:bCs/>
                <w:color w:val="auto"/>
                <w:szCs w:val="32"/>
              </w:rPr>
            </w:pPr>
            <w:r>
              <w:rPr>
                <w:rFonts w:hint="eastAsia" w:ascii="Times New Roman" w:cs="Times New Roman"/>
                <w:b/>
                <w:bCs/>
                <w:color w:val="auto"/>
                <w:szCs w:val="32"/>
              </w:rPr>
              <w:t>三、公用工程</w:t>
            </w:r>
          </w:p>
          <w:p>
            <w:pPr>
              <w:pStyle w:val="17"/>
              <w:widowControl w:val="0"/>
              <w:tabs>
                <w:tab w:val="left" w:pos="720"/>
              </w:tabs>
              <w:adjustRightInd w:val="0"/>
              <w:snapToGrid w:val="0"/>
              <w:spacing w:before="0" w:beforeAutospacing="0" w:after="0" w:afterAutospacing="0" w:line="360" w:lineRule="auto"/>
              <w:ind w:firstLine="480" w:firstLineChars="200"/>
              <w:jc w:val="both"/>
            </w:pPr>
            <w:r>
              <w:rPr>
                <w:rFonts w:hint="eastAsia" w:ascii="Times New Roman" w:hAnsi="Times New Roman" w:cs="宋体"/>
                <w:kern w:val="2"/>
                <w:szCs w:val="20"/>
              </w:rPr>
              <w:t>（</w:t>
            </w:r>
            <w:r>
              <w:rPr>
                <w:rFonts w:ascii="Times New Roman" w:hAnsi="Times New Roman" w:cs="Times New Roman"/>
                <w:kern w:val="2"/>
                <w:szCs w:val="20"/>
              </w:rPr>
              <w:t>1</w:t>
            </w:r>
            <w:r>
              <w:rPr>
                <w:rFonts w:hint="eastAsia" w:ascii="Times New Roman" w:hAnsi="Times New Roman" w:cs="宋体"/>
                <w:kern w:val="2"/>
                <w:szCs w:val="20"/>
              </w:rPr>
              <w:t>）给水：</w:t>
            </w:r>
          </w:p>
          <w:p>
            <w:pPr>
              <w:pStyle w:val="35"/>
              <w:spacing w:after="0" w:line="360" w:lineRule="auto"/>
              <w:ind w:firstLine="480" w:firstLineChars="200"/>
              <w:jc w:val="both"/>
              <w:rPr>
                <w:rFonts w:ascii="Times New Roman"/>
                <w:b/>
                <w:color w:val="FF0000"/>
                <w:kern w:val="2"/>
              </w:rPr>
            </w:pPr>
            <w:r>
              <w:rPr>
                <w:rFonts w:ascii="Times New Roman" w:cs="Times New Roman"/>
                <w:color w:val="auto"/>
                <w:szCs w:val="32"/>
              </w:rPr>
              <w:t>本项目用水</w:t>
            </w:r>
            <w:r>
              <w:rPr>
                <w:rFonts w:hint="eastAsia" w:ascii="Times New Roman" w:cs="Times New Roman"/>
                <w:color w:val="auto"/>
                <w:szCs w:val="32"/>
              </w:rPr>
              <w:t>来自当地自来水，项目主要用水为生产用水及生活用水。生产用水主要为物料搅拌生产用水，搅拌机清洗用水，混凝土运输罐车罐体清洗用水，混凝土运输车辆外部清洗水，地面及道路冲洗水等。</w:t>
            </w:r>
            <w:r>
              <w:rPr>
                <w:rFonts w:hint="eastAsia" w:ascii="Times New Roman"/>
                <w:kern w:val="2"/>
                <w:szCs w:val="20"/>
              </w:rPr>
              <w:t>总用水量为16718</w:t>
            </w:r>
            <w:r>
              <w:rPr>
                <w:rFonts w:ascii="Times New Roman" w:cs="Times New Roman"/>
                <w:kern w:val="2"/>
                <w:szCs w:val="20"/>
              </w:rPr>
              <w:t>m</w:t>
            </w:r>
            <w:r>
              <w:rPr>
                <w:rFonts w:ascii="Times New Roman" w:cs="Times New Roman"/>
                <w:kern w:val="2"/>
                <w:szCs w:val="20"/>
                <w:vertAlign w:val="superscript"/>
              </w:rPr>
              <w:t>3</w:t>
            </w:r>
            <w:r>
              <w:rPr>
                <w:rFonts w:ascii="Times New Roman" w:cs="Times New Roman"/>
                <w:kern w:val="2"/>
                <w:szCs w:val="20"/>
              </w:rPr>
              <w:t>/a</w:t>
            </w:r>
            <w:r>
              <w:rPr>
                <w:rFonts w:hint="eastAsia" w:ascii="Times New Roman" w:cs="Times New Roman"/>
                <w:kern w:val="2"/>
                <w:szCs w:val="20"/>
              </w:rPr>
              <w:t>。</w:t>
            </w:r>
            <w:r>
              <w:rPr>
                <w:rFonts w:hint="eastAsia" w:ascii="Times New Roman"/>
                <w:color w:val="auto"/>
                <w:kern w:val="2"/>
                <w:szCs w:val="20"/>
              </w:rPr>
              <w:t>具体见下表。</w:t>
            </w:r>
          </w:p>
          <w:p>
            <w:pPr>
              <w:pStyle w:val="17"/>
              <w:widowControl w:val="0"/>
              <w:adjustRightInd w:val="0"/>
              <w:snapToGrid w:val="0"/>
              <w:spacing w:before="0" w:beforeAutospacing="0" w:after="0" w:afterAutospacing="0" w:line="360" w:lineRule="auto"/>
              <w:jc w:val="center"/>
              <w:rPr>
                <w:b/>
              </w:rPr>
            </w:pPr>
            <w:r>
              <w:rPr>
                <w:rFonts w:hint="eastAsia" w:ascii="Times New Roman" w:hAnsi="Times New Roman" w:cs="宋体"/>
                <w:b/>
                <w:kern w:val="2"/>
              </w:rPr>
              <w:t>表1-</w:t>
            </w:r>
            <w:r>
              <w:rPr>
                <w:rFonts w:hint="eastAsia" w:ascii="Times New Roman" w:hAnsi="Times New Roman" w:cs="Times New Roman"/>
                <w:b/>
                <w:kern w:val="2"/>
              </w:rPr>
              <w:t>5</w:t>
            </w:r>
            <w:r>
              <w:rPr>
                <w:rFonts w:ascii="Times New Roman" w:hAnsi="Times New Roman" w:cs="Times New Roman"/>
                <w:b/>
                <w:kern w:val="2"/>
              </w:rPr>
              <w:t xml:space="preserve">  </w:t>
            </w:r>
            <w:r>
              <w:rPr>
                <w:rFonts w:hint="eastAsia" w:ascii="Times New Roman" w:hAnsi="Times New Roman" w:cs="宋体"/>
                <w:b/>
                <w:kern w:val="2"/>
              </w:rPr>
              <w:t>项目用水情况一览表</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26"/>
              <w:gridCol w:w="1181"/>
              <w:gridCol w:w="1224"/>
              <w:gridCol w:w="1161"/>
              <w:gridCol w:w="1060"/>
              <w:gridCol w:w="1053"/>
              <w:gridCol w:w="951"/>
              <w:gridCol w:w="972"/>
              <w:gridCol w:w="123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tcBorders>
                    <w:top w:val="single" w:color="auto" w:sz="8" w:space="0"/>
                    <w:left w:val="single" w:color="auto" w:sz="8" w:space="0"/>
                    <w:bottom w:val="single" w:color="auto" w:sz="6" w:space="0"/>
                    <w:right w:val="single" w:color="auto" w:sz="6" w:space="0"/>
                  </w:tcBorders>
                  <w:vAlign w:val="center"/>
                </w:tcPr>
                <w:p>
                  <w:pPr>
                    <w:spacing w:after="0"/>
                    <w:jc w:val="center"/>
                    <w:rPr>
                      <w:szCs w:val="21"/>
                    </w:rPr>
                  </w:pPr>
                  <w:r>
                    <w:rPr>
                      <w:szCs w:val="21"/>
                    </w:rPr>
                    <w:t>序号</w:t>
                  </w:r>
                </w:p>
              </w:tc>
              <w:tc>
                <w:tcPr>
                  <w:tcW w:w="1181" w:type="dxa"/>
                  <w:tcBorders>
                    <w:top w:val="single" w:color="auto" w:sz="8" w:space="0"/>
                    <w:left w:val="single" w:color="auto" w:sz="6" w:space="0"/>
                    <w:bottom w:val="single" w:color="auto" w:sz="6" w:space="0"/>
                    <w:right w:val="single" w:color="auto" w:sz="6" w:space="0"/>
                  </w:tcBorders>
                  <w:vAlign w:val="center"/>
                </w:tcPr>
                <w:p>
                  <w:pPr>
                    <w:spacing w:after="0"/>
                    <w:jc w:val="center"/>
                    <w:rPr>
                      <w:szCs w:val="21"/>
                    </w:rPr>
                  </w:pPr>
                  <w:r>
                    <w:rPr>
                      <w:szCs w:val="21"/>
                    </w:rPr>
                    <w:t>用水单位</w:t>
                  </w:r>
                </w:p>
              </w:tc>
              <w:tc>
                <w:tcPr>
                  <w:tcW w:w="1224" w:type="dxa"/>
                  <w:tcBorders>
                    <w:top w:val="single" w:color="auto" w:sz="8" w:space="0"/>
                    <w:left w:val="single" w:color="auto" w:sz="6" w:space="0"/>
                    <w:bottom w:val="single" w:color="auto" w:sz="6" w:space="0"/>
                    <w:right w:val="single" w:color="auto" w:sz="6" w:space="0"/>
                  </w:tcBorders>
                  <w:vAlign w:val="center"/>
                </w:tcPr>
                <w:p>
                  <w:pPr>
                    <w:spacing w:after="0"/>
                    <w:jc w:val="center"/>
                    <w:rPr>
                      <w:szCs w:val="21"/>
                    </w:rPr>
                  </w:pPr>
                  <w:r>
                    <w:rPr>
                      <w:szCs w:val="21"/>
                    </w:rPr>
                    <w:t>用水定额</w:t>
                  </w:r>
                </w:p>
              </w:tc>
              <w:tc>
                <w:tcPr>
                  <w:tcW w:w="1161" w:type="dxa"/>
                  <w:tcBorders>
                    <w:top w:val="single" w:color="auto" w:sz="8" w:space="0"/>
                    <w:left w:val="single" w:color="auto" w:sz="6" w:space="0"/>
                    <w:bottom w:val="single" w:color="auto" w:sz="6" w:space="0"/>
                    <w:right w:val="single" w:color="auto" w:sz="6" w:space="0"/>
                  </w:tcBorders>
                  <w:vAlign w:val="center"/>
                </w:tcPr>
                <w:p>
                  <w:pPr>
                    <w:spacing w:after="0"/>
                    <w:jc w:val="center"/>
                    <w:rPr>
                      <w:szCs w:val="21"/>
                    </w:rPr>
                  </w:pPr>
                  <w:r>
                    <w:rPr>
                      <w:szCs w:val="21"/>
                    </w:rPr>
                    <w:t>用水规模</w:t>
                  </w:r>
                </w:p>
              </w:tc>
              <w:tc>
                <w:tcPr>
                  <w:tcW w:w="1060" w:type="dxa"/>
                  <w:tcBorders>
                    <w:top w:val="single" w:color="auto" w:sz="8" w:space="0"/>
                    <w:left w:val="single" w:color="auto" w:sz="6" w:space="0"/>
                    <w:bottom w:val="single" w:color="auto" w:sz="6" w:space="0"/>
                    <w:right w:val="single" w:color="auto" w:sz="6" w:space="0"/>
                  </w:tcBorders>
                  <w:vAlign w:val="center"/>
                </w:tcPr>
                <w:p>
                  <w:pPr>
                    <w:spacing w:after="0"/>
                    <w:jc w:val="center"/>
                    <w:rPr>
                      <w:szCs w:val="21"/>
                    </w:rPr>
                  </w:pPr>
                  <w:r>
                    <w:rPr>
                      <w:szCs w:val="21"/>
                    </w:rPr>
                    <w:t>日用水量(m</w:t>
                  </w:r>
                  <w:r>
                    <w:rPr>
                      <w:szCs w:val="21"/>
                      <w:vertAlign w:val="superscript"/>
                    </w:rPr>
                    <w:t>3</w:t>
                  </w:r>
                  <w:r>
                    <w:rPr>
                      <w:szCs w:val="21"/>
                    </w:rPr>
                    <w:t>/d)</w:t>
                  </w:r>
                </w:p>
              </w:tc>
              <w:tc>
                <w:tcPr>
                  <w:tcW w:w="1053" w:type="dxa"/>
                  <w:tcBorders>
                    <w:top w:val="single" w:color="auto" w:sz="8" w:space="0"/>
                    <w:left w:val="single" w:color="auto" w:sz="6" w:space="0"/>
                    <w:bottom w:val="single" w:color="auto" w:sz="6" w:space="0"/>
                    <w:right w:val="single" w:color="auto" w:sz="6" w:space="0"/>
                  </w:tcBorders>
                  <w:vAlign w:val="center"/>
                </w:tcPr>
                <w:p>
                  <w:pPr>
                    <w:spacing w:after="0"/>
                    <w:jc w:val="center"/>
                    <w:rPr>
                      <w:szCs w:val="21"/>
                    </w:rPr>
                  </w:pPr>
                  <w:r>
                    <w:rPr>
                      <w:szCs w:val="21"/>
                    </w:rPr>
                    <w:t>年用水量(m</w:t>
                  </w:r>
                  <w:r>
                    <w:rPr>
                      <w:szCs w:val="21"/>
                      <w:vertAlign w:val="superscript"/>
                    </w:rPr>
                    <w:t>3</w:t>
                  </w:r>
                  <w:r>
                    <w:rPr>
                      <w:szCs w:val="21"/>
                    </w:rPr>
                    <w:t>/a)</w:t>
                  </w:r>
                </w:p>
              </w:tc>
              <w:tc>
                <w:tcPr>
                  <w:tcW w:w="951" w:type="dxa"/>
                  <w:tcBorders>
                    <w:top w:val="single" w:color="auto" w:sz="8" w:space="0"/>
                    <w:left w:val="single" w:color="auto" w:sz="6" w:space="0"/>
                    <w:bottom w:val="single" w:color="auto" w:sz="6" w:space="0"/>
                    <w:right w:val="single" w:color="auto" w:sz="8" w:space="0"/>
                  </w:tcBorders>
                  <w:vAlign w:val="center"/>
                </w:tcPr>
                <w:p>
                  <w:pPr>
                    <w:spacing w:after="0"/>
                    <w:jc w:val="center"/>
                    <w:rPr>
                      <w:szCs w:val="21"/>
                    </w:rPr>
                  </w:pPr>
                  <w:r>
                    <w:rPr>
                      <w:szCs w:val="21"/>
                    </w:rPr>
                    <w:t>损耗量(m</w:t>
                  </w:r>
                  <w:r>
                    <w:rPr>
                      <w:szCs w:val="21"/>
                      <w:vertAlign w:val="superscript"/>
                    </w:rPr>
                    <w:t>3</w:t>
                  </w:r>
                  <w:r>
                    <w:rPr>
                      <w:szCs w:val="21"/>
                    </w:rPr>
                    <w:t>/a)</w:t>
                  </w:r>
                </w:p>
              </w:tc>
              <w:tc>
                <w:tcPr>
                  <w:tcW w:w="972" w:type="dxa"/>
                  <w:tcBorders>
                    <w:top w:val="single" w:color="auto" w:sz="8" w:space="0"/>
                    <w:left w:val="single" w:color="auto" w:sz="6" w:space="0"/>
                    <w:bottom w:val="single" w:color="auto" w:sz="6" w:space="0"/>
                    <w:right w:val="single" w:color="auto" w:sz="8" w:space="0"/>
                  </w:tcBorders>
                  <w:vAlign w:val="center"/>
                </w:tcPr>
                <w:p>
                  <w:pPr>
                    <w:spacing w:after="0"/>
                    <w:jc w:val="center"/>
                    <w:rPr>
                      <w:szCs w:val="21"/>
                    </w:rPr>
                  </w:pPr>
                  <w:r>
                    <w:rPr>
                      <w:szCs w:val="21"/>
                    </w:rPr>
                    <w:t>废水量(m</w:t>
                  </w:r>
                  <w:r>
                    <w:rPr>
                      <w:szCs w:val="21"/>
                      <w:vertAlign w:val="superscript"/>
                    </w:rPr>
                    <w:t>3</w:t>
                  </w:r>
                  <w:r>
                    <w:rPr>
                      <w:szCs w:val="21"/>
                    </w:rPr>
                    <w:t>/a)</w:t>
                  </w:r>
                </w:p>
              </w:tc>
              <w:tc>
                <w:tcPr>
                  <w:tcW w:w="1230" w:type="dxa"/>
                  <w:tcBorders>
                    <w:top w:val="single" w:color="auto" w:sz="8" w:space="0"/>
                    <w:left w:val="single" w:color="auto" w:sz="6" w:space="0"/>
                    <w:bottom w:val="single" w:color="auto" w:sz="6" w:space="0"/>
                    <w:right w:val="single" w:color="auto" w:sz="8" w:space="0"/>
                  </w:tcBorders>
                  <w:vAlign w:val="center"/>
                </w:tcPr>
                <w:p>
                  <w:pPr>
                    <w:spacing w:after="0"/>
                    <w:jc w:val="center"/>
                    <w:rPr>
                      <w:szCs w:val="21"/>
                    </w:rPr>
                  </w:pPr>
                  <w:r>
                    <w:rPr>
                      <w:szCs w:val="21"/>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tcBorders>
                    <w:top w:val="single" w:color="auto" w:sz="6" w:space="0"/>
                    <w:left w:val="single" w:color="auto" w:sz="8" w:space="0"/>
                    <w:bottom w:val="single" w:color="auto" w:sz="6" w:space="0"/>
                    <w:right w:val="single" w:color="auto" w:sz="6" w:space="0"/>
                  </w:tcBorders>
                  <w:vAlign w:val="center"/>
                </w:tcPr>
                <w:p>
                  <w:pPr>
                    <w:spacing w:after="0"/>
                    <w:jc w:val="center"/>
                    <w:rPr>
                      <w:szCs w:val="21"/>
                    </w:rPr>
                  </w:pPr>
                  <w:r>
                    <w:rPr>
                      <w:szCs w:val="21"/>
                    </w:rPr>
                    <w:t>1</w:t>
                  </w:r>
                </w:p>
              </w:tc>
              <w:tc>
                <w:tcPr>
                  <w:tcW w:w="1181" w:type="dxa"/>
                  <w:tcBorders>
                    <w:top w:val="single" w:color="auto" w:sz="6" w:space="0"/>
                    <w:left w:val="single" w:color="auto" w:sz="6" w:space="0"/>
                    <w:right w:val="single" w:color="auto" w:sz="6" w:space="0"/>
                  </w:tcBorders>
                  <w:vAlign w:val="center"/>
                </w:tcPr>
                <w:p>
                  <w:pPr>
                    <w:spacing w:after="0"/>
                    <w:jc w:val="center"/>
                    <w:rPr>
                      <w:szCs w:val="21"/>
                    </w:rPr>
                  </w:pPr>
                  <w:r>
                    <w:rPr>
                      <w:szCs w:val="21"/>
                    </w:rPr>
                    <w:t>物料搅拌生产用水</w:t>
                  </w:r>
                </w:p>
              </w:tc>
              <w:tc>
                <w:tcPr>
                  <w:tcW w:w="1224"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w:t>
                  </w:r>
                </w:p>
              </w:tc>
              <w:tc>
                <w:tcPr>
                  <w:tcW w:w="1161"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w:t>
                  </w:r>
                </w:p>
              </w:tc>
              <w:tc>
                <w:tcPr>
                  <w:tcW w:w="1060"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8</w:t>
                  </w:r>
                </w:p>
              </w:tc>
              <w:tc>
                <w:tcPr>
                  <w:tcW w:w="1053"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rFonts w:hint="eastAsia"/>
                      <w:szCs w:val="21"/>
                    </w:rPr>
                    <w:t>24</w:t>
                  </w:r>
                  <w:r>
                    <w:rPr>
                      <w:szCs w:val="21"/>
                    </w:rPr>
                    <w:t>00</w:t>
                  </w:r>
                </w:p>
              </w:tc>
              <w:tc>
                <w:tcPr>
                  <w:tcW w:w="951" w:type="dxa"/>
                  <w:tcBorders>
                    <w:top w:val="single" w:color="auto" w:sz="6" w:space="0"/>
                    <w:left w:val="single" w:color="auto" w:sz="6" w:space="0"/>
                    <w:right w:val="single" w:color="auto" w:sz="8" w:space="0"/>
                  </w:tcBorders>
                  <w:vAlign w:val="center"/>
                </w:tcPr>
                <w:p>
                  <w:pPr>
                    <w:spacing w:after="0"/>
                    <w:jc w:val="center"/>
                    <w:rPr>
                      <w:szCs w:val="21"/>
                    </w:rPr>
                  </w:pPr>
                  <w:r>
                    <w:rPr>
                      <w:rFonts w:hint="eastAsia"/>
                      <w:szCs w:val="21"/>
                    </w:rPr>
                    <w:t>720</w:t>
                  </w:r>
                </w:p>
              </w:tc>
              <w:tc>
                <w:tcPr>
                  <w:tcW w:w="972" w:type="dxa"/>
                  <w:tcBorders>
                    <w:top w:val="single" w:color="auto" w:sz="6" w:space="0"/>
                    <w:left w:val="single" w:color="auto" w:sz="6" w:space="0"/>
                    <w:right w:val="single" w:color="auto" w:sz="8" w:space="0"/>
                  </w:tcBorders>
                  <w:vAlign w:val="center"/>
                </w:tcPr>
                <w:p>
                  <w:pPr>
                    <w:spacing w:after="0"/>
                    <w:jc w:val="center"/>
                    <w:rPr>
                      <w:szCs w:val="21"/>
                    </w:rPr>
                  </w:pPr>
                  <w:r>
                    <w:rPr>
                      <w:szCs w:val="21"/>
                    </w:rPr>
                    <w:t>除损耗外均进入产品</w:t>
                  </w:r>
                </w:p>
              </w:tc>
              <w:tc>
                <w:tcPr>
                  <w:tcW w:w="1230" w:type="dxa"/>
                  <w:tcBorders>
                    <w:top w:val="single" w:color="auto" w:sz="6" w:space="0"/>
                    <w:left w:val="single" w:color="auto" w:sz="6" w:space="0"/>
                    <w:right w:val="single" w:color="auto" w:sz="8" w:space="0"/>
                  </w:tcBorders>
                  <w:vAlign w:val="center"/>
                </w:tcPr>
                <w:p>
                  <w:pPr>
                    <w:spacing w:after="0"/>
                    <w:rPr>
                      <w:szCs w:val="21"/>
                    </w:rPr>
                  </w:pPr>
                  <w:r>
                    <w:rPr>
                      <w:szCs w:val="21"/>
                    </w:rPr>
                    <w:t>年生产300天,损耗量按20%计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40" w:hRule="atLeast"/>
                <w:jc w:val="center"/>
              </w:trPr>
              <w:tc>
                <w:tcPr>
                  <w:tcW w:w="426" w:type="dxa"/>
                  <w:tcBorders>
                    <w:top w:val="single" w:color="auto" w:sz="6" w:space="0"/>
                    <w:left w:val="single" w:color="auto" w:sz="8" w:space="0"/>
                    <w:bottom w:val="single" w:color="auto" w:sz="6" w:space="0"/>
                    <w:right w:val="single" w:color="auto" w:sz="6" w:space="0"/>
                  </w:tcBorders>
                  <w:vAlign w:val="center"/>
                </w:tcPr>
                <w:p>
                  <w:pPr>
                    <w:spacing w:after="0"/>
                    <w:jc w:val="center"/>
                    <w:rPr>
                      <w:szCs w:val="21"/>
                    </w:rPr>
                  </w:pPr>
                  <w:r>
                    <w:rPr>
                      <w:szCs w:val="21"/>
                    </w:rPr>
                    <w:t>2</w:t>
                  </w:r>
                </w:p>
              </w:tc>
              <w:tc>
                <w:tcPr>
                  <w:tcW w:w="1181" w:type="dxa"/>
                  <w:tcBorders>
                    <w:top w:val="single" w:color="auto" w:sz="6" w:space="0"/>
                    <w:left w:val="single" w:color="auto" w:sz="6" w:space="0"/>
                    <w:right w:val="single" w:color="auto" w:sz="6" w:space="0"/>
                  </w:tcBorders>
                  <w:vAlign w:val="center"/>
                </w:tcPr>
                <w:p>
                  <w:pPr>
                    <w:spacing w:after="0"/>
                    <w:jc w:val="center"/>
                    <w:rPr>
                      <w:szCs w:val="21"/>
                    </w:rPr>
                  </w:pPr>
                  <w:r>
                    <w:rPr>
                      <w:szCs w:val="21"/>
                    </w:rPr>
                    <w:t>3台搅拌机清洗用水</w:t>
                  </w:r>
                </w:p>
              </w:tc>
              <w:tc>
                <w:tcPr>
                  <w:tcW w:w="1224"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2"/>
                      <w:lang w:bidi="ar"/>
                    </w:rPr>
                    <w:t>2m</w:t>
                  </w:r>
                  <w:r>
                    <w:rPr>
                      <w:szCs w:val="22"/>
                      <w:vertAlign w:val="superscript"/>
                      <w:lang w:bidi="ar"/>
                    </w:rPr>
                    <w:t>3</w:t>
                  </w:r>
                  <w:r>
                    <w:rPr>
                      <w:szCs w:val="22"/>
                      <w:lang w:bidi="ar"/>
                    </w:rPr>
                    <w:t>/次·d</w:t>
                  </w:r>
                </w:p>
              </w:tc>
              <w:tc>
                <w:tcPr>
                  <w:tcW w:w="1161"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2"/>
                      <w:lang w:bidi="ar"/>
                    </w:rPr>
                    <w:t>每天1次</w:t>
                  </w:r>
                </w:p>
              </w:tc>
              <w:tc>
                <w:tcPr>
                  <w:tcW w:w="1060"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6</w:t>
                  </w:r>
                </w:p>
              </w:tc>
              <w:tc>
                <w:tcPr>
                  <w:tcW w:w="1053"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1800</w:t>
                  </w:r>
                </w:p>
              </w:tc>
              <w:tc>
                <w:tcPr>
                  <w:tcW w:w="951" w:type="dxa"/>
                  <w:tcBorders>
                    <w:left w:val="single" w:color="auto" w:sz="6" w:space="0"/>
                    <w:right w:val="single" w:color="auto" w:sz="8" w:space="0"/>
                  </w:tcBorders>
                  <w:vAlign w:val="center"/>
                </w:tcPr>
                <w:p>
                  <w:pPr>
                    <w:spacing w:after="0"/>
                    <w:jc w:val="center"/>
                    <w:rPr>
                      <w:szCs w:val="21"/>
                    </w:rPr>
                  </w:pPr>
                  <w:r>
                    <w:rPr>
                      <w:szCs w:val="21"/>
                    </w:rPr>
                    <w:t>360</w:t>
                  </w:r>
                </w:p>
              </w:tc>
              <w:tc>
                <w:tcPr>
                  <w:tcW w:w="972" w:type="dxa"/>
                  <w:tcBorders>
                    <w:left w:val="single" w:color="auto" w:sz="6" w:space="0"/>
                    <w:right w:val="single" w:color="auto" w:sz="8" w:space="0"/>
                  </w:tcBorders>
                  <w:vAlign w:val="center"/>
                </w:tcPr>
                <w:p>
                  <w:pPr>
                    <w:spacing w:after="0"/>
                    <w:jc w:val="center"/>
                    <w:rPr>
                      <w:szCs w:val="21"/>
                    </w:rPr>
                  </w:pPr>
                  <w:r>
                    <w:rPr>
                      <w:szCs w:val="21"/>
                    </w:rPr>
                    <w:t>1440</w:t>
                  </w:r>
                </w:p>
              </w:tc>
              <w:tc>
                <w:tcPr>
                  <w:tcW w:w="1230" w:type="dxa"/>
                  <w:vMerge w:val="restart"/>
                  <w:tcBorders>
                    <w:left w:val="single" w:color="auto" w:sz="6" w:space="0"/>
                    <w:right w:val="single" w:color="auto" w:sz="8" w:space="0"/>
                  </w:tcBorders>
                  <w:vAlign w:val="center"/>
                </w:tcPr>
                <w:p>
                  <w:pPr>
                    <w:spacing w:after="0"/>
                    <w:jc w:val="center"/>
                    <w:rPr>
                      <w:szCs w:val="21"/>
                    </w:rPr>
                  </w:pPr>
                  <w:r>
                    <w:rPr>
                      <w:szCs w:val="21"/>
                    </w:rPr>
                    <w:t>年生产300天；损耗量按20%计，回用80%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tcBorders>
                    <w:top w:val="single" w:color="auto" w:sz="6" w:space="0"/>
                    <w:left w:val="single" w:color="auto" w:sz="8" w:space="0"/>
                    <w:bottom w:val="single" w:color="auto" w:sz="6" w:space="0"/>
                    <w:right w:val="single" w:color="auto" w:sz="6" w:space="0"/>
                  </w:tcBorders>
                  <w:vAlign w:val="center"/>
                </w:tcPr>
                <w:p>
                  <w:pPr>
                    <w:spacing w:after="0"/>
                    <w:jc w:val="center"/>
                    <w:rPr>
                      <w:szCs w:val="21"/>
                    </w:rPr>
                  </w:pPr>
                  <w:r>
                    <w:rPr>
                      <w:szCs w:val="21"/>
                    </w:rPr>
                    <w:t>3</w:t>
                  </w:r>
                </w:p>
              </w:tc>
              <w:tc>
                <w:tcPr>
                  <w:tcW w:w="1181" w:type="dxa"/>
                  <w:tcBorders>
                    <w:top w:val="single" w:color="auto" w:sz="6" w:space="0"/>
                    <w:left w:val="single" w:color="auto" w:sz="6" w:space="0"/>
                    <w:right w:val="single" w:color="auto" w:sz="6" w:space="0"/>
                  </w:tcBorders>
                  <w:vAlign w:val="center"/>
                </w:tcPr>
                <w:p>
                  <w:pPr>
                    <w:spacing w:after="0"/>
                    <w:jc w:val="center"/>
                    <w:rPr>
                      <w:szCs w:val="21"/>
                    </w:rPr>
                  </w:pPr>
                  <w:r>
                    <w:rPr>
                      <w:szCs w:val="22"/>
                      <w:lang w:bidi="ar"/>
                    </w:rPr>
                    <w:t>混凝土运输罐车罐体清洗用水</w:t>
                  </w:r>
                </w:p>
              </w:tc>
              <w:tc>
                <w:tcPr>
                  <w:tcW w:w="1224"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2"/>
                      <w:lang w:bidi="ar"/>
                    </w:rPr>
                    <w:t>10辆次/天</w:t>
                  </w:r>
                </w:p>
              </w:tc>
              <w:tc>
                <w:tcPr>
                  <w:tcW w:w="1161"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2"/>
                      <w:lang w:bidi="ar"/>
                    </w:rPr>
                    <w:t>0.2m</w:t>
                  </w:r>
                  <w:r>
                    <w:rPr>
                      <w:szCs w:val="22"/>
                      <w:vertAlign w:val="superscript"/>
                      <w:lang w:bidi="ar"/>
                    </w:rPr>
                    <w:t>3</w:t>
                  </w:r>
                  <w:r>
                    <w:rPr>
                      <w:szCs w:val="22"/>
                      <w:lang w:bidi="ar"/>
                    </w:rPr>
                    <w:t>/d·辆</w:t>
                  </w:r>
                </w:p>
              </w:tc>
              <w:tc>
                <w:tcPr>
                  <w:tcW w:w="1060"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2</w:t>
                  </w:r>
                </w:p>
              </w:tc>
              <w:tc>
                <w:tcPr>
                  <w:tcW w:w="1053"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600</w:t>
                  </w:r>
                </w:p>
              </w:tc>
              <w:tc>
                <w:tcPr>
                  <w:tcW w:w="951" w:type="dxa"/>
                  <w:tcBorders>
                    <w:left w:val="single" w:color="auto" w:sz="6" w:space="0"/>
                    <w:right w:val="single" w:color="auto" w:sz="8" w:space="0"/>
                  </w:tcBorders>
                  <w:vAlign w:val="center"/>
                </w:tcPr>
                <w:p>
                  <w:pPr>
                    <w:spacing w:after="0"/>
                    <w:jc w:val="center"/>
                    <w:rPr>
                      <w:szCs w:val="21"/>
                    </w:rPr>
                  </w:pPr>
                  <w:r>
                    <w:rPr>
                      <w:szCs w:val="21"/>
                    </w:rPr>
                    <w:t>120</w:t>
                  </w:r>
                </w:p>
              </w:tc>
              <w:tc>
                <w:tcPr>
                  <w:tcW w:w="972" w:type="dxa"/>
                  <w:tcBorders>
                    <w:left w:val="single" w:color="auto" w:sz="6" w:space="0"/>
                    <w:right w:val="single" w:color="auto" w:sz="8" w:space="0"/>
                  </w:tcBorders>
                  <w:vAlign w:val="center"/>
                </w:tcPr>
                <w:p>
                  <w:pPr>
                    <w:spacing w:after="0"/>
                    <w:jc w:val="center"/>
                    <w:rPr>
                      <w:szCs w:val="21"/>
                    </w:rPr>
                  </w:pPr>
                  <w:r>
                    <w:rPr>
                      <w:szCs w:val="21"/>
                    </w:rPr>
                    <w:t>480</w:t>
                  </w:r>
                </w:p>
              </w:tc>
              <w:tc>
                <w:tcPr>
                  <w:tcW w:w="1230" w:type="dxa"/>
                  <w:vMerge w:val="continue"/>
                  <w:tcBorders>
                    <w:left w:val="single" w:color="auto" w:sz="6" w:space="0"/>
                    <w:right w:val="single" w:color="auto" w:sz="8" w:space="0"/>
                  </w:tcBorders>
                  <w:vAlign w:val="center"/>
                </w:tcPr>
                <w:p>
                  <w:pPr>
                    <w:spacing w:after="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tcBorders>
                    <w:top w:val="single" w:color="auto" w:sz="6" w:space="0"/>
                    <w:left w:val="single" w:color="auto" w:sz="8" w:space="0"/>
                    <w:bottom w:val="single" w:color="auto" w:sz="6" w:space="0"/>
                    <w:right w:val="single" w:color="auto" w:sz="6" w:space="0"/>
                  </w:tcBorders>
                  <w:vAlign w:val="center"/>
                </w:tcPr>
                <w:p>
                  <w:pPr>
                    <w:spacing w:after="0"/>
                    <w:jc w:val="center"/>
                    <w:rPr>
                      <w:szCs w:val="21"/>
                    </w:rPr>
                  </w:pPr>
                  <w:r>
                    <w:rPr>
                      <w:szCs w:val="21"/>
                    </w:rPr>
                    <w:t>4</w:t>
                  </w:r>
                </w:p>
              </w:tc>
              <w:tc>
                <w:tcPr>
                  <w:tcW w:w="1181" w:type="dxa"/>
                  <w:tcBorders>
                    <w:top w:val="single" w:color="auto" w:sz="6" w:space="0"/>
                    <w:left w:val="single" w:color="auto" w:sz="6" w:space="0"/>
                    <w:right w:val="single" w:color="auto" w:sz="6" w:space="0"/>
                  </w:tcBorders>
                  <w:vAlign w:val="center"/>
                </w:tcPr>
                <w:p>
                  <w:pPr>
                    <w:spacing w:after="0"/>
                    <w:jc w:val="center"/>
                    <w:rPr>
                      <w:szCs w:val="21"/>
                    </w:rPr>
                  </w:pPr>
                  <w:r>
                    <w:rPr>
                      <w:szCs w:val="22"/>
                      <w:lang w:bidi="ar"/>
                    </w:rPr>
                    <w:t>混凝土运输车辆外部清洗水</w:t>
                  </w:r>
                </w:p>
              </w:tc>
              <w:tc>
                <w:tcPr>
                  <w:tcW w:w="1224"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w:t>
                  </w:r>
                </w:p>
              </w:tc>
              <w:tc>
                <w:tcPr>
                  <w:tcW w:w="1161"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w:t>
                  </w:r>
                </w:p>
              </w:tc>
              <w:tc>
                <w:tcPr>
                  <w:tcW w:w="1060"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1</w:t>
                  </w:r>
                </w:p>
              </w:tc>
              <w:tc>
                <w:tcPr>
                  <w:tcW w:w="1053"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300</w:t>
                  </w:r>
                </w:p>
              </w:tc>
              <w:tc>
                <w:tcPr>
                  <w:tcW w:w="951" w:type="dxa"/>
                  <w:tcBorders>
                    <w:left w:val="single" w:color="auto" w:sz="6" w:space="0"/>
                    <w:right w:val="single" w:color="auto" w:sz="8" w:space="0"/>
                  </w:tcBorders>
                  <w:vAlign w:val="center"/>
                </w:tcPr>
                <w:p>
                  <w:pPr>
                    <w:spacing w:after="0"/>
                    <w:jc w:val="center"/>
                    <w:rPr>
                      <w:szCs w:val="21"/>
                    </w:rPr>
                  </w:pPr>
                  <w:r>
                    <w:rPr>
                      <w:szCs w:val="21"/>
                    </w:rPr>
                    <w:t>60</w:t>
                  </w:r>
                </w:p>
              </w:tc>
              <w:tc>
                <w:tcPr>
                  <w:tcW w:w="972" w:type="dxa"/>
                  <w:tcBorders>
                    <w:left w:val="single" w:color="auto" w:sz="6" w:space="0"/>
                    <w:right w:val="single" w:color="auto" w:sz="8" w:space="0"/>
                  </w:tcBorders>
                  <w:vAlign w:val="center"/>
                </w:tcPr>
                <w:p>
                  <w:pPr>
                    <w:spacing w:after="0"/>
                    <w:jc w:val="center"/>
                    <w:rPr>
                      <w:szCs w:val="21"/>
                    </w:rPr>
                  </w:pPr>
                  <w:r>
                    <w:rPr>
                      <w:szCs w:val="21"/>
                    </w:rPr>
                    <w:t>240</w:t>
                  </w:r>
                </w:p>
              </w:tc>
              <w:tc>
                <w:tcPr>
                  <w:tcW w:w="1230" w:type="dxa"/>
                  <w:vMerge w:val="continue"/>
                  <w:tcBorders>
                    <w:left w:val="single" w:color="auto" w:sz="6" w:space="0"/>
                    <w:right w:val="single" w:color="auto" w:sz="8" w:space="0"/>
                  </w:tcBorders>
                  <w:vAlign w:val="center"/>
                </w:tcPr>
                <w:p>
                  <w:pPr>
                    <w:spacing w:after="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tcBorders>
                    <w:top w:val="single" w:color="auto" w:sz="6" w:space="0"/>
                    <w:left w:val="single" w:color="auto" w:sz="8" w:space="0"/>
                    <w:bottom w:val="single" w:color="auto" w:sz="6" w:space="0"/>
                    <w:right w:val="single" w:color="auto" w:sz="6" w:space="0"/>
                  </w:tcBorders>
                  <w:vAlign w:val="center"/>
                </w:tcPr>
                <w:p>
                  <w:pPr>
                    <w:spacing w:after="0"/>
                    <w:jc w:val="center"/>
                    <w:rPr>
                      <w:szCs w:val="21"/>
                    </w:rPr>
                  </w:pPr>
                  <w:r>
                    <w:rPr>
                      <w:szCs w:val="21"/>
                    </w:rPr>
                    <w:t>5</w:t>
                  </w:r>
                </w:p>
              </w:tc>
              <w:tc>
                <w:tcPr>
                  <w:tcW w:w="1181" w:type="dxa"/>
                  <w:tcBorders>
                    <w:top w:val="single" w:color="auto" w:sz="6" w:space="0"/>
                    <w:left w:val="single" w:color="auto" w:sz="6" w:space="0"/>
                    <w:right w:val="single" w:color="auto" w:sz="6" w:space="0"/>
                  </w:tcBorders>
                  <w:vAlign w:val="center"/>
                </w:tcPr>
                <w:p>
                  <w:pPr>
                    <w:spacing w:after="0"/>
                    <w:jc w:val="center"/>
                    <w:rPr>
                      <w:szCs w:val="22"/>
                      <w:lang w:bidi="ar"/>
                    </w:rPr>
                  </w:pPr>
                  <w:r>
                    <w:rPr>
                      <w:szCs w:val="22"/>
                      <w:lang w:bidi="ar"/>
                    </w:rPr>
                    <w:t>地面及道路冲洗水</w:t>
                  </w:r>
                </w:p>
              </w:tc>
              <w:tc>
                <w:tcPr>
                  <w:tcW w:w="1224" w:type="dxa"/>
                  <w:tcBorders>
                    <w:top w:val="single" w:color="auto" w:sz="6" w:space="0"/>
                    <w:left w:val="single" w:color="auto" w:sz="6" w:space="0"/>
                    <w:bottom w:val="single" w:color="auto" w:sz="6" w:space="0"/>
                    <w:right w:val="single" w:color="auto" w:sz="6" w:space="0"/>
                  </w:tcBorders>
                  <w:vAlign w:val="center"/>
                </w:tcPr>
                <w:p>
                  <w:pPr>
                    <w:spacing w:after="0"/>
                    <w:jc w:val="center"/>
                    <w:rPr>
                      <w:szCs w:val="22"/>
                      <w:lang w:bidi="ar"/>
                    </w:rPr>
                  </w:pPr>
                  <w:r>
                    <w:rPr>
                      <w:szCs w:val="22"/>
                      <w:lang w:bidi="ar"/>
                    </w:rPr>
                    <w:t>1m</w:t>
                  </w:r>
                  <w:r>
                    <w:rPr>
                      <w:szCs w:val="22"/>
                      <w:vertAlign w:val="superscript"/>
                      <w:lang w:bidi="ar"/>
                    </w:rPr>
                    <w:t>3</w:t>
                  </w:r>
                  <w:r>
                    <w:rPr>
                      <w:szCs w:val="22"/>
                      <w:lang w:bidi="ar"/>
                    </w:rPr>
                    <w:t>/100m</w:t>
                  </w:r>
                  <w:r>
                    <w:rPr>
                      <w:szCs w:val="22"/>
                      <w:vertAlign w:val="superscript"/>
                      <w:lang w:bidi="ar"/>
                    </w:rPr>
                    <w:t>2</w:t>
                  </w:r>
                  <w:r>
                    <w:rPr>
                      <w:szCs w:val="22"/>
                      <w:lang w:bidi="ar"/>
                    </w:rPr>
                    <w:t>·d</w:t>
                  </w:r>
                </w:p>
              </w:tc>
              <w:tc>
                <w:tcPr>
                  <w:tcW w:w="1161"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4000m</w:t>
                  </w:r>
                  <w:r>
                    <w:rPr>
                      <w:szCs w:val="21"/>
                      <w:vertAlign w:val="superscript"/>
                    </w:rPr>
                    <w:t>2</w:t>
                  </w:r>
                </w:p>
              </w:tc>
              <w:tc>
                <w:tcPr>
                  <w:tcW w:w="1060"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40</w:t>
                  </w:r>
                </w:p>
              </w:tc>
              <w:tc>
                <w:tcPr>
                  <w:tcW w:w="1053"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12000</w:t>
                  </w:r>
                </w:p>
              </w:tc>
              <w:tc>
                <w:tcPr>
                  <w:tcW w:w="951" w:type="dxa"/>
                  <w:tcBorders>
                    <w:left w:val="single" w:color="auto" w:sz="6" w:space="0"/>
                    <w:right w:val="single" w:color="auto" w:sz="8" w:space="0"/>
                  </w:tcBorders>
                  <w:vAlign w:val="center"/>
                </w:tcPr>
                <w:p>
                  <w:pPr>
                    <w:spacing w:after="0"/>
                    <w:jc w:val="center"/>
                    <w:rPr>
                      <w:szCs w:val="21"/>
                    </w:rPr>
                  </w:pPr>
                  <w:r>
                    <w:rPr>
                      <w:szCs w:val="21"/>
                    </w:rPr>
                    <w:t>2400</w:t>
                  </w:r>
                </w:p>
              </w:tc>
              <w:tc>
                <w:tcPr>
                  <w:tcW w:w="972" w:type="dxa"/>
                  <w:tcBorders>
                    <w:left w:val="single" w:color="auto" w:sz="6" w:space="0"/>
                    <w:right w:val="single" w:color="auto" w:sz="8" w:space="0"/>
                  </w:tcBorders>
                  <w:vAlign w:val="center"/>
                </w:tcPr>
                <w:p>
                  <w:pPr>
                    <w:spacing w:after="0"/>
                    <w:jc w:val="center"/>
                    <w:rPr>
                      <w:szCs w:val="21"/>
                    </w:rPr>
                  </w:pPr>
                  <w:r>
                    <w:rPr>
                      <w:szCs w:val="21"/>
                    </w:rPr>
                    <w:t>9600</w:t>
                  </w:r>
                </w:p>
              </w:tc>
              <w:tc>
                <w:tcPr>
                  <w:tcW w:w="1230" w:type="dxa"/>
                  <w:vMerge w:val="continue"/>
                  <w:tcBorders>
                    <w:left w:val="single" w:color="auto" w:sz="6" w:space="0"/>
                    <w:right w:val="single" w:color="auto" w:sz="8" w:space="0"/>
                  </w:tcBorders>
                  <w:vAlign w:val="center"/>
                </w:tcPr>
                <w:p>
                  <w:pPr>
                    <w:spacing w:after="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tcBorders>
                    <w:top w:val="single" w:color="auto" w:sz="6" w:space="0"/>
                    <w:left w:val="single" w:color="auto" w:sz="8" w:space="0"/>
                    <w:bottom w:val="single" w:color="auto" w:sz="6" w:space="0"/>
                    <w:right w:val="single" w:color="auto" w:sz="6" w:space="0"/>
                  </w:tcBorders>
                  <w:vAlign w:val="center"/>
                </w:tcPr>
                <w:p>
                  <w:pPr>
                    <w:spacing w:after="0"/>
                    <w:jc w:val="center"/>
                    <w:rPr>
                      <w:szCs w:val="21"/>
                    </w:rPr>
                  </w:pPr>
                  <w:r>
                    <w:rPr>
                      <w:szCs w:val="21"/>
                    </w:rPr>
                    <w:t>6</w:t>
                  </w:r>
                </w:p>
              </w:tc>
              <w:tc>
                <w:tcPr>
                  <w:tcW w:w="1181" w:type="dxa"/>
                  <w:tcBorders>
                    <w:top w:val="single" w:color="auto" w:sz="6" w:space="0"/>
                    <w:left w:val="single" w:color="auto" w:sz="6" w:space="0"/>
                    <w:right w:val="single" w:color="auto" w:sz="6" w:space="0"/>
                  </w:tcBorders>
                  <w:vAlign w:val="center"/>
                </w:tcPr>
                <w:p>
                  <w:pPr>
                    <w:spacing w:after="0"/>
                    <w:jc w:val="center"/>
                    <w:rPr>
                      <w:szCs w:val="22"/>
                      <w:lang w:bidi="ar"/>
                    </w:rPr>
                  </w:pPr>
                  <w:r>
                    <w:rPr>
                      <w:szCs w:val="22"/>
                      <w:lang w:bidi="ar"/>
                    </w:rPr>
                    <w:t>生活废水</w:t>
                  </w:r>
                </w:p>
              </w:tc>
              <w:tc>
                <w:tcPr>
                  <w:tcW w:w="1224" w:type="dxa"/>
                  <w:tcBorders>
                    <w:top w:val="single" w:color="auto" w:sz="6" w:space="0"/>
                    <w:left w:val="single" w:color="auto" w:sz="6" w:space="0"/>
                    <w:bottom w:val="single" w:color="auto" w:sz="6" w:space="0"/>
                    <w:right w:val="single" w:color="auto" w:sz="6" w:space="0"/>
                  </w:tcBorders>
                  <w:vAlign w:val="center"/>
                </w:tcPr>
                <w:p>
                  <w:pPr>
                    <w:spacing w:after="0"/>
                    <w:jc w:val="center"/>
                    <w:rPr>
                      <w:szCs w:val="22"/>
                      <w:lang w:bidi="ar"/>
                    </w:rPr>
                  </w:pPr>
                  <w:r>
                    <w:rPr>
                      <w:szCs w:val="22"/>
                      <w:lang w:bidi="ar"/>
                    </w:rPr>
                    <w:t>145L/人·d</w:t>
                  </w:r>
                </w:p>
              </w:tc>
              <w:tc>
                <w:tcPr>
                  <w:tcW w:w="1161" w:type="dxa"/>
                  <w:tcBorders>
                    <w:top w:val="single" w:color="auto" w:sz="6" w:space="0"/>
                    <w:left w:val="single" w:color="auto" w:sz="6" w:space="0"/>
                    <w:bottom w:val="single" w:color="auto" w:sz="6" w:space="0"/>
                    <w:right w:val="single" w:color="auto" w:sz="6" w:space="0"/>
                  </w:tcBorders>
                  <w:vAlign w:val="center"/>
                </w:tcPr>
                <w:p>
                  <w:pPr>
                    <w:spacing w:after="0"/>
                    <w:jc w:val="center"/>
                    <w:rPr>
                      <w:kern w:val="0"/>
                      <w:lang w:bidi="ar"/>
                    </w:rPr>
                  </w:pPr>
                  <w:r>
                    <w:rPr>
                      <w:kern w:val="0"/>
                      <w:lang w:bidi="ar"/>
                    </w:rPr>
                    <w:t>28人</w:t>
                  </w:r>
                </w:p>
              </w:tc>
              <w:tc>
                <w:tcPr>
                  <w:tcW w:w="1060"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4.06</w:t>
                  </w:r>
                </w:p>
              </w:tc>
              <w:tc>
                <w:tcPr>
                  <w:tcW w:w="1053"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1218</w:t>
                  </w:r>
                </w:p>
              </w:tc>
              <w:tc>
                <w:tcPr>
                  <w:tcW w:w="951" w:type="dxa"/>
                  <w:tcBorders>
                    <w:left w:val="single" w:color="auto" w:sz="6" w:space="0"/>
                    <w:bottom w:val="single" w:color="auto" w:sz="6" w:space="0"/>
                    <w:right w:val="single" w:color="auto" w:sz="8" w:space="0"/>
                  </w:tcBorders>
                  <w:vAlign w:val="center"/>
                </w:tcPr>
                <w:p>
                  <w:pPr>
                    <w:spacing w:after="0"/>
                    <w:jc w:val="center"/>
                    <w:rPr>
                      <w:szCs w:val="21"/>
                    </w:rPr>
                  </w:pPr>
                  <w:r>
                    <w:rPr>
                      <w:szCs w:val="21"/>
                    </w:rPr>
                    <w:t>244</w:t>
                  </w:r>
                </w:p>
              </w:tc>
              <w:tc>
                <w:tcPr>
                  <w:tcW w:w="972" w:type="dxa"/>
                  <w:tcBorders>
                    <w:left w:val="single" w:color="auto" w:sz="6" w:space="0"/>
                    <w:bottom w:val="single" w:color="auto" w:sz="6" w:space="0"/>
                    <w:right w:val="single" w:color="auto" w:sz="8" w:space="0"/>
                  </w:tcBorders>
                  <w:vAlign w:val="center"/>
                </w:tcPr>
                <w:p>
                  <w:pPr>
                    <w:spacing w:after="0"/>
                    <w:jc w:val="center"/>
                    <w:rPr>
                      <w:szCs w:val="21"/>
                    </w:rPr>
                  </w:pPr>
                  <w:r>
                    <w:rPr>
                      <w:szCs w:val="21"/>
                    </w:rPr>
                    <w:t>974</w:t>
                  </w:r>
                </w:p>
              </w:tc>
              <w:tc>
                <w:tcPr>
                  <w:tcW w:w="1230" w:type="dxa"/>
                  <w:tcBorders>
                    <w:left w:val="single" w:color="auto" w:sz="6" w:space="0"/>
                    <w:bottom w:val="single" w:color="auto" w:sz="6" w:space="0"/>
                    <w:right w:val="single" w:color="auto" w:sz="8" w:space="0"/>
                  </w:tcBorders>
                  <w:vAlign w:val="center"/>
                </w:tcPr>
                <w:p>
                  <w:pPr>
                    <w:spacing w:after="0"/>
                    <w:jc w:val="center"/>
                    <w:rPr>
                      <w:szCs w:val="21"/>
                    </w:rPr>
                  </w:pPr>
                  <w:r>
                    <w:rPr>
                      <w:szCs w:val="21"/>
                    </w:rPr>
                    <w:t>年生产300天；损耗量按20%计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6" w:type="dxa"/>
                  <w:tcBorders>
                    <w:top w:val="single" w:color="auto" w:sz="6" w:space="0"/>
                    <w:left w:val="single" w:color="auto" w:sz="8" w:space="0"/>
                    <w:bottom w:val="single" w:color="auto" w:sz="8" w:space="0"/>
                    <w:right w:val="single" w:color="auto" w:sz="6" w:space="0"/>
                  </w:tcBorders>
                  <w:vAlign w:val="center"/>
                </w:tcPr>
                <w:p>
                  <w:pPr>
                    <w:spacing w:after="0"/>
                    <w:jc w:val="center"/>
                    <w:rPr>
                      <w:szCs w:val="21"/>
                    </w:rPr>
                  </w:pPr>
                  <w:r>
                    <w:rPr>
                      <w:szCs w:val="21"/>
                    </w:rPr>
                    <w:t>7</w:t>
                  </w:r>
                </w:p>
              </w:tc>
              <w:tc>
                <w:tcPr>
                  <w:tcW w:w="1181" w:type="dxa"/>
                  <w:tcBorders>
                    <w:top w:val="single" w:color="auto" w:sz="6" w:space="0"/>
                    <w:left w:val="single" w:color="auto" w:sz="6" w:space="0"/>
                    <w:bottom w:val="single" w:color="auto" w:sz="8" w:space="0"/>
                    <w:right w:val="single" w:color="auto" w:sz="6" w:space="0"/>
                  </w:tcBorders>
                  <w:vAlign w:val="center"/>
                </w:tcPr>
                <w:p>
                  <w:pPr>
                    <w:spacing w:after="0"/>
                    <w:jc w:val="center"/>
                    <w:rPr>
                      <w:szCs w:val="21"/>
                    </w:rPr>
                  </w:pPr>
                  <w:r>
                    <w:rPr>
                      <w:szCs w:val="21"/>
                    </w:rPr>
                    <w:t>小计</w:t>
                  </w:r>
                </w:p>
              </w:tc>
              <w:tc>
                <w:tcPr>
                  <w:tcW w:w="1224" w:type="dxa"/>
                  <w:tcBorders>
                    <w:top w:val="single" w:color="auto" w:sz="6" w:space="0"/>
                    <w:left w:val="single" w:color="auto" w:sz="6" w:space="0"/>
                    <w:bottom w:val="single" w:color="auto" w:sz="8" w:space="0"/>
                    <w:right w:val="single" w:color="auto" w:sz="6" w:space="0"/>
                  </w:tcBorders>
                  <w:vAlign w:val="center"/>
                </w:tcPr>
                <w:p>
                  <w:pPr>
                    <w:spacing w:after="0"/>
                    <w:jc w:val="center"/>
                    <w:rPr>
                      <w:szCs w:val="21"/>
                    </w:rPr>
                  </w:pPr>
                  <w:r>
                    <w:rPr>
                      <w:szCs w:val="21"/>
                    </w:rPr>
                    <w:t>/</w:t>
                  </w:r>
                </w:p>
              </w:tc>
              <w:tc>
                <w:tcPr>
                  <w:tcW w:w="1161" w:type="dxa"/>
                  <w:tcBorders>
                    <w:top w:val="single" w:color="auto" w:sz="6" w:space="0"/>
                    <w:left w:val="single" w:color="auto" w:sz="6" w:space="0"/>
                    <w:bottom w:val="single" w:color="auto" w:sz="8" w:space="0"/>
                    <w:right w:val="single" w:color="auto" w:sz="6" w:space="0"/>
                  </w:tcBorders>
                  <w:vAlign w:val="center"/>
                </w:tcPr>
                <w:p>
                  <w:pPr>
                    <w:spacing w:after="0"/>
                    <w:jc w:val="center"/>
                    <w:rPr>
                      <w:szCs w:val="21"/>
                    </w:rPr>
                  </w:pPr>
                  <w:r>
                    <w:rPr>
                      <w:szCs w:val="21"/>
                    </w:rPr>
                    <w:t>/</w:t>
                  </w:r>
                </w:p>
              </w:tc>
              <w:tc>
                <w:tcPr>
                  <w:tcW w:w="1060" w:type="dxa"/>
                  <w:tcBorders>
                    <w:top w:val="single" w:color="auto" w:sz="6" w:space="0"/>
                    <w:left w:val="single" w:color="auto" w:sz="6" w:space="0"/>
                    <w:bottom w:val="single" w:color="auto" w:sz="8" w:space="0"/>
                    <w:right w:val="single" w:color="auto" w:sz="6" w:space="0"/>
                  </w:tcBorders>
                  <w:vAlign w:val="center"/>
                </w:tcPr>
                <w:p>
                  <w:pPr>
                    <w:spacing w:after="0"/>
                    <w:jc w:val="center"/>
                    <w:rPr>
                      <w:szCs w:val="21"/>
                    </w:rPr>
                  </w:pPr>
                  <w:r>
                    <w:rPr>
                      <w:szCs w:val="21"/>
                    </w:rPr>
                    <w:t>153.06</w:t>
                  </w:r>
                </w:p>
              </w:tc>
              <w:tc>
                <w:tcPr>
                  <w:tcW w:w="1053" w:type="dxa"/>
                  <w:tcBorders>
                    <w:top w:val="single" w:color="auto" w:sz="6" w:space="0"/>
                    <w:left w:val="single" w:color="auto" w:sz="6" w:space="0"/>
                    <w:bottom w:val="single" w:color="auto" w:sz="8" w:space="0"/>
                    <w:right w:val="single" w:color="auto" w:sz="6" w:space="0"/>
                  </w:tcBorders>
                  <w:vAlign w:val="center"/>
                </w:tcPr>
                <w:p>
                  <w:pPr>
                    <w:spacing w:after="0"/>
                    <w:jc w:val="center"/>
                    <w:rPr>
                      <w:szCs w:val="21"/>
                    </w:rPr>
                  </w:pPr>
                  <w:r>
                    <w:t>1</w:t>
                  </w:r>
                  <w:r>
                    <w:rPr>
                      <w:rFonts w:hint="eastAsia"/>
                    </w:rPr>
                    <w:t>83</w:t>
                  </w:r>
                  <w:r>
                    <w:t>18</w:t>
                  </w:r>
                </w:p>
              </w:tc>
              <w:tc>
                <w:tcPr>
                  <w:tcW w:w="951" w:type="dxa"/>
                  <w:tcBorders>
                    <w:top w:val="single" w:color="auto" w:sz="6" w:space="0"/>
                    <w:left w:val="single" w:color="auto" w:sz="6" w:space="0"/>
                    <w:bottom w:val="single" w:color="auto" w:sz="8" w:space="0"/>
                    <w:right w:val="single" w:color="auto" w:sz="8" w:space="0"/>
                  </w:tcBorders>
                  <w:vAlign w:val="center"/>
                </w:tcPr>
                <w:p>
                  <w:pPr>
                    <w:spacing w:after="0"/>
                    <w:jc w:val="center"/>
                    <w:rPr>
                      <w:szCs w:val="21"/>
                    </w:rPr>
                  </w:pPr>
                  <w:r>
                    <w:rPr>
                      <w:szCs w:val="21"/>
                    </w:rPr>
                    <w:t>3</w:t>
                  </w:r>
                  <w:r>
                    <w:rPr>
                      <w:rFonts w:hint="eastAsia"/>
                      <w:szCs w:val="21"/>
                    </w:rPr>
                    <w:t>663</w:t>
                  </w:r>
                </w:p>
              </w:tc>
              <w:tc>
                <w:tcPr>
                  <w:tcW w:w="972" w:type="dxa"/>
                  <w:tcBorders>
                    <w:top w:val="single" w:color="auto" w:sz="6" w:space="0"/>
                    <w:left w:val="single" w:color="auto" w:sz="6" w:space="0"/>
                    <w:bottom w:val="single" w:color="auto" w:sz="8" w:space="0"/>
                    <w:right w:val="single" w:color="auto" w:sz="8" w:space="0"/>
                  </w:tcBorders>
                  <w:vAlign w:val="center"/>
                </w:tcPr>
                <w:p>
                  <w:pPr>
                    <w:spacing w:after="0"/>
                    <w:jc w:val="center"/>
                    <w:rPr>
                      <w:szCs w:val="21"/>
                    </w:rPr>
                  </w:pPr>
                  <w:r>
                    <w:rPr>
                      <w:szCs w:val="21"/>
                    </w:rPr>
                    <w:t>12734</w:t>
                  </w:r>
                </w:p>
              </w:tc>
              <w:tc>
                <w:tcPr>
                  <w:tcW w:w="1230" w:type="dxa"/>
                  <w:tcBorders>
                    <w:top w:val="single" w:color="auto" w:sz="6" w:space="0"/>
                    <w:left w:val="single" w:color="auto" w:sz="6" w:space="0"/>
                    <w:bottom w:val="single" w:color="auto" w:sz="8" w:space="0"/>
                    <w:right w:val="single" w:color="auto" w:sz="8" w:space="0"/>
                  </w:tcBorders>
                  <w:vAlign w:val="center"/>
                </w:tcPr>
                <w:p>
                  <w:pPr>
                    <w:spacing w:after="0"/>
                    <w:jc w:val="center"/>
                    <w:rPr>
                      <w:szCs w:val="21"/>
                    </w:rPr>
                  </w:pPr>
                  <w:r>
                    <w:rPr>
                      <w:szCs w:val="21"/>
                    </w:rPr>
                    <w:t>/</w:t>
                  </w:r>
                </w:p>
              </w:tc>
            </w:tr>
          </w:tbl>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bCs/>
                <w:kern w:val="2"/>
                <w:szCs w:val="32"/>
              </w:rPr>
            </w:pP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bCs/>
                <w:kern w:val="2"/>
                <w:szCs w:val="32"/>
              </w:rPr>
            </w:pP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bCs/>
                <w:kern w:val="2"/>
                <w:szCs w:val="32"/>
              </w:rPr>
            </w:pP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bCs/>
                <w:kern w:val="2"/>
                <w:szCs w:val="32"/>
              </w:rPr>
            </w:pP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bCs/>
                <w:kern w:val="2"/>
                <w:szCs w:val="32"/>
              </w:rPr>
            </w:pP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bCs/>
                <w:kern w:val="2"/>
                <w:szCs w:val="32"/>
              </w:rPr>
            </w:pP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bCs/>
                <w:kern w:val="2"/>
                <w:szCs w:val="32"/>
              </w:rPr>
            </w:pP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bCs/>
                <w:kern w:val="2"/>
                <w:szCs w:val="32"/>
              </w:rPr>
            </w:pP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bCs/>
                <w:kern w:val="2"/>
                <w:szCs w:val="32"/>
              </w:rPr>
            </w:pP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bCs/>
                <w:kern w:val="2"/>
                <w:szCs w:val="32"/>
              </w:rPr>
            </w:pPr>
            <w:r>
              <w:rPr>
                <w:rFonts w:hint="eastAsia" w:ascii="Times New Roman" w:hAnsi="Times New Roman" w:cs="Times New Roman"/>
              </w:rPr>
              <mc:AlternateContent>
                <mc:Choice Requires="wps">
                  <w:drawing>
                    <wp:anchor distT="0" distB="0" distL="114300" distR="114300" simplePos="0" relativeHeight="251676672" behindDoc="0" locked="0" layoutInCell="1" allowOverlap="1">
                      <wp:simplePos x="0" y="0"/>
                      <wp:positionH relativeFrom="column">
                        <wp:posOffset>1433830</wp:posOffset>
                      </wp:positionH>
                      <wp:positionV relativeFrom="paragraph">
                        <wp:posOffset>278765</wp:posOffset>
                      </wp:positionV>
                      <wp:extent cx="594360" cy="274320"/>
                      <wp:effectExtent l="0" t="0" r="0" b="0"/>
                      <wp:wrapNone/>
                      <wp:docPr id="25" name="矩形 25"/>
                      <wp:cNvGraphicFramePr/>
                      <a:graphic xmlns:a="http://schemas.openxmlformats.org/drawingml/2006/main">
                        <a:graphicData uri="http://schemas.microsoft.com/office/word/2010/wordprocessingShape">
                          <wps:wsp>
                            <wps:cNvSpPr/>
                            <wps:spPr>
                              <a:xfrm>
                                <a:off x="0" y="0"/>
                                <a:ext cx="594360" cy="274320"/>
                              </a:xfrm>
                              <a:prstGeom prst="rect">
                                <a:avLst/>
                              </a:prstGeom>
                              <a:noFill/>
                              <a:ln w="9525">
                                <a:noFill/>
                              </a:ln>
                              <a:effectLst/>
                            </wps:spPr>
                            <wps:txbx>
                              <w:txbxContent>
                                <w:p>
                                  <w:pPr>
                                    <w:jc w:val="center"/>
                                  </w:pPr>
                                  <w:r>
                                    <w:rPr>
                                      <w:rFonts w:hint="eastAsia"/>
                                    </w:rPr>
                                    <w:t>2400</w:t>
                                  </w:r>
                                </w:p>
                              </w:txbxContent>
                            </wps:txbx>
                            <wps:bodyPr wrap="square" upright="1"/>
                          </wps:wsp>
                        </a:graphicData>
                      </a:graphic>
                    </wp:anchor>
                  </w:drawing>
                </mc:Choice>
                <mc:Fallback>
                  <w:pict>
                    <v:rect id="_x0000_s1026" o:spid="_x0000_s1026" o:spt="1" style="position:absolute;left:0pt;margin-left:112.9pt;margin-top:21.95pt;height:21.6pt;width:46.8pt;z-index:251676672;mso-width-relative:page;mso-height-relative:page;" filled="f" stroked="f" coordsize="21600,21600" o:gfxdata="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dR1Qa9sAAAAJAQAADwAAAAAA&#10;AAABACAAAAAiAAAAZHJzL2Rvd25yZXYueG1sUEsBAhQAFAAAAAgAh07iQDqjpP6eAQAAGQMAAA4A&#10;AAAAAAAAAQAgAAAAKgEAAGRycy9lMm9Eb2MueG1sUEsFBgAAAAAGAAYAWQEAADoFAAAAAA==&#10;">
                      <v:fill on="f" focussize="0,0"/>
                      <v:stroke on="f"/>
                      <v:imagedata o:title=""/>
                      <o:lock v:ext="edit" aspectratio="f"/>
                      <v:textbox>
                        <w:txbxContent>
                          <w:p>
                            <w:pPr>
                              <w:jc w:val="center"/>
                            </w:pPr>
                            <w:r>
                              <w:rPr>
                                <w:rFonts w:hint="eastAsia"/>
                              </w:rPr>
                              <w:t>2400</w:t>
                            </w:r>
                          </w:p>
                        </w:txbxContent>
                      </v:textbox>
                    </v:rect>
                  </w:pict>
                </mc:Fallback>
              </mc:AlternateContent>
            </w:r>
            <w:r>
              <w:rPr>
                <w:rFonts w:hint="eastAsia" w:ascii="Times New Roman" w:hAnsi="Times New Roman" w:cs="Times New Roman"/>
              </w:rPr>
              <mc:AlternateContent>
                <mc:Choice Requires="wps">
                  <w:drawing>
                    <wp:anchor distT="0" distB="0" distL="114300" distR="114300" simplePos="0" relativeHeight="251678720" behindDoc="0" locked="0" layoutInCell="1" allowOverlap="1">
                      <wp:simplePos x="0" y="0"/>
                      <wp:positionH relativeFrom="column">
                        <wp:posOffset>3401695</wp:posOffset>
                      </wp:positionH>
                      <wp:positionV relativeFrom="paragraph">
                        <wp:posOffset>269240</wp:posOffset>
                      </wp:positionV>
                      <wp:extent cx="581025" cy="274320"/>
                      <wp:effectExtent l="0" t="0" r="0" b="0"/>
                      <wp:wrapNone/>
                      <wp:docPr id="12" name="矩形 12"/>
                      <wp:cNvGraphicFramePr/>
                      <a:graphic xmlns:a="http://schemas.openxmlformats.org/drawingml/2006/main">
                        <a:graphicData uri="http://schemas.microsoft.com/office/word/2010/wordprocessingShape">
                          <wps:wsp>
                            <wps:cNvSpPr/>
                            <wps:spPr>
                              <a:xfrm>
                                <a:off x="0" y="0"/>
                                <a:ext cx="581025" cy="274320"/>
                              </a:xfrm>
                              <a:prstGeom prst="rect">
                                <a:avLst/>
                              </a:prstGeom>
                              <a:noFill/>
                              <a:ln w="9525">
                                <a:noFill/>
                              </a:ln>
                              <a:effectLst/>
                            </wps:spPr>
                            <wps:txbx>
                              <w:txbxContent>
                                <w:p>
                                  <w:pPr>
                                    <w:jc w:val="center"/>
                                  </w:pPr>
                                  <w:r>
                                    <w:rPr>
                                      <w:rFonts w:hint="eastAsia"/>
                                    </w:rPr>
                                    <w:t>1920</w:t>
                                  </w:r>
                                </w:p>
                              </w:txbxContent>
                            </wps:txbx>
                            <wps:bodyPr wrap="square" upright="1"/>
                          </wps:wsp>
                        </a:graphicData>
                      </a:graphic>
                    </wp:anchor>
                  </w:drawing>
                </mc:Choice>
                <mc:Fallback>
                  <w:pict>
                    <v:rect id="_x0000_s1026" o:spid="_x0000_s1026" o:spt="1" style="position:absolute;left:0pt;margin-left:267.85pt;margin-top:21.2pt;height:21.6pt;width:45.75pt;z-index:251678720;mso-width-relative:page;mso-height-relative:page;" filled="f" stroked="f" coordsize="21600,21600" o:gfxdata="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MrROjNsAAAAJAQAADwAAAAAA&#10;AAABACAAAAAiAAAAZHJzL2Rvd25yZXYueG1sUEsBAhQAFAAAAAgAh07iQGqHGHueAQAAGQMAAA4A&#10;AAAAAAAAAQAgAAAAKgEAAGRycy9lMm9Eb2MueG1sUEsFBgAAAAAGAAYAWQEAADoFAAAAAA==&#10;">
                      <v:fill on="f" focussize="0,0"/>
                      <v:stroke on="f"/>
                      <v:imagedata o:title=""/>
                      <o:lock v:ext="edit" aspectratio="f"/>
                      <v:textbox>
                        <w:txbxContent>
                          <w:p>
                            <w:pPr>
                              <w:jc w:val="center"/>
                            </w:pPr>
                            <w:r>
                              <w:rPr>
                                <w:rFonts w:hint="eastAsia"/>
                              </w:rPr>
                              <w:t>1920</w:t>
                            </w:r>
                          </w:p>
                        </w:txbxContent>
                      </v:textbox>
                    </v:rect>
                  </w:pict>
                </mc:Fallback>
              </mc:AlternateContent>
            </w:r>
            <w:r>
              <w:rPr>
                <w:rFonts w:hint="eastAsia" w:ascii="Times New Roman" w:hAnsi="Times New Roman" w:cs="Times New Roman"/>
              </w:rPr>
              <mc:AlternateContent>
                <mc:Choice Requires="wps">
                  <w:drawing>
                    <wp:anchor distT="0" distB="0" distL="114300" distR="114300" simplePos="0" relativeHeight="251677696" behindDoc="0" locked="0" layoutInCell="1" allowOverlap="1">
                      <wp:simplePos x="0" y="0"/>
                      <wp:positionH relativeFrom="column">
                        <wp:posOffset>2119630</wp:posOffset>
                      </wp:positionH>
                      <wp:positionV relativeFrom="paragraph">
                        <wp:posOffset>259715</wp:posOffset>
                      </wp:positionV>
                      <wp:extent cx="129540" cy="160020"/>
                      <wp:effectExtent l="3810" t="0" r="0" b="11430"/>
                      <wp:wrapNone/>
                      <wp:docPr id="23" name="直接箭头连接符 23"/>
                      <wp:cNvGraphicFramePr/>
                      <a:graphic xmlns:a="http://schemas.openxmlformats.org/drawingml/2006/main">
                        <a:graphicData uri="http://schemas.microsoft.com/office/word/2010/wordprocessingShape">
                          <wps:wsp>
                            <wps:cNvCnPr/>
                            <wps:spPr>
                              <a:xfrm flipV="1">
                                <a:off x="0" y="0"/>
                                <a:ext cx="129540" cy="160020"/>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y;margin-left:166.9pt;margin-top:20.45pt;height:12.6pt;width:10.2pt;z-index:251677696;mso-width-relative:page;mso-height-relative:page;" filled="f" stroked="t" coordsize="21600,21600" o:gfxdata="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25MmTVAAAACQEAAA8AAAAAAAAAAQAgAAAAIgAAAGRycy9kb3ducmV2Lnht&#10;bFBLAQIUABQAAAAIAIdO4kApVc1j/AEAAL8DAAAOAAAAAAAAAAEAIAAAACQBAABkcnMvZTJvRG9j&#10;LnhtbFBLBQYAAAAABgAGAFkBAACSBQAAAAA=&#10;">
                      <v:fill on="f" focussize="0,0"/>
                      <v:stroke color="#000000" joinstyle="round" dashstyle="dash" endarrow="block"/>
                      <v:imagedata o:title=""/>
                      <o:lock v:ext="edit" aspectratio="f"/>
                    </v:shape>
                  </w:pict>
                </mc:Fallback>
              </mc:AlternateContent>
            </w:r>
            <w:r>
              <w:rPr>
                <w:rFonts w:hint="eastAsia" w:ascii="Times New Roman" w:hAnsi="Times New Roman" w:cs="Times New Roman"/>
              </w:rPr>
              <mc:AlternateContent>
                <mc:Choice Requires="wps">
                  <w:drawing>
                    <wp:anchor distT="0" distB="0" distL="114300" distR="114300" simplePos="0" relativeHeight="251679744" behindDoc="0" locked="0" layoutInCell="1" allowOverlap="1">
                      <wp:simplePos x="0" y="0"/>
                      <wp:positionH relativeFrom="column">
                        <wp:posOffset>2306320</wp:posOffset>
                      </wp:positionH>
                      <wp:positionV relativeFrom="paragraph">
                        <wp:posOffset>140970</wp:posOffset>
                      </wp:positionV>
                      <wp:extent cx="716280" cy="274320"/>
                      <wp:effectExtent l="0" t="0" r="0" b="0"/>
                      <wp:wrapNone/>
                      <wp:docPr id="21" name="矩形 21"/>
                      <wp:cNvGraphicFramePr/>
                      <a:graphic xmlns:a="http://schemas.openxmlformats.org/drawingml/2006/main">
                        <a:graphicData uri="http://schemas.microsoft.com/office/word/2010/wordprocessingShape">
                          <wps:wsp>
                            <wps:cNvSpPr/>
                            <wps:spPr>
                              <a:xfrm>
                                <a:off x="0" y="0"/>
                                <a:ext cx="716280" cy="274320"/>
                              </a:xfrm>
                              <a:prstGeom prst="rect">
                                <a:avLst/>
                              </a:prstGeom>
                              <a:noFill/>
                              <a:ln w="9525">
                                <a:noFill/>
                              </a:ln>
                              <a:effectLst/>
                            </wps:spPr>
                            <wps:txbx>
                              <w:txbxContent>
                                <w:p>
                                  <w:r>
                                    <w:rPr>
                                      <w:rFonts w:hint="eastAsia"/>
                                    </w:rPr>
                                    <w:t>损耗720</w:t>
                                  </w:r>
                                </w:p>
                              </w:txbxContent>
                            </wps:txbx>
                            <wps:bodyPr wrap="square" upright="1"/>
                          </wps:wsp>
                        </a:graphicData>
                      </a:graphic>
                    </wp:anchor>
                  </w:drawing>
                </mc:Choice>
                <mc:Fallback>
                  <w:pict>
                    <v:rect id="_x0000_s1026" o:spid="_x0000_s1026" o:spt="1" style="position:absolute;left:0pt;margin-left:181.6pt;margin-top:11.1pt;height:21.6pt;width:56.4pt;z-index:251679744;mso-width-relative:page;mso-height-relative:page;" filled="f" stroked="f" coordsize="21600,21600" o:gfxdata="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6Fcfj2gAAAAkBAAAPAAAAAAAA&#10;AAEAIAAAACIAAABkcnMvZG93bnJldi54bWxQSwECFAAUAAAACACHTuJA9lkwD54BAAAZAwAADgAA&#10;AAAAAAABACAAAAApAQAAZHJzL2Uyb0RvYy54bWxQSwUGAAAAAAYABgBZAQAAOQUAAAAA&#10;">
                      <v:fill on="f" focussize="0,0"/>
                      <v:stroke on="f"/>
                      <v:imagedata o:title=""/>
                      <o:lock v:ext="edit" aspectratio="f"/>
                      <v:textbox>
                        <w:txbxContent>
                          <w:p>
                            <w:r>
                              <w:rPr>
                                <w:rFonts w:hint="eastAsia"/>
                              </w:rPr>
                              <w:t>损耗720</w:t>
                            </w:r>
                          </w:p>
                        </w:txbxContent>
                      </v:textbox>
                    </v:rect>
                  </w:pict>
                </mc:Fallback>
              </mc:AlternateContent>
            </w:r>
            <w:r>
              <w:rPr>
                <w:rFonts w:hint="eastAsia" w:ascii="Times New Roman" w:hAnsi="Times New Roman" w:cs="Times New Roman"/>
                <w:bCs/>
                <w:kern w:val="2"/>
                <w:szCs w:val="32"/>
              </w:rPr>
              <w:t>项目水平衡图如下：</w:t>
            </w:r>
          </w:p>
          <w:p>
            <w:pPr>
              <w:spacing w:after="0" w:line="360" w:lineRule="auto"/>
              <w:ind w:firstLine="480" w:firstLineChars="200"/>
              <w:rPr>
                <w:color w:val="FF0000"/>
                <w:sz w:val="24"/>
                <w:u w:val="single"/>
              </w:rPr>
            </w:pPr>
            <w:r>
              <w:rPr>
                <w:rFonts w:hint="eastAsia"/>
                <w:color w:val="000000"/>
                <w:sz w:val="24"/>
              </w:rPr>
              <mc:AlternateContent>
                <mc:Choice Requires="wps">
                  <w:drawing>
                    <wp:anchor distT="0" distB="0" distL="114300" distR="114300" simplePos="0" relativeHeight="251680768" behindDoc="0" locked="0" layoutInCell="1" allowOverlap="1">
                      <wp:simplePos x="0" y="0"/>
                      <wp:positionH relativeFrom="column">
                        <wp:posOffset>-389890</wp:posOffset>
                      </wp:positionH>
                      <wp:positionV relativeFrom="paragraph">
                        <wp:posOffset>1928495</wp:posOffset>
                      </wp:positionV>
                      <wp:extent cx="3297555" cy="0"/>
                      <wp:effectExtent l="5080" t="0" r="13970" b="17145"/>
                      <wp:wrapNone/>
                      <wp:docPr id="2" name="直接箭头连接符 33"/>
                      <wp:cNvGraphicFramePr/>
                      <a:graphic xmlns:a="http://schemas.openxmlformats.org/drawingml/2006/main">
                        <a:graphicData uri="http://schemas.microsoft.com/office/word/2010/wordprocessingShape">
                          <wps:wsp>
                            <wps:cNvCnPr/>
                            <wps:spPr>
                              <a:xfrm rot="5400000">
                                <a:off x="0" y="0"/>
                                <a:ext cx="32975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3" o:spid="_x0000_s1026" o:spt="32" type="#_x0000_t32" style="position:absolute;left:0pt;margin-left:-30.7pt;margin-top:151.85pt;height:0pt;width:259.65pt;rotation:5898240f;z-index:251680768;mso-width-relative:page;mso-height-relative:page;" filled="f" stroked="t" coordsize="21600,21600" o:gfxdata="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1KI7PaAAAACwEAAA8AAAAAAAAAAQAgAAAAIgAAAGRycy9kb3ducmV2LnhtbFBLAQIUABQAAAAI&#10;AIdO4kBYPbiA6wEAAK0DAAAOAAAAAAAAAAEAIAAAACkBAABkcnMvZTJvRG9jLnhtbFBLBQYAAAAA&#10;BgAGAFkBAACGBQAAAAA=&#10;">
                      <v:fill on="f" focussize="0,0"/>
                      <v:stroke color="#000000" joinstyle="round"/>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688960" behindDoc="0" locked="0" layoutInCell="1" allowOverlap="1">
                      <wp:simplePos x="0" y="0"/>
                      <wp:positionH relativeFrom="column">
                        <wp:posOffset>4154170</wp:posOffset>
                      </wp:positionH>
                      <wp:positionV relativeFrom="paragraph">
                        <wp:posOffset>113665</wp:posOffset>
                      </wp:positionV>
                      <wp:extent cx="765175" cy="306705"/>
                      <wp:effectExtent l="4445" t="4445" r="11430" b="12700"/>
                      <wp:wrapNone/>
                      <wp:docPr id="123" name="矩形 123"/>
                      <wp:cNvGraphicFramePr/>
                      <a:graphic xmlns:a="http://schemas.openxmlformats.org/drawingml/2006/main">
                        <a:graphicData uri="http://schemas.microsoft.com/office/word/2010/wordprocessingShape">
                          <wps:wsp>
                            <wps:cNvSpPr/>
                            <wps:spPr>
                              <a:xfrm>
                                <a:off x="0" y="0"/>
                                <a:ext cx="765175" cy="3067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进入产品</w:t>
                                  </w:r>
                                </w:p>
                              </w:txbxContent>
                            </wps:txbx>
                            <wps:bodyPr wrap="square" upright="1"/>
                          </wps:wsp>
                        </a:graphicData>
                      </a:graphic>
                    </wp:anchor>
                  </w:drawing>
                </mc:Choice>
                <mc:Fallback>
                  <w:pict>
                    <v:rect id="_x0000_s1026" o:spid="_x0000_s1026" o:spt="1" style="position:absolute;left:0pt;margin-left:327.1pt;margin-top:8.95pt;height:24.15pt;width:60.25pt;z-index:251688960;mso-width-relative:page;mso-height-relative:page;" fillcolor="#FFFFFF" filled="t" stroked="t" coordsize="21600,21600" o:gfxdata="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nEcD31wAAAAkBAAAPAAAAAAAAAAEAIAAAACIAAABkcnMvZG93bnJldi54bWxQSwEC&#10;FAAUAAAACACHTuJAAdthjfUBAAD6AwAADgAAAAAAAAABACAAAAAmAQAAZHJzL2Uyb0RvYy54bWxQ&#10;SwUGAAAAAAYABgBZAQAAjQUAAAAA&#10;">
                      <v:fill on="t" focussize="0,0"/>
                      <v:stroke color="#000000" joinstyle="miter"/>
                      <v:imagedata o:title=""/>
                      <o:lock v:ext="edit" aspectratio="f"/>
                      <v:textbox>
                        <w:txbxContent>
                          <w:p>
                            <w:r>
                              <w:rPr>
                                <w:rFonts w:hint="eastAsia"/>
                              </w:rPr>
                              <w:t>进入产品</w:t>
                            </w:r>
                          </w:p>
                        </w:txbxContent>
                      </v:textbox>
                    </v:rect>
                  </w:pict>
                </mc:Fallback>
              </mc:AlternateContent>
            </w:r>
            <w:r>
              <w:rPr>
                <w:rFonts w:hint="eastAsia"/>
                <w:color w:val="000000"/>
                <w:sz w:val="24"/>
              </w:rPr>
              <mc:AlternateContent>
                <mc:Choice Requires="wps">
                  <w:drawing>
                    <wp:anchor distT="0" distB="0" distL="114300" distR="114300" simplePos="0" relativeHeight="251675648" behindDoc="0" locked="0" layoutInCell="1" allowOverlap="1">
                      <wp:simplePos x="0" y="0"/>
                      <wp:positionH relativeFrom="column">
                        <wp:posOffset>3472180</wp:posOffset>
                      </wp:positionH>
                      <wp:positionV relativeFrom="paragraph">
                        <wp:posOffset>286385</wp:posOffset>
                      </wp:positionV>
                      <wp:extent cx="662940" cy="635"/>
                      <wp:effectExtent l="0" t="37465" r="3810" b="38100"/>
                      <wp:wrapNone/>
                      <wp:docPr id="20" name="直接箭头连接符 20"/>
                      <wp:cNvGraphicFramePr/>
                      <a:graphic xmlns:a="http://schemas.openxmlformats.org/drawingml/2006/main">
                        <a:graphicData uri="http://schemas.microsoft.com/office/word/2010/wordprocessingShape">
                          <wps:wsp>
                            <wps:cNvCnPr/>
                            <wps:spPr>
                              <a:xfrm>
                                <a:off x="0" y="0"/>
                                <a:ext cx="662940"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73.4pt;margin-top:22.55pt;height:0.05pt;width:52.2pt;z-index:251675648;mso-width-relative:page;mso-height-relative:page;" filled="f" stroked="t" coordsize="21600,21600" o:gfxdata="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L4NNkAAAAJAQAADwAAAAAAAAABACAAAAAiAAAAZHJzL2Rvd25yZXYueG1sUEsBAhQAFAAA&#10;AAgAh07iQGlj8+DuAQAAswMAAA4AAAAAAAAAAQAgAAAAKAEAAGRycy9lMm9Eb2MueG1sUEsFBgAA&#10;AAAGAAYAWQEAAIgFAAAAAA==&#10;">
                      <v:fill on="f" focussize="0,0"/>
                      <v:stroke color="#000000" joinstyle="round" endarrow="block"/>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673600" behindDoc="0" locked="0" layoutInCell="1" allowOverlap="1">
                      <wp:simplePos x="0" y="0"/>
                      <wp:positionH relativeFrom="column">
                        <wp:posOffset>1258570</wp:posOffset>
                      </wp:positionH>
                      <wp:positionV relativeFrom="paragraph">
                        <wp:posOffset>285115</wp:posOffset>
                      </wp:positionV>
                      <wp:extent cx="800100" cy="0"/>
                      <wp:effectExtent l="0" t="38100" r="0" b="38100"/>
                      <wp:wrapNone/>
                      <wp:docPr id="30" name="直接箭头连接符 30"/>
                      <wp:cNvGraphicFramePr/>
                      <a:graphic xmlns:a="http://schemas.openxmlformats.org/drawingml/2006/main">
                        <a:graphicData uri="http://schemas.microsoft.com/office/word/2010/wordprocessingShape">
                          <wps:wsp>
                            <wps:cNvCnPr/>
                            <wps:spPr>
                              <a:xfrm>
                                <a:off x="0" y="0"/>
                                <a:ext cx="8001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9.1pt;margin-top:22.45pt;height:0pt;width:63pt;z-index:251673600;mso-width-relative:page;mso-height-relative:page;" filled="f" stroked="t" coordsize="21600,21600" o:gfxdata="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LKauPYAAAACQEAAA8AAAAAAAAAAQAgAAAAIgAAAGRycy9kb3ducmV2LnhtbFBLAQIUABQAAAAI&#10;AIdO4kCGqxGK7QEAALEDAAAOAAAAAAAAAAEAIAAAACcBAABkcnMvZTJvRG9jLnhtbFBLBQYAAAAA&#10;BgAGAFkBAACGBQAAAAA=&#10;">
                      <v:fill on="f" focussize="0,0"/>
                      <v:stroke color="#000000" joinstyle="round" endarrow="block"/>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674624" behindDoc="0" locked="0" layoutInCell="1" allowOverlap="1">
                      <wp:simplePos x="0" y="0"/>
                      <wp:positionH relativeFrom="column">
                        <wp:posOffset>2077720</wp:posOffset>
                      </wp:positionH>
                      <wp:positionV relativeFrom="paragraph">
                        <wp:posOffset>123190</wp:posOffset>
                      </wp:positionV>
                      <wp:extent cx="1346835" cy="297180"/>
                      <wp:effectExtent l="4445" t="4445" r="20320" b="22225"/>
                      <wp:wrapNone/>
                      <wp:docPr id="29" name="矩形 29"/>
                      <wp:cNvGraphicFramePr/>
                      <a:graphic xmlns:a="http://schemas.openxmlformats.org/drawingml/2006/main">
                        <a:graphicData uri="http://schemas.microsoft.com/office/word/2010/wordprocessingShape">
                          <wps:wsp>
                            <wps:cNvSpPr/>
                            <wps:spPr>
                              <a:xfrm>
                                <a:off x="0" y="0"/>
                                <a:ext cx="134683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Cs w:val="21"/>
                                    </w:rPr>
                                    <w:t>物料搅拌生产用水</w:t>
                                  </w:r>
                                </w:p>
                              </w:txbxContent>
                            </wps:txbx>
                            <wps:bodyPr wrap="square" upright="1"/>
                          </wps:wsp>
                        </a:graphicData>
                      </a:graphic>
                    </wp:anchor>
                  </w:drawing>
                </mc:Choice>
                <mc:Fallback>
                  <w:pict>
                    <v:rect id="_x0000_s1026" o:spid="_x0000_s1026" o:spt="1" style="position:absolute;left:0pt;margin-left:163.6pt;margin-top:9.7pt;height:23.4pt;width:106.05pt;z-index:251674624;mso-width-relative:page;mso-height-relative:page;" fillcolor="#FFFFFF" filled="t" stroked="t" coordsize="21600,21600" o:gfxdata="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UstitcAAAAJAQAADwAAAAAAAAABACAAAAAiAAAAZHJzL2Rvd25yZXYueG1s&#10;UEsBAhQAFAAAAAgAh07iQFS1Q7H5AQAA+QMAAA4AAAAAAAAAAQAgAAAAJgEAAGRycy9lMm9Eb2Mu&#10;eG1sUEsFBgAAAAAGAAYAWQEAAJEFAAAAAA==&#10;">
                      <v:fill on="t" focussize="0,0"/>
                      <v:stroke color="#000000" joinstyle="miter"/>
                      <v:imagedata o:title=""/>
                      <o:lock v:ext="edit" aspectratio="f"/>
                      <v:textbox>
                        <w:txbxContent>
                          <w:p>
                            <w:r>
                              <w:rPr>
                                <w:rFonts w:hint="eastAsia"/>
                                <w:szCs w:val="21"/>
                              </w:rPr>
                              <w:t>物料搅拌生产用水</w:t>
                            </w:r>
                          </w:p>
                        </w:txbxContent>
                      </v:textbox>
                    </v:rect>
                  </w:pict>
                </mc:Fallback>
              </mc:AlternateContent>
            </w:r>
          </w:p>
          <w:p>
            <w:pPr>
              <w:spacing w:after="0" w:line="360" w:lineRule="auto"/>
              <w:ind w:firstLine="480" w:firstLineChars="200"/>
              <w:rPr>
                <w:color w:val="000000"/>
                <w:sz w:val="24"/>
              </w:rPr>
            </w:pPr>
            <w:r>
              <w:rPr>
                <w:rFonts w:hint="eastAsia"/>
                <w:color w:val="000000"/>
                <w:sz w:val="24"/>
              </w:rPr>
              <mc:AlternateContent>
                <mc:Choice Requires="wps">
                  <w:drawing>
                    <wp:anchor distT="0" distB="0" distL="114300" distR="114300" simplePos="0" relativeHeight="251693056" behindDoc="0" locked="0" layoutInCell="1" allowOverlap="1">
                      <wp:simplePos x="0" y="0"/>
                      <wp:positionH relativeFrom="column">
                        <wp:posOffset>3270885</wp:posOffset>
                      </wp:positionH>
                      <wp:positionV relativeFrom="paragraph">
                        <wp:posOffset>254000</wp:posOffset>
                      </wp:positionV>
                      <wp:extent cx="410210" cy="274320"/>
                      <wp:effectExtent l="0" t="0" r="0" b="0"/>
                      <wp:wrapNone/>
                      <wp:docPr id="156" name="矩形 156"/>
                      <wp:cNvGraphicFramePr/>
                      <a:graphic xmlns:a="http://schemas.openxmlformats.org/drawingml/2006/main">
                        <a:graphicData uri="http://schemas.microsoft.com/office/word/2010/wordprocessingShape">
                          <wps:wsp>
                            <wps:cNvSpPr/>
                            <wps:spPr>
                              <a:xfrm>
                                <a:off x="3204210" y="4297045"/>
                                <a:ext cx="314960" cy="274320"/>
                              </a:xfrm>
                              <a:prstGeom prst="rect">
                                <a:avLst/>
                              </a:prstGeom>
                              <a:noFill/>
                              <a:ln w="9525">
                                <a:noFill/>
                              </a:ln>
                              <a:effectLst/>
                            </wps:spPr>
                            <wps:txbx>
                              <w:txbxContent>
                                <w:p>
                                  <w:r>
                                    <w:rPr>
                                      <w:rFonts w:hint="eastAsia"/>
                                    </w:rPr>
                                    <w:t>974</w:t>
                                  </w:r>
                                </w:p>
                              </w:txbxContent>
                            </wps:txbx>
                            <wps:bodyPr wrap="square" upright="1"/>
                          </wps:wsp>
                        </a:graphicData>
                      </a:graphic>
                    </wp:anchor>
                  </w:drawing>
                </mc:Choice>
                <mc:Fallback>
                  <w:pict>
                    <v:rect id="_x0000_s1026" o:spid="_x0000_s1026" o:spt="1" style="position:absolute;left:0pt;margin-left:257.55pt;margin-top:20pt;height:21.6pt;width:32.3pt;z-index:251693056;mso-width-relative:page;mso-height-relative:page;" filled="f" stroked="f" coordsize="21600,21600" o:gfxdata="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j6sXfb&#10;AAAACQEAAA8AAAAAAAAAAQAgAAAAIgAAAGRycy9kb3ducmV2LnhtbFBLAQIUABQAAAAIAIdO4kA0&#10;ZEpoqwEAACcDAAAOAAAAAAAAAAEAIAAAACoBAABkcnMvZTJvRG9jLnhtbFBLBQYAAAAABgAGAFkB&#10;AABHBQAAAAA=&#10;">
                      <v:fill on="f" focussize="0,0"/>
                      <v:stroke on="f"/>
                      <v:imagedata o:title=""/>
                      <o:lock v:ext="edit" aspectratio="f"/>
                      <v:textbox>
                        <w:txbxContent>
                          <w:p>
                            <w:r>
                              <w:rPr>
                                <w:rFonts w:hint="eastAsia"/>
                              </w:rPr>
                              <w:t>974</w:t>
                            </w:r>
                          </w:p>
                        </w:txbxContent>
                      </v:textbox>
                    </v:rect>
                  </w:pict>
                </mc:Fallback>
              </mc:AlternateContent>
            </w:r>
            <w:r>
              <w:rPr>
                <w:rFonts w:hint="eastAsia"/>
                <w:color w:val="000000"/>
                <w:sz w:val="24"/>
              </w:rPr>
              <mc:AlternateContent>
                <mc:Choice Requires="wps">
                  <w:drawing>
                    <wp:anchor distT="0" distB="0" distL="114300" distR="114300" simplePos="0" relativeHeight="251697152" behindDoc="0" locked="0" layoutInCell="1" allowOverlap="1">
                      <wp:simplePos x="0" y="0"/>
                      <wp:positionH relativeFrom="column">
                        <wp:posOffset>1518920</wp:posOffset>
                      </wp:positionH>
                      <wp:positionV relativeFrom="paragraph">
                        <wp:posOffset>240030</wp:posOffset>
                      </wp:positionV>
                      <wp:extent cx="731520" cy="274320"/>
                      <wp:effectExtent l="0" t="0" r="0" b="0"/>
                      <wp:wrapNone/>
                      <wp:docPr id="134" name="矩形 134"/>
                      <wp:cNvGraphicFramePr/>
                      <a:graphic xmlns:a="http://schemas.openxmlformats.org/drawingml/2006/main">
                        <a:graphicData uri="http://schemas.microsoft.com/office/word/2010/wordprocessingShape">
                          <wps:wsp>
                            <wps:cNvSpPr/>
                            <wps:spPr>
                              <a:xfrm>
                                <a:off x="0" y="0"/>
                                <a:ext cx="594360" cy="274320"/>
                              </a:xfrm>
                              <a:prstGeom prst="rect">
                                <a:avLst/>
                              </a:prstGeom>
                              <a:noFill/>
                              <a:ln w="9525">
                                <a:noFill/>
                              </a:ln>
                              <a:effectLst/>
                            </wps:spPr>
                            <wps:txbx>
                              <w:txbxContent>
                                <w:p>
                                  <w:r>
                                    <w:t>1218</w:t>
                                  </w:r>
                                </w:p>
                              </w:txbxContent>
                            </wps:txbx>
                            <wps:bodyPr wrap="square" upright="1"/>
                          </wps:wsp>
                        </a:graphicData>
                      </a:graphic>
                    </wp:anchor>
                  </w:drawing>
                </mc:Choice>
                <mc:Fallback>
                  <w:pict>
                    <v:rect id="_x0000_s1026" o:spid="_x0000_s1026" o:spt="1" style="position:absolute;left:0pt;margin-left:119.6pt;margin-top:18.9pt;height:21.6pt;width:57.6pt;z-index:251697152;mso-width-relative:page;mso-height-relative:page;" filled="f" stroked="f" coordsize="21600,21600" o:gfxdata="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CjN1tsAAAAJAQAADwAA&#10;AAAAAAABACAAAAAiAAAAZHJzL2Rvd25yZXYueG1sUEsBAhQAFAAAAAgAh07iQESOuU6hAQAAGwMA&#10;AA4AAAAAAAAAAQAgAAAAKgEAAGRycy9lMm9Eb2MueG1sUEsFBgAAAAAGAAYAWQEAAD0FAAAAAA==&#10;">
                      <v:fill on="f" focussize="0,0"/>
                      <v:stroke on="f"/>
                      <v:imagedata o:title=""/>
                      <o:lock v:ext="edit" aspectratio="f"/>
                      <v:textbox>
                        <w:txbxContent>
                          <w:p>
                            <w:r>
                              <w:t>1218</w:t>
                            </w:r>
                          </w:p>
                        </w:txbxContent>
                      </v:textbox>
                    </v:rect>
                  </w:pict>
                </mc:Fallback>
              </mc:AlternateContent>
            </w:r>
            <w:r>
              <w:rPr>
                <w:rFonts w:hint="eastAsia"/>
                <w:color w:val="000000"/>
                <w:sz w:val="24"/>
              </w:rPr>
              <mc:AlternateContent>
                <mc:Choice Requires="wps">
                  <w:drawing>
                    <wp:anchor distT="0" distB="0" distL="114300" distR="114300" simplePos="0" relativeHeight="251701248" behindDoc="0" locked="0" layoutInCell="1" allowOverlap="1">
                      <wp:simplePos x="0" y="0"/>
                      <wp:positionH relativeFrom="column">
                        <wp:posOffset>2148205</wp:posOffset>
                      </wp:positionH>
                      <wp:positionV relativeFrom="paragraph">
                        <wp:posOffset>170815</wp:posOffset>
                      </wp:positionV>
                      <wp:extent cx="129540" cy="160020"/>
                      <wp:effectExtent l="3810" t="0" r="0" b="11430"/>
                      <wp:wrapNone/>
                      <wp:docPr id="138" name="直接箭头连接符 138"/>
                      <wp:cNvGraphicFramePr/>
                      <a:graphic xmlns:a="http://schemas.openxmlformats.org/drawingml/2006/main">
                        <a:graphicData uri="http://schemas.microsoft.com/office/word/2010/wordprocessingShape">
                          <wps:wsp>
                            <wps:cNvCnPr/>
                            <wps:spPr>
                              <a:xfrm flipV="1">
                                <a:off x="0" y="0"/>
                                <a:ext cx="129540" cy="160020"/>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y;margin-left:169.15pt;margin-top:13.45pt;height:12.6pt;width:10.2pt;z-index:251701248;mso-width-relative:page;mso-height-relative:page;" filled="f" stroked="t" coordsize="21600,21600" o:gfxdata="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RgA63VAAAACQEAAA8AAAAAAAAAAQAgAAAAIgAAAGRycy9kb3ducmV2Lnht&#10;bFBLAQIUABQAAAAIAIdO4kBr1/bz/AEAAMEDAAAOAAAAAAAAAAEAIAAAACQBAABkcnMvZTJvRG9j&#10;LnhtbFBLBQYAAAAABgAGAFkBAACSBQAAAAA=&#10;">
                      <v:fill on="f" focussize="0,0"/>
                      <v:stroke color="#000000" joinstyle="round" dashstyle="dash" endarrow="block"/>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661312" behindDoc="0" locked="0" layoutInCell="1" allowOverlap="1">
                      <wp:simplePos x="0" y="0"/>
                      <wp:positionH relativeFrom="column">
                        <wp:posOffset>2277745</wp:posOffset>
                      </wp:positionH>
                      <wp:positionV relativeFrom="paragraph">
                        <wp:posOffset>106045</wp:posOffset>
                      </wp:positionV>
                      <wp:extent cx="716280" cy="274320"/>
                      <wp:effectExtent l="0" t="0" r="0" b="0"/>
                      <wp:wrapNone/>
                      <wp:docPr id="142" name="矩形 142"/>
                      <wp:cNvGraphicFramePr/>
                      <a:graphic xmlns:a="http://schemas.openxmlformats.org/drawingml/2006/main">
                        <a:graphicData uri="http://schemas.microsoft.com/office/word/2010/wordprocessingShape">
                          <wps:wsp>
                            <wps:cNvSpPr/>
                            <wps:spPr>
                              <a:xfrm>
                                <a:off x="0" y="0"/>
                                <a:ext cx="716280" cy="274320"/>
                              </a:xfrm>
                              <a:prstGeom prst="rect">
                                <a:avLst/>
                              </a:prstGeom>
                              <a:noFill/>
                              <a:ln w="9525">
                                <a:noFill/>
                              </a:ln>
                              <a:effectLst/>
                            </wps:spPr>
                            <wps:txbx>
                              <w:txbxContent>
                                <w:p>
                                  <w:r>
                                    <w:rPr>
                                      <w:rFonts w:hint="eastAsia"/>
                                    </w:rPr>
                                    <w:t>损耗</w:t>
                                  </w:r>
                                  <w:r>
                                    <w:t>244</w:t>
                                  </w:r>
                                </w:p>
                              </w:txbxContent>
                            </wps:txbx>
                            <wps:bodyPr wrap="square" upright="1"/>
                          </wps:wsp>
                        </a:graphicData>
                      </a:graphic>
                    </wp:anchor>
                  </w:drawing>
                </mc:Choice>
                <mc:Fallback>
                  <w:pict>
                    <v:rect id="_x0000_s1026" o:spid="_x0000_s1026" o:spt="1" style="position:absolute;left:0pt;margin-left:179.35pt;margin-top:8.35pt;height:21.6pt;width:56.4pt;z-index:251661312;mso-width-relative:page;mso-height-relative:page;" filled="f" stroked="f" coordsize="21600,21600" o:gfxdata="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tOWTY2wAAAAkBAAAPAAAA&#10;AAAAAAEAIAAAACIAAABkcnMvZG93bnJldi54bWxQSwECFAAUAAAACACHTuJA/p+1HaABAAAbAwAA&#10;DgAAAAAAAAABACAAAAAqAQAAZHJzL2Uyb0RvYy54bWxQSwUGAAAAAAYABgBZAQAAPAUAAAAA&#10;">
                      <v:fill on="f" focussize="0,0"/>
                      <v:stroke on="f"/>
                      <v:imagedata o:title=""/>
                      <o:lock v:ext="edit" aspectratio="f"/>
                      <v:textbox>
                        <w:txbxContent>
                          <w:p>
                            <w:r>
                              <w:rPr>
                                <w:rFonts w:hint="eastAsia"/>
                              </w:rPr>
                              <w:t>损耗</w:t>
                            </w:r>
                            <w:r>
                              <w:t>244</w:t>
                            </w:r>
                          </w:p>
                        </w:txbxContent>
                      </v:textbox>
                    </v:rect>
                  </w:pict>
                </mc:Fallback>
              </mc:AlternateContent>
            </w:r>
          </w:p>
          <w:p>
            <w:pPr>
              <w:spacing w:after="0" w:line="360" w:lineRule="auto"/>
              <w:ind w:firstLine="480" w:firstLineChars="200"/>
              <w:rPr>
                <w:color w:val="000000"/>
                <w:sz w:val="24"/>
              </w:rPr>
            </w:pPr>
            <w:r>
              <w:rPr>
                <w:rFonts w:hint="eastAsia"/>
                <w:color w:val="000000"/>
                <w:sz w:val="24"/>
              </w:rPr>
              <mc:AlternateContent>
                <mc:Choice Requires="wps">
                  <w:drawing>
                    <wp:anchor distT="0" distB="0" distL="114300" distR="114300" simplePos="0" relativeHeight="251696128" behindDoc="0" locked="0" layoutInCell="1" allowOverlap="1">
                      <wp:simplePos x="0" y="0"/>
                      <wp:positionH relativeFrom="column">
                        <wp:posOffset>3804285</wp:posOffset>
                      </wp:positionH>
                      <wp:positionV relativeFrom="paragraph">
                        <wp:posOffset>58420</wp:posOffset>
                      </wp:positionV>
                      <wp:extent cx="1330960" cy="297180"/>
                      <wp:effectExtent l="4445" t="4445" r="17145" b="22225"/>
                      <wp:wrapNone/>
                      <wp:docPr id="133" name="矩形 133"/>
                      <wp:cNvGraphicFramePr/>
                      <a:graphic xmlns:a="http://schemas.openxmlformats.org/drawingml/2006/main">
                        <a:graphicData uri="http://schemas.microsoft.com/office/word/2010/wordprocessingShape">
                          <wps:wsp>
                            <wps:cNvSpPr/>
                            <wps:spPr>
                              <a:xfrm>
                                <a:off x="0" y="0"/>
                                <a:ext cx="78359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用于周边农田灌溉</w:t>
                                  </w:r>
                                </w:p>
                              </w:txbxContent>
                            </wps:txbx>
                            <wps:bodyPr wrap="square" upright="1"/>
                          </wps:wsp>
                        </a:graphicData>
                      </a:graphic>
                    </wp:anchor>
                  </w:drawing>
                </mc:Choice>
                <mc:Fallback>
                  <w:pict>
                    <v:rect id="_x0000_s1026" o:spid="_x0000_s1026" o:spt="1" style="position:absolute;left:0pt;margin-left:299.55pt;margin-top:4.6pt;height:23.4pt;width:104.8pt;z-index:251696128;mso-width-relative:page;mso-height-relative:page;" fillcolor="#FFFFFF" filled="t" stroked="t" coordsize="21600,21600" o:gfxdata="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bon/XWAAAACAEAAA8AAAAAAAAAAQAgAAAAIgAAAGRycy9kb3ducmV2LnhtbFBL&#10;AQIUABQAAAAIAIdO4kBbfsaP+AEAAPoDAAAOAAAAAAAAAAEAIAAAACUBAABkcnMvZTJvRG9jLnht&#10;bFBLBQYAAAAABgAGAFkBAACPBQAAAAA=&#10;">
                      <v:fill on="t" focussize="0,0"/>
                      <v:stroke color="#000000" joinstyle="miter"/>
                      <v:imagedata o:title=""/>
                      <o:lock v:ext="edit" aspectratio="f"/>
                      <v:textbox>
                        <w:txbxContent>
                          <w:p>
                            <w:pPr>
                              <w:jc w:val="center"/>
                            </w:pPr>
                            <w:r>
                              <w:rPr>
                                <w:rFonts w:hint="eastAsia"/>
                              </w:rPr>
                              <w:t>用于周边农田灌溉</w:t>
                            </w:r>
                          </w:p>
                        </w:txbxContent>
                      </v:textbox>
                    </v:rect>
                  </w:pict>
                </mc:Fallback>
              </mc:AlternateContent>
            </w:r>
            <w:r>
              <w:rPr>
                <w:rFonts w:hint="eastAsia"/>
                <w:color w:val="000000"/>
                <w:sz w:val="24"/>
              </w:rPr>
              <mc:AlternateContent>
                <mc:Choice Requires="wps">
                  <w:drawing>
                    <wp:anchor distT="0" distB="0" distL="114300" distR="114300" simplePos="0" relativeHeight="251695104" behindDoc="0" locked="0" layoutInCell="1" allowOverlap="1">
                      <wp:simplePos x="0" y="0"/>
                      <wp:positionH relativeFrom="column">
                        <wp:posOffset>3102610</wp:posOffset>
                      </wp:positionH>
                      <wp:positionV relativeFrom="paragraph">
                        <wp:posOffset>183515</wp:posOffset>
                      </wp:positionV>
                      <wp:extent cx="685165" cy="0"/>
                      <wp:effectExtent l="0" t="38100" r="635" b="38100"/>
                      <wp:wrapNone/>
                      <wp:docPr id="132" name="直接箭头连接符 132"/>
                      <wp:cNvGraphicFramePr/>
                      <a:graphic xmlns:a="http://schemas.openxmlformats.org/drawingml/2006/main">
                        <a:graphicData uri="http://schemas.microsoft.com/office/word/2010/wordprocessingShape">
                          <wps:wsp>
                            <wps:cNvCnPr/>
                            <wps:spPr>
                              <a:xfrm>
                                <a:off x="0" y="0"/>
                                <a:ext cx="68516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44.3pt;margin-top:14.45pt;height:0pt;width:53.95pt;z-index:251695104;mso-width-relative:page;mso-height-relative:page;" filled="f" stroked="t" coordsize="21600,21600" o:gfxdata="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QvpfNkAAAAJAQAADwAAAAAAAAABACAAAAAiAAAAZHJzL2Rvd25yZXYueG1sUEsBAhQAFAAA&#10;AAgAh07iQBP12vXuAQAAswMAAA4AAAAAAAAAAQAgAAAAKAEAAGRycy9lMm9Eb2MueG1sUEsFBgAA&#10;AAAGAAYAWQEAAIgFAAAAAA==&#10;">
                      <v:fill on="f" focussize="0,0"/>
                      <v:stroke color="#000000" joinstyle="round" endarrow="block"/>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671552" behindDoc="0" locked="0" layoutInCell="1" allowOverlap="1">
                      <wp:simplePos x="0" y="0"/>
                      <wp:positionH relativeFrom="column">
                        <wp:posOffset>2069465</wp:posOffset>
                      </wp:positionH>
                      <wp:positionV relativeFrom="paragraph">
                        <wp:posOffset>61595</wp:posOffset>
                      </wp:positionV>
                      <wp:extent cx="1012190" cy="297180"/>
                      <wp:effectExtent l="5080" t="4445" r="11430" b="22225"/>
                      <wp:wrapNone/>
                      <wp:docPr id="151" name="矩形 151"/>
                      <wp:cNvGraphicFramePr/>
                      <a:graphic xmlns:a="http://schemas.openxmlformats.org/drawingml/2006/main">
                        <a:graphicData uri="http://schemas.microsoft.com/office/word/2010/wordprocessingShape">
                          <wps:wsp>
                            <wps:cNvSpPr/>
                            <wps:spPr>
                              <a:xfrm>
                                <a:off x="0" y="0"/>
                                <a:ext cx="101219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szCs w:val="22"/>
                                      <w:lang w:bidi="ar"/>
                                    </w:rPr>
                                    <w:t>化粪池</w:t>
                                  </w:r>
                                </w:p>
                              </w:txbxContent>
                            </wps:txbx>
                            <wps:bodyPr wrap="square" upright="1"/>
                          </wps:wsp>
                        </a:graphicData>
                      </a:graphic>
                    </wp:anchor>
                  </w:drawing>
                </mc:Choice>
                <mc:Fallback>
                  <w:pict>
                    <v:rect id="_x0000_s1026" o:spid="_x0000_s1026" o:spt="1" style="position:absolute;left:0pt;margin-left:162.95pt;margin-top:4.85pt;height:23.4pt;width:79.7pt;z-index:251671552;mso-width-relative:page;mso-height-relative:page;" fillcolor="#FFFFFF" filled="t" stroked="t" coordsize="21600,21600" o:gfxdata="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y3eXl1wAAAAgBAAAPAAAAAAAAAAEAIAAAACIAAABkcnMvZG93bnJldi54bWxQ&#10;SwECFAAUAAAACACHTuJAFIDgKfgBAAD7AwAADgAAAAAAAAABACAAAAAmAQAAZHJzL2Uyb0RvYy54&#10;bWxQSwUGAAAAAAYABgBZAQAAkAUAAAAA&#10;">
                      <v:fill on="t" focussize="0,0"/>
                      <v:stroke color="#000000" joinstyle="miter"/>
                      <v:imagedata o:title=""/>
                      <o:lock v:ext="edit" aspectratio="f"/>
                      <v:textbox>
                        <w:txbxContent>
                          <w:p>
                            <w:pPr>
                              <w:jc w:val="center"/>
                            </w:pPr>
                            <w:r>
                              <w:rPr>
                                <w:rFonts w:hint="eastAsia"/>
                                <w:szCs w:val="22"/>
                                <w:lang w:bidi="ar"/>
                              </w:rPr>
                              <w:t>化粪池</w:t>
                            </w:r>
                          </w:p>
                        </w:txbxContent>
                      </v:textbox>
                    </v:rect>
                  </w:pict>
                </mc:Fallback>
              </mc:AlternateContent>
            </w:r>
            <w:r>
              <w:rPr>
                <w:rFonts w:hint="eastAsia"/>
                <w:color w:val="000000"/>
                <w:sz w:val="24"/>
              </w:rPr>
              <mc:AlternateContent>
                <mc:Choice Requires="wps">
                  <w:drawing>
                    <wp:anchor distT="0" distB="0" distL="114300" distR="114300" simplePos="0" relativeHeight="251684864" behindDoc="0" locked="0" layoutInCell="1" allowOverlap="1">
                      <wp:simplePos x="0" y="0"/>
                      <wp:positionH relativeFrom="column">
                        <wp:posOffset>1268095</wp:posOffset>
                      </wp:positionH>
                      <wp:positionV relativeFrom="paragraph">
                        <wp:posOffset>214630</wp:posOffset>
                      </wp:positionV>
                      <wp:extent cx="800100" cy="0"/>
                      <wp:effectExtent l="0" t="38100" r="0" b="38100"/>
                      <wp:wrapNone/>
                      <wp:docPr id="119" name="直接箭头连接符 119"/>
                      <wp:cNvGraphicFramePr/>
                      <a:graphic xmlns:a="http://schemas.openxmlformats.org/drawingml/2006/main">
                        <a:graphicData uri="http://schemas.microsoft.com/office/word/2010/wordprocessingShape">
                          <wps:wsp>
                            <wps:cNvCnPr/>
                            <wps:spPr>
                              <a:xfrm>
                                <a:off x="0" y="0"/>
                                <a:ext cx="8001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9.85pt;margin-top:16.9pt;height:0pt;width:63pt;z-index:251684864;mso-width-relative:page;mso-height-relative:page;" filled="f" stroked="t" coordsize="21600,21600" o:gfxdata="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IVlck2AAAAAkBAAAPAAAAAAAAAAEAIAAAACIAAABkcnMvZG93bnJldi54bWxQSwECFAAUAAAA&#10;CACHTuJAnKp1W+4BAACzAwAADgAAAAAAAAABACAAAAAnAQAAZHJzL2Uyb0RvYy54bWxQSwUGAAAA&#10;AAYABgBZAQAAhwUAAAAA&#10;">
                      <v:fill on="f" focussize="0,0"/>
                      <v:stroke color="#000000" joinstyle="round" endarrow="block"/>
                      <v:imagedata o:title=""/>
                      <o:lock v:ext="edit" aspectratio="f"/>
                    </v:shape>
                  </w:pict>
                </mc:Fallback>
              </mc:AlternateContent>
            </w:r>
          </w:p>
          <w:p>
            <w:pPr>
              <w:spacing w:after="0" w:line="360" w:lineRule="auto"/>
              <w:ind w:firstLine="480" w:firstLineChars="200"/>
              <w:rPr>
                <w:color w:val="000000"/>
                <w:sz w:val="24"/>
              </w:rPr>
            </w:pPr>
            <w:r>
              <w:rPr>
                <w:rFonts w:hint="eastAsia"/>
                <w:color w:val="000000"/>
                <w:sz w:val="24"/>
              </w:rPr>
              <mc:AlternateContent>
                <mc:Choice Requires="wps">
                  <w:drawing>
                    <wp:anchor distT="0" distB="0" distL="114300" distR="114300" simplePos="0" relativeHeight="251662336" behindDoc="0" locked="0" layoutInCell="1" allowOverlap="1">
                      <wp:simplePos x="0" y="0"/>
                      <wp:positionH relativeFrom="column">
                        <wp:posOffset>2220595</wp:posOffset>
                      </wp:positionH>
                      <wp:positionV relativeFrom="paragraph">
                        <wp:posOffset>273685</wp:posOffset>
                      </wp:positionV>
                      <wp:extent cx="716280" cy="274320"/>
                      <wp:effectExtent l="0" t="0" r="0" b="0"/>
                      <wp:wrapNone/>
                      <wp:docPr id="143" name="矩形 143"/>
                      <wp:cNvGraphicFramePr/>
                      <a:graphic xmlns:a="http://schemas.openxmlformats.org/drawingml/2006/main">
                        <a:graphicData uri="http://schemas.microsoft.com/office/word/2010/wordprocessingShape">
                          <wps:wsp>
                            <wps:cNvSpPr/>
                            <wps:spPr>
                              <a:xfrm>
                                <a:off x="0" y="0"/>
                                <a:ext cx="716280" cy="274320"/>
                              </a:xfrm>
                              <a:prstGeom prst="rect">
                                <a:avLst/>
                              </a:prstGeom>
                              <a:noFill/>
                              <a:ln w="9525">
                                <a:noFill/>
                              </a:ln>
                              <a:effectLst/>
                            </wps:spPr>
                            <wps:txbx>
                              <w:txbxContent>
                                <w:p>
                                  <w:r>
                                    <w:rPr>
                                      <w:rFonts w:hint="eastAsia"/>
                                    </w:rPr>
                                    <w:t>损耗120</w:t>
                                  </w:r>
                                </w:p>
                              </w:txbxContent>
                            </wps:txbx>
                            <wps:bodyPr wrap="square" upright="1"/>
                          </wps:wsp>
                        </a:graphicData>
                      </a:graphic>
                    </wp:anchor>
                  </w:drawing>
                </mc:Choice>
                <mc:Fallback>
                  <w:pict>
                    <v:rect id="_x0000_s1026" o:spid="_x0000_s1026" o:spt="1" style="position:absolute;left:0pt;margin-left:174.85pt;margin-top:21.55pt;height:21.6pt;width:56.4pt;z-index:251662336;mso-width-relative:page;mso-height-relative:page;" filled="f" stroked="f" coordsize="21600,21600" o:gfxdata="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IIH4j3bAAAACQEAAA8AAAAA&#10;AAAAAQAgAAAAIgAAAGRycy9kb3ducmV2LnhtbFBLAQIUABQAAAAIAIdO4kC7lqz2nwEAABsDAAAO&#10;AAAAAAAAAAEAIAAAACoBAABkcnMvZTJvRG9jLnhtbFBLBQYAAAAABgAGAFkBAAA7BQAAAAA=&#10;">
                      <v:fill on="f" focussize="0,0"/>
                      <v:stroke on="f"/>
                      <v:imagedata o:title=""/>
                      <o:lock v:ext="edit" aspectratio="f"/>
                      <v:textbox>
                        <w:txbxContent>
                          <w:p>
                            <w:r>
                              <w:rPr>
                                <w:rFonts w:hint="eastAsia"/>
                              </w:rPr>
                              <w:t>损耗120</w:t>
                            </w:r>
                          </w:p>
                        </w:txbxContent>
                      </v:textbox>
                    </v:rect>
                  </w:pict>
                </mc:Fallback>
              </mc:AlternateContent>
            </w:r>
          </w:p>
          <w:p>
            <w:pPr>
              <w:spacing w:after="0" w:line="360" w:lineRule="auto"/>
              <w:ind w:firstLine="480" w:firstLineChars="200"/>
              <w:rPr>
                <w:color w:val="000000"/>
                <w:sz w:val="24"/>
              </w:rPr>
            </w:pPr>
            <w:r>
              <w:rPr>
                <w:rFonts w:hint="eastAsia"/>
                <w:color w:val="000000"/>
                <w:sz w:val="24"/>
              </w:rPr>
              <mc:AlternateContent>
                <mc:Choice Requires="wps">
                  <w:drawing>
                    <wp:anchor distT="0" distB="0" distL="114300" distR="114300" simplePos="0" relativeHeight="251666432" behindDoc="0" locked="0" layoutInCell="1" allowOverlap="1">
                      <wp:simplePos x="0" y="0"/>
                      <wp:positionH relativeFrom="column">
                        <wp:posOffset>4022090</wp:posOffset>
                      </wp:positionH>
                      <wp:positionV relativeFrom="paragraph">
                        <wp:posOffset>195580</wp:posOffset>
                      </wp:positionV>
                      <wp:extent cx="581025" cy="274320"/>
                      <wp:effectExtent l="0" t="0" r="0" b="0"/>
                      <wp:wrapNone/>
                      <wp:docPr id="147" name="矩形 147"/>
                      <wp:cNvGraphicFramePr/>
                      <a:graphic xmlns:a="http://schemas.openxmlformats.org/drawingml/2006/main">
                        <a:graphicData uri="http://schemas.microsoft.com/office/word/2010/wordprocessingShape">
                          <wps:wsp>
                            <wps:cNvSpPr/>
                            <wps:spPr>
                              <a:xfrm>
                                <a:off x="0" y="0"/>
                                <a:ext cx="581025" cy="274320"/>
                              </a:xfrm>
                              <a:prstGeom prst="rect">
                                <a:avLst/>
                              </a:prstGeom>
                              <a:noFill/>
                              <a:ln w="9525">
                                <a:noFill/>
                              </a:ln>
                              <a:effectLst/>
                            </wps:spPr>
                            <wps:txbx>
                              <w:txbxContent>
                                <w:p>
                                  <w:r>
                                    <w:rPr>
                                      <w:rFonts w:hint="eastAsia"/>
                                    </w:rPr>
                                    <w:t>480</w:t>
                                  </w:r>
                                </w:p>
                              </w:txbxContent>
                            </wps:txbx>
                            <wps:bodyPr wrap="square" upright="1"/>
                          </wps:wsp>
                        </a:graphicData>
                      </a:graphic>
                    </wp:anchor>
                  </w:drawing>
                </mc:Choice>
                <mc:Fallback>
                  <w:pict>
                    <v:rect id="_x0000_s1026" o:spid="_x0000_s1026" o:spt="1" style="position:absolute;left:0pt;margin-left:316.7pt;margin-top:15.4pt;height:21.6pt;width:45.75pt;z-index:251666432;mso-width-relative:page;mso-height-relative:page;" filled="f" stroked="f" coordsize="21600,21600" o:gfxdata="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aAFEnaAAAACQEAAA8AAAAA&#10;AAAAAQAgAAAAIgAAAGRycy9kb3ducmV2LnhtbFBLAQIUABQAAAAIAIdO4kDtGjGQoAEAABsDAAAO&#10;AAAAAAAAAAEAIAAAACkBAABkcnMvZTJvRG9jLnhtbFBLBQYAAAAABgAGAFkBAAA7BQAAAAA=&#10;">
                      <v:fill on="f" focussize="0,0"/>
                      <v:stroke on="f"/>
                      <v:imagedata o:title=""/>
                      <o:lock v:ext="edit" aspectratio="f"/>
                      <v:textbox>
                        <w:txbxContent>
                          <w:p>
                            <w:r>
                              <w:rPr>
                                <w:rFonts w:hint="eastAsia"/>
                              </w:rPr>
                              <w:t>480</w:t>
                            </w:r>
                          </w:p>
                        </w:txbxContent>
                      </v:textbox>
                    </v:rect>
                  </w:pict>
                </mc:Fallback>
              </mc:AlternateContent>
            </w:r>
            <w:r>
              <w:rPr>
                <w:rFonts w:hint="eastAsia"/>
                <w:color w:val="000000"/>
                <w:sz w:val="24"/>
              </w:rPr>
              <mc:AlternateContent>
                <mc:Choice Requires="wps">
                  <w:drawing>
                    <wp:anchor distT="0" distB="0" distL="114300" distR="114300" simplePos="0" relativeHeight="251698176" behindDoc="0" locked="0" layoutInCell="1" allowOverlap="1">
                      <wp:simplePos x="0" y="0"/>
                      <wp:positionH relativeFrom="column">
                        <wp:posOffset>1287780</wp:posOffset>
                      </wp:positionH>
                      <wp:positionV relativeFrom="paragraph">
                        <wp:posOffset>142875</wp:posOffset>
                      </wp:positionV>
                      <wp:extent cx="594360" cy="274320"/>
                      <wp:effectExtent l="0" t="0" r="0" b="0"/>
                      <wp:wrapNone/>
                      <wp:docPr id="135" name="矩形 135"/>
                      <wp:cNvGraphicFramePr/>
                      <a:graphic xmlns:a="http://schemas.openxmlformats.org/drawingml/2006/main">
                        <a:graphicData uri="http://schemas.microsoft.com/office/word/2010/wordprocessingShape">
                          <wps:wsp>
                            <wps:cNvSpPr/>
                            <wps:spPr>
                              <a:xfrm>
                                <a:off x="0" y="0"/>
                                <a:ext cx="594360" cy="274320"/>
                              </a:xfrm>
                              <a:prstGeom prst="rect">
                                <a:avLst/>
                              </a:prstGeom>
                              <a:noFill/>
                              <a:ln w="9525">
                                <a:noFill/>
                              </a:ln>
                              <a:effectLst/>
                            </wps:spPr>
                            <wps:txbx>
                              <w:txbxContent>
                                <w:p>
                                  <w:pPr>
                                    <w:jc w:val="center"/>
                                  </w:pPr>
                                  <w:r>
                                    <w:rPr>
                                      <w:rFonts w:hint="eastAsia"/>
                                    </w:rPr>
                                    <w:t>600</w:t>
                                  </w:r>
                                </w:p>
                              </w:txbxContent>
                            </wps:txbx>
                            <wps:bodyPr wrap="square" upright="1"/>
                          </wps:wsp>
                        </a:graphicData>
                      </a:graphic>
                    </wp:anchor>
                  </w:drawing>
                </mc:Choice>
                <mc:Fallback>
                  <w:pict>
                    <v:rect id="_x0000_s1026" o:spid="_x0000_s1026" o:spt="1" style="position:absolute;left:0pt;margin-left:101.4pt;margin-top:11.25pt;height:21.6pt;width:46.8pt;z-index:251698176;mso-width-relative:page;mso-height-relative:page;" filled="f" stroked="f" coordsize="21600,21600" o:gfxdata="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GNN1ATaAAAACQEAAA8AAAAA&#10;AAAAAQAgAAAAIgAAAGRycy9kb3ducmV2LnhtbFBLAQIUABQAAAAIAIdO4kABh6CloAEAABsDAAAO&#10;AAAAAAAAAAEAIAAAACkBAABkcnMvZTJvRG9jLnhtbFBLBQYAAAAABgAGAFkBAAA7BQAAAAA=&#10;">
                      <v:fill on="f" focussize="0,0"/>
                      <v:stroke on="f"/>
                      <v:imagedata o:title=""/>
                      <o:lock v:ext="edit" aspectratio="f"/>
                      <v:textbox>
                        <w:txbxContent>
                          <w:p>
                            <w:pPr>
                              <w:jc w:val="center"/>
                            </w:pPr>
                            <w:r>
                              <w:rPr>
                                <w:rFonts w:hint="eastAsia"/>
                              </w:rPr>
                              <w:t>600</w:t>
                            </w:r>
                          </w:p>
                        </w:txbxContent>
                      </v:textbox>
                    </v:rect>
                  </w:pict>
                </mc:Fallback>
              </mc:AlternateContent>
            </w:r>
            <w:r>
              <w:rPr>
                <w:rFonts w:hint="eastAsia"/>
                <w:color w:val="000000"/>
                <w:sz w:val="24"/>
              </w:rPr>
              <mc:AlternateContent>
                <mc:Choice Requires="wps">
                  <w:drawing>
                    <wp:anchor distT="0" distB="0" distL="114300" distR="114300" simplePos="0" relativeHeight="251691008" behindDoc="0" locked="0" layoutInCell="1" allowOverlap="1">
                      <wp:simplePos x="0" y="0"/>
                      <wp:positionH relativeFrom="column">
                        <wp:posOffset>1934845</wp:posOffset>
                      </wp:positionH>
                      <wp:positionV relativeFrom="paragraph">
                        <wp:posOffset>257810</wp:posOffset>
                      </wp:positionV>
                      <wp:extent cx="2011045" cy="297180"/>
                      <wp:effectExtent l="5080" t="4445" r="22225" b="22225"/>
                      <wp:wrapNone/>
                      <wp:docPr id="125" name="矩形 125"/>
                      <wp:cNvGraphicFramePr/>
                      <a:graphic xmlns:a="http://schemas.openxmlformats.org/drawingml/2006/main">
                        <a:graphicData uri="http://schemas.microsoft.com/office/word/2010/wordprocessingShape">
                          <wps:wsp>
                            <wps:cNvSpPr/>
                            <wps:spPr>
                              <a:xfrm>
                                <a:off x="0" y="0"/>
                                <a:ext cx="195643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szCs w:val="22"/>
                                      <w:lang w:bidi="ar"/>
                                    </w:rPr>
                                    <w:t>混凝土运输罐车罐体清洗</w:t>
                                  </w:r>
                                  <w:r>
                                    <w:rPr>
                                      <w:rFonts w:hint="eastAsia"/>
                                      <w:szCs w:val="22"/>
                                      <w:lang w:bidi="ar"/>
                                    </w:rPr>
                                    <w:t>用</w:t>
                                  </w:r>
                                  <w:r>
                                    <w:rPr>
                                      <w:szCs w:val="22"/>
                                      <w:lang w:bidi="ar"/>
                                    </w:rPr>
                                    <w:t>水</w:t>
                                  </w:r>
                                </w:p>
                              </w:txbxContent>
                            </wps:txbx>
                            <wps:bodyPr wrap="square" upright="1"/>
                          </wps:wsp>
                        </a:graphicData>
                      </a:graphic>
                    </wp:anchor>
                  </w:drawing>
                </mc:Choice>
                <mc:Fallback>
                  <w:pict>
                    <v:rect id="_x0000_s1026" o:spid="_x0000_s1026" o:spt="1" style="position:absolute;left:0pt;margin-left:152.35pt;margin-top:20.3pt;height:23.4pt;width:158.35pt;z-index:251691008;mso-width-relative:page;mso-height-relative:page;" fillcolor="#FFFFFF" filled="t" stroked="t" coordsize="21600,21600" o:gfxdata="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KCrYNgAAAAJAQAADwAAAAAAAAABACAAAAAiAAAAZHJzL2Rvd25yZXYueG1s&#10;UEsBAhQAFAAAAAgAh07iQFb9i5L4AQAA+wMAAA4AAAAAAAAAAQAgAAAAJwEAAGRycy9lMm9Eb2Mu&#10;eG1sUEsFBgAAAAAGAAYAWQEAAJEFAAAAAA==&#10;">
                      <v:fill on="t" focussize="0,0"/>
                      <v:stroke color="#000000" joinstyle="miter"/>
                      <v:imagedata o:title=""/>
                      <o:lock v:ext="edit" aspectratio="f"/>
                      <v:textbox>
                        <w:txbxContent>
                          <w:p>
                            <w:pPr>
                              <w:jc w:val="center"/>
                            </w:pPr>
                            <w:r>
                              <w:rPr>
                                <w:szCs w:val="22"/>
                                <w:lang w:bidi="ar"/>
                              </w:rPr>
                              <w:t>混凝土运输罐车罐体清洗</w:t>
                            </w:r>
                            <w:r>
                              <w:rPr>
                                <w:rFonts w:hint="eastAsia"/>
                                <w:szCs w:val="22"/>
                                <w:lang w:bidi="ar"/>
                              </w:rPr>
                              <w:t>用</w:t>
                            </w:r>
                            <w:r>
                              <w:rPr>
                                <w:szCs w:val="22"/>
                                <w:lang w:bidi="ar"/>
                              </w:rPr>
                              <w:t>水</w:t>
                            </w:r>
                          </w:p>
                        </w:txbxContent>
                      </v:textbox>
                    </v:rect>
                  </w:pict>
                </mc:Fallback>
              </mc:AlternateContent>
            </w:r>
            <w:r>
              <w:rPr>
                <w:rFonts w:hint="eastAsia"/>
                <w:color w:val="000000"/>
                <w:sz w:val="24"/>
              </w:rPr>
              <mc:AlternateContent>
                <mc:Choice Requires="wps">
                  <w:drawing>
                    <wp:anchor distT="0" distB="0" distL="114300" distR="114300" simplePos="0" relativeHeight="251702272" behindDoc="0" locked="0" layoutInCell="1" allowOverlap="1">
                      <wp:simplePos x="0" y="0"/>
                      <wp:positionH relativeFrom="column">
                        <wp:posOffset>2129155</wp:posOffset>
                      </wp:positionH>
                      <wp:positionV relativeFrom="paragraph">
                        <wp:posOffset>88900</wp:posOffset>
                      </wp:positionV>
                      <wp:extent cx="129540" cy="160020"/>
                      <wp:effectExtent l="3810" t="0" r="0" b="11430"/>
                      <wp:wrapNone/>
                      <wp:docPr id="139" name="直接箭头连接符 139"/>
                      <wp:cNvGraphicFramePr/>
                      <a:graphic xmlns:a="http://schemas.openxmlformats.org/drawingml/2006/main">
                        <a:graphicData uri="http://schemas.microsoft.com/office/word/2010/wordprocessingShape">
                          <wps:wsp>
                            <wps:cNvCnPr/>
                            <wps:spPr>
                              <a:xfrm flipV="1">
                                <a:off x="0" y="0"/>
                                <a:ext cx="129540" cy="160020"/>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y;margin-left:167.65pt;margin-top:7pt;height:12.6pt;width:10.2pt;z-index:251702272;mso-width-relative:page;mso-height-relative:page;" filled="f" stroked="t" coordsize="21600,21600" o:gfxdata="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kGxe7VAAAACQEAAA8AAAAAAAAAAQAgAAAAIgAAAGRycy9kb3ducmV2Lnht&#10;bFBLAQIUABQAAAAIAIdO4kB0Gkk9/AEAAMEDAAAOAAAAAAAAAAEAIAAAACQBAABkcnMvZTJvRG9j&#10;LnhtbFBLBQYAAAAABgAGAFkBAACSBQAAAAA=&#10;">
                      <v:fill on="f" focussize="0,0"/>
                      <v:stroke color="#000000" joinstyle="round" dashstyle="dash" endarrow="block"/>
                      <v:imagedata o:title=""/>
                      <o:lock v:ext="edit" aspectratio="f"/>
                    </v:shape>
                  </w:pict>
                </mc:Fallback>
              </mc:AlternateContent>
            </w:r>
          </w:p>
          <w:p>
            <w:pPr>
              <w:spacing w:after="0" w:line="360" w:lineRule="auto"/>
              <w:ind w:firstLine="420" w:firstLineChars="200"/>
              <w:rPr>
                <w:color w:val="000000"/>
                <w:sz w:val="24"/>
              </w:rPr>
            </w:pPr>
            <w:r>
              <mc:AlternateContent>
                <mc:Choice Requires="wps">
                  <w:drawing>
                    <wp:anchor distT="45720" distB="45720" distL="114300" distR="114300" simplePos="0" relativeHeight="251709440" behindDoc="0" locked="0" layoutInCell="1" allowOverlap="1">
                      <wp:simplePos x="0" y="0"/>
                      <wp:positionH relativeFrom="column">
                        <wp:posOffset>335280</wp:posOffset>
                      </wp:positionH>
                      <wp:positionV relativeFrom="paragraph">
                        <wp:posOffset>158115</wp:posOffset>
                      </wp:positionV>
                      <wp:extent cx="443230" cy="1849755"/>
                      <wp:effectExtent l="0" t="0" r="0" b="0"/>
                      <wp:wrapNone/>
                      <wp:docPr id="10" name="文本框 2"/>
                      <wp:cNvGraphicFramePr/>
                      <a:graphic xmlns:a="http://schemas.openxmlformats.org/drawingml/2006/main">
                        <a:graphicData uri="http://schemas.microsoft.com/office/word/2010/wordprocessingShape">
                          <wps:wsp>
                            <wps:cNvSpPr txBox="1"/>
                            <wps:spPr>
                              <a:xfrm>
                                <a:off x="0" y="0"/>
                                <a:ext cx="443230" cy="1849755"/>
                              </a:xfrm>
                              <a:prstGeom prst="rect">
                                <a:avLst/>
                              </a:prstGeom>
                              <a:noFill/>
                              <a:ln>
                                <a:noFill/>
                              </a:ln>
                            </wps:spPr>
                            <wps:txbx>
                              <w:txbxContent>
                                <w:p>
                                  <w:pPr>
                                    <w:jc w:val="center"/>
                                  </w:pPr>
                                  <w:r>
                                    <w:rPr>
                                      <w:rFonts w:hint="eastAsia"/>
                                    </w:rPr>
                                    <w:t>水</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6.4pt;margin-top:12.45pt;height:145.65pt;width:34.9pt;z-index:251709440;mso-width-relative:page;mso-height-relative:margin;mso-height-percent:200;" filled="f" stroked="f" coordsize="21600,21600" o:gfxdata="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IuEsFTWAAAACQEAAA8A&#10;AAAAAAAAAQAgAAAAIgAAAGRycy9kb3ducmV2LnhtbFBLAQIUABQAAAAIAIdO4kCB/BnPpwEAACkD&#10;AAAOAAAAAAAAAAEAIAAAACUBAABkcnMvZTJvRG9jLnhtbFBLBQYAAAAABgAGAFkBAAA+BQAAAAA=&#10;">
                      <v:fill on="f" focussize="0,0"/>
                      <v:stroke on="f"/>
                      <v:imagedata o:title=""/>
                      <o:lock v:ext="edit" aspectratio="f"/>
                      <v:textbox style="mso-fit-shape-to-text:t;">
                        <w:txbxContent>
                          <w:p>
                            <w:pPr>
                              <w:jc w:val="center"/>
                            </w:pPr>
                            <w:r>
                              <w:rPr>
                                <w:rFonts w:hint="eastAsia"/>
                              </w:rPr>
                              <w:t>水</w:t>
                            </w:r>
                          </w:p>
                        </w:txbxContent>
                      </v:textbox>
                    </v:shape>
                  </w:pict>
                </mc:Fallback>
              </mc:AlternateContent>
            </w:r>
            <w:r>
              <w:rPr>
                <w:rFonts w:hint="eastAsia"/>
                <w:color w:val="000000"/>
                <w:sz w:val="24"/>
              </w:rPr>
              <mc:AlternateContent>
                <mc:Choice Requires="wps">
                  <w:drawing>
                    <wp:anchor distT="0" distB="0" distL="114300" distR="114300" simplePos="0" relativeHeight="251708416" behindDoc="0" locked="0" layoutInCell="1" allowOverlap="1">
                      <wp:simplePos x="0" y="0"/>
                      <wp:positionH relativeFrom="column">
                        <wp:posOffset>3947795</wp:posOffset>
                      </wp:positionH>
                      <wp:positionV relativeFrom="paragraph">
                        <wp:posOffset>101600</wp:posOffset>
                      </wp:positionV>
                      <wp:extent cx="915670" cy="904875"/>
                      <wp:effectExtent l="0" t="4445" r="17780" b="43180"/>
                      <wp:wrapNone/>
                      <wp:docPr id="9" name="自选图形 199"/>
                      <wp:cNvGraphicFramePr/>
                      <a:graphic xmlns:a="http://schemas.openxmlformats.org/drawingml/2006/main">
                        <a:graphicData uri="http://schemas.microsoft.com/office/word/2010/wordprocessingShape">
                          <wps:wsp>
                            <wps:cNvCnPr/>
                            <wps:spPr>
                              <a:xfrm>
                                <a:off x="0" y="0"/>
                                <a:ext cx="915670" cy="904875"/>
                              </a:xfrm>
                              <a:prstGeom prst="bentConnector3">
                                <a:avLst>
                                  <a:gd name="adj1" fmla="val 47921"/>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199" o:spid="_x0000_s1026" o:spt="34" type="#_x0000_t34" style="position:absolute;left:0pt;margin-left:310.85pt;margin-top:8pt;height:71.25pt;width:72.1pt;z-index:251708416;mso-width-relative:page;mso-height-relative:page;" filled="f" stroked="t" coordsize="21600,21600" o:gfxdata="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wJS0LYAAAACgEAAA8AAAAAAAAAAQAgAAAAIgAAAGRycy9kb3du&#10;cmV2LnhtbFBLAQIUABQAAAAIAIdO4kAGo4zz/wEAANIDAAAOAAAAAAAAAAEAIAAAACcBAABkcnMv&#10;ZTJvRG9jLnhtbFBLBQYAAAAABgAGAFkBAACYBQAAAAA=&#10;" adj="10351">
                      <v:fill on="f" focussize="0,0"/>
                      <v:stroke color="#000000" joinstyle="miter" endarrow="block"/>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685888" behindDoc="0" locked="0" layoutInCell="1" allowOverlap="1">
                      <wp:simplePos x="0" y="0"/>
                      <wp:positionH relativeFrom="column">
                        <wp:posOffset>1268095</wp:posOffset>
                      </wp:positionH>
                      <wp:positionV relativeFrom="paragraph">
                        <wp:posOffset>113665</wp:posOffset>
                      </wp:positionV>
                      <wp:extent cx="665480" cy="0"/>
                      <wp:effectExtent l="0" t="38100" r="1270" b="38100"/>
                      <wp:wrapNone/>
                      <wp:docPr id="3" name="直接箭头连接符 120"/>
                      <wp:cNvGraphicFramePr/>
                      <a:graphic xmlns:a="http://schemas.openxmlformats.org/drawingml/2006/main">
                        <a:graphicData uri="http://schemas.microsoft.com/office/word/2010/wordprocessingShape">
                          <wps:wsp>
                            <wps:cNvCnPr/>
                            <wps:spPr>
                              <a:xfrm>
                                <a:off x="0" y="0"/>
                                <a:ext cx="6654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20" o:spid="_x0000_s1026" o:spt="32" type="#_x0000_t32" style="position:absolute;left:0pt;margin-left:99.85pt;margin-top:8.95pt;height:0pt;width:52.4pt;z-index:251685888;mso-width-relative:page;mso-height-relative:page;" filled="f" stroked="t" coordsize="21600,21600" o:gfxdata="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On14&#10;2AAAAAkBAAAPAAAAAAAAAAEAIAAAACIAAABkcnMvZG93bnJldi54bWxQSwECFAAUAAAACACHTuJA&#10;AxZQgegBAACjAwAADgAAAAAAAAABACAAAAAnAQAAZHJzL2Uyb0RvYy54bWxQSwUGAAAAAAYABgBZ&#10;AQAAgQUAAAAA&#10;">
                      <v:fill on="f" focussize="0,0"/>
                      <v:stroke color="#000000" joinstyle="round" endarrow="block"/>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682816" behindDoc="0" locked="0" layoutInCell="1" allowOverlap="1">
                      <wp:simplePos x="0" y="0"/>
                      <wp:positionH relativeFrom="column">
                        <wp:posOffset>685165</wp:posOffset>
                      </wp:positionH>
                      <wp:positionV relativeFrom="paragraph">
                        <wp:posOffset>35560</wp:posOffset>
                      </wp:positionV>
                      <wp:extent cx="523240" cy="259080"/>
                      <wp:effectExtent l="0" t="0" r="0" b="0"/>
                      <wp:wrapNone/>
                      <wp:docPr id="41" name="矩形 41"/>
                      <wp:cNvGraphicFramePr/>
                      <a:graphic xmlns:a="http://schemas.openxmlformats.org/drawingml/2006/main">
                        <a:graphicData uri="http://schemas.microsoft.com/office/word/2010/wordprocessingShape">
                          <wps:wsp>
                            <wps:cNvSpPr/>
                            <wps:spPr>
                              <a:xfrm>
                                <a:off x="0" y="0"/>
                                <a:ext cx="469900" cy="259080"/>
                              </a:xfrm>
                              <a:prstGeom prst="rect">
                                <a:avLst/>
                              </a:prstGeom>
                              <a:noFill/>
                              <a:ln w="9525">
                                <a:noFill/>
                              </a:ln>
                              <a:effectLst/>
                            </wps:spPr>
                            <wps:txbx>
                              <w:txbxContent>
                                <w:p>
                                  <w:r>
                                    <w:rPr>
                                      <w:rFonts w:hint="eastAsia"/>
                                    </w:rPr>
                                    <w:t>16718</w:t>
                                  </w:r>
                                </w:p>
                              </w:txbxContent>
                            </wps:txbx>
                            <wps:bodyPr wrap="square" upright="1"/>
                          </wps:wsp>
                        </a:graphicData>
                      </a:graphic>
                    </wp:anchor>
                  </w:drawing>
                </mc:Choice>
                <mc:Fallback>
                  <w:pict>
                    <v:rect id="_x0000_s1026" o:spid="_x0000_s1026" o:spt="1" style="position:absolute;left:0pt;margin-left:53.95pt;margin-top:2.8pt;height:20.4pt;width:41.2pt;z-index:251682816;mso-width-relative:page;mso-height-relative:page;" filled="f" stroked="f" coordsize="21600,21600" o:gfxdata="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2ZuxvZAAAACAEAAA8AAAAAAAAA&#10;AQAgAAAAIgAAAGRycy9kb3ducmV2LnhtbFBLAQIUABQAAAAIAIdO4kB9sQHNngEAABkDAAAOAAAA&#10;AAAAAAEAIAAAACgBAABkcnMvZTJvRG9jLnhtbFBLBQYAAAAABgAGAFkBAAA4BQAAAAA=&#10;">
                      <v:fill on="f" focussize="0,0"/>
                      <v:stroke on="f"/>
                      <v:imagedata o:title=""/>
                      <o:lock v:ext="edit" aspectratio="f"/>
                      <v:textbox>
                        <w:txbxContent>
                          <w:p>
                            <w:r>
                              <w:rPr>
                                <w:rFonts w:hint="eastAsia"/>
                              </w:rPr>
                              <w:t>16718</w:t>
                            </w:r>
                          </w:p>
                        </w:txbxContent>
                      </v:textbox>
                    </v:rect>
                  </w:pict>
                </mc:Fallback>
              </mc:AlternateContent>
            </w:r>
          </w:p>
          <w:p>
            <w:pPr>
              <w:spacing w:after="0" w:line="360" w:lineRule="auto"/>
              <w:ind w:firstLine="480" w:firstLineChars="200"/>
              <w:rPr>
                <w:color w:val="000000"/>
                <w:sz w:val="24"/>
              </w:rPr>
            </w:pPr>
            <w:r>
              <w:rPr>
                <w:rFonts w:hint="eastAsia"/>
                <w:color w:val="000000"/>
                <w:sz w:val="24"/>
              </w:rPr>
              <mc:AlternateContent>
                <mc:Choice Requires="wps">
                  <w:drawing>
                    <wp:anchor distT="0" distB="0" distL="114300" distR="114300" simplePos="0" relativeHeight="251667456" behindDoc="0" locked="0" layoutInCell="1" allowOverlap="1">
                      <wp:simplePos x="0" y="0"/>
                      <wp:positionH relativeFrom="column">
                        <wp:posOffset>3970020</wp:posOffset>
                      </wp:positionH>
                      <wp:positionV relativeFrom="paragraph">
                        <wp:posOffset>266700</wp:posOffset>
                      </wp:positionV>
                      <wp:extent cx="581025" cy="274320"/>
                      <wp:effectExtent l="0" t="0" r="0" b="0"/>
                      <wp:wrapNone/>
                      <wp:docPr id="148" name="矩形 148"/>
                      <wp:cNvGraphicFramePr/>
                      <a:graphic xmlns:a="http://schemas.openxmlformats.org/drawingml/2006/main">
                        <a:graphicData uri="http://schemas.microsoft.com/office/word/2010/wordprocessingShape">
                          <wps:wsp>
                            <wps:cNvSpPr/>
                            <wps:spPr>
                              <a:xfrm>
                                <a:off x="0" y="0"/>
                                <a:ext cx="581025" cy="274320"/>
                              </a:xfrm>
                              <a:prstGeom prst="rect">
                                <a:avLst/>
                              </a:prstGeom>
                              <a:noFill/>
                              <a:ln w="9525">
                                <a:noFill/>
                              </a:ln>
                              <a:effectLst/>
                            </wps:spPr>
                            <wps:txbx>
                              <w:txbxContent>
                                <w:p>
                                  <w:r>
                                    <w:rPr>
                                      <w:rFonts w:hint="eastAsia"/>
                                    </w:rPr>
                                    <w:t>240</w:t>
                                  </w:r>
                                </w:p>
                              </w:txbxContent>
                            </wps:txbx>
                            <wps:bodyPr wrap="square" upright="1"/>
                          </wps:wsp>
                        </a:graphicData>
                      </a:graphic>
                    </wp:anchor>
                  </w:drawing>
                </mc:Choice>
                <mc:Fallback>
                  <w:pict>
                    <v:rect id="_x0000_s1026" o:spid="_x0000_s1026" o:spt="1" style="position:absolute;left:0pt;margin-left:312.6pt;margin-top:21pt;height:21.6pt;width:45.75pt;z-index:251667456;mso-width-relative:page;mso-height-relative:page;" filled="f" stroked="f" coordsize="21600,21600" o:gfxdata="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7LusjNkAAAAJAQAADwAAAAAA&#10;AAABACAAAAAiAAAAZHJzL2Rvd25yZXYueG1sUEsBAhQAFAAAAAgAh07iQNl94VmgAQAAGwMAAA4A&#10;AAAAAAAAAQAgAAAAKAEAAGRycy9lMm9Eb2MueG1sUEsFBgAAAAAGAAYAWQEAADoFAAAAAA==&#10;">
                      <v:fill on="f" focussize="0,0"/>
                      <v:stroke on="f"/>
                      <v:imagedata o:title=""/>
                      <o:lock v:ext="edit" aspectratio="f"/>
                      <v:textbox>
                        <w:txbxContent>
                          <w:p>
                            <w:r>
                              <w:rPr>
                                <w:rFonts w:hint="eastAsia"/>
                              </w:rPr>
                              <w:t>240</w:t>
                            </w:r>
                          </w:p>
                        </w:txbxContent>
                      </v:textbox>
                    </v:rect>
                  </w:pict>
                </mc:Fallback>
              </mc:AlternateContent>
            </w:r>
            <w:r>
              <w:rPr>
                <w:rFonts w:hint="eastAsia"/>
                <w:color w:val="000000"/>
                <w:sz w:val="24"/>
              </w:rPr>
              <mc:AlternateContent>
                <mc:Choice Requires="wps">
                  <w:drawing>
                    <wp:anchor distT="45720" distB="45720" distL="114300" distR="114300" simplePos="0" relativeHeight="251712512" behindDoc="0" locked="0" layoutInCell="1" allowOverlap="1">
                      <wp:simplePos x="0" y="0"/>
                      <wp:positionH relativeFrom="column">
                        <wp:posOffset>558800</wp:posOffset>
                      </wp:positionH>
                      <wp:positionV relativeFrom="paragraph">
                        <wp:posOffset>93980</wp:posOffset>
                      </wp:positionV>
                      <wp:extent cx="0" cy="1951355"/>
                      <wp:effectExtent l="38100" t="0" r="38100" b="10795"/>
                      <wp:wrapNone/>
                      <wp:docPr id="14" name="自选图形 205"/>
                      <wp:cNvGraphicFramePr/>
                      <a:graphic xmlns:a="http://schemas.openxmlformats.org/drawingml/2006/main">
                        <a:graphicData uri="http://schemas.microsoft.com/office/word/2010/wordprocessingShape">
                          <wps:wsp>
                            <wps:cNvCnPr/>
                            <wps:spPr>
                              <a:xfrm flipV="1">
                                <a:off x="0" y="0"/>
                                <a:ext cx="0" cy="19513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05" o:spid="_x0000_s1026" o:spt="32" type="#_x0000_t32" style="position:absolute;left:0pt;flip:y;margin-left:44pt;margin-top:7.4pt;height:153.65pt;width:0pt;z-index:251712512;mso-width-relative:page;mso-height-relative:page;" filled="f" stroked="t" coordsize="21600,21600" o:gfxdata="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43KQXW&#10;AAAACAEAAA8AAAAAAAAAAQAgAAAAIgAAAGRycy9kb3ducmV2LnhtbFBLAQIUABQAAAAIAIdO4kBH&#10;mg4x6QEAAKYDAAAOAAAAAAAAAAEAIAAAACUBAABkcnMvZTJvRG9jLnhtbFBLBQYAAAAABgAGAFkB&#10;AACABQAAAAA=&#10;">
                      <v:fill on="f" focussize="0,0"/>
                      <v:stroke color="#000000" joinstyle="round" endarrow="block"/>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663360" behindDoc="0" locked="0" layoutInCell="1" allowOverlap="1">
                      <wp:simplePos x="0" y="0"/>
                      <wp:positionH relativeFrom="column">
                        <wp:posOffset>2230120</wp:posOffset>
                      </wp:positionH>
                      <wp:positionV relativeFrom="paragraph">
                        <wp:posOffset>96520</wp:posOffset>
                      </wp:positionV>
                      <wp:extent cx="716280" cy="274320"/>
                      <wp:effectExtent l="0" t="0" r="0" b="0"/>
                      <wp:wrapNone/>
                      <wp:docPr id="144" name="矩形 144"/>
                      <wp:cNvGraphicFramePr/>
                      <a:graphic xmlns:a="http://schemas.openxmlformats.org/drawingml/2006/main">
                        <a:graphicData uri="http://schemas.microsoft.com/office/word/2010/wordprocessingShape">
                          <wps:wsp>
                            <wps:cNvSpPr/>
                            <wps:spPr>
                              <a:xfrm>
                                <a:off x="0" y="0"/>
                                <a:ext cx="716280" cy="274320"/>
                              </a:xfrm>
                              <a:prstGeom prst="rect">
                                <a:avLst/>
                              </a:prstGeom>
                              <a:noFill/>
                              <a:ln w="9525">
                                <a:noFill/>
                              </a:ln>
                              <a:effectLst/>
                            </wps:spPr>
                            <wps:txbx>
                              <w:txbxContent>
                                <w:p>
                                  <w:r>
                                    <w:rPr>
                                      <w:rFonts w:hint="eastAsia"/>
                                    </w:rPr>
                                    <w:t>损耗60</w:t>
                                  </w:r>
                                </w:p>
                              </w:txbxContent>
                            </wps:txbx>
                            <wps:bodyPr wrap="square" upright="1"/>
                          </wps:wsp>
                        </a:graphicData>
                      </a:graphic>
                    </wp:anchor>
                  </w:drawing>
                </mc:Choice>
                <mc:Fallback>
                  <w:pict>
                    <v:rect id="_x0000_s1026" o:spid="_x0000_s1026" o:spt="1" style="position:absolute;left:0pt;margin-left:175.6pt;margin-top:7.6pt;height:21.6pt;width:56.4pt;z-index:251663360;mso-width-relative:page;mso-height-relative:page;" filled="f" stroked="f" coordsize="21600,21600" o:gfxdata="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4hOSvaAAAACQEAAA8AAAAA&#10;AAAAAQAgAAAAIgAAAGRycy9kb3ducmV2LnhtbFBLAQIUABQAAAAIAIdO4kCjonAKoAEAABsDAAAO&#10;AAAAAAAAAAEAIAAAACkBAABkcnMvZTJvRG9jLnhtbFBLBQYAAAAABgAGAFkBAAA7BQAAAAA=&#10;">
                      <v:fill on="f" focussize="0,0"/>
                      <v:stroke on="f"/>
                      <v:imagedata o:title=""/>
                      <o:lock v:ext="edit" aspectratio="f"/>
                      <v:textbox>
                        <w:txbxContent>
                          <w:p>
                            <w:r>
                              <w:rPr>
                                <w:rFonts w:hint="eastAsia"/>
                              </w:rPr>
                              <w:t>损耗60</w:t>
                            </w:r>
                          </w:p>
                        </w:txbxContent>
                      </v:textbox>
                    </v:rect>
                  </w:pict>
                </mc:Fallback>
              </mc:AlternateContent>
            </w:r>
            <w:r>
              <w:rPr>
                <w:rFonts w:hint="eastAsia"/>
                <w:color w:val="000000"/>
                <w:sz w:val="24"/>
              </w:rPr>
              <mc:AlternateContent>
                <mc:Choice Requires="wps">
                  <w:drawing>
                    <wp:anchor distT="0" distB="0" distL="114300" distR="114300" simplePos="0" relativeHeight="251659264" behindDoc="0" locked="0" layoutInCell="1" allowOverlap="1">
                      <wp:simplePos x="0" y="0"/>
                      <wp:positionH relativeFrom="column">
                        <wp:posOffset>2110105</wp:posOffset>
                      </wp:positionH>
                      <wp:positionV relativeFrom="paragraph">
                        <wp:posOffset>161290</wp:posOffset>
                      </wp:positionV>
                      <wp:extent cx="129540" cy="160020"/>
                      <wp:effectExtent l="3810" t="0" r="0" b="11430"/>
                      <wp:wrapNone/>
                      <wp:docPr id="140" name="直接箭头连接符 140"/>
                      <wp:cNvGraphicFramePr/>
                      <a:graphic xmlns:a="http://schemas.openxmlformats.org/drawingml/2006/main">
                        <a:graphicData uri="http://schemas.microsoft.com/office/word/2010/wordprocessingShape">
                          <wps:wsp>
                            <wps:cNvCnPr/>
                            <wps:spPr>
                              <a:xfrm flipV="1">
                                <a:off x="0" y="0"/>
                                <a:ext cx="129540" cy="160020"/>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y;margin-left:166.15pt;margin-top:12.7pt;height:12.6pt;width:10.2pt;z-index:251659264;mso-width-relative:page;mso-height-relative:page;" filled="f" stroked="t" coordsize="21600,21600" o:gfxdata="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im0k1QAAAAkBAAAPAAAAAAAAAAEAIAAAACIAAABkcnMvZG93bnJldi54bWxQ&#10;SwECFAAUAAAACACHTuJA/LIOJ/oBAADBAwAADgAAAAAAAAABACAAAAAkAQAAZHJzL2Uyb0RvYy54&#10;bWxQSwUGAAAAAAYABgBZAQAAkAUAAAAA&#10;">
                      <v:fill on="f" focussize="0,0"/>
                      <v:stroke color="#000000" joinstyle="round" dashstyle="dash" endarrow="block"/>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699200" behindDoc="0" locked="0" layoutInCell="1" allowOverlap="1">
                      <wp:simplePos x="0" y="0"/>
                      <wp:positionH relativeFrom="column">
                        <wp:posOffset>1405255</wp:posOffset>
                      </wp:positionH>
                      <wp:positionV relativeFrom="paragraph">
                        <wp:posOffset>218440</wp:posOffset>
                      </wp:positionV>
                      <wp:extent cx="594360" cy="274320"/>
                      <wp:effectExtent l="0" t="0" r="0" b="0"/>
                      <wp:wrapNone/>
                      <wp:docPr id="136" name="矩形 136"/>
                      <wp:cNvGraphicFramePr/>
                      <a:graphic xmlns:a="http://schemas.openxmlformats.org/drawingml/2006/main">
                        <a:graphicData uri="http://schemas.microsoft.com/office/word/2010/wordprocessingShape">
                          <wps:wsp>
                            <wps:cNvSpPr/>
                            <wps:spPr>
                              <a:xfrm>
                                <a:off x="0" y="0"/>
                                <a:ext cx="594360" cy="274320"/>
                              </a:xfrm>
                              <a:prstGeom prst="rect">
                                <a:avLst/>
                              </a:prstGeom>
                              <a:noFill/>
                              <a:ln w="9525">
                                <a:noFill/>
                              </a:ln>
                              <a:effectLst/>
                            </wps:spPr>
                            <wps:txbx>
                              <w:txbxContent>
                                <w:p>
                                  <w:pPr>
                                    <w:jc w:val="center"/>
                                  </w:pPr>
                                  <w:r>
                                    <w:rPr>
                                      <w:rFonts w:hint="eastAsia"/>
                                    </w:rPr>
                                    <w:t>300</w:t>
                                  </w:r>
                                </w:p>
                              </w:txbxContent>
                            </wps:txbx>
                            <wps:bodyPr wrap="square" upright="1"/>
                          </wps:wsp>
                        </a:graphicData>
                      </a:graphic>
                    </wp:anchor>
                  </w:drawing>
                </mc:Choice>
                <mc:Fallback>
                  <w:pict>
                    <v:rect id="_x0000_s1026" o:spid="_x0000_s1026" o:spt="1" style="position:absolute;left:0pt;margin-left:110.65pt;margin-top:17.2pt;height:21.6pt;width:46.8pt;z-index:251699200;mso-width-relative:page;mso-height-relative:page;" filled="f" stroked="f" coordsize="21600,21600" o:gfxdata="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NGQQtsAAAAJAQAADwAA&#10;AAAAAAABACAAAAAiAAAAZHJzL2Rvd25yZXYueG1sUEsBAhQAFAAAAAgAh07iQI+a+kOhAQAAGwMA&#10;AA4AAAAAAAAAAQAgAAAAKgEAAGRycy9lMm9Eb2MueG1sUEsFBgAAAAAGAAYAWQEAAD0FAAAAAA==&#10;">
                      <v:fill on="f" focussize="0,0"/>
                      <v:stroke on="f"/>
                      <v:imagedata o:title=""/>
                      <o:lock v:ext="edit" aspectratio="f"/>
                      <v:textbox>
                        <w:txbxContent>
                          <w:p>
                            <w:pPr>
                              <w:jc w:val="center"/>
                            </w:pPr>
                            <w:r>
                              <w:rPr>
                                <w:rFonts w:hint="eastAsia"/>
                              </w:rPr>
                              <w:t>300</w:t>
                            </w:r>
                          </w:p>
                        </w:txbxContent>
                      </v:textbox>
                    </v:rect>
                  </w:pict>
                </mc:Fallback>
              </mc:AlternateContent>
            </w:r>
            <w:r>
              <w:rPr>
                <w:rFonts w:hint="eastAsia"/>
                <w:color w:val="000000"/>
                <w:sz w:val="24"/>
              </w:rPr>
              <mc:AlternateContent>
                <mc:Choice Requires="wps">
                  <w:drawing>
                    <wp:anchor distT="0" distB="0" distL="114300" distR="114300" simplePos="0" relativeHeight="251683840" behindDoc="0" locked="0" layoutInCell="1" allowOverlap="1">
                      <wp:simplePos x="0" y="0"/>
                      <wp:positionH relativeFrom="column">
                        <wp:posOffset>767715</wp:posOffset>
                      </wp:positionH>
                      <wp:positionV relativeFrom="paragraph">
                        <wp:posOffset>41275</wp:posOffset>
                      </wp:positionV>
                      <wp:extent cx="467995" cy="3810"/>
                      <wp:effectExtent l="0" t="34925" r="8255" b="37465"/>
                      <wp:wrapNone/>
                      <wp:docPr id="47" name="直接箭头连接符 47"/>
                      <wp:cNvGraphicFramePr/>
                      <a:graphic xmlns:a="http://schemas.openxmlformats.org/drawingml/2006/main">
                        <a:graphicData uri="http://schemas.microsoft.com/office/word/2010/wordprocessingShape">
                          <wps:wsp>
                            <wps:cNvCnPr/>
                            <wps:spPr>
                              <a:xfrm>
                                <a:off x="0" y="0"/>
                                <a:ext cx="467995" cy="381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60.45pt;margin-top:3.25pt;height:0.3pt;width:36.85pt;z-index:251683840;mso-width-relative:page;mso-height-relative:page;" filled="f" stroked="t" coordsize="21600,21600" o:gfxdata="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P8aNHWAAAABwEAAA8AAAAAAAAAAQAgAAAAIgAAAGRycy9kb3ducmV2LnhtbFBLAQIUABQA&#10;AAAIAIdO4kDZzHIG8gEAALQDAAAOAAAAAAAAAAEAIAAAACUBAABkcnMvZTJvRG9jLnhtbFBLBQYA&#10;AAAABgAGAFkBAACJBQAAAAA=&#10;">
                      <v:fill on="f" focussize="0,0"/>
                      <v:stroke color="#000000" joinstyle="round" endarrow="block"/>
                      <v:imagedata o:title=""/>
                      <o:lock v:ext="edit" aspectratio="f"/>
                    </v:shape>
                  </w:pict>
                </mc:Fallback>
              </mc:AlternateContent>
            </w:r>
          </w:p>
          <w:p>
            <w:pPr>
              <w:spacing w:after="0" w:line="360" w:lineRule="auto"/>
              <w:ind w:firstLine="422" w:firstLineChars="200"/>
              <w:rPr>
                <w:color w:val="000000"/>
                <w:sz w:val="24"/>
              </w:rPr>
            </w:pPr>
            <w:r>
              <w:rPr>
                <w:rFonts w:hint="eastAsia"/>
                <w:b/>
                <w:bCs/>
                <w:szCs w:val="32"/>
              </w:rPr>
              <mc:AlternateContent>
                <mc:Choice Requires="wps">
                  <w:drawing>
                    <wp:anchor distT="0" distB="0" distL="114300" distR="114300" simplePos="0" relativeHeight="251705344" behindDoc="0" locked="0" layoutInCell="1" allowOverlap="1">
                      <wp:simplePos x="0" y="0"/>
                      <wp:positionH relativeFrom="column">
                        <wp:posOffset>3949700</wp:posOffset>
                      </wp:positionH>
                      <wp:positionV relativeFrom="paragraph">
                        <wp:posOffset>187960</wp:posOffset>
                      </wp:positionV>
                      <wp:extent cx="883285" cy="226060"/>
                      <wp:effectExtent l="0" t="4445" r="12065" b="55245"/>
                      <wp:wrapNone/>
                      <wp:docPr id="6" name="自选图形 189"/>
                      <wp:cNvGraphicFramePr/>
                      <a:graphic xmlns:a="http://schemas.openxmlformats.org/drawingml/2006/main">
                        <a:graphicData uri="http://schemas.microsoft.com/office/word/2010/wordprocessingShape">
                          <wps:wsp>
                            <wps:cNvCnPr/>
                            <wps:spPr>
                              <a:xfrm>
                                <a:off x="0" y="0"/>
                                <a:ext cx="883285" cy="226060"/>
                              </a:xfrm>
                              <a:prstGeom prst="bentConnector3">
                                <a:avLst>
                                  <a:gd name="adj1" fmla="val 49963"/>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189" o:spid="_x0000_s1026" o:spt="34" type="#_x0000_t34" style="position:absolute;left:0pt;margin-left:311pt;margin-top:14.8pt;height:17.8pt;width:69.55pt;z-index:251705344;mso-width-relative:page;mso-height-relative:page;" filled="f" stroked="t" coordsize="21600,21600" o:gfxdata="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2bQF12gAAAAkBAAAPAAAAAAAAAAEAIAAAACIAAABkcnMv&#10;ZG93bnJldi54bWxQSwECFAAUAAAACACHTuJAc/2/6wECAADSAwAADgAAAAAAAAABACAAAAApAQAA&#10;ZHJzL2Uyb0RvYy54bWxQSwUGAAAAAAYABgBZAQAAnAUAAAAA&#10;" adj="10792">
                      <v:fill on="f" focussize="0,0"/>
                      <v:stroke color="#000000" joinstyle="miter" endarrow="block"/>
                      <v:imagedata o:title=""/>
                      <o:lock v:ext="edit" aspectratio="f"/>
                    </v:shape>
                  </w:pict>
                </mc:Fallback>
              </mc:AlternateContent>
            </w:r>
            <w:r>
              <w:rPr>
                <w:rFonts w:hint="eastAsia"/>
                <w:b/>
                <w:bCs/>
                <w:szCs w:val="32"/>
              </w:rPr>
              <mc:AlternateContent>
                <mc:Choice Requires="wps">
                  <w:drawing>
                    <wp:anchor distT="0" distB="0" distL="114300" distR="114300" simplePos="0" relativeHeight="251704320" behindDoc="0" locked="0" layoutInCell="1" allowOverlap="1">
                      <wp:simplePos x="0" y="0"/>
                      <wp:positionH relativeFrom="column">
                        <wp:posOffset>4831715</wp:posOffset>
                      </wp:positionH>
                      <wp:positionV relativeFrom="paragraph">
                        <wp:posOffset>270510</wp:posOffset>
                      </wp:positionV>
                      <wp:extent cx="765175" cy="306705"/>
                      <wp:effectExtent l="4445" t="4445" r="11430" b="12700"/>
                      <wp:wrapNone/>
                      <wp:docPr id="5" name="矩形 123"/>
                      <wp:cNvGraphicFramePr/>
                      <a:graphic xmlns:a="http://schemas.openxmlformats.org/drawingml/2006/main">
                        <a:graphicData uri="http://schemas.microsoft.com/office/word/2010/wordprocessingShape">
                          <wps:wsp>
                            <wps:cNvSpPr/>
                            <wps:spPr>
                              <a:xfrm>
                                <a:off x="0" y="0"/>
                                <a:ext cx="765175" cy="3067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三级沉淀池</w:t>
                                  </w:r>
                                </w:p>
                              </w:txbxContent>
                            </wps:txbx>
                            <wps:bodyPr wrap="square" upright="1"/>
                          </wps:wsp>
                        </a:graphicData>
                      </a:graphic>
                    </wp:anchor>
                  </w:drawing>
                </mc:Choice>
                <mc:Fallback>
                  <w:pict>
                    <v:rect id="矩形 123" o:spid="_x0000_s1026" o:spt="1" style="position:absolute;left:0pt;margin-left:380.45pt;margin-top:21.3pt;height:24.15pt;width:60.25pt;z-index:251704320;mso-width-relative:page;mso-height-relative:page;" fillcolor="#FFFFFF" filled="t" stroked="t" coordsize="21600,21600" o:gfxdata="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aVMhrXAAAACQEAAA8AAAAAAAAAAQAgAAAAIgAAAGRycy9kb3ducmV2LnhtbFBLAQIU&#10;ABQAAAAIAIdO4kCsfcPy9AEAAPgDAAAOAAAAAAAAAAEAIAAAACYBAABkcnMvZTJvRG9jLnhtbFBL&#10;BQYAAAAABgAGAFkBAACMBQAAAAA=&#10;">
                      <v:fill on="t" focussize="0,0"/>
                      <v:stroke color="#000000" joinstyle="miter"/>
                      <v:imagedata o:title=""/>
                      <o:lock v:ext="edit" aspectratio="f"/>
                      <v:textbox>
                        <w:txbxContent>
                          <w:p>
                            <w:r>
                              <w:rPr>
                                <w:rFonts w:hint="eastAsia"/>
                              </w:rPr>
                              <w:t>三级沉淀池</w:t>
                            </w:r>
                          </w:p>
                        </w:txbxContent>
                      </v:textbox>
                    </v:rect>
                  </w:pict>
                </mc:Fallback>
              </mc:AlternateContent>
            </w:r>
            <w:r>
              <w:rPr>
                <w:rFonts w:hint="eastAsia"/>
                <w:color w:val="000000"/>
                <w:sz w:val="24"/>
              </w:rPr>
              <mc:AlternateContent>
                <mc:Choice Requires="wps">
                  <w:drawing>
                    <wp:anchor distT="0" distB="0" distL="114300" distR="114300" simplePos="0" relativeHeight="251692032" behindDoc="0" locked="0" layoutInCell="1" allowOverlap="1">
                      <wp:simplePos x="0" y="0"/>
                      <wp:positionH relativeFrom="column">
                        <wp:posOffset>2058670</wp:posOffset>
                      </wp:positionH>
                      <wp:positionV relativeFrom="paragraph">
                        <wp:posOffset>43180</wp:posOffset>
                      </wp:positionV>
                      <wp:extent cx="1889760" cy="297180"/>
                      <wp:effectExtent l="4445" t="4445" r="10795" b="22225"/>
                      <wp:wrapNone/>
                      <wp:docPr id="126" name="矩形 126"/>
                      <wp:cNvGraphicFramePr/>
                      <a:graphic xmlns:a="http://schemas.openxmlformats.org/drawingml/2006/main">
                        <a:graphicData uri="http://schemas.microsoft.com/office/word/2010/wordprocessingShape">
                          <wps:wsp>
                            <wps:cNvSpPr/>
                            <wps:spPr>
                              <a:xfrm>
                                <a:off x="0" y="0"/>
                                <a:ext cx="188976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szCs w:val="22"/>
                                      <w:lang w:bidi="ar"/>
                                    </w:rPr>
                                    <w:t>混凝土运输车辆外部清洗水</w:t>
                                  </w:r>
                                </w:p>
                              </w:txbxContent>
                            </wps:txbx>
                            <wps:bodyPr wrap="square" upright="1"/>
                          </wps:wsp>
                        </a:graphicData>
                      </a:graphic>
                    </wp:anchor>
                  </w:drawing>
                </mc:Choice>
                <mc:Fallback>
                  <w:pict>
                    <v:rect id="_x0000_s1026" o:spid="_x0000_s1026" o:spt="1" style="position:absolute;left:0pt;margin-left:162.1pt;margin-top:3.4pt;height:23.4pt;width:148.8pt;z-index:251692032;mso-width-relative:page;mso-height-relative:page;" fillcolor="#FFFFFF" filled="t" stroked="t" coordsize="21600,21600" o:gfxdata="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X541gAAAAgBAAAPAAAAAAAAAAEAIAAAACIAAABkcnMvZG93bnJldi54bWxQ&#10;SwECFAAUAAAACACHTuJATovtpPkBAAD7AwAADgAAAAAAAAABACAAAAAlAQAAZHJzL2Uyb0RvYy54&#10;bWxQSwUGAAAAAAYABgBZAQAAkAUAAAAA&#10;">
                      <v:fill on="t" focussize="0,0"/>
                      <v:stroke color="#000000" joinstyle="miter"/>
                      <v:imagedata o:title=""/>
                      <o:lock v:ext="edit" aspectratio="f"/>
                      <v:textbox>
                        <w:txbxContent>
                          <w:p>
                            <w:r>
                              <w:rPr>
                                <w:szCs w:val="22"/>
                                <w:lang w:bidi="ar"/>
                              </w:rPr>
                              <w:t>混凝土运输车辆外部清洗水</w:t>
                            </w:r>
                          </w:p>
                        </w:txbxContent>
                      </v:textbox>
                    </v:rect>
                  </w:pict>
                </mc:Fallback>
              </mc:AlternateContent>
            </w:r>
            <w:r>
              <w:rPr>
                <w:rFonts w:hint="eastAsia"/>
                <w:color w:val="000000"/>
                <w:sz w:val="24"/>
              </w:rPr>
              <mc:AlternateContent>
                <mc:Choice Requires="wps">
                  <w:drawing>
                    <wp:anchor distT="0" distB="0" distL="114300" distR="114300" simplePos="0" relativeHeight="251686912" behindDoc="0" locked="0" layoutInCell="1" allowOverlap="1">
                      <wp:simplePos x="0" y="0"/>
                      <wp:positionH relativeFrom="column">
                        <wp:posOffset>1268095</wp:posOffset>
                      </wp:positionH>
                      <wp:positionV relativeFrom="paragraph">
                        <wp:posOffset>214630</wp:posOffset>
                      </wp:positionV>
                      <wp:extent cx="800100" cy="0"/>
                      <wp:effectExtent l="0" t="38100" r="0" b="38100"/>
                      <wp:wrapNone/>
                      <wp:docPr id="121" name="直接箭头连接符 121"/>
                      <wp:cNvGraphicFramePr/>
                      <a:graphic xmlns:a="http://schemas.openxmlformats.org/drawingml/2006/main">
                        <a:graphicData uri="http://schemas.microsoft.com/office/word/2010/wordprocessingShape">
                          <wps:wsp>
                            <wps:cNvCnPr/>
                            <wps:spPr>
                              <a:xfrm>
                                <a:off x="0" y="0"/>
                                <a:ext cx="8001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9.85pt;margin-top:16.9pt;height:0pt;width:63pt;z-index:251686912;mso-width-relative:page;mso-height-relative:page;" filled="f" stroked="t" coordsize="21600,21600" o:gfxdata="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hWVyTYAAAACQEAAA8AAAAAAAAAAQAgAAAAIgAAAGRycy9kb3ducmV2LnhtbFBLAQIUABQAAAAI&#10;AIdO4kAibpCa7QEAALMDAAAOAAAAAAAAAAEAIAAAACcBAABkcnMvZTJvRG9jLnhtbFBLBQYAAAAA&#10;BgAGAFkBAACGBQAAAAA=&#10;">
                      <v:fill on="f" focussize="0,0"/>
                      <v:stroke color="#000000" joinstyle="round" endarrow="block"/>
                      <v:imagedata o:title=""/>
                      <o:lock v:ext="edit" aspectratio="f"/>
                    </v:shape>
                  </w:pict>
                </mc:Fallback>
              </mc:AlternateContent>
            </w:r>
          </w:p>
          <w:p>
            <w:pPr>
              <w:spacing w:after="0" w:line="360" w:lineRule="auto"/>
              <w:ind w:firstLine="480" w:firstLineChars="200"/>
              <w:rPr>
                <w:color w:val="000000"/>
                <w:sz w:val="24"/>
              </w:rPr>
            </w:pPr>
            <w:r>
              <w:rPr>
                <w:rFonts w:hint="eastAsia"/>
                <w:color w:val="000000"/>
                <w:sz w:val="24"/>
              </w:rPr>
              <mc:AlternateContent>
                <mc:Choice Requires="wps">
                  <w:drawing>
                    <wp:anchor distT="45720" distB="45720" distL="114300" distR="114300" simplePos="0" relativeHeight="251710464" behindDoc="0" locked="0" layoutInCell="1" allowOverlap="1">
                      <wp:simplePos x="0" y="0"/>
                      <wp:positionH relativeFrom="column">
                        <wp:posOffset>5203825</wp:posOffset>
                      </wp:positionH>
                      <wp:positionV relativeFrom="paragraph">
                        <wp:posOffset>274320</wp:posOffset>
                      </wp:positionV>
                      <wp:extent cx="0" cy="1195705"/>
                      <wp:effectExtent l="4445" t="0" r="14605" b="4445"/>
                      <wp:wrapNone/>
                      <wp:docPr id="11" name="自选图形 203"/>
                      <wp:cNvGraphicFramePr/>
                      <a:graphic xmlns:a="http://schemas.openxmlformats.org/drawingml/2006/main">
                        <a:graphicData uri="http://schemas.microsoft.com/office/word/2010/wordprocessingShape">
                          <wps:wsp>
                            <wps:cNvCnPr/>
                            <wps:spPr>
                              <a:xfrm>
                                <a:off x="0" y="0"/>
                                <a:ext cx="0" cy="11957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3" o:spid="_x0000_s1026" o:spt="32" type="#_x0000_t32" style="position:absolute;left:0pt;margin-left:409.75pt;margin-top:21.6pt;height:94.15pt;width:0pt;z-index:251710464;mso-width-relative:page;mso-height-relative:page;" filled="f" stroked="t" coordsize="21600,21600" o:gfxdata="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91KNV1wAAAAoBAAAPAAAAAAAA&#10;AAEAIAAAACIAAABkcnMvZG93bnJldi54bWxQSwECFAAUAAAACACHTuJAxDbaftoBAACYAwAADgAA&#10;AAAAAAABACAAAAAmAQAAZHJzL2Uyb0RvYy54bWxQSwUGAAAAAAYABgBZAQAAcgUAAAAA&#10;">
                      <v:fill on="f" focussize="0,0"/>
                      <v:stroke color="#000000" joinstyle="round"/>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707392" behindDoc="0" locked="0" layoutInCell="1" allowOverlap="1">
                      <wp:simplePos x="0" y="0"/>
                      <wp:positionH relativeFrom="column">
                        <wp:posOffset>3422015</wp:posOffset>
                      </wp:positionH>
                      <wp:positionV relativeFrom="paragraph">
                        <wp:posOffset>114935</wp:posOffset>
                      </wp:positionV>
                      <wp:extent cx="1428750" cy="1063625"/>
                      <wp:effectExtent l="0" t="38100" r="0" b="22225"/>
                      <wp:wrapNone/>
                      <wp:docPr id="8" name="自选图形 192"/>
                      <wp:cNvGraphicFramePr/>
                      <a:graphic xmlns:a="http://schemas.openxmlformats.org/drawingml/2006/main">
                        <a:graphicData uri="http://schemas.microsoft.com/office/word/2010/wordprocessingShape">
                          <wps:wsp>
                            <wps:cNvCnPr/>
                            <wps:spPr>
                              <a:xfrm flipV="1">
                                <a:off x="0" y="0"/>
                                <a:ext cx="1428750" cy="1063625"/>
                              </a:xfrm>
                              <a:prstGeom prst="bentConnector3">
                                <a:avLst>
                                  <a:gd name="adj1" fmla="val 68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192" o:spid="_x0000_s1026" o:spt="34" type="#_x0000_t34" style="position:absolute;left:0pt;flip:y;margin-left:269.45pt;margin-top:9.05pt;height:83.75pt;width:112.5pt;z-index:251707392;mso-width-relative:page;mso-height-relative:page;" filled="f" stroked="t" coordsize="21600,21600" o:gfxdata="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EsnjzXAAAACgEAAA8AAAAAAAAAAQAgAAAAIgAA&#10;AGRycy9kb3ducmV2LnhtbFBLAQIUABQAAAAIAIdO4kC6qIEvCQIAAN4DAAAOAAAAAAAAAAEAIAAA&#10;ACYBAABkcnMvZTJvRG9jLnhtbFBLBQYAAAAABgAGAFkBAAChBQAAAAA=&#10;" adj="14688">
                      <v:fill on="f" focussize="0,0"/>
                      <v:stroke color="#000000" joinstyle="miter" endarrow="block"/>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706368" behindDoc="0" locked="0" layoutInCell="1" allowOverlap="1">
                      <wp:simplePos x="0" y="0"/>
                      <wp:positionH relativeFrom="column">
                        <wp:posOffset>3377565</wp:posOffset>
                      </wp:positionH>
                      <wp:positionV relativeFrom="paragraph">
                        <wp:posOffset>114935</wp:posOffset>
                      </wp:positionV>
                      <wp:extent cx="1466850" cy="438150"/>
                      <wp:effectExtent l="0" t="38100" r="0" b="19050"/>
                      <wp:wrapNone/>
                      <wp:docPr id="7" name="自选图形 191"/>
                      <wp:cNvGraphicFramePr/>
                      <a:graphic xmlns:a="http://schemas.openxmlformats.org/drawingml/2006/main">
                        <a:graphicData uri="http://schemas.microsoft.com/office/word/2010/wordprocessingShape">
                          <wps:wsp>
                            <wps:cNvCnPr/>
                            <wps:spPr>
                              <a:xfrm flipV="1">
                                <a:off x="0" y="0"/>
                                <a:ext cx="1466850" cy="438150"/>
                              </a:xfrm>
                              <a:prstGeom prst="bentConnector3">
                                <a:avLst>
                                  <a:gd name="adj1" fmla="val 68741"/>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191" o:spid="_x0000_s1026" o:spt="34" type="#_x0000_t34" style="position:absolute;left:0pt;flip:y;margin-left:265.95pt;margin-top:9.05pt;height:34.5pt;width:115.5pt;z-index:251706368;mso-width-relative:page;mso-height-relative:page;" filled="f" stroked="t" coordsize="21600,21600" o:gfxdata="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&#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7SrIh1QAAAAkBAAAPAAAAAAAAAAEAIAAAACIAAABk&#10;cnMvZG93bnJldi54bWxQSwECFAAUAAAACACHTuJAfekkiQkCAADdAwAADgAAAAAAAAABACAAAAAk&#10;AQAAZHJzL2Uyb0RvYy54bWxQSwUGAAAAAAYABgBZAQAAnwUAAAAA&#10;" adj="14848">
                      <v:fill on="f" focussize="0,0"/>
                      <v:stroke color="#000000" joinstyle="miter" endarrow="block"/>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672576" behindDoc="0" locked="0" layoutInCell="1" allowOverlap="1">
                      <wp:simplePos x="0" y="0"/>
                      <wp:positionH relativeFrom="column">
                        <wp:posOffset>2307590</wp:posOffset>
                      </wp:positionH>
                      <wp:positionV relativeFrom="paragraph">
                        <wp:posOffset>53975</wp:posOffset>
                      </wp:positionV>
                      <wp:extent cx="790575" cy="274320"/>
                      <wp:effectExtent l="0" t="0" r="0" b="0"/>
                      <wp:wrapNone/>
                      <wp:docPr id="154" name="矩形 154"/>
                      <wp:cNvGraphicFramePr/>
                      <a:graphic xmlns:a="http://schemas.openxmlformats.org/drawingml/2006/main">
                        <a:graphicData uri="http://schemas.microsoft.com/office/word/2010/wordprocessingShape">
                          <wps:wsp>
                            <wps:cNvSpPr/>
                            <wps:spPr>
                              <a:xfrm>
                                <a:off x="0" y="0"/>
                                <a:ext cx="716280" cy="274320"/>
                              </a:xfrm>
                              <a:prstGeom prst="rect">
                                <a:avLst/>
                              </a:prstGeom>
                              <a:noFill/>
                              <a:ln w="9525">
                                <a:noFill/>
                              </a:ln>
                              <a:effectLst/>
                            </wps:spPr>
                            <wps:txbx>
                              <w:txbxContent>
                                <w:p>
                                  <w:r>
                                    <w:rPr>
                                      <w:rFonts w:hint="eastAsia"/>
                                    </w:rPr>
                                    <w:t>损耗2400</w:t>
                                  </w:r>
                                </w:p>
                              </w:txbxContent>
                            </wps:txbx>
                            <wps:bodyPr wrap="square" upright="1"/>
                          </wps:wsp>
                        </a:graphicData>
                      </a:graphic>
                    </wp:anchor>
                  </w:drawing>
                </mc:Choice>
                <mc:Fallback>
                  <w:pict>
                    <v:rect id="_x0000_s1026" o:spid="_x0000_s1026" o:spt="1" style="position:absolute;left:0pt;margin-left:181.7pt;margin-top:4.25pt;height:21.6pt;width:62.25pt;z-index:251672576;mso-width-relative:page;mso-height-relative:page;" filled="f" stroked="f" coordsize="21600,21600" o:gfxdata="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e1ZdjaAAAACAEAAA8AAAAA&#10;AAAAAQAgAAAAIgAAAGRycy9kb3ducmV2LnhtbFBLAQIUABQAAAAIAIdO4kC1Di0MoAEAABsDAAAO&#10;AAAAAAAAAAEAIAAAACkBAABkcnMvZTJvRG9jLnhtbFBLBQYAAAAABgAGAFkBAAA7BQAAAAA=&#10;">
                      <v:fill on="f" focussize="0,0"/>
                      <v:stroke on="f"/>
                      <v:imagedata o:title=""/>
                      <o:lock v:ext="edit" aspectratio="f"/>
                      <v:textbox>
                        <w:txbxContent>
                          <w:p>
                            <w:r>
                              <w:rPr>
                                <w:rFonts w:hint="eastAsia"/>
                              </w:rPr>
                              <w:t>损耗2400</w:t>
                            </w:r>
                          </w:p>
                        </w:txbxContent>
                      </v:textbox>
                    </v:rect>
                  </w:pict>
                </mc:Fallback>
              </mc:AlternateContent>
            </w:r>
            <w:r>
              <w:rPr>
                <w:rFonts w:hint="eastAsia"/>
                <w:color w:val="000000"/>
                <w:sz w:val="24"/>
              </w:rPr>
              <mc:AlternateContent>
                <mc:Choice Requires="wps">
                  <w:drawing>
                    <wp:anchor distT="0" distB="0" distL="114300" distR="114300" simplePos="0" relativeHeight="251670528" behindDoc="0" locked="0" layoutInCell="1" allowOverlap="1">
                      <wp:simplePos x="0" y="0"/>
                      <wp:positionH relativeFrom="column">
                        <wp:posOffset>2111375</wp:posOffset>
                      </wp:positionH>
                      <wp:positionV relativeFrom="paragraph">
                        <wp:posOffset>233680</wp:posOffset>
                      </wp:positionV>
                      <wp:extent cx="129540" cy="160020"/>
                      <wp:effectExtent l="3810" t="0" r="0" b="11430"/>
                      <wp:wrapNone/>
                      <wp:docPr id="153" name="直接箭头连接符 153"/>
                      <wp:cNvGraphicFramePr/>
                      <a:graphic xmlns:a="http://schemas.openxmlformats.org/drawingml/2006/main">
                        <a:graphicData uri="http://schemas.microsoft.com/office/word/2010/wordprocessingShape">
                          <wps:wsp>
                            <wps:cNvCnPr/>
                            <wps:spPr>
                              <a:xfrm flipV="1">
                                <a:off x="0" y="0"/>
                                <a:ext cx="129540" cy="160020"/>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y;margin-left:166.25pt;margin-top:18.4pt;height:12.6pt;width:10.2pt;z-index:251670528;mso-width-relative:page;mso-height-relative:page;" filled="f" stroked="t" coordsize="21600,21600" o:gfxdata="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URTFdQAAAAJAQAADwAAAAAAAAABACAAAAAiAAAAZHJzL2Rvd25yZXYueG1s&#10;UEsBAhQAFAAAAAgAh07iQKRReSL8AQAAwQMAAA4AAAAAAAAAAQAgAAAAIwEAAGRycy9lMm9Eb2Mu&#10;eG1sUEsFBgAAAAAGAAYAWQEAAJEFAAAAAA==&#10;">
                      <v:fill on="f" focussize="0,0"/>
                      <v:stroke color="#000000" joinstyle="round" dashstyle="dash" endarrow="block"/>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700224" behindDoc="0" locked="0" layoutInCell="1" allowOverlap="1">
                      <wp:simplePos x="0" y="0"/>
                      <wp:positionH relativeFrom="column">
                        <wp:posOffset>1425575</wp:posOffset>
                      </wp:positionH>
                      <wp:positionV relativeFrom="paragraph">
                        <wp:posOffset>256540</wp:posOffset>
                      </wp:positionV>
                      <wp:extent cx="594360" cy="274320"/>
                      <wp:effectExtent l="0" t="0" r="0" b="0"/>
                      <wp:wrapNone/>
                      <wp:docPr id="137" name="矩形 137"/>
                      <wp:cNvGraphicFramePr/>
                      <a:graphic xmlns:a="http://schemas.openxmlformats.org/drawingml/2006/main">
                        <a:graphicData uri="http://schemas.microsoft.com/office/word/2010/wordprocessingShape">
                          <wps:wsp>
                            <wps:cNvSpPr/>
                            <wps:spPr>
                              <a:xfrm>
                                <a:off x="0" y="0"/>
                                <a:ext cx="594360" cy="274320"/>
                              </a:xfrm>
                              <a:prstGeom prst="rect">
                                <a:avLst/>
                              </a:prstGeom>
                              <a:noFill/>
                              <a:ln w="9525">
                                <a:noFill/>
                              </a:ln>
                              <a:effectLst/>
                            </wps:spPr>
                            <wps:txbx>
                              <w:txbxContent>
                                <w:p>
                                  <w:r>
                                    <w:rPr>
                                      <w:rFonts w:hint="eastAsia"/>
                                    </w:rPr>
                                    <w:t>12000</w:t>
                                  </w:r>
                                </w:p>
                              </w:txbxContent>
                            </wps:txbx>
                            <wps:bodyPr wrap="square" upright="1"/>
                          </wps:wsp>
                        </a:graphicData>
                      </a:graphic>
                    </wp:anchor>
                  </w:drawing>
                </mc:Choice>
                <mc:Fallback>
                  <w:pict>
                    <v:rect id="_x0000_s1026" o:spid="_x0000_s1026" o:spt="1" style="position:absolute;left:0pt;margin-left:112.25pt;margin-top:20.2pt;height:21.6pt;width:46.8pt;z-index:251700224;mso-width-relative:page;mso-height-relative:page;" filled="f" stroked="f" coordsize="21600,21600" o:gfxdata="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FxjRN2gAAAAkBAAAPAAAA&#10;AAAAAAEAIAAAACIAAABkcnMvZG93bnJldi54bWxQSwECFAAUAAAACACHTuJAypPjqKEBAAAbAwAA&#10;DgAAAAAAAAABACAAAAApAQAAZHJzL2Uyb0RvYy54bWxQSwUGAAAAAAYABgBZAQAAPAUAAAAA&#10;">
                      <v:fill on="f" focussize="0,0"/>
                      <v:stroke on="f"/>
                      <v:imagedata o:title=""/>
                      <o:lock v:ext="edit" aspectratio="f"/>
                      <v:textbox>
                        <w:txbxContent>
                          <w:p>
                            <w:r>
                              <w:rPr>
                                <w:rFonts w:hint="eastAsia"/>
                              </w:rPr>
                              <w:t>12000</w:t>
                            </w:r>
                          </w:p>
                        </w:txbxContent>
                      </v:textbox>
                    </v:rect>
                  </w:pict>
                </mc:Fallback>
              </mc:AlternateContent>
            </w:r>
          </w:p>
          <w:p>
            <w:pPr>
              <w:spacing w:after="0" w:line="360" w:lineRule="auto"/>
              <w:ind w:firstLine="422" w:firstLineChars="200"/>
              <w:rPr>
                <w:color w:val="000000"/>
                <w:sz w:val="24"/>
              </w:rPr>
            </w:pPr>
            <w:r>
              <w:rPr>
                <w:rFonts w:hint="eastAsia"/>
                <w:b/>
                <w:bCs/>
                <w:szCs w:val="32"/>
              </w:rPr>
              <mc:AlternateContent>
                <mc:Choice Requires="wps">
                  <w:drawing>
                    <wp:anchor distT="0" distB="0" distL="114300" distR="114300" simplePos="0" relativeHeight="251713536" behindDoc="0" locked="0" layoutInCell="1" allowOverlap="1">
                      <wp:simplePos x="0" y="0"/>
                      <wp:positionH relativeFrom="column">
                        <wp:posOffset>4832985</wp:posOffset>
                      </wp:positionH>
                      <wp:positionV relativeFrom="paragraph">
                        <wp:posOffset>231140</wp:posOffset>
                      </wp:positionV>
                      <wp:extent cx="581025" cy="274320"/>
                      <wp:effectExtent l="0" t="0" r="0" b="0"/>
                      <wp:wrapNone/>
                      <wp:docPr id="15" name="矩形 146"/>
                      <wp:cNvGraphicFramePr/>
                      <a:graphic xmlns:a="http://schemas.openxmlformats.org/drawingml/2006/main">
                        <a:graphicData uri="http://schemas.microsoft.com/office/word/2010/wordprocessingShape">
                          <wps:wsp>
                            <wps:cNvSpPr/>
                            <wps:spPr>
                              <a:xfrm>
                                <a:off x="0" y="0"/>
                                <a:ext cx="581025" cy="274320"/>
                              </a:xfrm>
                              <a:prstGeom prst="rect">
                                <a:avLst/>
                              </a:prstGeom>
                              <a:noFill/>
                              <a:ln w="9525">
                                <a:noFill/>
                              </a:ln>
                              <a:effectLst/>
                            </wps:spPr>
                            <wps:txbx>
                              <w:txbxContent>
                                <w:p>
                                  <w:r>
                                    <w:t>9408</w:t>
                                  </w:r>
                                </w:p>
                              </w:txbxContent>
                            </wps:txbx>
                            <wps:bodyPr wrap="square" upright="1"/>
                          </wps:wsp>
                        </a:graphicData>
                      </a:graphic>
                    </wp:anchor>
                  </w:drawing>
                </mc:Choice>
                <mc:Fallback>
                  <w:pict>
                    <v:rect id="矩形 146" o:spid="_x0000_s1026" o:spt="1" style="position:absolute;left:0pt;margin-left:380.55pt;margin-top:18.2pt;height:21.6pt;width:45.75pt;z-index:251713536;mso-width-relative:page;mso-height-relative:page;" filled="f" stroked="f" coordsize="21600,21600" o:gfxdata="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L01A2NoAAAAJAQAADwAAAAAA&#10;AAABACAAAAAiAAAAZHJzL2Rvd25yZXYueG1sUEsBAhQAFAAAAAgAh07iQJwmV1+fAQAAGgMAAA4A&#10;AAAAAAAAAQAgAAAAKQEAAGRycy9lMm9Eb2MueG1sUEsFBgAAAAAGAAYAWQEAADoFAAAAAA==&#10;">
                      <v:fill on="f" focussize="0,0"/>
                      <v:stroke on="f"/>
                      <v:imagedata o:title=""/>
                      <o:lock v:ext="edit" aspectratio="f"/>
                      <v:textbox>
                        <w:txbxContent>
                          <w:p>
                            <w:r>
                              <w:t>9408</w:t>
                            </w:r>
                          </w:p>
                        </w:txbxContent>
                      </v:textbox>
                    </v:rect>
                  </w:pict>
                </mc:Fallback>
              </mc:AlternateContent>
            </w:r>
            <w:r>
              <w:rPr>
                <w:rFonts w:hint="eastAsia"/>
                <w:color w:val="000000"/>
                <w:sz w:val="24"/>
              </w:rPr>
              <mc:AlternateContent>
                <mc:Choice Requires="wps">
                  <w:drawing>
                    <wp:anchor distT="0" distB="0" distL="114300" distR="114300" simplePos="0" relativeHeight="251668480" behindDoc="0" locked="0" layoutInCell="1" allowOverlap="1">
                      <wp:simplePos x="0" y="0"/>
                      <wp:positionH relativeFrom="column">
                        <wp:posOffset>3623945</wp:posOffset>
                      </wp:positionH>
                      <wp:positionV relativeFrom="paragraph">
                        <wp:posOffset>61595</wp:posOffset>
                      </wp:positionV>
                      <wp:extent cx="581025" cy="274320"/>
                      <wp:effectExtent l="0" t="0" r="0" b="0"/>
                      <wp:wrapNone/>
                      <wp:docPr id="149" name="矩形 149"/>
                      <wp:cNvGraphicFramePr/>
                      <a:graphic xmlns:a="http://schemas.openxmlformats.org/drawingml/2006/main">
                        <a:graphicData uri="http://schemas.microsoft.com/office/word/2010/wordprocessingShape">
                          <wps:wsp>
                            <wps:cNvSpPr/>
                            <wps:spPr>
                              <a:xfrm>
                                <a:off x="0" y="0"/>
                                <a:ext cx="581025" cy="274320"/>
                              </a:xfrm>
                              <a:prstGeom prst="rect">
                                <a:avLst/>
                              </a:prstGeom>
                              <a:noFill/>
                              <a:ln w="9525">
                                <a:noFill/>
                              </a:ln>
                              <a:effectLst/>
                            </wps:spPr>
                            <wps:txbx>
                              <w:txbxContent>
                                <w:p>
                                  <w:r>
                                    <w:rPr>
                                      <w:rFonts w:hint="eastAsia"/>
                                    </w:rPr>
                                    <w:t>9600</w:t>
                                  </w:r>
                                </w:p>
                              </w:txbxContent>
                            </wps:txbx>
                            <wps:bodyPr wrap="square" upright="1"/>
                          </wps:wsp>
                        </a:graphicData>
                      </a:graphic>
                    </wp:anchor>
                  </w:drawing>
                </mc:Choice>
                <mc:Fallback>
                  <w:pict>
                    <v:rect id="_x0000_s1026" o:spid="_x0000_s1026" o:spt="1" style="position:absolute;left:0pt;margin-left:285.35pt;margin-top:4.85pt;height:21.6pt;width:45.75pt;z-index:251668480;mso-width-relative:page;mso-height-relative:page;" filled="f" stroked="f" coordsize="21600,21600" o:gfxdata="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6FPHbNkAAAAIAQAADwAAAAAA&#10;AAABACAAAAAiAAAAZHJzL2Rvd25yZXYueG1sUEsBAhQAFAAAAAgAh07iQJx0+LKgAQAAGwMAAA4A&#10;AAAAAAAAAQAgAAAAKAEAAGRycy9lMm9Eb2MueG1sUEsFBgAAAAAGAAYAWQEAADoFAAAAAA==&#10;">
                      <v:fill on="f" focussize="0,0"/>
                      <v:stroke on="f"/>
                      <v:imagedata o:title=""/>
                      <o:lock v:ext="edit" aspectratio="f"/>
                      <v:textbox>
                        <w:txbxContent>
                          <w:p>
                            <w:r>
                              <w:rPr>
                                <w:rFonts w:hint="eastAsia"/>
                              </w:rPr>
                              <w:t>9600</w:t>
                            </w:r>
                          </w:p>
                        </w:txbxContent>
                      </v:textbox>
                    </v:rect>
                  </w:pict>
                </mc:Fallback>
              </mc:AlternateContent>
            </w:r>
            <w:r>
              <w:rPr>
                <w:rFonts w:hint="eastAsia"/>
                <w:color w:val="000000"/>
                <w:sz w:val="24"/>
              </w:rPr>
              <mc:AlternateContent>
                <mc:Choice Requires="wps">
                  <w:drawing>
                    <wp:anchor distT="0" distB="0" distL="114300" distR="114300" simplePos="0" relativeHeight="251681792" behindDoc="0" locked="0" layoutInCell="1" allowOverlap="1">
                      <wp:simplePos x="0" y="0"/>
                      <wp:positionH relativeFrom="column">
                        <wp:posOffset>2053590</wp:posOffset>
                      </wp:positionH>
                      <wp:positionV relativeFrom="paragraph">
                        <wp:posOffset>97155</wp:posOffset>
                      </wp:positionV>
                      <wp:extent cx="1311275" cy="297180"/>
                      <wp:effectExtent l="4445" t="4445" r="17780" b="22225"/>
                      <wp:wrapNone/>
                      <wp:docPr id="104" name="矩形 104"/>
                      <wp:cNvGraphicFramePr/>
                      <a:graphic xmlns:a="http://schemas.openxmlformats.org/drawingml/2006/main">
                        <a:graphicData uri="http://schemas.microsoft.com/office/word/2010/wordprocessingShape">
                          <wps:wsp>
                            <wps:cNvSpPr/>
                            <wps:spPr>
                              <a:xfrm>
                                <a:off x="0" y="0"/>
                                <a:ext cx="889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Cs w:val="22"/>
                                      <w:lang w:bidi="ar"/>
                                    </w:rPr>
                                    <w:t>地面及道路冲洗水</w:t>
                                  </w:r>
                                </w:p>
                              </w:txbxContent>
                            </wps:txbx>
                            <wps:bodyPr wrap="square" upright="1"/>
                          </wps:wsp>
                        </a:graphicData>
                      </a:graphic>
                    </wp:anchor>
                  </w:drawing>
                </mc:Choice>
                <mc:Fallback>
                  <w:pict>
                    <v:rect id="_x0000_s1026" o:spid="_x0000_s1026" o:spt="1" style="position:absolute;left:0pt;margin-left:161.7pt;margin-top:7.65pt;height:23.4pt;width:103.25pt;z-index:251681792;mso-width-relative:page;mso-height-relative:page;" fillcolor="#FFFFFF" filled="t" stroked="t" coordsize="21600,21600" o:gfxdata="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v116tcAAAAJAQAADwAAAAAAAAABACAAAAAiAAAAZHJzL2Rvd25yZXYueG1s&#10;UEsBAhQAFAAAAAgAh07iQOinScf5AQAA+gMAAA4AAAAAAAAAAQAgAAAAJgEAAGRycy9lMm9Eb2Mu&#10;eG1sUEsFBgAAAAAGAAYAWQEAAJEFAAAAAA==&#10;">
                      <v:fill on="t" focussize="0,0"/>
                      <v:stroke color="#000000" joinstyle="miter"/>
                      <v:imagedata o:title=""/>
                      <o:lock v:ext="edit" aspectratio="f"/>
                      <v:textbox>
                        <w:txbxContent>
                          <w:p>
                            <w:r>
                              <w:rPr>
                                <w:rFonts w:hint="eastAsia"/>
                                <w:szCs w:val="22"/>
                                <w:lang w:bidi="ar"/>
                              </w:rPr>
                              <w:t>地面及道路冲洗水</w:t>
                            </w:r>
                          </w:p>
                        </w:txbxContent>
                      </v:textbox>
                    </v:rect>
                  </w:pict>
                </mc:Fallback>
              </mc:AlternateContent>
            </w:r>
            <w:r>
              <w:rPr>
                <w:rFonts w:hint="eastAsia"/>
                <w:color w:val="000000"/>
                <w:sz w:val="24"/>
              </w:rPr>
              <mc:AlternateContent>
                <mc:Choice Requires="wps">
                  <w:drawing>
                    <wp:anchor distT="0" distB="0" distL="114300" distR="114300" simplePos="0" relativeHeight="251687936" behindDoc="0" locked="0" layoutInCell="1" allowOverlap="1">
                      <wp:simplePos x="0" y="0"/>
                      <wp:positionH relativeFrom="column">
                        <wp:posOffset>1269365</wp:posOffset>
                      </wp:positionH>
                      <wp:positionV relativeFrom="paragraph">
                        <wp:posOffset>271145</wp:posOffset>
                      </wp:positionV>
                      <wp:extent cx="800100" cy="0"/>
                      <wp:effectExtent l="0" t="38100" r="0" b="38100"/>
                      <wp:wrapNone/>
                      <wp:docPr id="122" name="直接箭头连接符 122"/>
                      <wp:cNvGraphicFramePr/>
                      <a:graphic xmlns:a="http://schemas.openxmlformats.org/drawingml/2006/main">
                        <a:graphicData uri="http://schemas.microsoft.com/office/word/2010/wordprocessingShape">
                          <wps:wsp>
                            <wps:cNvCnPr/>
                            <wps:spPr>
                              <a:xfrm>
                                <a:off x="0" y="0"/>
                                <a:ext cx="8001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9.95pt;margin-top:21.35pt;height:0pt;width:63pt;z-index:251687936;mso-width-relative:page;mso-height-relative:page;" filled="f" stroked="t" coordsize="21600,21600" o:gfxdata="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za69nYAAAACQEAAA8AAAAAAAAAAQAgAAAAIgAAAGRycy9kb3ducmV2LnhtbFBLAQIUABQAAAAI&#10;AIdO4kC9UXlL7QEAALMDAAAOAAAAAAAAAAEAIAAAACcBAABkcnMvZTJvRG9jLnhtbFBLBQYAAAAA&#10;BgAGAFkBAACGBQAAAAA=&#10;">
                      <v:fill on="f" focussize="0,0"/>
                      <v:stroke color="#000000" joinstyle="round" endarrow="block"/>
                      <v:imagedata o:title=""/>
                      <o:lock v:ext="edit" aspectratio="f"/>
                    </v:shape>
                  </w:pict>
                </mc:Fallback>
              </mc:AlternateContent>
            </w:r>
          </w:p>
          <w:p>
            <w:pPr>
              <w:spacing w:after="0" w:line="360" w:lineRule="auto"/>
              <w:ind w:firstLine="480" w:firstLineChars="200"/>
              <w:rPr>
                <w:color w:val="000000"/>
                <w:sz w:val="24"/>
              </w:rPr>
            </w:pPr>
            <w:r>
              <w:rPr>
                <w:rFonts w:hint="eastAsia"/>
                <w:color w:val="000000"/>
                <w:sz w:val="24"/>
              </w:rPr>
              <mc:AlternateContent>
                <mc:Choice Requires="wps">
                  <w:drawing>
                    <wp:anchor distT="0" distB="0" distL="114300" distR="114300" simplePos="0" relativeHeight="251664384" behindDoc="0" locked="0" layoutInCell="1" allowOverlap="1">
                      <wp:simplePos x="0" y="0"/>
                      <wp:positionH relativeFrom="column">
                        <wp:posOffset>2186305</wp:posOffset>
                      </wp:positionH>
                      <wp:positionV relativeFrom="paragraph">
                        <wp:posOffset>46355</wp:posOffset>
                      </wp:positionV>
                      <wp:extent cx="716280" cy="274320"/>
                      <wp:effectExtent l="0" t="0" r="0" b="0"/>
                      <wp:wrapNone/>
                      <wp:docPr id="145" name="矩形 145"/>
                      <wp:cNvGraphicFramePr/>
                      <a:graphic xmlns:a="http://schemas.openxmlformats.org/drawingml/2006/main">
                        <a:graphicData uri="http://schemas.microsoft.com/office/word/2010/wordprocessingShape">
                          <wps:wsp>
                            <wps:cNvSpPr/>
                            <wps:spPr>
                              <a:xfrm>
                                <a:off x="0" y="0"/>
                                <a:ext cx="716280" cy="274320"/>
                              </a:xfrm>
                              <a:prstGeom prst="rect">
                                <a:avLst/>
                              </a:prstGeom>
                              <a:noFill/>
                              <a:ln w="9525">
                                <a:noFill/>
                              </a:ln>
                              <a:effectLst/>
                            </wps:spPr>
                            <wps:txbx>
                              <w:txbxContent>
                                <w:p>
                                  <w:r>
                                    <w:rPr>
                                      <w:rFonts w:hint="eastAsia"/>
                                    </w:rPr>
                                    <w:t>损耗</w:t>
                                  </w:r>
                                  <w:r>
                                    <w:t>360</w:t>
                                  </w:r>
                                </w:p>
                              </w:txbxContent>
                            </wps:txbx>
                            <wps:bodyPr wrap="square" upright="1"/>
                          </wps:wsp>
                        </a:graphicData>
                      </a:graphic>
                    </wp:anchor>
                  </w:drawing>
                </mc:Choice>
                <mc:Fallback>
                  <w:pict>
                    <v:rect id="_x0000_s1026" o:spid="_x0000_s1026" o:spt="1" style="position:absolute;left:0pt;margin-left:172.15pt;margin-top:3.65pt;height:21.6pt;width:56.4pt;z-index:251664384;mso-width-relative:page;mso-height-relative:page;" filled="f" stroked="f" coordsize="21600,21600" o:gfxdata="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GcqWvTaAAAACAEAAA8AAAAA&#10;AAAAAQAgAAAAIgAAAGRycy9kb3ducmV2LnhtbFBLAQIUABQAAAAIAIdO4kDmq2nhoAEAABsDAAAO&#10;AAAAAAAAAAEAIAAAACkBAABkcnMvZTJvRG9jLnhtbFBLBQYAAAAABgAGAFkBAAA7BQAAAAA=&#10;">
                      <v:fill on="f" focussize="0,0"/>
                      <v:stroke on="f"/>
                      <v:imagedata o:title=""/>
                      <o:lock v:ext="edit" aspectratio="f"/>
                      <v:textbox>
                        <w:txbxContent>
                          <w:p>
                            <w:r>
                              <w:rPr>
                                <w:rFonts w:hint="eastAsia"/>
                              </w:rPr>
                              <w:t>损耗</w:t>
                            </w:r>
                            <w:r>
                              <w:t>360</w:t>
                            </w:r>
                          </w:p>
                        </w:txbxContent>
                      </v:textbox>
                    </v:rect>
                  </w:pict>
                </mc:Fallback>
              </mc:AlternateContent>
            </w:r>
            <w:r>
              <w:rPr>
                <w:rFonts w:hint="eastAsia"/>
                <w:color w:val="000000"/>
                <w:sz w:val="24"/>
              </w:rPr>
              <mc:AlternateContent>
                <mc:Choice Requires="wps">
                  <w:drawing>
                    <wp:anchor distT="0" distB="0" distL="114300" distR="114300" simplePos="0" relativeHeight="251660288" behindDoc="0" locked="0" layoutInCell="1" allowOverlap="1">
                      <wp:simplePos x="0" y="0"/>
                      <wp:positionH relativeFrom="column">
                        <wp:posOffset>2122170</wp:posOffset>
                      </wp:positionH>
                      <wp:positionV relativeFrom="paragraph">
                        <wp:posOffset>257810</wp:posOffset>
                      </wp:positionV>
                      <wp:extent cx="129540" cy="160020"/>
                      <wp:effectExtent l="3810" t="0" r="0" b="11430"/>
                      <wp:wrapNone/>
                      <wp:docPr id="141" name="直接箭头连接符 141"/>
                      <wp:cNvGraphicFramePr/>
                      <a:graphic xmlns:a="http://schemas.openxmlformats.org/drawingml/2006/main">
                        <a:graphicData uri="http://schemas.microsoft.com/office/word/2010/wordprocessingShape">
                          <wps:wsp>
                            <wps:cNvCnPr/>
                            <wps:spPr>
                              <a:xfrm flipV="1">
                                <a:off x="0" y="0"/>
                                <a:ext cx="129540" cy="160020"/>
                              </a:xfrm>
                              <a:prstGeom prst="straightConnector1">
                                <a:avLst/>
                              </a:prstGeom>
                              <a:ln w="9525" cap="flat" cmpd="sng">
                                <a:solidFill>
                                  <a:srgbClr val="000000"/>
                                </a:solidFill>
                                <a:prstDash val="dash"/>
                                <a:headEnd type="none" w="med" len="med"/>
                                <a:tailEnd type="triangle" w="med" len="med"/>
                              </a:ln>
                              <a:effectLst/>
                            </wps:spPr>
                            <wps:bodyPr/>
                          </wps:wsp>
                        </a:graphicData>
                      </a:graphic>
                    </wp:anchor>
                  </w:drawing>
                </mc:Choice>
                <mc:Fallback>
                  <w:pict>
                    <v:shape id="_x0000_s1026" o:spid="_x0000_s1026" o:spt="32" type="#_x0000_t32" style="position:absolute;left:0pt;flip:y;margin-left:167.1pt;margin-top:20.3pt;height:12.6pt;width:10.2pt;z-index:251660288;mso-width-relative:page;mso-height-relative:page;" filled="f" stroked="t" coordsize="21600,21600" o:gfxdata="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r8Ola1gAAAAkBAAAPAAAAAAAAAAEAIAAAACIAAABkcnMvZG93bnJldi54&#10;bWxQSwECFAAUAAAACACHTuJA43+x6fwBAADBAwAADgAAAAAAAAABACAAAAAlAQAAZHJzL2Uyb0Rv&#10;Yy54bWxQSwUGAAAAAAYABgBZAQAAkwUAAAAA&#10;">
                      <v:fill on="f" focussize="0,0"/>
                      <v:stroke color="#000000" joinstyle="round" dashstyle="dash" endarrow="block"/>
                      <v:imagedata o:title=""/>
                      <o:lock v:ext="edit" aspectratio="f"/>
                    </v:shape>
                  </w:pict>
                </mc:Fallback>
              </mc:AlternateContent>
            </w:r>
          </w:p>
          <w:p>
            <w:pPr>
              <w:spacing w:after="0" w:line="360" w:lineRule="auto"/>
              <w:ind w:firstLine="480" w:firstLineChars="200"/>
              <w:rPr>
                <w:color w:val="000000"/>
                <w:sz w:val="24"/>
              </w:rPr>
            </w:pPr>
            <w:r>
              <w:rPr>
                <w:rFonts w:hint="eastAsia"/>
                <w:color w:val="000000"/>
                <w:sz w:val="24"/>
              </w:rPr>
              <mc:AlternateContent>
                <mc:Choice Requires="wps">
                  <w:drawing>
                    <wp:anchor distT="0" distB="0" distL="114300" distR="114300" simplePos="0" relativeHeight="251665408" behindDoc="0" locked="0" layoutInCell="1" allowOverlap="1">
                      <wp:simplePos x="0" y="0"/>
                      <wp:positionH relativeFrom="column">
                        <wp:posOffset>3555365</wp:posOffset>
                      </wp:positionH>
                      <wp:positionV relativeFrom="paragraph">
                        <wp:posOffset>45085</wp:posOffset>
                      </wp:positionV>
                      <wp:extent cx="581025" cy="274320"/>
                      <wp:effectExtent l="0" t="0" r="0" b="0"/>
                      <wp:wrapNone/>
                      <wp:docPr id="146" name="矩形 146"/>
                      <wp:cNvGraphicFramePr/>
                      <a:graphic xmlns:a="http://schemas.openxmlformats.org/drawingml/2006/main">
                        <a:graphicData uri="http://schemas.microsoft.com/office/word/2010/wordprocessingShape">
                          <wps:wsp>
                            <wps:cNvSpPr/>
                            <wps:spPr>
                              <a:xfrm>
                                <a:off x="0" y="0"/>
                                <a:ext cx="581025" cy="274320"/>
                              </a:xfrm>
                              <a:prstGeom prst="rect">
                                <a:avLst/>
                              </a:prstGeom>
                              <a:noFill/>
                              <a:ln w="9525">
                                <a:noFill/>
                              </a:ln>
                              <a:effectLst/>
                            </wps:spPr>
                            <wps:txbx>
                              <w:txbxContent>
                                <w:p>
                                  <w:r>
                                    <w:rPr>
                                      <w:rFonts w:hint="eastAsia"/>
                                    </w:rPr>
                                    <w:t>1440</w:t>
                                  </w:r>
                                </w:p>
                              </w:txbxContent>
                            </wps:txbx>
                            <wps:bodyPr wrap="square" upright="1"/>
                          </wps:wsp>
                        </a:graphicData>
                      </a:graphic>
                    </wp:anchor>
                  </w:drawing>
                </mc:Choice>
                <mc:Fallback>
                  <w:pict>
                    <v:rect id="_x0000_s1026" o:spid="_x0000_s1026" o:spt="1" style="position:absolute;left:0pt;margin-left:279.95pt;margin-top:3.55pt;height:21.6pt;width:45.75pt;z-index:251665408;mso-width-relative:page;mso-height-relative:page;" filled="f" stroked="f" coordsize="21600,21600" o:gfxdata="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dA1nQdkAAAAIAQAADwAAAAAA&#10;AAABACAAAAAiAAAAZHJzL2Rvd25yZXYueG1sUEsBAhQAFAAAAAgAh07iQKgTKHugAQAAGwMAAA4A&#10;AAAAAAAAAQAgAAAAKAEAAGRycy9lMm9Eb2MueG1sUEsFBgAAAAAGAAYAWQEAADoFAAAAAA==&#10;">
                      <v:fill on="f" focussize="0,0"/>
                      <v:stroke on="f"/>
                      <v:imagedata o:title=""/>
                      <o:lock v:ext="edit" aspectratio="f"/>
                      <v:textbox>
                        <w:txbxContent>
                          <w:p>
                            <w:r>
                              <w:rPr>
                                <w:rFonts w:hint="eastAsia"/>
                              </w:rPr>
                              <w:t>1440</w:t>
                            </w:r>
                          </w:p>
                        </w:txbxContent>
                      </v:textbox>
                    </v:rect>
                  </w:pict>
                </mc:Fallback>
              </mc:AlternateContent>
            </w:r>
            <w:r>
              <w:rPr>
                <w:rFonts w:hint="eastAsia"/>
                <w:color w:val="000000"/>
                <w:sz w:val="24"/>
              </w:rPr>
              <mc:AlternateContent>
                <mc:Choice Requires="wps">
                  <w:drawing>
                    <wp:anchor distT="0" distB="0" distL="114300" distR="114300" simplePos="0" relativeHeight="251694080" behindDoc="0" locked="0" layoutInCell="1" allowOverlap="1">
                      <wp:simplePos x="0" y="0"/>
                      <wp:positionH relativeFrom="column">
                        <wp:posOffset>1406525</wp:posOffset>
                      </wp:positionH>
                      <wp:positionV relativeFrom="paragraph">
                        <wp:posOffset>77470</wp:posOffset>
                      </wp:positionV>
                      <wp:extent cx="594360" cy="274320"/>
                      <wp:effectExtent l="0" t="0" r="0" b="0"/>
                      <wp:wrapNone/>
                      <wp:docPr id="152" name="矩形 152"/>
                      <wp:cNvGraphicFramePr/>
                      <a:graphic xmlns:a="http://schemas.openxmlformats.org/drawingml/2006/main">
                        <a:graphicData uri="http://schemas.microsoft.com/office/word/2010/wordprocessingShape">
                          <wps:wsp>
                            <wps:cNvSpPr/>
                            <wps:spPr>
                              <a:xfrm>
                                <a:off x="0" y="0"/>
                                <a:ext cx="594360" cy="274320"/>
                              </a:xfrm>
                              <a:prstGeom prst="rect">
                                <a:avLst/>
                              </a:prstGeom>
                              <a:noFill/>
                              <a:ln w="9525">
                                <a:noFill/>
                              </a:ln>
                              <a:effectLst/>
                            </wps:spPr>
                            <wps:txbx>
                              <w:txbxContent>
                                <w:p>
                                  <w:pPr>
                                    <w:jc w:val="center"/>
                                  </w:pPr>
                                  <w:r>
                                    <w:rPr>
                                      <w:rFonts w:hint="eastAsia"/>
                                    </w:rPr>
                                    <w:t>1</w:t>
                                  </w:r>
                                  <w:r>
                                    <w:t>800</w:t>
                                  </w:r>
                                </w:p>
                              </w:txbxContent>
                            </wps:txbx>
                            <wps:bodyPr wrap="square" upright="1"/>
                          </wps:wsp>
                        </a:graphicData>
                      </a:graphic>
                    </wp:anchor>
                  </w:drawing>
                </mc:Choice>
                <mc:Fallback>
                  <w:pict>
                    <v:rect id="_x0000_s1026" o:spid="_x0000_s1026" o:spt="1" style="position:absolute;left:0pt;margin-left:110.75pt;margin-top:6.1pt;height:21.6pt;width:46.8pt;z-index:251694080;mso-width-relative:page;mso-height-relative:page;" filled="f" stroked="f" coordsize="21600,21600" o:gfxdata="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m6LmtkAAAAJAQAADwAAAAAA&#10;AAABACAAAAAiAAAAZHJzL2Rvd25yZXYueG1sUEsBAhQAFAAAAAgAh07iQG1bsUygAQAAGwMAAA4A&#10;AAAAAAAAAQAgAAAAKAEAAGRycy9lMm9Eb2MueG1sUEsFBgAAAAAGAAYAWQEAADoFAAAAAA==&#10;">
                      <v:fill on="f" focussize="0,0"/>
                      <v:stroke on="f"/>
                      <v:imagedata o:title=""/>
                      <o:lock v:ext="edit" aspectratio="f"/>
                      <v:textbox>
                        <w:txbxContent>
                          <w:p>
                            <w:pPr>
                              <w:jc w:val="center"/>
                            </w:pPr>
                            <w:r>
                              <w:rPr>
                                <w:rFonts w:hint="eastAsia"/>
                              </w:rPr>
                              <w:t>1</w:t>
                            </w:r>
                            <w:r>
                              <w:t>800</w:t>
                            </w:r>
                          </w:p>
                        </w:txbxContent>
                      </v:textbox>
                    </v:rect>
                  </w:pict>
                </mc:Fallback>
              </mc:AlternateContent>
            </w:r>
            <w:r>
              <w:rPr>
                <w:rFonts w:hint="eastAsia"/>
                <w:color w:val="000000"/>
                <w:sz w:val="24"/>
              </w:rPr>
              <mc:AlternateContent>
                <mc:Choice Requires="wps">
                  <w:drawing>
                    <wp:anchor distT="0" distB="0" distL="114300" distR="114300" simplePos="0" relativeHeight="251689984" behindDoc="0" locked="0" layoutInCell="1" allowOverlap="1">
                      <wp:simplePos x="0" y="0"/>
                      <wp:positionH relativeFrom="column">
                        <wp:posOffset>2036445</wp:posOffset>
                      </wp:positionH>
                      <wp:positionV relativeFrom="paragraph">
                        <wp:posOffset>163195</wp:posOffset>
                      </wp:positionV>
                      <wp:extent cx="1366520" cy="297180"/>
                      <wp:effectExtent l="4445" t="4445" r="19685" b="22225"/>
                      <wp:wrapNone/>
                      <wp:docPr id="124" name="矩形 124"/>
                      <wp:cNvGraphicFramePr/>
                      <a:graphic xmlns:a="http://schemas.openxmlformats.org/drawingml/2006/main">
                        <a:graphicData uri="http://schemas.microsoft.com/office/word/2010/wordprocessingShape">
                          <wps:wsp>
                            <wps:cNvSpPr/>
                            <wps:spPr>
                              <a:xfrm>
                                <a:off x="0" y="0"/>
                                <a:ext cx="136652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szCs w:val="21"/>
                                    </w:rPr>
                                    <w:t>搅拌机清洗</w:t>
                                  </w:r>
                                  <w:r>
                                    <w:rPr>
                                      <w:rFonts w:hint="eastAsia"/>
                                      <w:szCs w:val="21"/>
                                    </w:rPr>
                                    <w:t>用</w:t>
                                  </w:r>
                                  <w:r>
                                    <w:rPr>
                                      <w:szCs w:val="21"/>
                                    </w:rPr>
                                    <w:t>水</w:t>
                                  </w:r>
                                </w:p>
                              </w:txbxContent>
                            </wps:txbx>
                            <wps:bodyPr wrap="square" upright="1"/>
                          </wps:wsp>
                        </a:graphicData>
                      </a:graphic>
                    </wp:anchor>
                  </w:drawing>
                </mc:Choice>
                <mc:Fallback>
                  <w:pict>
                    <v:rect id="_x0000_s1026" o:spid="_x0000_s1026" o:spt="1" style="position:absolute;left:0pt;margin-left:160.35pt;margin-top:12.85pt;height:23.4pt;width:107.6pt;z-index:251689984;mso-width-relative:page;mso-height-relative:page;" fillcolor="#FFFFFF" filled="t" stroked="t" coordsize="21600,21600" o:gfxdata="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HYs8DYAAAACQEAAA8AAAAAAAAAAQAgAAAAIgAAAGRycy9kb3ducmV2Lnht&#10;bFBLAQIUABQAAAAIAIdO4kASpJgU+QEAAPsDAAAOAAAAAAAAAAEAIAAAACcBAABkcnMvZTJvRG9j&#10;LnhtbFBLBQYAAAAABgAGAFkBAACSBQAAAAA=&#10;">
                      <v:fill on="t" focussize="0,0"/>
                      <v:stroke color="#000000" joinstyle="miter"/>
                      <v:imagedata o:title=""/>
                      <o:lock v:ext="edit" aspectratio="f"/>
                      <v:textbox>
                        <w:txbxContent>
                          <w:p>
                            <w:pPr>
                              <w:jc w:val="center"/>
                            </w:pPr>
                            <w:r>
                              <w:rPr>
                                <w:szCs w:val="21"/>
                              </w:rPr>
                              <w:t>搅拌机清洗</w:t>
                            </w:r>
                            <w:r>
                              <w:rPr>
                                <w:rFonts w:hint="eastAsia"/>
                                <w:szCs w:val="21"/>
                              </w:rPr>
                              <w:t>用</w:t>
                            </w:r>
                            <w:r>
                              <w:rPr>
                                <w:szCs w:val="21"/>
                              </w:rPr>
                              <w:t>水</w:t>
                            </w:r>
                          </w:p>
                        </w:txbxContent>
                      </v:textbox>
                    </v:rect>
                  </w:pict>
                </mc:Fallback>
              </mc:AlternateContent>
            </w:r>
          </w:p>
          <w:p>
            <w:pPr>
              <w:spacing w:after="0" w:line="360" w:lineRule="auto"/>
              <w:ind w:firstLine="480" w:firstLineChars="200"/>
              <w:rPr>
                <w:color w:val="000000"/>
                <w:sz w:val="24"/>
              </w:rPr>
            </w:pPr>
            <w:r>
              <w:rPr>
                <w:rFonts w:hint="eastAsia"/>
                <w:color w:val="000000"/>
                <w:sz w:val="24"/>
              </w:rPr>
              <mc:AlternateContent>
                <mc:Choice Requires="wps">
                  <w:drawing>
                    <wp:anchor distT="45720" distB="45720" distL="114300" distR="114300" simplePos="0" relativeHeight="251711488" behindDoc="0" locked="0" layoutInCell="1" allowOverlap="1">
                      <wp:simplePos x="0" y="0"/>
                      <wp:positionH relativeFrom="column">
                        <wp:posOffset>544195</wp:posOffset>
                      </wp:positionH>
                      <wp:positionV relativeFrom="paragraph">
                        <wp:posOffset>262255</wp:posOffset>
                      </wp:positionV>
                      <wp:extent cx="4665980" cy="11430"/>
                      <wp:effectExtent l="0" t="4445" r="1270" b="12700"/>
                      <wp:wrapNone/>
                      <wp:docPr id="13" name="自选图形 204"/>
                      <wp:cNvGraphicFramePr/>
                      <a:graphic xmlns:a="http://schemas.openxmlformats.org/drawingml/2006/main">
                        <a:graphicData uri="http://schemas.microsoft.com/office/word/2010/wordprocessingShape">
                          <wps:wsp>
                            <wps:cNvCnPr/>
                            <wps:spPr>
                              <a:xfrm flipH="1">
                                <a:off x="0" y="0"/>
                                <a:ext cx="4665980" cy="114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4" o:spid="_x0000_s1026" o:spt="32" type="#_x0000_t32" style="position:absolute;left:0pt;flip:x;margin-left:42.85pt;margin-top:20.65pt;height:0.9pt;width:367.4pt;z-index:251711488;mso-width-relative:page;mso-height-relative:page;" filled="f" stroked="t" coordsize="21600,21600" o:gfxdata="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AwWH&#10;1gAAAAgBAAAPAAAAAAAAAAEAIAAAACIAAABkcnMvZG93bnJldi54bWxQSwECFAAUAAAACACHTuJA&#10;JzZRo+oBAACmAwAADgAAAAAAAAABACAAAAAlAQAAZHJzL2Uyb0RvYy54bWxQSwUGAAAAAAYABgBZ&#10;AQAAgQUAAAAA&#10;">
                      <v:fill on="f" focussize="0,0"/>
                      <v:stroke color="#000000" joinstyle="round"/>
                      <v:imagedata o:title=""/>
                      <o:lock v:ext="edit" aspectratio="f"/>
                    </v:shape>
                  </w:pict>
                </mc:Fallback>
              </mc:AlternateContent>
            </w:r>
            <w:r>
              <w:rPr>
                <w:rFonts w:hint="eastAsia"/>
                <w:color w:val="000000"/>
                <w:sz w:val="24"/>
              </w:rPr>
              <mc:AlternateContent>
                <mc:Choice Requires="wps">
                  <w:drawing>
                    <wp:anchor distT="0" distB="0" distL="114300" distR="114300" simplePos="0" relativeHeight="251669504" behindDoc="0" locked="0" layoutInCell="1" allowOverlap="1">
                      <wp:simplePos x="0" y="0"/>
                      <wp:positionH relativeFrom="column">
                        <wp:posOffset>1259840</wp:posOffset>
                      </wp:positionH>
                      <wp:positionV relativeFrom="paragraph">
                        <wp:posOffset>8890</wp:posOffset>
                      </wp:positionV>
                      <wp:extent cx="800100" cy="0"/>
                      <wp:effectExtent l="0" t="38100" r="0" b="38100"/>
                      <wp:wrapNone/>
                      <wp:docPr id="150" name="直接箭头连接符 150"/>
                      <wp:cNvGraphicFramePr/>
                      <a:graphic xmlns:a="http://schemas.openxmlformats.org/drawingml/2006/main">
                        <a:graphicData uri="http://schemas.microsoft.com/office/word/2010/wordprocessingShape">
                          <wps:wsp>
                            <wps:cNvCnPr/>
                            <wps:spPr>
                              <a:xfrm>
                                <a:off x="0" y="0"/>
                                <a:ext cx="8001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9.2pt;margin-top:0.7pt;height:0pt;width:63pt;z-index:251669504;mso-width-relative:page;mso-height-relative:page;" filled="f" stroked="t" coordsize="21600,21600" o:gfxdata="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tX&#10;SMTVAAAABwEAAA8AAAAAAAAAAQAgAAAAIgAAAGRycy9kb3ducmV2LnhtbFBLAQIUABQAAAAIAIdO&#10;4kAllio17QEAALMDAAAOAAAAAAAAAAEAIAAAACQBAABkcnMvZTJvRG9jLnhtbFBLBQYAAAAABgAG&#10;AFkBAACDBQAAAAA=&#10;">
                      <v:fill on="f" focussize="0,0"/>
                      <v:stroke color="#000000" joinstyle="round" endarrow="block"/>
                      <v:imagedata o:title=""/>
                      <o:lock v:ext="edit" aspectratio="f"/>
                    </v:shape>
                  </w:pict>
                </mc:Fallback>
              </mc:AlternateContent>
            </w:r>
          </w:p>
          <w:p>
            <w:pPr>
              <w:spacing w:after="0" w:line="360" w:lineRule="auto"/>
              <w:rPr>
                <w:color w:val="000000"/>
                <w:sz w:val="24"/>
              </w:rPr>
            </w:pPr>
          </w:p>
          <w:p>
            <w:pPr>
              <w:pStyle w:val="17"/>
              <w:widowControl w:val="0"/>
              <w:adjustRightInd w:val="0"/>
              <w:snapToGrid w:val="0"/>
              <w:spacing w:before="0" w:beforeAutospacing="0" w:after="0" w:afterAutospacing="0" w:line="360" w:lineRule="auto"/>
              <w:jc w:val="center"/>
              <w:rPr>
                <w:rFonts w:ascii="Times New Roman" w:hAnsi="Times New Roman" w:cs="Times New Roman"/>
                <w:b/>
                <w:kern w:val="2"/>
                <w:szCs w:val="32"/>
              </w:rPr>
            </w:pPr>
            <w:r>
              <w:rPr>
                <w:rFonts w:hint="eastAsia" w:ascii="Times New Roman" w:hAnsi="Times New Roman" w:cs="Times New Roman"/>
                <w:b/>
                <w:kern w:val="2"/>
                <w:szCs w:val="32"/>
              </w:rPr>
              <w:t>图1-1  水平衡图（m</w:t>
            </w:r>
            <w:r>
              <w:rPr>
                <w:rFonts w:hint="eastAsia" w:ascii="Times New Roman" w:hAnsi="Times New Roman" w:cs="Times New Roman"/>
                <w:b/>
                <w:kern w:val="2"/>
                <w:szCs w:val="32"/>
                <w:vertAlign w:val="superscript"/>
              </w:rPr>
              <w:t>3</w:t>
            </w:r>
            <w:r>
              <w:rPr>
                <w:rFonts w:hint="eastAsia" w:ascii="Times New Roman" w:hAnsi="Times New Roman" w:cs="Times New Roman"/>
                <w:b/>
                <w:kern w:val="2"/>
                <w:szCs w:val="32"/>
              </w:rPr>
              <w:t>/a）</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bCs/>
                <w:szCs w:val="32"/>
              </w:rPr>
            </w:pPr>
            <w:r>
              <w:rPr>
                <w:rFonts w:ascii="Times New Roman" w:hAnsi="Times New Roman" w:cs="Times New Roman"/>
                <w:bCs/>
                <w:kern w:val="2"/>
                <w:szCs w:val="32"/>
              </w:rPr>
              <w:t>（2）排水：</w:t>
            </w:r>
          </w:p>
          <w:p>
            <w:pPr>
              <w:pStyle w:val="17"/>
              <w:widowControl w:val="0"/>
              <w:adjustRightInd w:val="0"/>
              <w:snapToGrid w:val="0"/>
              <w:spacing w:before="0" w:beforeAutospacing="0" w:after="0" w:afterAutospacing="0" w:line="360" w:lineRule="auto"/>
              <w:ind w:firstLine="480" w:firstLineChars="200"/>
              <w:jc w:val="both"/>
              <w:rPr>
                <w:rFonts w:ascii="Times New Roman" w:cs="Times New Roman"/>
                <w:color w:val="auto"/>
                <w:szCs w:val="32"/>
              </w:rPr>
            </w:pPr>
            <w:r>
              <w:rPr>
                <w:rFonts w:ascii="Times New Roman" w:cs="Times New Roman"/>
                <w:color w:val="auto"/>
                <w:szCs w:val="32"/>
              </w:rPr>
              <w:t>本项目废水实行雨污分流</w:t>
            </w:r>
            <w:r>
              <w:rPr>
                <w:rFonts w:hint="eastAsia" w:ascii="Times New Roman" w:cs="Times New Roman"/>
                <w:color w:val="auto"/>
                <w:szCs w:val="32"/>
              </w:rPr>
              <w:t>制</w:t>
            </w:r>
            <w:r>
              <w:rPr>
                <w:rFonts w:ascii="Times New Roman" w:cs="Times New Roman"/>
                <w:color w:val="auto"/>
                <w:szCs w:val="32"/>
              </w:rPr>
              <w:t>。项目</w:t>
            </w:r>
            <w:r>
              <w:rPr>
                <w:rFonts w:hint="eastAsia" w:ascii="Times New Roman" w:cs="Times New Roman"/>
                <w:color w:val="auto"/>
                <w:szCs w:val="32"/>
              </w:rPr>
              <w:t>修建两个雨水收集池（各200m</w:t>
            </w:r>
            <w:r>
              <w:rPr>
                <w:rFonts w:hint="eastAsia" w:ascii="Times New Roman" w:cs="Times New Roman"/>
                <w:color w:val="auto"/>
                <w:szCs w:val="32"/>
                <w:vertAlign w:val="superscript"/>
              </w:rPr>
              <w:t>3</w:t>
            </w:r>
            <w:r>
              <w:rPr>
                <w:rFonts w:hint="eastAsia" w:ascii="Times New Roman" w:cs="Times New Roman"/>
                <w:color w:val="auto"/>
                <w:szCs w:val="32"/>
              </w:rPr>
              <w:t>），收集雨水回用于生产</w:t>
            </w:r>
            <w:r>
              <w:rPr>
                <w:rFonts w:ascii="Times New Roman" w:cs="Times New Roman"/>
                <w:color w:val="auto"/>
                <w:szCs w:val="32"/>
              </w:rPr>
              <w:t>；</w:t>
            </w:r>
            <w:r>
              <w:t>生产废</w:t>
            </w:r>
            <w:r>
              <w:rPr>
                <w:rFonts w:hint="eastAsia"/>
              </w:rPr>
              <w:t>水</w:t>
            </w:r>
            <w:r>
              <w:rPr>
                <w:rFonts w:hint="eastAsia" w:ascii="Times New Roman" w:cs="Times New Roman"/>
                <w:color w:val="auto"/>
                <w:szCs w:val="32"/>
              </w:rPr>
              <w:t>经三级沉淀池沉淀处理后循环使用不外排；生活废水经隔油器及化粪池处理后用于周边农田灌溉。</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b/>
                <w:shd w:val="clear" w:color="auto" w:fill="FFFFFF"/>
              </w:rPr>
            </w:pPr>
            <w:r>
              <w:rPr>
                <w:rFonts w:ascii="Times New Roman" w:hAnsi="Times New Roman" w:cs="Times New Roman"/>
                <w:bCs/>
                <w:kern w:val="2"/>
                <w:szCs w:val="32"/>
              </w:rPr>
              <w:t>（3）供电：</w:t>
            </w:r>
            <w:r>
              <w:rPr>
                <w:rFonts w:ascii="Times New Roman" w:hAnsi="Times New Roman" w:cs="Times New Roman"/>
                <w:kern w:val="2"/>
              </w:rPr>
              <w:t>项目用电由当地电网供给，年用电</w:t>
            </w:r>
            <w:r>
              <w:rPr>
                <w:rFonts w:ascii="Times New Roman" w:hAnsi="Times New Roman" w:cs="Times New Roman"/>
                <w:color w:val="auto"/>
                <w:kern w:val="2"/>
              </w:rPr>
              <w:t>量</w:t>
            </w:r>
            <w:r>
              <w:rPr>
                <w:rFonts w:hint="eastAsia" w:ascii="Times New Roman" w:hAnsi="Times New Roman" w:cs="Times New Roman"/>
                <w:color w:val="auto"/>
                <w:kern w:val="2"/>
              </w:rPr>
              <w:t>40</w:t>
            </w:r>
            <w:r>
              <w:rPr>
                <w:rFonts w:ascii="Times New Roman" w:hAnsi="Times New Roman" w:cs="Times New Roman"/>
                <w:color w:val="auto"/>
                <w:kern w:val="2"/>
              </w:rPr>
              <w:t>万度。</w:t>
            </w:r>
          </w:p>
          <w:p>
            <w:pPr>
              <w:pStyle w:val="35"/>
              <w:spacing w:after="0" w:line="360" w:lineRule="auto"/>
              <w:jc w:val="both"/>
              <w:rPr>
                <w:rFonts w:ascii="Times New Roman" w:cs="Times New Roman"/>
                <w:b/>
                <w:bCs/>
                <w:color w:val="auto"/>
                <w:szCs w:val="32"/>
              </w:rPr>
            </w:pPr>
            <w:r>
              <w:rPr>
                <w:rFonts w:hint="eastAsia" w:ascii="Times New Roman" w:cs="Times New Roman"/>
                <w:b/>
                <w:bCs/>
                <w:color w:val="auto"/>
                <w:szCs w:val="32"/>
              </w:rPr>
              <w:t>四、劳动定员与工作制度</w:t>
            </w:r>
          </w:p>
          <w:p>
            <w:pPr>
              <w:pStyle w:val="35"/>
              <w:spacing w:after="0" w:line="360" w:lineRule="auto"/>
              <w:ind w:firstLine="480" w:firstLineChars="200"/>
              <w:jc w:val="both"/>
              <w:rPr>
                <w:rFonts w:ascii="Times New Roman" w:cs="Times New Roman"/>
                <w:color w:val="auto"/>
              </w:rPr>
            </w:pPr>
            <w:r>
              <w:rPr>
                <w:rFonts w:ascii="Times New Roman" w:cs="Times New Roman"/>
                <w:color w:val="auto"/>
              </w:rPr>
              <w:t>本项目</w:t>
            </w:r>
            <w:r>
              <w:rPr>
                <w:rFonts w:hint="eastAsia" w:ascii="Times New Roman" w:cs="Times New Roman"/>
                <w:color w:val="auto"/>
              </w:rPr>
              <w:t>员工28人，厂区内设置了食堂及宿舍</w:t>
            </w:r>
            <w:r>
              <w:rPr>
                <w:rFonts w:ascii="Times New Roman" w:cs="Times New Roman"/>
                <w:color w:val="auto"/>
              </w:rPr>
              <w:t>，年工作</w:t>
            </w:r>
            <w:r>
              <w:rPr>
                <w:rFonts w:hint="eastAsia" w:ascii="Times New Roman" w:cs="Times New Roman"/>
                <w:color w:val="auto"/>
              </w:rPr>
              <w:t>300</w:t>
            </w:r>
            <w:r>
              <w:rPr>
                <w:rFonts w:ascii="Times New Roman" w:cs="Times New Roman"/>
                <w:color w:val="auto"/>
              </w:rPr>
              <w:t>天，1班制，每班8h</w:t>
            </w:r>
            <w:r>
              <w:rPr>
                <w:rFonts w:hint="eastAsia" w:ascii="Times New Roman" w:cs="Times New Roman"/>
                <w:color w:val="auto"/>
              </w:rPr>
              <w:t>。</w:t>
            </w:r>
          </w:p>
          <w:p>
            <w:pPr>
              <w:pStyle w:val="17"/>
              <w:widowControl w:val="0"/>
              <w:adjustRightInd w:val="0"/>
              <w:snapToGrid w:val="0"/>
              <w:spacing w:before="0" w:beforeAutospacing="0" w:after="0" w:afterAutospacing="0" w:line="360" w:lineRule="auto"/>
              <w:jc w:val="both"/>
              <w:rPr>
                <w:rFonts w:ascii="Times New Roman" w:hAnsi="Times New Roman" w:cs="宋体"/>
                <w:kern w:val="2"/>
                <w:szCs w:val="20"/>
              </w:rPr>
            </w:pPr>
          </w:p>
          <w:p>
            <w:pPr>
              <w:pStyle w:val="17"/>
              <w:widowControl w:val="0"/>
              <w:adjustRightInd w:val="0"/>
              <w:snapToGrid w:val="0"/>
              <w:spacing w:before="0" w:beforeAutospacing="0" w:after="0" w:afterAutospacing="0" w:line="360" w:lineRule="auto"/>
              <w:jc w:val="both"/>
              <w:rPr>
                <w:rFonts w:ascii="Times New Roman" w:hAnsi="Times New Roman" w:cs="宋体"/>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288" w:type="dxa"/>
            <w:gridSpan w:val="6"/>
            <w:vAlign w:val="center"/>
          </w:tcPr>
          <w:p>
            <w:pPr>
              <w:pStyle w:val="35"/>
              <w:spacing w:after="0" w:line="360" w:lineRule="auto"/>
              <w:rPr>
                <w:rFonts w:ascii="Times New Roman" w:cs="Times New Roman"/>
                <w:b/>
                <w:bCs/>
                <w:color w:val="auto"/>
                <w:szCs w:val="32"/>
                <w:u w:val="wave"/>
              </w:rPr>
            </w:pPr>
            <w:r>
              <w:rPr>
                <w:rFonts w:hint="eastAsia" w:ascii="Times New Roman" w:cs="Times New Roman"/>
                <w:b/>
                <w:bCs/>
                <w:color w:val="auto"/>
                <w:szCs w:val="32"/>
                <w:u w:val="wave"/>
              </w:rPr>
              <w:t>与项目有关的原有污染情况及主要环境问题</w:t>
            </w:r>
          </w:p>
          <w:p>
            <w:pPr>
              <w:pStyle w:val="35"/>
              <w:spacing w:after="0" w:line="360" w:lineRule="auto"/>
              <w:ind w:firstLine="480" w:firstLineChars="200"/>
              <w:jc w:val="both"/>
              <w:rPr>
                <w:rFonts w:ascii="Times New Roman"/>
                <w:u w:val="wave"/>
              </w:rPr>
            </w:pPr>
            <w:r>
              <w:rPr>
                <w:rFonts w:hint="eastAsia" w:ascii="Times New Roman" w:cs="Times New Roman"/>
                <w:u w:val="wave"/>
              </w:rPr>
              <w:t>本</w:t>
            </w:r>
            <w:r>
              <w:rPr>
                <w:rFonts w:ascii="Times New Roman" w:cs="Times New Roman"/>
                <w:u w:val="wave"/>
              </w:rPr>
              <w:t>项目</w:t>
            </w:r>
            <w:r>
              <w:rPr>
                <w:rFonts w:hint="eastAsia" w:ascii="Times New Roman" w:cs="Times New Roman"/>
                <w:u w:val="wave"/>
              </w:rPr>
              <w:t>原厂址在湖南省岳阳市湘阴县湘滨镇临资口村小河边，原厂未做过环评，因湘阴县的整改要求，重新选址</w:t>
            </w:r>
            <w:r>
              <w:rPr>
                <w:rFonts w:hint="eastAsia" w:ascii="Times New Roman"/>
                <w:color w:val="auto"/>
                <w:u w:val="wave"/>
              </w:rPr>
              <w:t>于</w:t>
            </w:r>
            <w:r>
              <w:rPr>
                <w:rFonts w:hint="eastAsia" w:ascii="Times New Roman"/>
                <w:u w:val="wave"/>
              </w:rPr>
              <w:t>湘阴县杨林寨乡沅潭村，利用</w:t>
            </w:r>
            <w:r>
              <w:rPr>
                <w:rFonts w:hint="eastAsia" w:ascii="Times New Roman" w:cs="Times New Roman"/>
                <w:bCs/>
                <w:u w:val="wave"/>
              </w:rPr>
              <w:t>湘阴县杨林赛砖瓦厂部分用地进行建设。租用的杨林寨砖瓦厂的用地原建筑均已拆，已为荒地，不存在原有污染情况。</w:t>
            </w:r>
          </w:p>
          <w:p>
            <w:pPr>
              <w:spacing w:after="0" w:line="360" w:lineRule="auto"/>
              <w:ind w:firstLine="480"/>
              <w:rPr>
                <w:sz w:val="24"/>
                <w:szCs w:val="20"/>
                <w:u w:val="wave"/>
              </w:rPr>
            </w:pPr>
            <w:r>
              <w:rPr>
                <w:rFonts w:hint="eastAsia"/>
                <w:sz w:val="24"/>
                <w:u w:val="wave"/>
              </w:rPr>
              <w:t>原</w:t>
            </w:r>
            <w:r>
              <w:rPr>
                <w:sz w:val="24"/>
                <w:u w:val="wave"/>
              </w:rPr>
              <w:t>项目总投资2</w:t>
            </w:r>
            <w:r>
              <w:rPr>
                <w:rFonts w:hint="eastAsia"/>
                <w:sz w:val="24"/>
                <w:u w:val="wave"/>
              </w:rPr>
              <w:t>5</w:t>
            </w:r>
            <w:r>
              <w:rPr>
                <w:sz w:val="24"/>
                <w:u w:val="wave"/>
              </w:rPr>
              <w:t>00万元，建设年产</w:t>
            </w:r>
            <w:r>
              <w:rPr>
                <w:rFonts w:hint="eastAsia"/>
                <w:sz w:val="24"/>
                <w:u w:val="wave"/>
              </w:rPr>
              <w:t>5</w:t>
            </w:r>
            <w:r>
              <w:rPr>
                <w:sz w:val="24"/>
                <w:u w:val="wave"/>
              </w:rPr>
              <w:t>万方混凝土搅拌</w:t>
            </w:r>
            <w:r>
              <w:rPr>
                <w:rFonts w:hint="eastAsia"/>
                <w:sz w:val="24"/>
                <w:u w:val="wave"/>
              </w:rPr>
              <w:t>项目</w:t>
            </w:r>
            <w:r>
              <w:rPr>
                <w:sz w:val="24"/>
                <w:u w:val="wave"/>
              </w:rPr>
              <w:t>。</w:t>
            </w:r>
            <w:r>
              <w:rPr>
                <w:sz w:val="24"/>
                <w:szCs w:val="20"/>
                <w:u w:val="wave"/>
              </w:rPr>
              <w:t>工程建设内容主要为主体工程、辅助工程、环保工程、公用工程。</w:t>
            </w:r>
          </w:p>
          <w:p>
            <w:pPr>
              <w:pStyle w:val="8"/>
              <w:spacing w:after="0" w:line="360" w:lineRule="auto"/>
              <w:ind w:left="0" w:right="0" w:firstLine="480" w:firstLineChars="200"/>
              <w:rPr>
                <w:rFonts w:ascii="Times New Roman" w:eastAsia="宋体"/>
                <w:sz w:val="24"/>
                <w:szCs w:val="24"/>
                <w:u w:val="wave"/>
              </w:rPr>
            </w:pPr>
            <w:r>
              <w:rPr>
                <w:rFonts w:ascii="Times New Roman" w:eastAsia="宋体"/>
                <w:sz w:val="24"/>
                <w:szCs w:val="24"/>
                <w:u w:val="wave"/>
              </w:rPr>
              <w:t>废气：项目</w:t>
            </w:r>
            <w:r>
              <w:rPr>
                <w:rFonts w:hint="eastAsia" w:ascii="Times New Roman" w:eastAsia="宋体"/>
                <w:sz w:val="24"/>
                <w:szCs w:val="24"/>
                <w:u w:val="wave"/>
              </w:rPr>
              <w:t>产生的废气主要为卸料粉尘，筒仓呼吸粉尘以及搅拌粉尘。筒仓呼吸粉尘及搅拌粉尘均</w:t>
            </w:r>
            <w:r>
              <w:rPr>
                <w:rFonts w:ascii="Times New Roman" w:eastAsia="宋体"/>
                <w:sz w:val="24"/>
                <w:szCs w:val="24"/>
                <w:u w:val="wave"/>
              </w:rPr>
              <w:t>经</w:t>
            </w:r>
            <w:r>
              <w:rPr>
                <w:rFonts w:hint="eastAsia" w:ascii="Times New Roman" w:eastAsia="宋体"/>
                <w:sz w:val="24"/>
                <w:szCs w:val="24"/>
                <w:u w:val="wave"/>
              </w:rPr>
              <w:t>脉冲</w:t>
            </w:r>
            <w:r>
              <w:rPr>
                <w:rFonts w:ascii="Times New Roman" w:eastAsia="宋体"/>
                <w:sz w:val="24"/>
                <w:szCs w:val="24"/>
                <w:u w:val="wave"/>
              </w:rPr>
              <w:t>除尘器处理后经</w:t>
            </w:r>
            <w:r>
              <w:rPr>
                <w:rFonts w:hint="eastAsia" w:ascii="Times New Roman" w:eastAsia="宋体"/>
                <w:sz w:val="24"/>
                <w:szCs w:val="24"/>
                <w:u w:val="wave"/>
              </w:rPr>
              <w:t>25m排气筒</w:t>
            </w:r>
            <w:r>
              <w:rPr>
                <w:rFonts w:ascii="Times New Roman" w:eastAsia="宋体"/>
                <w:sz w:val="24"/>
                <w:szCs w:val="24"/>
                <w:u w:val="wave"/>
              </w:rPr>
              <w:t>高空排放，</w:t>
            </w:r>
            <w:r>
              <w:rPr>
                <w:rFonts w:hint="eastAsia" w:ascii="Times New Roman" w:eastAsia="宋体"/>
                <w:sz w:val="24"/>
                <w:szCs w:val="24"/>
                <w:u w:val="wave"/>
              </w:rPr>
              <w:t>卸料粉尘等</w:t>
            </w:r>
            <w:r>
              <w:rPr>
                <w:rFonts w:ascii="Times New Roman" w:eastAsia="宋体"/>
                <w:sz w:val="24"/>
                <w:szCs w:val="24"/>
                <w:u w:val="wave"/>
              </w:rPr>
              <w:t>无组织废气经洒水降尘处理后无组织排放，对周边环境影响较小。</w:t>
            </w:r>
          </w:p>
          <w:p>
            <w:pPr>
              <w:pStyle w:val="8"/>
              <w:spacing w:after="0" w:line="360" w:lineRule="auto"/>
              <w:ind w:left="0" w:right="0" w:firstLine="480" w:firstLineChars="200"/>
              <w:rPr>
                <w:rFonts w:ascii="Times New Roman" w:eastAsia="宋体"/>
                <w:sz w:val="24"/>
                <w:szCs w:val="24"/>
                <w:u w:val="wave"/>
              </w:rPr>
            </w:pPr>
            <w:r>
              <w:rPr>
                <w:rFonts w:ascii="Times New Roman" w:eastAsia="宋体"/>
                <w:sz w:val="24"/>
                <w:szCs w:val="24"/>
                <w:u w:val="wave"/>
              </w:rPr>
              <w:t>废水：项目废水主要为生产废水和生活污水，其中生产废水经</w:t>
            </w:r>
            <w:r>
              <w:rPr>
                <w:rFonts w:hint="eastAsia" w:ascii="Times New Roman" w:eastAsia="宋体"/>
                <w:sz w:val="24"/>
                <w:szCs w:val="24"/>
                <w:u w:val="wave"/>
              </w:rPr>
              <w:t>三级</w:t>
            </w:r>
            <w:r>
              <w:rPr>
                <w:rFonts w:ascii="Times New Roman" w:eastAsia="宋体"/>
                <w:sz w:val="24"/>
                <w:szCs w:val="24"/>
                <w:u w:val="wave"/>
              </w:rPr>
              <w:t>沉淀池沉淀处理后回用于项目生产过程中，生活污水经化粪池处理后</w:t>
            </w:r>
            <w:r>
              <w:rPr>
                <w:rFonts w:hint="eastAsia" w:ascii="Times New Roman" w:eastAsia="宋体"/>
                <w:sz w:val="24"/>
                <w:szCs w:val="24"/>
                <w:u w:val="wave"/>
              </w:rPr>
              <w:t>用于周边农田灌溉，不</w:t>
            </w:r>
            <w:r>
              <w:rPr>
                <w:rFonts w:ascii="Times New Roman" w:eastAsia="宋体"/>
                <w:sz w:val="24"/>
                <w:szCs w:val="24"/>
                <w:u w:val="wave"/>
              </w:rPr>
              <w:t>外排。</w:t>
            </w:r>
          </w:p>
          <w:p>
            <w:pPr>
              <w:pStyle w:val="8"/>
              <w:spacing w:after="0" w:line="360" w:lineRule="auto"/>
              <w:ind w:left="0" w:right="0" w:firstLine="480" w:firstLineChars="200"/>
              <w:rPr>
                <w:rFonts w:ascii="Times New Roman" w:eastAsia="宋体"/>
                <w:sz w:val="24"/>
                <w:szCs w:val="24"/>
                <w:u w:val="wave"/>
              </w:rPr>
            </w:pPr>
            <w:r>
              <w:rPr>
                <w:rFonts w:ascii="Times New Roman" w:eastAsia="宋体"/>
                <w:sz w:val="24"/>
                <w:szCs w:val="24"/>
                <w:u w:val="wave"/>
              </w:rPr>
              <w:t>噪声：项目噪声经隔声，减震处理后达标排放。</w:t>
            </w:r>
          </w:p>
          <w:p>
            <w:pPr>
              <w:pStyle w:val="8"/>
              <w:spacing w:after="0" w:line="360" w:lineRule="auto"/>
              <w:ind w:left="0" w:right="0" w:firstLine="480" w:firstLineChars="200"/>
              <w:rPr>
                <w:rFonts w:ascii="Times New Roman" w:eastAsia="宋体"/>
                <w:sz w:val="24"/>
                <w:szCs w:val="24"/>
                <w:u w:val="wave"/>
              </w:rPr>
            </w:pPr>
            <w:r>
              <w:rPr>
                <w:rFonts w:ascii="Times New Roman" w:eastAsia="宋体"/>
                <w:sz w:val="24"/>
                <w:szCs w:val="24"/>
                <w:u w:val="wave"/>
              </w:rPr>
              <w:t>固废：</w:t>
            </w:r>
            <w:r>
              <w:rPr>
                <w:rFonts w:hint="eastAsia" w:ascii="Times New Roman" w:eastAsia="宋体"/>
                <w:sz w:val="24"/>
                <w:szCs w:val="24"/>
                <w:u w:val="wave"/>
              </w:rPr>
              <w:t>项目无危险废物，一般</w:t>
            </w:r>
            <w:r>
              <w:rPr>
                <w:rFonts w:ascii="Times New Roman" w:eastAsia="宋体"/>
                <w:sz w:val="24"/>
                <w:szCs w:val="24"/>
                <w:u w:val="wave"/>
              </w:rPr>
              <w:t>固废</w:t>
            </w:r>
            <w:r>
              <w:rPr>
                <w:rFonts w:hint="eastAsia" w:ascii="Times New Roman" w:eastAsia="宋体"/>
                <w:sz w:val="24"/>
                <w:szCs w:val="24"/>
                <w:u w:val="wave"/>
              </w:rPr>
              <w:t>经处理后可回收利用，生活垃圾统一收集后交由环卫部门处理</w:t>
            </w:r>
            <w:r>
              <w:rPr>
                <w:rFonts w:ascii="Times New Roman" w:eastAsia="宋体"/>
                <w:sz w:val="24"/>
                <w:szCs w:val="24"/>
                <w:u w:val="wave"/>
              </w:rPr>
              <w:t>。</w:t>
            </w:r>
          </w:p>
          <w:p>
            <w:pPr>
              <w:pStyle w:val="8"/>
              <w:spacing w:after="0" w:line="360" w:lineRule="auto"/>
              <w:ind w:firstLine="480" w:firstLineChars="200"/>
              <w:rPr>
                <w:rFonts w:ascii="Times New Roman" w:eastAsia="宋体"/>
                <w:sz w:val="24"/>
                <w:szCs w:val="24"/>
                <w:u w:val="wave"/>
              </w:rPr>
            </w:pPr>
            <w:r>
              <w:rPr>
                <w:rFonts w:hint="eastAsia" w:ascii="Times New Roman" w:eastAsia="宋体"/>
                <w:sz w:val="24"/>
                <w:szCs w:val="24"/>
                <w:u w:val="wave"/>
              </w:rPr>
              <w:t>原项目按环保规范要求配设了相关环保处理措施，处理完后对环境影响较小。待原厂整体搬迁到新场地后，原厂区的污染将不复存在。因此，搬迁后原项目不存在与本项目有关的原有污染及环境问题。</w:t>
            </w: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p>
            <w:pPr>
              <w:pStyle w:val="35"/>
              <w:spacing w:after="0" w:line="360" w:lineRule="auto"/>
              <w:rPr>
                <w:rFonts w:ascii="Times New Roman" w:cs="Times New Roman"/>
              </w:rPr>
            </w:pPr>
          </w:p>
        </w:tc>
      </w:tr>
    </w:tbl>
    <w:p>
      <w:pPr>
        <w:pStyle w:val="35"/>
        <w:rPr>
          <w:rFonts w:ascii="Times New Roman" w:cs="Times New Roman"/>
          <w:color w:val="auto"/>
          <w:szCs w:val="32"/>
        </w:rPr>
        <w:sectPr>
          <w:footerReference r:id="rId4" w:type="default"/>
          <w:pgSz w:w="11906" w:h="16838"/>
          <w:pgMar w:top="1134" w:right="1417" w:bottom="1134" w:left="1417" w:header="851" w:footer="992" w:gutter="0"/>
          <w:pgNumType w:start="1"/>
          <w:cols w:space="720" w:num="1"/>
          <w:docGrid w:type="lines" w:linePitch="312" w:charSpace="0"/>
        </w:sectPr>
      </w:pPr>
    </w:p>
    <w:p>
      <w:pPr>
        <w:pStyle w:val="35"/>
        <w:outlineLvl w:val="0"/>
        <w:rPr>
          <w:rFonts w:ascii="Times New Roman" w:cs="Times New Roman"/>
          <w:b/>
          <w:bCs/>
          <w:color w:val="auto"/>
          <w:sz w:val="32"/>
          <w:szCs w:val="40"/>
        </w:rPr>
      </w:pPr>
      <w:bookmarkStart w:id="69" w:name="_Toc32708"/>
      <w:bookmarkStart w:id="70" w:name="_Toc3786"/>
      <w:r>
        <w:rPr>
          <w:rFonts w:hint="eastAsia" w:ascii="Times New Roman" w:cs="Times New Roman"/>
          <w:b/>
          <w:bCs/>
          <w:color w:val="auto"/>
          <w:sz w:val="32"/>
          <w:szCs w:val="40"/>
        </w:rPr>
        <w:t>2建设项目所在地自然环境社会环境简况</w:t>
      </w:r>
      <w:bookmarkEnd w:id="69"/>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pStyle w:val="35"/>
              <w:spacing w:after="0" w:line="360" w:lineRule="auto"/>
              <w:rPr>
                <w:rFonts w:ascii="Times New Roman" w:cs="Times New Roman"/>
                <w:b/>
                <w:bCs/>
                <w:color w:val="auto"/>
                <w:szCs w:val="32"/>
              </w:rPr>
            </w:pPr>
            <w:r>
              <w:rPr>
                <w:rFonts w:ascii="Times New Roman" w:cs="Times New Roman"/>
                <w:b/>
                <w:bCs/>
                <w:color w:val="auto"/>
                <w:szCs w:val="32"/>
              </w:rPr>
              <w:t>自然环境简况（</w:t>
            </w:r>
            <w:r>
              <w:rPr>
                <w:rFonts w:ascii="Times New Roman" w:cs="Times New Roman"/>
                <w:b/>
                <w:bCs/>
                <w:color w:val="auto"/>
              </w:rPr>
              <w:t>地形、地貌、地质、气候、水文、植被、生物多样性等</w:t>
            </w:r>
            <w:r>
              <w:rPr>
                <w:rFonts w:ascii="Times New Roman" w:cs="Times New Roman"/>
                <w:b/>
                <w:bCs/>
                <w:color w:val="auto"/>
                <w:szCs w:val="32"/>
              </w:rPr>
              <w:t>）：</w:t>
            </w:r>
          </w:p>
          <w:p>
            <w:pPr>
              <w:widowControl/>
              <w:spacing w:after="0" w:line="360" w:lineRule="auto"/>
              <w:jc w:val="left"/>
              <w:rPr>
                <w:b/>
                <w:bCs/>
                <w:sz w:val="24"/>
              </w:rPr>
            </w:pPr>
            <w:r>
              <w:rPr>
                <w:rFonts w:hint="eastAsia"/>
                <w:b/>
                <w:bCs/>
                <w:sz w:val="24"/>
              </w:rPr>
              <w:t>一、地理位置</w:t>
            </w:r>
          </w:p>
          <w:p>
            <w:pPr>
              <w:spacing w:after="0" w:line="360" w:lineRule="auto"/>
              <w:ind w:firstLine="480" w:firstLineChars="200"/>
              <w:rPr>
                <w:sz w:val="24"/>
              </w:rPr>
            </w:pPr>
            <w:r>
              <w:rPr>
                <w:sz w:val="24"/>
              </w:rPr>
              <w:t>湘阴位于湖南省东北部、居湘、资两水尾间，濒南洞庭湖。东邻汨罗市、西接益阳市，南界望城县，北抵沅江市、屈原行政区，介于东经112°30′—113°02′，北纬28°30′—29°03′之间。南北长61公里,东西宽51.3公里，面积1581.5平方公里，距益阳市区50公里，岳阳市区110公里，经长湘公路至长沙仅45公里，交通十分便利。</w:t>
            </w:r>
          </w:p>
          <w:p>
            <w:pPr>
              <w:spacing w:after="0" w:line="360" w:lineRule="auto"/>
              <w:ind w:firstLine="480" w:firstLineChars="200"/>
              <w:rPr>
                <w:sz w:val="24"/>
              </w:rPr>
            </w:pPr>
            <w:r>
              <w:rPr>
                <w:rFonts w:hint="eastAsia"/>
                <w:sz w:val="24"/>
              </w:rPr>
              <w:t>本</w:t>
            </w:r>
            <w:r>
              <w:rPr>
                <w:sz w:val="24"/>
              </w:rPr>
              <w:t>项目位于</w:t>
            </w:r>
            <w:r>
              <w:rPr>
                <w:color w:val="000000"/>
                <w:sz w:val="24"/>
              </w:rPr>
              <w:t>湖南省</w:t>
            </w:r>
            <w:r>
              <w:rPr>
                <w:rFonts w:hint="eastAsia"/>
                <w:color w:val="000000"/>
                <w:sz w:val="24"/>
              </w:rPr>
              <w:t>岳阳市湘阴县杨林寨乡沅潭村，其中心坐标为</w:t>
            </w:r>
            <w:r>
              <w:rPr>
                <w:color w:val="000000"/>
                <w:sz w:val="24"/>
              </w:rPr>
              <w:t>E：112°45′57′′</w:t>
            </w:r>
            <w:r>
              <w:rPr>
                <w:rFonts w:hint="eastAsia"/>
                <w:color w:val="000000"/>
                <w:sz w:val="24"/>
              </w:rPr>
              <w:t>，</w:t>
            </w:r>
            <w:r>
              <w:rPr>
                <w:color w:val="000000"/>
                <w:sz w:val="24"/>
              </w:rPr>
              <w:t>N：28°42′38′′</w:t>
            </w:r>
            <w:r>
              <w:rPr>
                <w:rStyle w:val="28"/>
                <w:rFonts w:hint="eastAsia"/>
              </w:rPr>
              <w:t>。</w:t>
            </w:r>
            <w:r>
              <w:rPr>
                <w:sz w:val="24"/>
              </w:rPr>
              <w:t>项目地理位置详见附图1。</w:t>
            </w:r>
          </w:p>
          <w:p>
            <w:pPr>
              <w:widowControl/>
              <w:spacing w:after="0" w:line="360" w:lineRule="auto"/>
              <w:jc w:val="left"/>
              <w:rPr>
                <w:b/>
                <w:bCs/>
                <w:sz w:val="24"/>
              </w:rPr>
            </w:pPr>
            <w:r>
              <w:rPr>
                <w:rFonts w:hint="eastAsia"/>
                <w:b/>
                <w:bCs/>
                <w:sz w:val="24"/>
              </w:rPr>
              <w:t>二、地形、地质</w:t>
            </w:r>
          </w:p>
          <w:p>
            <w:pPr>
              <w:spacing w:after="0" w:line="360" w:lineRule="auto"/>
              <w:ind w:firstLine="480" w:firstLineChars="200"/>
              <w:rPr>
                <w:sz w:val="24"/>
              </w:rPr>
            </w:pPr>
            <w:r>
              <w:rPr>
                <w:rFonts w:hint="eastAsia"/>
                <w:sz w:val="24"/>
              </w:rPr>
              <w:t>湘阴地块属新华夏构造体系的第二隆地带。地貌呈低山、岗地、平原三种形态，地势东南高，西北低。位居幕阜山余脉走向洞庭湖凹陷处的过渡带上，地势自东南向西北递降，形成一个微向洞庭湖盆中心的倾斜面。最高处青山庵,海拔552.4米，最低处濠河口河底,低于黄海水平面4.3米。滨湖平原多呈块状分布，地处湘江大断裂带，构成低山、岗地；西盘下切，形成滨湖平原。除去江河湖泊及其它水面,滨湖、江河、溪谷3种平原共702.11平方公里，占全县总面积的44.4%，岗地占13.59%，低山占1.51%。</w:t>
            </w:r>
          </w:p>
          <w:p>
            <w:pPr>
              <w:spacing w:after="0" w:line="360" w:lineRule="auto"/>
              <w:rPr>
                <w:b/>
                <w:bCs/>
                <w:sz w:val="24"/>
              </w:rPr>
            </w:pPr>
            <w:r>
              <w:rPr>
                <w:rFonts w:hint="eastAsia"/>
                <w:b/>
                <w:bCs/>
                <w:sz w:val="24"/>
              </w:rPr>
              <w:t>三、气候、气象</w:t>
            </w:r>
          </w:p>
          <w:p>
            <w:pPr>
              <w:spacing w:after="0" w:line="360" w:lineRule="auto"/>
              <w:ind w:firstLine="480" w:firstLineChars="200"/>
              <w:rPr>
                <w:sz w:val="24"/>
              </w:rPr>
            </w:pPr>
            <w:r>
              <w:rPr>
                <w:sz w:val="24"/>
              </w:rPr>
              <w:t>湘阴县地处亚热带季风气候，具有中亚热带向北亚热带性质，属湿润大陆季风气候。其主要特征是：严寒期短，无霜期长，春温多变，秋寒偏早，雨季明显，夏秋多旱，四季分明，季节性强，“湖陆风”盛行。</w:t>
            </w:r>
          </w:p>
          <w:p>
            <w:pPr>
              <w:spacing w:after="0" w:line="360" w:lineRule="auto"/>
              <w:ind w:firstLine="480" w:firstLineChars="200"/>
              <w:rPr>
                <w:sz w:val="24"/>
              </w:rPr>
            </w:pPr>
            <w:r>
              <w:rPr>
                <w:sz w:val="24"/>
              </w:rPr>
              <w:t>据湘阴气象站1979—2009年共30年实测气象资料统计：多年平均气压1009.8hpa。多年平均气温16.8</w:t>
            </w:r>
            <w:r>
              <w:rPr>
                <w:rFonts w:hint="eastAsia"/>
                <w:sz w:val="24"/>
              </w:rPr>
              <w:t>℃</w:t>
            </w:r>
            <w:r>
              <w:rPr>
                <w:sz w:val="24"/>
              </w:rPr>
              <w:t>；极端最高气温40.0</w:t>
            </w:r>
            <w:r>
              <w:rPr>
                <w:rFonts w:hint="eastAsia"/>
                <w:sz w:val="24"/>
              </w:rPr>
              <w:t>℃</w:t>
            </w:r>
            <w:r>
              <w:rPr>
                <w:sz w:val="24"/>
              </w:rPr>
              <w:t>(1981年7月22日);极端最低气温—12.6</w:t>
            </w:r>
            <w:r>
              <w:rPr>
                <w:rFonts w:hint="eastAsia"/>
                <w:sz w:val="24"/>
              </w:rPr>
              <w:t>℃</w:t>
            </w:r>
            <w:r>
              <w:rPr>
                <w:sz w:val="24"/>
              </w:rPr>
              <w:t>（1982年1月30日）。多年平均降水量达1389.8.1mm；4-7月为雨季，其余月份降水较少。年最大降水量为1719.4mm（1996年），年最大蒸发量为1347.8mm，年最小蒸发量为995.4mm（1984年），日最大蒸发量为12.2 mm（1988年7月2日）；年平均无霜期为277天。夏季多东南风，冬季多西北风，最大风力可达8级。多年平均风速2.7m/s，最大风速为18.7m/s；汛期最大风速多年平均值为14.1m/s。主要灾害性天气有暴雨、干旱、大风、雷雹、低温、冰冻。</w:t>
            </w:r>
          </w:p>
          <w:p>
            <w:pPr>
              <w:widowControl/>
              <w:spacing w:after="0" w:line="360" w:lineRule="auto"/>
              <w:jc w:val="left"/>
              <w:rPr>
                <w:b/>
                <w:bCs/>
                <w:sz w:val="24"/>
              </w:rPr>
            </w:pPr>
            <w:r>
              <w:rPr>
                <w:rFonts w:hint="eastAsia"/>
                <w:b/>
                <w:bCs/>
                <w:sz w:val="24"/>
              </w:rPr>
              <w:t>四、水文</w:t>
            </w:r>
          </w:p>
          <w:p>
            <w:pPr>
              <w:spacing w:after="0" w:line="360" w:lineRule="auto"/>
              <w:ind w:firstLine="480" w:firstLineChars="200"/>
              <w:rPr>
                <w:sz w:val="24"/>
              </w:rPr>
            </w:pPr>
            <w:bookmarkStart w:id="71" w:name="_Toc311104722"/>
            <w:bookmarkStart w:id="72" w:name="_Toc310424327"/>
            <w:r>
              <w:rPr>
                <w:rFonts w:hint="eastAsia"/>
                <w:sz w:val="24"/>
              </w:rPr>
              <w:t>湘阴县位于湘江尾闾，洞庭湖滨。区域地表水发达，主要河流有湘江、资江和白水江，主要外湖有横岭湖、团林湖、淳湖和荷叶湖等，主要内湖有鹤龙湖、洋沙湖、范家坝、白洋湖和南湖垸哑河等。本项目纳污水体为湘江。湘江又称湘水，是长江七大支流之一，也是湖南省境内最大的一条河流。湘江发源于广西临桂县海洋坪的龙门界，流经广西兴安、全州，于湖南省东安县下江圩进入湖南。沿途经永州、冷水滩、衡阳、株洲、湘潭、长沙至湘阴的浩河口注入洞庭湖, 与资、沅、澧水相汇，沿东洞庭湖湘江洪道经岳阳至城陵矶入长江。其间纳入了潇水、舂陵水、蒸水、耒水、洣水、渌水、涓水、涟水、浏阳河、捞刀河和沩水。湘江流域面积94660 km</w:t>
            </w:r>
            <w:r>
              <w:rPr>
                <w:rFonts w:hint="eastAsia"/>
                <w:sz w:val="24"/>
                <w:vertAlign w:val="superscript"/>
              </w:rPr>
              <w:t>2</w:t>
            </w:r>
            <w:r>
              <w:rPr>
                <w:rFonts w:hint="eastAsia"/>
                <w:sz w:val="24"/>
              </w:rPr>
              <w:t>，其中湖南境内约占90.2%，湖南省境内湘江流域面积占全省面积的40%。湘江全长856km，湖南省境内长670km；河流平均坡降0.134‰。近年来习惯将浩河口至城陵矶113km湘江洪道归于湘江干流，则湘江全长969km。</w:t>
            </w:r>
          </w:p>
          <w:p>
            <w:pPr>
              <w:spacing w:after="0" w:line="360" w:lineRule="auto"/>
              <w:ind w:firstLine="480" w:firstLineChars="200"/>
              <w:rPr>
                <w:sz w:val="24"/>
              </w:rPr>
            </w:pPr>
            <w:r>
              <w:rPr>
                <w:rFonts w:hint="eastAsia"/>
                <w:sz w:val="24"/>
              </w:rPr>
              <w:t>湘江流域位于东经110°31′至114°，北纬24°31′至29°之间，地处长江之南，南岭之北，遍及湖南东半部。东以幕埠山脉、罗霄山脉与鄱阳湖水系分界，南以南岭山脉与珠江水系分流，西以董家山、雷公岭与资水分野，北接洞庭湖。流域地形东、南、西三面高，中部和北部低平，呈向北倾注之势。东面湘赣交界诸山呈雁行式排列，山峰海拔大都超过1000m；南岭山脉海拔1000m以上；西面除董家山海拔1041m外，湘、资二水分水岭多在海拔500m以下；衡山山脉以东北－西南面走向位于流域中部，除祝融峰海拔1289m外，其余大多在海拔500m以下；北部洞庭湖为平坦的冲积平原，海拔多在500m以下。由于地势起伏坡度大，加速了降雨集流过程，促使湘江水系干、支流的水位、流量急速变化。</w:t>
            </w:r>
          </w:p>
          <w:p>
            <w:pPr>
              <w:pStyle w:val="52"/>
              <w:spacing w:after="0"/>
              <w:rPr>
                <w:rFonts w:hAnsi="宋体"/>
                <w:spacing w:val="6"/>
              </w:rPr>
            </w:pPr>
            <w:r>
              <w:rPr>
                <w:rFonts w:hint="eastAsia"/>
              </w:rPr>
              <w:t>湘江湘阴段自望城乔口入湘阴县境内至浩河口长16.5公里、宽1.25公里；经浩河口分东、西二支，西支由浩河口经临资口至芦林潭长34.1公里、平均宽0.82公里，东支由浩河口经县城、白泥湖垸至营田闸长35.6公里、平均宽1.14公里；营田闸至琴棋望16.5公里，平均宽度1.1公里。根据</w:t>
            </w:r>
            <w:r>
              <w:rPr>
                <w:rFonts w:hAnsi="宋体"/>
                <w:spacing w:val="6"/>
              </w:rPr>
              <w:t>《湖南省主要水系地表水环境功能区划</w:t>
            </w:r>
            <w:r>
              <w:rPr>
                <w:rFonts w:hint="eastAsia" w:hAnsi="宋体"/>
                <w:spacing w:val="6"/>
              </w:rPr>
              <w:t>分</w:t>
            </w:r>
            <w:r>
              <w:rPr>
                <w:rFonts w:hAnsi="宋体"/>
                <w:spacing w:val="6"/>
              </w:rPr>
              <w:t>》（</w:t>
            </w:r>
            <w:r>
              <w:rPr>
                <w:spacing w:val="6"/>
              </w:rPr>
              <w:t>DB43/023</w:t>
            </w:r>
            <w:r>
              <w:rPr>
                <w:rFonts w:hint="eastAsia"/>
                <w:spacing w:val="6"/>
              </w:rPr>
              <w:t>-</w:t>
            </w:r>
            <w:r>
              <w:rPr>
                <w:spacing w:val="6"/>
              </w:rPr>
              <w:t>2005</w:t>
            </w:r>
            <w:r>
              <w:rPr>
                <w:rFonts w:hAnsi="宋体"/>
                <w:spacing w:val="6"/>
              </w:rPr>
              <w:t>），</w:t>
            </w:r>
            <w:r>
              <w:rPr>
                <w:rFonts w:hint="eastAsia" w:hAnsi="宋体"/>
                <w:spacing w:val="6"/>
              </w:rPr>
              <w:t>本项目地表水水域属于湘江的洋沙湖下游200m至磊石段，其</w:t>
            </w:r>
            <w:r>
              <w:rPr>
                <w:rFonts w:hAnsi="宋体"/>
                <w:spacing w:val="6"/>
              </w:rPr>
              <w:t>水环境功能区划为渔业用水区，执行</w:t>
            </w:r>
            <w:r>
              <w:rPr>
                <w:rFonts w:ascii="宋体" w:hAnsi="宋体"/>
                <w:spacing w:val="6"/>
              </w:rPr>
              <w:t>Ⅲ</w:t>
            </w:r>
            <w:r>
              <w:rPr>
                <w:rFonts w:hAnsi="宋体"/>
                <w:spacing w:val="6"/>
              </w:rPr>
              <w:t>类水质标准。</w:t>
            </w:r>
          </w:p>
          <w:p>
            <w:pPr>
              <w:spacing w:after="0" w:line="360" w:lineRule="auto"/>
              <w:ind w:firstLine="480" w:firstLineChars="200"/>
              <w:rPr>
                <w:sz w:val="24"/>
              </w:rPr>
            </w:pPr>
            <w:r>
              <w:rPr>
                <w:rFonts w:hint="eastAsia"/>
                <w:sz w:val="24"/>
              </w:rPr>
              <w:t>项目所在区域湘江主要水文参数如下：</w:t>
            </w:r>
          </w:p>
          <w:p>
            <w:pPr>
              <w:spacing w:after="0" w:line="360" w:lineRule="auto"/>
              <w:ind w:firstLine="480" w:firstLineChars="200"/>
              <w:rPr>
                <w:sz w:val="24"/>
              </w:rPr>
            </w:pPr>
            <w:r>
              <w:rPr>
                <w:rFonts w:hint="eastAsia"/>
                <w:sz w:val="24"/>
              </w:rPr>
              <w:t>年平均水位           27.31m       平均最高水位            36.65m</w:t>
            </w:r>
          </w:p>
          <w:p>
            <w:pPr>
              <w:spacing w:after="0" w:line="360" w:lineRule="auto"/>
              <w:ind w:firstLine="480" w:firstLineChars="200"/>
              <w:rPr>
                <w:sz w:val="24"/>
              </w:rPr>
            </w:pPr>
            <w:r>
              <w:rPr>
                <w:rFonts w:hint="eastAsia"/>
                <w:sz w:val="24"/>
              </w:rPr>
              <w:t>平均最低水位         23.25m       历史最高洪峰水位        37.37m</w:t>
            </w:r>
          </w:p>
          <w:p>
            <w:pPr>
              <w:spacing w:after="0" w:line="360" w:lineRule="auto"/>
              <w:ind w:firstLine="480" w:firstLineChars="200"/>
              <w:rPr>
                <w:sz w:val="24"/>
              </w:rPr>
            </w:pPr>
            <w:r>
              <w:rPr>
                <w:rFonts w:hint="eastAsia"/>
                <w:sz w:val="24"/>
              </w:rPr>
              <w:t>平均径流深           7.76m        年平均流量              2131m</w:t>
            </w:r>
            <w:r>
              <w:rPr>
                <w:rFonts w:hint="eastAsia"/>
                <w:sz w:val="24"/>
                <w:vertAlign w:val="superscript"/>
              </w:rPr>
              <w:t>3</w:t>
            </w:r>
            <w:r>
              <w:rPr>
                <w:rFonts w:hint="eastAsia"/>
                <w:sz w:val="24"/>
              </w:rPr>
              <w:t>/s</w:t>
            </w:r>
          </w:p>
          <w:p>
            <w:pPr>
              <w:spacing w:after="0" w:line="360" w:lineRule="auto"/>
              <w:ind w:firstLine="480" w:firstLineChars="200"/>
              <w:rPr>
                <w:sz w:val="24"/>
              </w:rPr>
            </w:pPr>
            <w:r>
              <w:rPr>
                <w:rFonts w:hint="eastAsia"/>
                <w:sz w:val="24"/>
              </w:rPr>
              <w:t>平均最大流量         12900m</w:t>
            </w:r>
            <w:r>
              <w:rPr>
                <w:rFonts w:hint="eastAsia"/>
                <w:sz w:val="24"/>
                <w:vertAlign w:val="superscript"/>
              </w:rPr>
              <w:t>3</w:t>
            </w:r>
            <w:r>
              <w:rPr>
                <w:rFonts w:hint="eastAsia"/>
                <w:sz w:val="24"/>
              </w:rPr>
              <w:t>/s    历史最大洪峰流量        23000m</w:t>
            </w:r>
            <w:r>
              <w:rPr>
                <w:rFonts w:hint="eastAsia"/>
                <w:sz w:val="24"/>
                <w:vertAlign w:val="superscript"/>
              </w:rPr>
              <w:t>3</w:t>
            </w:r>
            <w:r>
              <w:rPr>
                <w:rFonts w:hint="eastAsia"/>
                <w:sz w:val="24"/>
              </w:rPr>
              <w:t>/s</w:t>
            </w:r>
          </w:p>
          <w:p>
            <w:pPr>
              <w:spacing w:after="0" w:line="360" w:lineRule="auto"/>
              <w:ind w:firstLine="480" w:firstLineChars="200"/>
              <w:rPr>
                <w:sz w:val="24"/>
              </w:rPr>
            </w:pPr>
            <w:r>
              <w:rPr>
                <w:rFonts w:hint="eastAsia"/>
                <w:sz w:val="24"/>
              </w:rPr>
              <w:t>平均最小流量         248m</w:t>
            </w:r>
            <w:r>
              <w:rPr>
                <w:rFonts w:hint="eastAsia"/>
                <w:sz w:val="24"/>
                <w:vertAlign w:val="superscript"/>
              </w:rPr>
              <w:t>3</w:t>
            </w:r>
            <w:r>
              <w:rPr>
                <w:rFonts w:hint="eastAsia"/>
                <w:sz w:val="24"/>
              </w:rPr>
              <w:t>/s      枯水期流量（90%保证率） 410m</w:t>
            </w:r>
            <w:r>
              <w:rPr>
                <w:rFonts w:hint="eastAsia"/>
                <w:sz w:val="24"/>
                <w:vertAlign w:val="superscript"/>
              </w:rPr>
              <w:t>3</w:t>
            </w:r>
            <w:r>
              <w:rPr>
                <w:rFonts w:hint="eastAsia"/>
                <w:sz w:val="24"/>
              </w:rPr>
              <w:t>/s</w:t>
            </w:r>
          </w:p>
          <w:p>
            <w:pPr>
              <w:spacing w:after="0" w:line="360" w:lineRule="auto"/>
              <w:ind w:firstLine="480" w:firstLineChars="200"/>
              <w:rPr>
                <w:sz w:val="24"/>
              </w:rPr>
            </w:pPr>
            <w:r>
              <w:rPr>
                <w:rFonts w:hint="eastAsia"/>
                <w:sz w:val="24"/>
              </w:rPr>
              <w:t>历史最小流量         120m</w:t>
            </w:r>
            <w:r>
              <w:rPr>
                <w:rFonts w:hint="eastAsia"/>
                <w:sz w:val="24"/>
                <w:vertAlign w:val="superscript"/>
              </w:rPr>
              <w:t>3</w:t>
            </w:r>
            <w:r>
              <w:rPr>
                <w:rFonts w:hint="eastAsia"/>
                <w:sz w:val="24"/>
              </w:rPr>
              <w:t>/s      最大流速                 2.6m/s</w:t>
            </w:r>
          </w:p>
          <w:p>
            <w:pPr>
              <w:spacing w:after="0" w:line="360" w:lineRule="auto"/>
              <w:ind w:firstLine="480" w:firstLineChars="200"/>
              <w:rPr>
                <w:sz w:val="24"/>
              </w:rPr>
            </w:pPr>
            <w:r>
              <w:rPr>
                <w:rFonts w:hint="eastAsia"/>
                <w:sz w:val="24"/>
              </w:rPr>
              <w:t>年平均流速           0.45m/s       枯水期平均流速           0.18m/s</w:t>
            </w:r>
          </w:p>
          <w:p>
            <w:pPr>
              <w:spacing w:after="0" w:line="360" w:lineRule="auto"/>
              <w:ind w:firstLine="480" w:firstLineChars="200"/>
              <w:rPr>
                <w:sz w:val="24"/>
                <w:vertAlign w:val="superscript"/>
              </w:rPr>
            </w:pPr>
            <w:r>
              <w:rPr>
                <w:rFonts w:hint="eastAsia"/>
                <w:sz w:val="24"/>
              </w:rPr>
              <w:t>平均含砂量           0.1-0.2kg/m</w:t>
            </w:r>
            <w:r>
              <w:rPr>
                <w:rFonts w:hint="eastAsia"/>
                <w:sz w:val="24"/>
                <w:vertAlign w:val="superscript"/>
              </w:rPr>
              <w:t>3</w:t>
            </w:r>
          </w:p>
          <w:bookmarkEnd w:id="71"/>
          <w:bookmarkEnd w:id="72"/>
          <w:p>
            <w:pPr>
              <w:tabs>
                <w:tab w:val="left" w:pos="1440"/>
              </w:tabs>
              <w:spacing w:after="0" w:line="360" w:lineRule="auto"/>
              <w:rPr>
                <w:b/>
                <w:bCs/>
                <w:sz w:val="24"/>
              </w:rPr>
            </w:pPr>
            <w:r>
              <w:rPr>
                <w:rFonts w:hint="eastAsia"/>
                <w:b/>
                <w:bCs/>
                <w:sz w:val="24"/>
              </w:rPr>
              <w:t>五、动物资源和植物资源</w:t>
            </w:r>
          </w:p>
          <w:p>
            <w:pPr>
              <w:tabs>
                <w:tab w:val="left" w:pos="1021"/>
              </w:tabs>
              <w:spacing w:after="0" w:line="360" w:lineRule="auto"/>
              <w:ind w:firstLine="475" w:firstLineChars="198"/>
              <w:rPr>
                <w:sz w:val="24"/>
              </w:rPr>
            </w:pPr>
            <w:r>
              <w:rPr>
                <w:rFonts w:hint="eastAsia"/>
                <w:sz w:val="24"/>
              </w:rPr>
              <w:t>湘阴植被主要为以粮食作物(水稻为主)和经济作物(油菜、玉米、莲子、藕)为主的农业栽培植被及庭院林、防护林，如人工杨树、杉、桃、梨等，一般分布在庭前屋后；粮食作物主要有水稻等；经济作物有油菜、玉米、莲子、藕、蔬菜、瓜果等；天然植被主要是荒坡地上的回头青、马鞭草、芦苇、茅草等。</w:t>
            </w:r>
          </w:p>
          <w:p>
            <w:pPr>
              <w:tabs>
                <w:tab w:val="left" w:pos="1021"/>
              </w:tabs>
              <w:spacing w:after="0" w:line="360" w:lineRule="auto"/>
              <w:ind w:firstLine="475" w:firstLineChars="198"/>
              <w:rPr>
                <w:sz w:val="24"/>
              </w:rPr>
            </w:pPr>
            <w:r>
              <w:rPr>
                <w:rFonts w:hint="eastAsia"/>
                <w:sz w:val="24"/>
              </w:rPr>
              <w:t>据调查，项目区植被覆盖程度不高；陆生动物主要以人工养殖的家畜、家禽为主，人为活动频繁，开发活动较为强烈，野生动物尤其是大型野生动物生存环境受到破坏，因此野生动物的活动踪迹较少，无重要珍稀野生动物分布，家畜家禽共有50多种，包括猪、牛、鸡、鸭、羊、狗、猫等。</w:t>
            </w:r>
          </w:p>
          <w:p>
            <w:pPr>
              <w:tabs>
                <w:tab w:val="left" w:pos="1440"/>
              </w:tabs>
              <w:spacing w:after="0" w:line="360" w:lineRule="auto"/>
              <w:ind w:firstLine="480" w:firstLineChars="200"/>
              <w:rPr>
                <w:sz w:val="28"/>
              </w:rPr>
            </w:pPr>
            <w:r>
              <w:rPr>
                <w:rFonts w:hint="eastAsia"/>
                <w:sz w:val="24"/>
              </w:rPr>
              <w:t>本项目评价区域内未发现珍稀濒危等需要特殊保护的野生动物和珍稀植物；目前未发现</w:t>
            </w:r>
            <w:r>
              <w:rPr>
                <w:sz w:val="24"/>
              </w:rPr>
              <w:t>历史文物遗址和风景名胜区等需要特别保护的文化遗产、自然遗产、自然景观。</w:t>
            </w:r>
            <w:r>
              <w:rPr>
                <w:rFonts w:hint="eastAsia"/>
                <w:sz w:val="28"/>
              </w:rPr>
              <w:t xml:space="preserve"> </w:t>
            </w:r>
          </w:p>
          <w:p>
            <w:pPr>
              <w:pStyle w:val="35"/>
              <w:spacing w:after="0" w:line="360" w:lineRule="auto"/>
              <w:jc w:val="both"/>
              <w:rPr>
                <w:rFonts w:ascii="Times New Roman" w:cs="Times New Roman"/>
                <w:b/>
                <w:bCs/>
                <w:color w:val="auto"/>
                <w:szCs w:val="32"/>
                <w:u w:val="wave"/>
              </w:rPr>
            </w:pPr>
            <w:r>
              <w:rPr>
                <w:rFonts w:hint="eastAsia" w:ascii="Times New Roman" w:cs="Times New Roman"/>
                <w:b/>
                <w:bCs/>
                <w:color w:val="auto"/>
                <w:szCs w:val="32"/>
                <w:u w:val="wave"/>
              </w:rPr>
              <w:t>六、杨林寨水厂地下水饮用水水源保护区</w:t>
            </w:r>
          </w:p>
          <w:p>
            <w:pPr>
              <w:tabs>
                <w:tab w:val="left" w:pos="1021"/>
              </w:tabs>
              <w:spacing w:after="0" w:line="360" w:lineRule="auto"/>
              <w:ind w:firstLine="475" w:firstLineChars="198"/>
              <w:rPr>
                <w:sz w:val="24"/>
                <w:u w:val="wave"/>
              </w:rPr>
            </w:pPr>
            <w:r>
              <w:rPr>
                <w:rFonts w:hint="eastAsia"/>
                <w:sz w:val="24"/>
                <w:u w:val="wave"/>
              </w:rPr>
              <w:t>杨林寨水厂地下水饮用水水源保护区位于湘阴县杨林寨乡，是一个规模为千人万吨级别的饮用水源</w:t>
            </w:r>
            <w:r>
              <w:rPr>
                <w:sz w:val="24"/>
                <w:u w:val="wave"/>
              </w:rPr>
              <w:t>区，水源地现有水厂名称为杨林寨水厂。</w:t>
            </w:r>
            <w:r>
              <w:rPr>
                <w:rFonts w:hint="eastAsia" w:ascii="Calibri"/>
                <w:sz w:val="24"/>
                <w:u w:val="wave"/>
              </w:rPr>
              <w:t>杨林寨水厂地下水饮用水水源保护区</w:t>
            </w:r>
            <w:r>
              <w:rPr>
                <w:sz w:val="24"/>
                <w:u w:val="wave"/>
              </w:rPr>
              <w:t>的范围为杨林寨水厂新1</w:t>
            </w:r>
            <w:r>
              <w:rPr>
                <w:sz w:val="24"/>
                <w:u w:val="wave"/>
                <w:vertAlign w:val="superscript"/>
              </w:rPr>
              <w:t>#</w:t>
            </w:r>
            <w:r>
              <w:rPr>
                <w:sz w:val="24"/>
                <w:u w:val="wave"/>
              </w:rPr>
              <w:t>、2</w:t>
            </w:r>
            <w:r>
              <w:rPr>
                <w:sz w:val="24"/>
                <w:u w:val="wave"/>
                <w:vertAlign w:val="superscript"/>
              </w:rPr>
              <w:t>#</w:t>
            </w:r>
            <w:r>
              <w:rPr>
                <w:sz w:val="24"/>
                <w:u w:val="wave"/>
              </w:rPr>
              <w:t>取水井的井口为中心，30米半径内的圆形区域；1</w:t>
            </w:r>
            <w:r>
              <w:rPr>
                <w:sz w:val="24"/>
                <w:u w:val="wave"/>
                <w:vertAlign w:val="superscript"/>
              </w:rPr>
              <w:t>#</w:t>
            </w:r>
            <w:r>
              <w:rPr>
                <w:sz w:val="24"/>
                <w:u w:val="wave"/>
              </w:rPr>
              <w:t>水井东北面以直排渠西岸乡道迎心侧路肩为界</w:t>
            </w:r>
            <w:r>
              <w:rPr>
                <w:rFonts w:hint="eastAsia"/>
                <w:sz w:val="24"/>
                <w:u w:val="wave"/>
              </w:rPr>
              <w:t>，详见附图5。</w:t>
            </w:r>
          </w:p>
          <w:p>
            <w:pPr>
              <w:pStyle w:val="2"/>
              <w:spacing w:after="0"/>
              <w:ind w:firstLine="480" w:firstLineChars="200"/>
              <w:rPr>
                <w:u w:val="wave"/>
              </w:rPr>
            </w:pPr>
            <w:r>
              <w:rPr>
                <w:rFonts w:hint="eastAsia"/>
                <w:sz w:val="24"/>
                <w:u w:val="wave"/>
              </w:rPr>
              <w:t>根据现场踏勘，本项目距饮用水水源保护区857m，不在保护区范围内。</w:t>
            </w:r>
          </w:p>
          <w:p>
            <w:pPr>
              <w:pStyle w:val="35"/>
              <w:spacing w:after="0" w:line="360" w:lineRule="auto"/>
              <w:jc w:val="both"/>
              <w:rPr>
                <w:rFonts w:ascii="Times New Roman" w:cs="Times New Roman"/>
                <w:b/>
                <w:bCs/>
                <w:color w:val="auto"/>
                <w:szCs w:val="32"/>
              </w:rPr>
            </w:pPr>
            <w:r>
              <w:rPr>
                <w:rFonts w:hint="eastAsia" w:ascii="Times New Roman" w:cs="Times New Roman"/>
                <w:b/>
                <w:bCs/>
                <w:color w:val="auto"/>
                <w:szCs w:val="32"/>
              </w:rPr>
              <w:t>七、区域环境功能区划</w:t>
            </w:r>
          </w:p>
          <w:p>
            <w:pPr>
              <w:adjustRightInd w:val="0"/>
              <w:snapToGrid w:val="0"/>
              <w:spacing w:after="0" w:line="360" w:lineRule="auto"/>
              <w:ind w:firstLine="480" w:firstLineChars="200"/>
              <w:rPr>
                <w:rFonts w:cs="宋体"/>
                <w:sz w:val="24"/>
                <w:szCs w:val="22"/>
                <w:lang w:bidi="ar"/>
              </w:rPr>
            </w:pPr>
            <w:r>
              <w:rPr>
                <w:rFonts w:hint="eastAsia" w:cs="宋体"/>
                <w:sz w:val="24"/>
                <w:szCs w:val="22"/>
                <w:lang w:bidi="ar"/>
              </w:rPr>
              <w:t>本项目所在地环境功能属性见下表：</w:t>
            </w:r>
          </w:p>
          <w:p>
            <w:pPr>
              <w:adjustRightInd w:val="0"/>
              <w:snapToGrid w:val="0"/>
              <w:spacing w:after="0" w:line="360" w:lineRule="auto"/>
              <w:jc w:val="center"/>
              <w:rPr>
                <w:sz w:val="24"/>
              </w:rPr>
            </w:pPr>
            <w:r>
              <w:rPr>
                <w:b/>
                <w:sz w:val="24"/>
              </w:rPr>
              <w:t>表</w:t>
            </w:r>
            <w:r>
              <w:rPr>
                <w:rFonts w:hint="eastAsia"/>
                <w:b/>
                <w:sz w:val="24"/>
              </w:rPr>
              <w:t xml:space="preserve">2-1  </w:t>
            </w:r>
            <w:r>
              <w:rPr>
                <w:b/>
                <w:sz w:val="24"/>
              </w:rPr>
              <w:t>区域环境功能区划</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1"/>
              <w:gridCol w:w="3112"/>
              <w:gridCol w:w="49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21" w:type="dxa"/>
                  <w:vAlign w:val="center"/>
                </w:tcPr>
                <w:p>
                  <w:pPr>
                    <w:pStyle w:val="16"/>
                    <w:spacing w:after="0" w:line="360" w:lineRule="auto"/>
                    <w:ind w:left="0" w:leftChars="0"/>
                    <w:jc w:val="center"/>
                  </w:pPr>
                  <w:r>
                    <w:rPr>
                      <w:rFonts w:hAnsi="宋体"/>
                      <w:b/>
                      <w:szCs w:val="21"/>
                    </w:rPr>
                    <w:t>编号</w:t>
                  </w:r>
                </w:p>
              </w:tc>
              <w:tc>
                <w:tcPr>
                  <w:tcW w:w="3112" w:type="dxa"/>
                  <w:vAlign w:val="center"/>
                </w:tcPr>
                <w:p>
                  <w:pPr>
                    <w:pStyle w:val="16"/>
                    <w:spacing w:after="0" w:line="360" w:lineRule="auto"/>
                    <w:ind w:left="0" w:leftChars="0"/>
                    <w:jc w:val="center"/>
                  </w:pPr>
                  <w:r>
                    <w:rPr>
                      <w:rFonts w:hAnsi="宋体"/>
                      <w:b/>
                      <w:szCs w:val="21"/>
                    </w:rPr>
                    <w:t>项目</w:t>
                  </w:r>
                </w:p>
              </w:tc>
              <w:tc>
                <w:tcPr>
                  <w:tcW w:w="4935" w:type="dxa"/>
                  <w:vAlign w:val="center"/>
                </w:tcPr>
                <w:p>
                  <w:pPr>
                    <w:pStyle w:val="16"/>
                    <w:spacing w:after="0" w:line="360" w:lineRule="auto"/>
                    <w:ind w:left="0" w:leftChars="0"/>
                    <w:jc w:val="center"/>
                  </w:pPr>
                  <w:r>
                    <w:rPr>
                      <w:rFonts w:hAnsi="宋体"/>
                      <w:b/>
                      <w:szCs w:val="21"/>
                    </w:rPr>
                    <w:t>功能属性及执行标准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21" w:type="dxa"/>
                  <w:vAlign w:val="center"/>
                </w:tcPr>
                <w:p>
                  <w:pPr>
                    <w:pStyle w:val="16"/>
                    <w:spacing w:after="0"/>
                    <w:ind w:left="0" w:leftChars="0"/>
                    <w:jc w:val="center"/>
                  </w:pPr>
                  <w:r>
                    <w:rPr>
                      <w:szCs w:val="21"/>
                    </w:rPr>
                    <w:t>1</w:t>
                  </w:r>
                </w:p>
              </w:tc>
              <w:tc>
                <w:tcPr>
                  <w:tcW w:w="3112" w:type="dxa"/>
                  <w:vAlign w:val="center"/>
                </w:tcPr>
                <w:p>
                  <w:pPr>
                    <w:pStyle w:val="16"/>
                    <w:spacing w:after="0"/>
                    <w:ind w:left="0" w:leftChars="0"/>
                    <w:jc w:val="center"/>
                  </w:pPr>
                  <w:r>
                    <w:rPr>
                      <w:rFonts w:hAnsi="宋体"/>
                      <w:szCs w:val="21"/>
                    </w:rPr>
                    <w:t>环境空气质量功能区</w:t>
                  </w:r>
                </w:p>
              </w:tc>
              <w:tc>
                <w:tcPr>
                  <w:tcW w:w="4935" w:type="dxa"/>
                  <w:vAlign w:val="center"/>
                </w:tcPr>
                <w:p>
                  <w:pPr>
                    <w:pStyle w:val="16"/>
                    <w:spacing w:after="0"/>
                    <w:ind w:left="0" w:leftChars="0"/>
                    <w:jc w:val="center"/>
                  </w:pPr>
                  <w:r>
                    <w:rPr>
                      <w:rFonts w:hint="eastAsia" w:hAnsi="宋体"/>
                      <w:szCs w:val="21"/>
                    </w:rPr>
                    <w:t>二</w:t>
                  </w:r>
                  <w:r>
                    <w:rPr>
                      <w:rFonts w:hAnsi="宋体"/>
                      <w:szCs w:val="21"/>
                    </w:rPr>
                    <w:t>类区，环境空气质量执行</w:t>
                  </w:r>
                  <w:r>
                    <w:rPr>
                      <w:rFonts w:hint="eastAsia" w:hAnsi="宋体"/>
                      <w:szCs w:val="21"/>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21" w:type="dxa"/>
                  <w:vAlign w:val="center"/>
                </w:tcPr>
                <w:p>
                  <w:pPr>
                    <w:pStyle w:val="16"/>
                    <w:spacing w:after="0"/>
                    <w:ind w:left="0" w:leftChars="0"/>
                    <w:jc w:val="center"/>
                  </w:pPr>
                  <w:r>
                    <w:rPr>
                      <w:szCs w:val="21"/>
                    </w:rPr>
                    <w:t>2</w:t>
                  </w:r>
                </w:p>
              </w:tc>
              <w:tc>
                <w:tcPr>
                  <w:tcW w:w="3112" w:type="dxa"/>
                  <w:vAlign w:val="center"/>
                </w:tcPr>
                <w:p>
                  <w:pPr>
                    <w:pStyle w:val="16"/>
                    <w:spacing w:after="0"/>
                    <w:ind w:left="0" w:leftChars="0"/>
                    <w:jc w:val="center"/>
                  </w:pPr>
                  <w:r>
                    <w:rPr>
                      <w:rFonts w:hAnsi="宋体"/>
                      <w:szCs w:val="21"/>
                    </w:rPr>
                    <w:t>声环境功能区</w:t>
                  </w:r>
                </w:p>
              </w:tc>
              <w:tc>
                <w:tcPr>
                  <w:tcW w:w="4935" w:type="dxa"/>
                  <w:vAlign w:val="center"/>
                </w:tcPr>
                <w:p>
                  <w:pPr>
                    <w:pStyle w:val="16"/>
                    <w:spacing w:after="0"/>
                    <w:ind w:left="0" w:leftChars="0"/>
                    <w:jc w:val="center"/>
                  </w:pPr>
                  <w:r>
                    <w:rPr>
                      <w:rFonts w:hAnsi="宋体"/>
                      <w:szCs w:val="21"/>
                    </w:rPr>
                    <w:t>执行《声环境质量标准》（</w:t>
                  </w:r>
                  <w:r>
                    <w:rPr>
                      <w:szCs w:val="21"/>
                    </w:rPr>
                    <w:t>GB3096</w:t>
                  </w:r>
                  <w:r>
                    <w:rPr>
                      <w:rFonts w:hint="eastAsia" w:hAnsi="宋体"/>
                      <w:szCs w:val="21"/>
                    </w:rPr>
                    <w:t>-</w:t>
                  </w:r>
                  <w:r>
                    <w:rPr>
                      <w:szCs w:val="21"/>
                    </w:rPr>
                    <w:t>2008</w:t>
                  </w:r>
                  <w:r>
                    <w:rPr>
                      <w:rFonts w:hAnsi="宋体"/>
                      <w:szCs w:val="21"/>
                    </w:rPr>
                    <w:t>）</w:t>
                  </w:r>
                  <w:r>
                    <w:rPr>
                      <w:rFonts w:hint="eastAsia" w:hAnsi="宋体"/>
                      <w:szCs w:val="21"/>
                    </w:rPr>
                    <w:t>2类</w:t>
                  </w:r>
                  <w:r>
                    <w:rPr>
                      <w:rFonts w:hAnsi="宋体"/>
                      <w:szCs w:val="21"/>
                    </w:rPr>
                    <w:t>环境噪声限值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21" w:type="dxa"/>
                  <w:vAlign w:val="center"/>
                </w:tcPr>
                <w:p>
                  <w:pPr>
                    <w:pStyle w:val="16"/>
                    <w:spacing w:after="0"/>
                    <w:ind w:left="0" w:leftChars="0"/>
                    <w:jc w:val="center"/>
                  </w:pPr>
                  <w:r>
                    <w:rPr>
                      <w:szCs w:val="21"/>
                    </w:rPr>
                    <w:t>3</w:t>
                  </w:r>
                </w:p>
              </w:tc>
              <w:tc>
                <w:tcPr>
                  <w:tcW w:w="3112" w:type="dxa"/>
                  <w:vAlign w:val="center"/>
                </w:tcPr>
                <w:p>
                  <w:pPr>
                    <w:pStyle w:val="16"/>
                    <w:spacing w:after="0"/>
                    <w:ind w:left="0" w:leftChars="0"/>
                    <w:jc w:val="center"/>
                  </w:pPr>
                  <w:r>
                    <w:rPr>
                      <w:rFonts w:hAnsi="宋体"/>
                      <w:szCs w:val="21"/>
                    </w:rPr>
                    <w:t>水环境功能区</w:t>
                  </w:r>
                </w:p>
              </w:tc>
              <w:tc>
                <w:tcPr>
                  <w:tcW w:w="4935" w:type="dxa"/>
                  <w:vAlign w:val="center"/>
                </w:tcPr>
                <w:p>
                  <w:pPr>
                    <w:pStyle w:val="16"/>
                    <w:spacing w:after="0"/>
                    <w:ind w:left="0" w:leftChars="0"/>
                    <w:jc w:val="center"/>
                  </w:pPr>
                  <w:r>
                    <w:rPr>
                      <w:rFonts w:hint="eastAsia"/>
                      <w:szCs w:val="21"/>
                    </w:rPr>
                    <w:t>湘江为渔业用水，</w:t>
                  </w:r>
                  <w:r>
                    <w:rPr>
                      <w:szCs w:val="21"/>
                    </w:rPr>
                    <w:t>属于</w:t>
                  </w:r>
                  <w:r>
                    <w:rPr>
                      <w:rFonts w:hint="eastAsia" w:ascii="宋体" w:hAnsi="宋体" w:cs="宋体"/>
                      <w:szCs w:val="21"/>
                    </w:rPr>
                    <w:t>Ⅲ</w:t>
                  </w:r>
                  <w:r>
                    <w:rPr>
                      <w:szCs w:val="21"/>
                    </w:rPr>
                    <w:t>类水功能区，执行《地表水环境质量标准》（GB3838-2002）中的</w:t>
                  </w:r>
                  <w:r>
                    <w:rPr>
                      <w:rFonts w:hint="eastAsia" w:ascii="宋体" w:hAnsi="宋体" w:cs="宋体"/>
                      <w:szCs w:val="21"/>
                    </w:rPr>
                    <w:t>Ⅲ</w:t>
                  </w:r>
                  <w:r>
                    <w:rPr>
                      <w:szCs w:val="21"/>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021" w:type="dxa"/>
                  <w:vAlign w:val="center"/>
                </w:tcPr>
                <w:p>
                  <w:pPr>
                    <w:pStyle w:val="16"/>
                    <w:spacing w:after="0"/>
                    <w:ind w:left="0" w:leftChars="0"/>
                    <w:jc w:val="center"/>
                  </w:pPr>
                  <w:r>
                    <w:rPr>
                      <w:szCs w:val="21"/>
                    </w:rPr>
                    <w:t>4</w:t>
                  </w:r>
                </w:p>
              </w:tc>
              <w:tc>
                <w:tcPr>
                  <w:tcW w:w="3112" w:type="dxa"/>
                  <w:vAlign w:val="center"/>
                </w:tcPr>
                <w:p>
                  <w:pPr>
                    <w:pStyle w:val="16"/>
                    <w:spacing w:after="0"/>
                    <w:ind w:left="0" w:leftChars="0"/>
                    <w:jc w:val="center"/>
                  </w:pPr>
                  <w:r>
                    <w:rPr>
                      <w:rFonts w:hAnsi="宋体"/>
                      <w:szCs w:val="21"/>
                    </w:rPr>
                    <w:t>是否基本农田保护区</w:t>
                  </w:r>
                </w:p>
              </w:tc>
              <w:tc>
                <w:tcPr>
                  <w:tcW w:w="4935" w:type="dxa"/>
                  <w:vAlign w:val="center"/>
                </w:tcPr>
                <w:p>
                  <w:pPr>
                    <w:pStyle w:val="16"/>
                    <w:spacing w:after="0"/>
                    <w:ind w:left="0" w:leftChars="0"/>
                    <w:jc w:val="center"/>
                  </w:pPr>
                  <w:r>
                    <w:rPr>
                      <w:rFonts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1021" w:type="dxa"/>
                  <w:vAlign w:val="center"/>
                </w:tcPr>
                <w:p>
                  <w:pPr>
                    <w:pStyle w:val="16"/>
                    <w:spacing w:after="0"/>
                    <w:ind w:left="0" w:leftChars="0"/>
                    <w:jc w:val="center"/>
                  </w:pPr>
                  <w:r>
                    <w:rPr>
                      <w:szCs w:val="21"/>
                    </w:rPr>
                    <w:t>5</w:t>
                  </w:r>
                </w:p>
              </w:tc>
              <w:tc>
                <w:tcPr>
                  <w:tcW w:w="3112" w:type="dxa"/>
                  <w:vAlign w:val="center"/>
                </w:tcPr>
                <w:p>
                  <w:pPr>
                    <w:pStyle w:val="16"/>
                    <w:spacing w:after="0"/>
                    <w:ind w:left="0" w:leftChars="0"/>
                    <w:jc w:val="center"/>
                  </w:pPr>
                  <w:r>
                    <w:rPr>
                      <w:rFonts w:hAnsi="宋体"/>
                      <w:szCs w:val="21"/>
                    </w:rPr>
                    <w:t>是否森林公园</w:t>
                  </w:r>
                </w:p>
              </w:tc>
              <w:tc>
                <w:tcPr>
                  <w:tcW w:w="4935" w:type="dxa"/>
                  <w:vAlign w:val="center"/>
                </w:tcPr>
                <w:p>
                  <w:pPr>
                    <w:pStyle w:val="16"/>
                    <w:spacing w:after="0"/>
                    <w:ind w:left="0" w:leftChars="0"/>
                    <w:jc w:val="center"/>
                  </w:pPr>
                  <w:r>
                    <w:rPr>
                      <w:rFonts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5" w:hRule="atLeast"/>
              </w:trPr>
              <w:tc>
                <w:tcPr>
                  <w:tcW w:w="1021" w:type="dxa"/>
                  <w:vAlign w:val="center"/>
                </w:tcPr>
                <w:p>
                  <w:pPr>
                    <w:pStyle w:val="16"/>
                    <w:spacing w:after="0"/>
                    <w:ind w:left="0" w:leftChars="0"/>
                    <w:jc w:val="center"/>
                  </w:pPr>
                  <w:r>
                    <w:rPr>
                      <w:szCs w:val="21"/>
                    </w:rPr>
                    <w:t>6</w:t>
                  </w:r>
                </w:p>
              </w:tc>
              <w:tc>
                <w:tcPr>
                  <w:tcW w:w="3112" w:type="dxa"/>
                  <w:vAlign w:val="center"/>
                </w:tcPr>
                <w:p>
                  <w:pPr>
                    <w:pStyle w:val="16"/>
                    <w:spacing w:after="0"/>
                    <w:ind w:left="0" w:leftChars="0"/>
                    <w:jc w:val="center"/>
                  </w:pPr>
                  <w:r>
                    <w:rPr>
                      <w:rFonts w:hAnsi="宋体"/>
                      <w:szCs w:val="21"/>
                    </w:rPr>
                    <w:t>是否生态功能保护区</w:t>
                  </w:r>
                </w:p>
              </w:tc>
              <w:tc>
                <w:tcPr>
                  <w:tcW w:w="4935" w:type="dxa"/>
                  <w:vAlign w:val="center"/>
                </w:tcPr>
                <w:p>
                  <w:pPr>
                    <w:pStyle w:val="16"/>
                    <w:spacing w:after="0"/>
                    <w:ind w:left="0" w:leftChars="0"/>
                    <w:jc w:val="center"/>
                  </w:pPr>
                  <w:r>
                    <w:rPr>
                      <w:rFonts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8" w:hRule="atLeast"/>
              </w:trPr>
              <w:tc>
                <w:tcPr>
                  <w:tcW w:w="1021" w:type="dxa"/>
                  <w:vAlign w:val="center"/>
                </w:tcPr>
                <w:p>
                  <w:pPr>
                    <w:pStyle w:val="16"/>
                    <w:spacing w:after="0"/>
                    <w:ind w:left="0" w:leftChars="0"/>
                    <w:jc w:val="center"/>
                  </w:pPr>
                  <w:r>
                    <w:rPr>
                      <w:szCs w:val="21"/>
                    </w:rPr>
                    <w:t>7</w:t>
                  </w:r>
                </w:p>
              </w:tc>
              <w:tc>
                <w:tcPr>
                  <w:tcW w:w="3112" w:type="dxa"/>
                  <w:vAlign w:val="center"/>
                </w:tcPr>
                <w:p>
                  <w:pPr>
                    <w:pStyle w:val="16"/>
                    <w:spacing w:after="0"/>
                    <w:ind w:left="0" w:leftChars="0"/>
                    <w:jc w:val="center"/>
                  </w:pPr>
                  <w:r>
                    <w:rPr>
                      <w:rFonts w:hAnsi="宋体"/>
                      <w:szCs w:val="21"/>
                    </w:rPr>
                    <w:t>是否水土流失重点防治区</w:t>
                  </w:r>
                </w:p>
              </w:tc>
              <w:tc>
                <w:tcPr>
                  <w:tcW w:w="4935" w:type="dxa"/>
                  <w:vAlign w:val="center"/>
                </w:tcPr>
                <w:p>
                  <w:pPr>
                    <w:pStyle w:val="16"/>
                    <w:spacing w:after="0"/>
                    <w:ind w:left="0" w:leftChars="0"/>
                    <w:jc w:val="center"/>
                  </w:pPr>
                  <w:r>
                    <w:rPr>
                      <w:rFonts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1021" w:type="dxa"/>
                  <w:vAlign w:val="center"/>
                </w:tcPr>
                <w:p>
                  <w:pPr>
                    <w:pStyle w:val="16"/>
                    <w:spacing w:after="0"/>
                    <w:ind w:left="0" w:leftChars="0"/>
                    <w:jc w:val="center"/>
                    <w:rPr>
                      <w:szCs w:val="21"/>
                    </w:rPr>
                  </w:pPr>
                  <w:r>
                    <w:rPr>
                      <w:szCs w:val="21"/>
                    </w:rPr>
                    <w:t>8</w:t>
                  </w:r>
                </w:p>
              </w:tc>
              <w:tc>
                <w:tcPr>
                  <w:tcW w:w="3112" w:type="dxa"/>
                  <w:vAlign w:val="center"/>
                </w:tcPr>
                <w:p>
                  <w:pPr>
                    <w:pStyle w:val="16"/>
                    <w:spacing w:after="0"/>
                    <w:ind w:left="0" w:leftChars="0"/>
                    <w:jc w:val="center"/>
                    <w:rPr>
                      <w:rFonts w:hAnsi="宋体"/>
                      <w:szCs w:val="21"/>
                    </w:rPr>
                  </w:pPr>
                  <w:r>
                    <w:rPr>
                      <w:rFonts w:hAnsi="宋体"/>
                      <w:szCs w:val="21"/>
                    </w:rPr>
                    <w:t>是否人口密集区</w:t>
                  </w:r>
                </w:p>
              </w:tc>
              <w:tc>
                <w:tcPr>
                  <w:tcW w:w="4935" w:type="dxa"/>
                  <w:vAlign w:val="center"/>
                </w:tcPr>
                <w:p>
                  <w:pPr>
                    <w:pStyle w:val="16"/>
                    <w:spacing w:after="0"/>
                    <w:ind w:left="0" w:leftChars="0"/>
                    <w:jc w:val="center"/>
                  </w:pPr>
                  <w:r>
                    <w:rPr>
                      <w:rFonts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1021" w:type="dxa"/>
                  <w:vAlign w:val="center"/>
                </w:tcPr>
                <w:p>
                  <w:pPr>
                    <w:pStyle w:val="16"/>
                    <w:spacing w:after="0"/>
                    <w:ind w:left="0" w:leftChars="0"/>
                    <w:jc w:val="center"/>
                    <w:rPr>
                      <w:szCs w:val="21"/>
                    </w:rPr>
                  </w:pPr>
                  <w:r>
                    <w:rPr>
                      <w:szCs w:val="21"/>
                    </w:rPr>
                    <w:t>9</w:t>
                  </w:r>
                </w:p>
              </w:tc>
              <w:tc>
                <w:tcPr>
                  <w:tcW w:w="3112" w:type="dxa"/>
                  <w:vAlign w:val="center"/>
                </w:tcPr>
                <w:p>
                  <w:pPr>
                    <w:pStyle w:val="16"/>
                    <w:spacing w:after="0"/>
                    <w:ind w:left="0" w:leftChars="0"/>
                    <w:jc w:val="center"/>
                    <w:rPr>
                      <w:rFonts w:hAnsi="宋体"/>
                      <w:szCs w:val="21"/>
                    </w:rPr>
                  </w:pPr>
                  <w:r>
                    <w:rPr>
                      <w:rFonts w:hAnsi="宋体"/>
                      <w:szCs w:val="21"/>
                    </w:rPr>
                    <w:t>是否重点文物保护单位</w:t>
                  </w:r>
                </w:p>
              </w:tc>
              <w:tc>
                <w:tcPr>
                  <w:tcW w:w="4935" w:type="dxa"/>
                  <w:vAlign w:val="center"/>
                </w:tcPr>
                <w:p>
                  <w:pPr>
                    <w:pStyle w:val="16"/>
                    <w:spacing w:after="0"/>
                    <w:ind w:left="0" w:leftChars="0"/>
                    <w:jc w:val="center"/>
                  </w:pPr>
                  <w:r>
                    <w:rPr>
                      <w:rFonts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021" w:type="dxa"/>
                  <w:vAlign w:val="center"/>
                </w:tcPr>
                <w:p>
                  <w:pPr>
                    <w:pStyle w:val="16"/>
                    <w:spacing w:after="0"/>
                    <w:ind w:left="0" w:leftChars="0"/>
                    <w:jc w:val="center"/>
                    <w:rPr>
                      <w:szCs w:val="21"/>
                    </w:rPr>
                  </w:pPr>
                  <w:r>
                    <w:rPr>
                      <w:szCs w:val="21"/>
                    </w:rPr>
                    <w:t>10</w:t>
                  </w:r>
                </w:p>
              </w:tc>
              <w:tc>
                <w:tcPr>
                  <w:tcW w:w="3112" w:type="dxa"/>
                  <w:vAlign w:val="center"/>
                </w:tcPr>
                <w:p>
                  <w:pPr>
                    <w:pStyle w:val="16"/>
                    <w:spacing w:after="0"/>
                    <w:ind w:left="0" w:leftChars="0"/>
                    <w:jc w:val="center"/>
                    <w:rPr>
                      <w:rFonts w:hAnsi="宋体"/>
                      <w:szCs w:val="21"/>
                    </w:rPr>
                  </w:pPr>
                  <w:r>
                    <w:rPr>
                      <w:rFonts w:hAnsi="宋体"/>
                      <w:szCs w:val="21"/>
                    </w:rPr>
                    <w:t>是否三河、三湖、两控区</w:t>
                  </w:r>
                </w:p>
              </w:tc>
              <w:tc>
                <w:tcPr>
                  <w:tcW w:w="4935" w:type="dxa"/>
                  <w:vAlign w:val="center"/>
                </w:tcPr>
                <w:p>
                  <w:pPr>
                    <w:pStyle w:val="16"/>
                    <w:spacing w:after="0"/>
                    <w:ind w:left="0" w:leftChars="0"/>
                    <w:jc w:val="center"/>
                  </w:pPr>
                  <w:r>
                    <w:rPr>
                      <w:rFonts w:hint="eastAsia"/>
                    </w:rPr>
                    <w:t>是（</w:t>
                  </w:r>
                  <w:r>
                    <w:rPr>
                      <w:rFonts w:hAnsi="宋体"/>
                      <w:szCs w:val="21"/>
                    </w:rPr>
                    <w:t>两控区</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1021" w:type="dxa"/>
                  <w:vAlign w:val="center"/>
                </w:tcPr>
                <w:p>
                  <w:pPr>
                    <w:pStyle w:val="16"/>
                    <w:spacing w:after="0"/>
                    <w:ind w:left="0" w:leftChars="0"/>
                    <w:jc w:val="center"/>
                    <w:rPr>
                      <w:szCs w:val="21"/>
                    </w:rPr>
                  </w:pPr>
                  <w:r>
                    <w:rPr>
                      <w:szCs w:val="21"/>
                    </w:rPr>
                    <w:t>11</w:t>
                  </w:r>
                </w:p>
              </w:tc>
              <w:tc>
                <w:tcPr>
                  <w:tcW w:w="3112" w:type="dxa"/>
                  <w:vAlign w:val="center"/>
                </w:tcPr>
                <w:p>
                  <w:pPr>
                    <w:pStyle w:val="16"/>
                    <w:spacing w:after="0"/>
                    <w:ind w:left="0" w:leftChars="0"/>
                    <w:jc w:val="center"/>
                    <w:rPr>
                      <w:rFonts w:hAnsi="宋体"/>
                      <w:szCs w:val="21"/>
                    </w:rPr>
                  </w:pPr>
                  <w:r>
                    <w:rPr>
                      <w:rFonts w:hAnsi="宋体"/>
                      <w:szCs w:val="21"/>
                    </w:rPr>
                    <w:t>是否水库库区</w:t>
                  </w:r>
                </w:p>
              </w:tc>
              <w:tc>
                <w:tcPr>
                  <w:tcW w:w="4935" w:type="dxa"/>
                  <w:vAlign w:val="center"/>
                </w:tcPr>
                <w:p>
                  <w:pPr>
                    <w:pStyle w:val="16"/>
                    <w:spacing w:after="0"/>
                    <w:ind w:left="0" w:leftChars="0"/>
                    <w:jc w:val="center"/>
                  </w:pPr>
                  <w:r>
                    <w:rPr>
                      <w:rFonts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021" w:type="dxa"/>
                  <w:vAlign w:val="center"/>
                </w:tcPr>
                <w:p>
                  <w:pPr>
                    <w:pStyle w:val="16"/>
                    <w:spacing w:after="0"/>
                    <w:ind w:left="0" w:leftChars="0"/>
                    <w:jc w:val="center"/>
                    <w:rPr>
                      <w:szCs w:val="21"/>
                    </w:rPr>
                  </w:pPr>
                  <w:r>
                    <w:rPr>
                      <w:szCs w:val="21"/>
                    </w:rPr>
                    <w:t>12</w:t>
                  </w:r>
                </w:p>
              </w:tc>
              <w:tc>
                <w:tcPr>
                  <w:tcW w:w="3112" w:type="dxa"/>
                  <w:vAlign w:val="center"/>
                </w:tcPr>
                <w:p>
                  <w:pPr>
                    <w:pStyle w:val="16"/>
                    <w:spacing w:after="0"/>
                    <w:ind w:left="0" w:leftChars="0"/>
                    <w:jc w:val="center"/>
                    <w:rPr>
                      <w:rFonts w:hAnsi="宋体"/>
                      <w:szCs w:val="21"/>
                    </w:rPr>
                  </w:pPr>
                  <w:r>
                    <w:rPr>
                      <w:rFonts w:hAnsi="宋体"/>
                      <w:szCs w:val="21"/>
                    </w:rPr>
                    <w:t>是否污水处理厂集水范围</w:t>
                  </w:r>
                </w:p>
              </w:tc>
              <w:tc>
                <w:tcPr>
                  <w:tcW w:w="4935" w:type="dxa"/>
                  <w:vAlign w:val="center"/>
                </w:tcPr>
                <w:p>
                  <w:pPr>
                    <w:pStyle w:val="16"/>
                    <w:spacing w:after="0"/>
                    <w:ind w:left="0" w:leftChars="0"/>
                    <w:jc w:val="center"/>
                  </w:pPr>
                  <w:r>
                    <w:rPr>
                      <w:rFonts w:hint="eastAsia"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021" w:type="dxa"/>
                  <w:vAlign w:val="center"/>
                </w:tcPr>
                <w:p>
                  <w:pPr>
                    <w:pStyle w:val="16"/>
                    <w:spacing w:after="0"/>
                    <w:ind w:left="0" w:leftChars="0"/>
                    <w:jc w:val="center"/>
                    <w:rPr>
                      <w:szCs w:val="21"/>
                    </w:rPr>
                  </w:pPr>
                  <w:r>
                    <w:rPr>
                      <w:rFonts w:hint="eastAsia"/>
                      <w:szCs w:val="21"/>
                    </w:rPr>
                    <w:t>13</w:t>
                  </w:r>
                </w:p>
              </w:tc>
              <w:tc>
                <w:tcPr>
                  <w:tcW w:w="3112" w:type="dxa"/>
                  <w:vAlign w:val="center"/>
                </w:tcPr>
                <w:p>
                  <w:pPr>
                    <w:pStyle w:val="16"/>
                    <w:spacing w:after="0"/>
                    <w:ind w:left="0" w:leftChars="0"/>
                    <w:jc w:val="center"/>
                    <w:rPr>
                      <w:rFonts w:hAnsi="宋体"/>
                      <w:szCs w:val="21"/>
                    </w:rPr>
                  </w:pPr>
                  <w:r>
                    <w:rPr>
                      <w:rFonts w:hint="eastAsia" w:hAnsi="宋体"/>
                      <w:szCs w:val="21"/>
                    </w:rPr>
                    <w:t>是否属于生态敏感与脆弱区</w:t>
                  </w:r>
                </w:p>
              </w:tc>
              <w:tc>
                <w:tcPr>
                  <w:tcW w:w="4935" w:type="dxa"/>
                  <w:vAlign w:val="center"/>
                </w:tcPr>
                <w:p>
                  <w:pPr>
                    <w:pStyle w:val="16"/>
                    <w:spacing w:after="0"/>
                    <w:ind w:left="0" w:leftChars="0"/>
                    <w:jc w:val="center"/>
                    <w:rPr>
                      <w:rFonts w:hAnsi="宋体"/>
                      <w:szCs w:val="21"/>
                    </w:rPr>
                  </w:pPr>
                  <w:r>
                    <w:rPr>
                      <w:rFonts w:hint="eastAsia" w:hAnsi="宋体"/>
                      <w:szCs w:val="21"/>
                    </w:rPr>
                    <w:t>否</w:t>
                  </w:r>
                </w:p>
              </w:tc>
            </w:tr>
          </w:tbl>
          <w:p>
            <w:pPr>
              <w:pStyle w:val="2"/>
              <w:spacing w:after="0"/>
              <w:rPr>
                <w:rFonts w:cs="宋体"/>
                <w:sz w:val="24"/>
                <w:szCs w:val="22"/>
                <w:lang w:bidi="ar"/>
              </w:rPr>
            </w:pPr>
          </w:p>
          <w:p>
            <w:pPr>
              <w:pStyle w:val="2"/>
              <w:spacing w:after="0"/>
              <w:rPr>
                <w:rFonts w:cs="宋体"/>
                <w:sz w:val="24"/>
                <w:szCs w:val="22"/>
                <w:lang w:bidi="ar"/>
              </w:rPr>
            </w:pPr>
          </w:p>
          <w:p>
            <w:pPr>
              <w:pStyle w:val="35"/>
              <w:spacing w:after="0" w:line="360" w:lineRule="auto"/>
              <w:rPr>
                <w:rFonts w:ascii="Times New Roman" w:cs="Times New Roman"/>
                <w:color w:val="auto"/>
                <w:szCs w:val="32"/>
              </w:rPr>
            </w:pPr>
          </w:p>
          <w:p>
            <w:pPr>
              <w:pStyle w:val="35"/>
              <w:spacing w:after="0" w:line="360" w:lineRule="auto"/>
              <w:rPr>
                <w:rFonts w:ascii="Times New Roman" w:cs="Times New Roman"/>
                <w:color w:val="auto"/>
                <w:szCs w:val="32"/>
              </w:rPr>
            </w:pPr>
          </w:p>
          <w:p>
            <w:pPr>
              <w:pStyle w:val="35"/>
              <w:spacing w:after="0" w:line="360" w:lineRule="auto"/>
              <w:rPr>
                <w:rFonts w:ascii="Times New Roman" w:cs="Times New Roman"/>
                <w:color w:val="auto"/>
                <w:szCs w:val="32"/>
              </w:rPr>
            </w:pPr>
          </w:p>
          <w:p>
            <w:pPr>
              <w:pStyle w:val="35"/>
              <w:spacing w:after="0" w:line="360" w:lineRule="auto"/>
              <w:rPr>
                <w:rFonts w:ascii="Times New Roman" w:cs="Times New Roman"/>
                <w:color w:val="auto"/>
                <w:szCs w:val="32"/>
              </w:rPr>
            </w:pPr>
          </w:p>
          <w:p>
            <w:pPr>
              <w:pStyle w:val="35"/>
              <w:spacing w:after="0" w:line="360" w:lineRule="auto"/>
              <w:rPr>
                <w:rFonts w:ascii="Times New Roman" w:cs="Times New Roman"/>
                <w:color w:val="auto"/>
                <w:szCs w:val="32"/>
              </w:rPr>
            </w:pPr>
          </w:p>
          <w:p>
            <w:pPr>
              <w:pStyle w:val="35"/>
              <w:spacing w:after="0" w:line="360" w:lineRule="auto"/>
              <w:rPr>
                <w:rFonts w:ascii="Times New Roman" w:cs="Times New Roman"/>
                <w:color w:val="auto"/>
                <w:szCs w:val="32"/>
              </w:rPr>
            </w:pPr>
          </w:p>
          <w:p>
            <w:pPr>
              <w:pStyle w:val="35"/>
              <w:spacing w:after="0" w:line="360" w:lineRule="auto"/>
              <w:rPr>
                <w:rFonts w:ascii="Times New Roman" w:cs="Times New Roman"/>
                <w:color w:val="auto"/>
                <w:szCs w:val="32"/>
              </w:rPr>
            </w:pPr>
          </w:p>
          <w:p>
            <w:pPr>
              <w:pStyle w:val="35"/>
              <w:spacing w:after="0" w:line="360" w:lineRule="auto"/>
              <w:rPr>
                <w:rFonts w:ascii="Times New Roman" w:cs="Times New Roman"/>
                <w:color w:val="auto"/>
                <w:szCs w:val="32"/>
              </w:rPr>
            </w:pPr>
          </w:p>
          <w:p>
            <w:pPr>
              <w:pStyle w:val="35"/>
              <w:spacing w:after="0" w:line="360" w:lineRule="auto"/>
              <w:rPr>
                <w:rFonts w:ascii="Times New Roman" w:cs="Times New Roman"/>
                <w:color w:val="auto"/>
                <w:szCs w:val="32"/>
              </w:rPr>
            </w:pPr>
          </w:p>
          <w:p>
            <w:pPr>
              <w:pStyle w:val="35"/>
              <w:spacing w:after="0" w:line="360" w:lineRule="auto"/>
              <w:rPr>
                <w:rFonts w:ascii="Times New Roman" w:cs="Times New Roman"/>
                <w:color w:val="auto"/>
                <w:szCs w:val="32"/>
              </w:rPr>
            </w:pPr>
          </w:p>
          <w:p>
            <w:pPr>
              <w:pStyle w:val="35"/>
              <w:spacing w:after="0" w:line="360" w:lineRule="auto"/>
              <w:rPr>
                <w:rFonts w:ascii="Times New Roman" w:cs="Times New Roman"/>
                <w:color w:val="auto"/>
                <w:szCs w:val="32"/>
              </w:rPr>
            </w:pPr>
          </w:p>
          <w:p>
            <w:pPr>
              <w:pStyle w:val="35"/>
              <w:spacing w:after="0" w:line="360" w:lineRule="auto"/>
              <w:rPr>
                <w:rFonts w:ascii="Times New Roman" w:cs="Times New Roman"/>
                <w:color w:val="auto"/>
                <w:szCs w:val="32"/>
              </w:rPr>
            </w:pPr>
          </w:p>
          <w:p>
            <w:pPr>
              <w:pStyle w:val="35"/>
              <w:spacing w:after="0" w:line="360" w:lineRule="auto"/>
              <w:rPr>
                <w:rFonts w:ascii="Times New Roman" w:cs="Times New Roman"/>
                <w:color w:val="auto"/>
                <w:szCs w:val="32"/>
              </w:rPr>
            </w:pPr>
          </w:p>
        </w:tc>
      </w:tr>
    </w:tbl>
    <w:p>
      <w:pPr>
        <w:pStyle w:val="35"/>
        <w:rPr>
          <w:rFonts w:ascii="Times New Roman" w:cs="Times New Roman"/>
          <w:color w:val="auto"/>
          <w:szCs w:val="32"/>
        </w:rPr>
        <w:sectPr>
          <w:pgSz w:w="11906" w:h="16838"/>
          <w:pgMar w:top="1134" w:right="1417" w:bottom="1134" w:left="1417" w:header="851" w:footer="992" w:gutter="0"/>
          <w:cols w:space="720" w:num="1"/>
          <w:docGrid w:type="lines" w:linePitch="312" w:charSpace="0"/>
        </w:sectPr>
      </w:pPr>
    </w:p>
    <w:p>
      <w:pPr>
        <w:pStyle w:val="35"/>
        <w:outlineLvl w:val="0"/>
        <w:rPr>
          <w:rFonts w:ascii="Times New Roman" w:cs="Times New Roman"/>
          <w:b/>
          <w:bCs/>
          <w:color w:val="auto"/>
          <w:sz w:val="32"/>
          <w:szCs w:val="40"/>
        </w:rPr>
      </w:pPr>
      <w:r>
        <w:rPr>
          <w:rFonts w:hint="eastAsia" w:ascii="Times New Roman" w:cs="Times New Roman"/>
          <w:b/>
          <w:bCs/>
          <w:color w:val="auto"/>
          <w:sz w:val="32"/>
          <w:szCs w:val="40"/>
        </w:rPr>
        <w:t>3环境质量状况</w:t>
      </w:r>
      <w:bookmarkEnd w:id="70"/>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9288" w:type="dxa"/>
          </w:tcPr>
          <w:p>
            <w:pPr>
              <w:spacing w:after="0" w:line="360" w:lineRule="auto"/>
              <w:jc w:val="left"/>
              <w:rPr>
                <w:sz w:val="24"/>
              </w:rPr>
            </w:pPr>
            <w:r>
              <w:rPr>
                <w:b/>
                <w:bCs/>
                <w:sz w:val="24"/>
              </w:rPr>
              <w:t>建设项目所在地区域环境质量现状及主要环境问题（环境空气、地表水、声环境、生态环境等）</w:t>
            </w:r>
          </w:p>
          <w:p>
            <w:pPr>
              <w:spacing w:after="0" w:line="360" w:lineRule="auto"/>
              <w:jc w:val="left"/>
              <w:rPr>
                <w:sz w:val="24"/>
              </w:rPr>
            </w:pPr>
            <w:r>
              <w:rPr>
                <w:b/>
                <w:bCs/>
                <w:sz w:val="24"/>
              </w:rPr>
              <w:t>一、环境空气质量现状</w:t>
            </w:r>
          </w:p>
          <w:p>
            <w:pPr>
              <w:spacing w:after="0" w:line="360" w:lineRule="auto"/>
              <w:ind w:firstLine="480" w:firstLineChars="200"/>
              <w:rPr>
                <w:sz w:val="24"/>
              </w:rPr>
            </w:pPr>
            <w:r>
              <w:rPr>
                <w:sz w:val="24"/>
              </w:rPr>
              <w:t>本项目位于</w:t>
            </w:r>
            <w:r>
              <w:rPr>
                <w:color w:val="000000"/>
                <w:sz w:val="24"/>
              </w:rPr>
              <w:t>湖南省岳阳市湘阴县杨林寨乡沅潭村</w:t>
            </w:r>
            <w:r>
              <w:rPr>
                <w:sz w:val="24"/>
              </w:rPr>
              <w:t>，</w:t>
            </w:r>
            <w:r>
              <w:rPr>
                <w:sz w:val="24"/>
                <w:lang w:val="zh-CN"/>
              </w:rPr>
              <w:t>根据湘阴县环保局发布的《湘阴县环境空气质量指数统计表(2018年)》</w:t>
            </w:r>
            <w:r>
              <w:rPr>
                <w:sz w:val="24"/>
              </w:rPr>
              <w:t>中的</w:t>
            </w:r>
            <w:r>
              <w:rPr>
                <w:sz w:val="24"/>
                <w:lang w:val="zh-CN"/>
              </w:rPr>
              <w:t>数据进行评价，</w:t>
            </w:r>
            <w:r>
              <w:rPr>
                <w:sz w:val="24"/>
              </w:rPr>
              <w:t>详细数据见下表：</w:t>
            </w:r>
          </w:p>
          <w:p>
            <w:pPr>
              <w:autoSpaceDE w:val="0"/>
              <w:autoSpaceDN w:val="0"/>
              <w:spacing w:before="3" w:after="0"/>
              <w:ind w:left="2700"/>
              <w:rPr>
                <w:sz w:val="24"/>
                <w:lang w:val="zh-CN" w:bidi="zh-CN"/>
              </w:rPr>
            </w:pPr>
            <w:r>
              <w:rPr>
                <w:b/>
                <w:snapToGrid w:val="0"/>
                <w:kern w:val="0"/>
                <w:sz w:val="24"/>
              </w:rPr>
              <w:t xml:space="preserve">表3-1  </w:t>
            </w:r>
            <w:r>
              <w:rPr>
                <w:b/>
                <w:bCs/>
                <w:sz w:val="24"/>
                <w:lang w:val="zh-CN" w:bidi="zh-CN"/>
              </w:rPr>
              <w:t>2018年区域空气质量现状评价表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160"/>
              <w:gridCol w:w="1378"/>
              <w:gridCol w:w="1473"/>
              <w:gridCol w:w="147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center"/>
                </w:tcPr>
                <w:p>
                  <w:pPr>
                    <w:autoSpaceDE w:val="0"/>
                    <w:autoSpaceDN w:val="0"/>
                    <w:spacing w:before="3" w:after="0"/>
                    <w:jc w:val="center"/>
                    <w:rPr>
                      <w:szCs w:val="21"/>
                      <w:lang w:bidi="zh-CN"/>
                    </w:rPr>
                  </w:pPr>
                  <w:r>
                    <w:rPr>
                      <w:szCs w:val="21"/>
                      <w:lang w:bidi="zh-CN"/>
                    </w:rPr>
                    <w:t>区域</w:t>
                  </w:r>
                </w:p>
              </w:tc>
              <w:tc>
                <w:tcPr>
                  <w:tcW w:w="2160" w:type="dxa"/>
                  <w:vAlign w:val="center"/>
                </w:tcPr>
                <w:p>
                  <w:pPr>
                    <w:autoSpaceDE w:val="0"/>
                    <w:autoSpaceDN w:val="0"/>
                    <w:spacing w:before="3" w:after="0"/>
                    <w:jc w:val="center"/>
                    <w:rPr>
                      <w:szCs w:val="21"/>
                      <w:lang w:bidi="zh-CN"/>
                    </w:rPr>
                  </w:pPr>
                  <w:r>
                    <w:rPr>
                      <w:szCs w:val="21"/>
                      <w:lang w:bidi="zh-CN"/>
                    </w:rPr>
                    <w:t>监测因子</w:t>
                  </w:r>
                </w:p>
              </w:tc>
              <w:tc>
                <w:tcPr>
                  <w:tcW w:w="1378" w:type="dxa"/>
                  <w:vAlign w:val="center"/>
                </w:tcPr>
                <w:p>
                  <w:pPr>
                    <w:autoSpaceDE w:val="0"/>
                    <w:autoSpaceDN w:val="0"/>
                    <w:spacing w:before="3" w:after="0"/>
                    <w:jc w:val="center"/>
                    <w:rPr>
                      <w:szCs w:val="21"/>
                      <w:lang w:bidi="zh-CN"/>
                    </w:rPr>
                  </w:pPr>
                  <w:r>
                    <w:rPr>
                      <w:szCs w:val="21"/>
                      <w:lang w:bidi="zh-CN"/>
                    </w:rPr>
                    <w:t>现状浓度（ug/m</w:t>
                  </w:r>
                  <w:r>
                    <w:rPr>
                      <w:szCs w:val="21"/>
                      <w:vertAlign w:val="superscript"/>
                      <w:lang w:bidi="zh-CN"/>
                    </w:rPr>
                    <w:t>3</w:t>
                  </w:r>
                  <w:r>
                    <w:rPr>
                      <w:szCs w:val="21"/>
                      <w:lang w:bidi="zh-CN"/>
                    </w:rPr>
                    <w:t>）</w:t>
                  </w:r>
                </w:p>
              </w:tc>
              <w:tc>
                <w:tcPr>
                  <w:tcW w:w="1473" w:type="dxa"/>
                  <w:vAlign w:val="center"/>
                </w:tcPr>
                <w:p>
                  <w:pPr>
                    <w:autoSpaceDE w:val="0"/>
                    <w:autoSpaceDN w:val="0"/>
                    <w:spacing w:before="3" w:after="0"/>
                    <w:jc w:val="center"/>
                    <w:rPr>
                      <w:szCs w:val="21"/>
                      <w:lang w:bidi="zh-CN"/>
                    </w:rPr>
                  </w:pPr>
                  <w:r>
                    <w:rPr>
                      <w:szCs w:val="21"/>
                      <w:lang w:bidi="zh-CN"/>
                    </w:rPr>
                    <w:t>标准值（ug/m</w:t>
                  </w:r>
                  <w:r>
                    <w:rPr>
                      <w:szCs w:val="21"/>
                      <w:vertAlign w:val="superscript"/>
                      <w:lang w:bidi="zh-CN"/>
                    </w:rPr>
                    <w:t>3</w:t>
                  </w:r>
                  <w:r>
                    <w:rPr>
                      <w:szCs w:val="21"/>
                      <w:lang w:bidi="zh-CN"/>
                    </w:rPr>
                    <w:t>）</w:t>
                  </w:r>
                </w:p>
              </w:tc>
              <w:tc>
                <w:tcPr>
                  <w:tcW w:w="1471" w:type="dxa"/>
                  <w:vAlign w:val="center"/>
                </w:tcPr>
                <w:p>
                  <w:pPr>
                    <w:autoSpaceDE w:val="0"/>
                    <w:autoSpaceDN w:val="0"/>
                    <w:spacing w:before="3" w:after="0"/>
                    <w:jc w:val="center"/>
                    <w:rPr>
                      <w:szCs w:val="21"/>
                      <w:lang w:bidi="zh-CN"/>
                    </w:rPr>
                  </w:pPr>
                  <w:r>
                    <w:rPr>
                      <w:szCs w:val="21"/>
                      <w:lang w:bidi="zh-CN"/>
                    </w:rPr>
                    <w:t>超标倍数</w:t>
                  </w:r>
                </w:p>
              </w:tc>
              <w:tc>
                <w:tcPr>
                  <w:tcW w:w="1471" w:type="dxa"/>
                  <w:vAlign w:val="center"/>
                </w:tcPr>
                <w:p>
                  <w:pPr>
                    <w:autoSpaceDE w:val="0"/>
                    <w:autoSpaceDN w:val="0"/>
                    <w:spacing w:before="3" w:after="0"/>
                    <w:jc w:val="center"/>
                    <w:rPr>
                      <w:szCs w:val="21"/>
                      <w:lang w:bidi="zh-CN"/>
                    </w:rPr>
                  </w:pPr>
                  <w:r>
                    <w:rPr>
                      <w:szCs w:val="21"/>
                      <w:lang w:bidi="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Merge w:val="restart"/>
                  <w:vAlign w:val="center"/>
                </w:tcPr>
                <w:p>
                  <w:pPr>
                    <w:autoSpaceDE w:val="0"/>
                    <w:autoSpaceDN w:val="0"/>
                    <w:spacing w:before="3" w:after="0"/>
                    <w:jc w:val="center"/>
                    <w:rPr>
                      <w:szCs w:val="21"/>
                      <w:lang w:bidi="zh-CN"/>
                    </w:rPr>
                  </w:pPr>
                  <w:r>
                    <w:rPr>
                      <w:rFonts w:hint="eastAsia"/>
                      <w:szCs w:val="21"/>
                      <w:lang w:bidi="zh-CN"/>
                    </w:rPr>
                    <w:t>湘阴县</w:t>
                  </w:r>
                </w:p>
              </w:tc>
              <w:tc>
                <w:tcPr>
                  <w:tcW w:w="2160" w:type="dxa"/>
                  <w:vAlign w:val="center"/>
                </w:tcPr>
                <w:p>
                  <w:pPr>
                    <w:autoSpaceDE w:val="0"/>
                    <w:autoSpaceDN w:val="0"/>
                    <w:spacing w:before="3" w:after="0"/>
                    <w:jc w:val="center"/>
                    <w:rPr>
                      <w:szCs w:val="21"/>
                      <w:lang w:bidi="zh-CN"/>
                    </w:rPr>
                  </w:pPr>
                  <w:r>
                    <w:rPr>
                      <w:szCs w:val="21"/>
                      <w:lang w:bidi="zh-CN"/>
                    </w:rPr>
                    <w:t>SO</w:t>
                  </w:r>
                  <w:r>
                    <w:rPr>
                      <w:szCs w:val="21"/>
                      <w:vertAlign w:val="subscript"/>
                      <w:lang w:bidi="zh-CN"/>
                    </w:rPr>
                    <w:t>2</w:t>
                  </w:r>
                  <w:r>
                    <w:rPr>
                      <w:szCs w:val="21"/>
                      <w:lang w:bidi="zh-CN"/>
                    </w:rPr>
                    <w:t>年平均质量浓度</w:t>
                  </w:r>
                </w:p>
              </w:tc>
              <w:tc>
                <w:tcPr>
                  <w:tcW w:w="1378" w:type="dxa"/>
                  <w:vAlign w:val="center"/>
                </w:tcPr>
                <w:p>
                  <w:pPr>
                    <w:autoSpaceDE w:val="0"/>
                    <w:autoSpaceDN w:val="0"/>
                    <w:spacing w:before="3" w:after="0"/>
                    <w:jc w:val="center"/>
                    <w:rPr>
                      <w:szCs w:val="21"/>
                      <w:lang w:bidi="zh-CN"/>
                    </w:rPr>
                  </w:pPr>
                  <w:r>
                    <w:rPr>
                      <w:rFonts w:hint="eastAsia"/>
                      <w:szCs w:val="21"/>
                      <w:lang w:bidi="zh-CN"/>
                    </w:rPr>
                    <w:t>8</w:t>
                  </w:r>
                </w:p>
              </w:tc>
              <w:tc>
                <w:tcPr>
                  <w:tcW w:w="1473" w:type="dxa"/>
                  <w:vAlign w:val="center"/>
                </w:tcPr>
                <w:p>
                  <w:pPr>
                    <w:autoSpaceDE w:val="0"/>
                    <w:autoSpaceDN w:val="0"/>
                    <w:spacing w:before="3" w:after="0"/>
                    <w:jc w:val="center"/>
                    <w:rPr>
                      <w:szCs w:val="21"/>
                      <w:lang w:bidi="zh-CN"/>
                    </w:rPr>
                  </w:pPr>
                  <w:r>
                    <w:rPr>
                      <w:szCs w:val="21"/>
                      <w:lang w:bidi="zh-CN"/>
                    </w:rPr>
                    <w:t>60</w:t>
                  </w:r>
                </w:p>
              </w:tc>
              <w:tc>
                <w:tcPr>
                  <w:tcW w:w="1471" w:type="dxa"/>
                  <w:vAlign w:val="center"/>
                </w:tcPr>
                <w:p>
                  <w:pPr>
                    <w:autoSpaceDE w:val="0"/>
                    <w:autoSpaceDN w:val="0"/>
                    <w:spacing w:before="3" w:after="0"/>
                    <w:jc w:val="center"/>
                    <w:rPr>
                      <w:szCs w:val="21"/>
                      <w:lang w:bidi="zh-CN"/>
                    </w:rPr>
                  </w:pPr>
                  <w:r>
                    <w:rPr>
                      <w:szCs w:val="21"/>
                      <w:lang w:bidi="zh-CN"/>
                    </w:rPr>
                    <w:t>0</w:t>
                  </w:r>
                </w:p>
              </w:tc>
              <w:tc>
                <w:tcPr>
                  <w:tcW w:w="1471" w:type="dxa"/>
                  <w:vAlign w:val="center"/>
                </w:tcPr>
                <w:p>
                  <w:pPr>
                    <w:autoSpaceDE w:val="0"/>
                    <w:autoSpaceDN w:val="0"/>
                    <w:spacing w:before="3" w:after="0"/>
                    <w:jc w:val="center"/>
                    <w:rPr>
                      <w:szCs w:val="21"/>
                      <w:lang w:bidi="zh-CN"/>
                    </w:rPr>
                  </w:pPr>
                  <w:r>
                    <w:rPr>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Merge w:val="continue"/>
                  <w:vAlign w:val="center"/>
                </w:tcPr>
                <w:p>
                  <w:pPr>
                    <w:autoSpaceDE w:val="0"/>
                    <w:autoSpaceDN w:val="0"/>
                    <w:spacing w:before="3" w:after="0"/>
                    <w:jc w:val="center"/>
                    <w:rPr>
                      <w:szCs w:val="21"/>
                      <w:lang w:val="zh-CN" w:bidi="zh-CN"/>
                    </w:rPr>
                  </w:pPr>
                </w:p>
              </w:tc>
              <w:tc>
                <w:tcPr>
                  <w:tcW w:w="2160" w:type="dxa"/>
                  <w:vAlign w:val="center"/>
                </w:tcPr>
                <w:p>
                  <w:pPr>
                    <w:autoSpaceDE w:val="0"/>
                    <w:autoSpaceDN w:val="0"/>
                    <w:spacing w:before="3" w:after="0"/>
                    <w:jc w:val="center"/>
                    <w:rPr>
                      <w:szCs w:val="21"/>
                      <w:lang w:val="zh-CN" w:bidi="zh-CN"/>
                    </w:rPr>
                  </w:pPr>
                  <w:r>
                    <w:rPr>
                      <w:szCs w:val="21"/>
                      <w:lang w:bidi="zh-CN"/>
                    </w:rPr>
                    <w:t>NO</w:t>
                  </w:r>
                  <w:r>
                    <w:rPr>
                      <w:szCs w:val="21"/>
                      <w:vertAlign w:val="subscript"/>
                      <w:lang w:bidi="zh-CN"/>
                    </w:rPr>
                    <w:t>2</w:t>
                  </w:r>
                  <w:r>
                    <w:rPr>
                      <w:szCs w:val="21"/>
                      <w:lang w:bidi="zh-CN"/>
                    </w:rPr>
                    <w:t>年平均质量浓度</w:t>
                  </w:r>
                </w:p>
              </w:tc>
              <w:tc>
                <w:tcPr>
                  <w:tcW w:w="1378" w:type="dxa"/>
                  <w:vAlign w:val="center"/>
                </w:tcPr>
                <w:p>
                  <w:pPr>
                    <w:autoSpaceDE w:val="0"/>
                    <w:autoSpaceDN w:val="0"/>
                    <w:spacing w:before="3" w:after="0"/>
                    <w:jc w:val="center"/>
                    <w:rPr>
                      <w:szCs w:val="21"/>
                      <w:lang w:bidi="zh-CN"/>
                    </w:rPr>
                  </w:pPr>
                  <w:r>
                    <w:rPr>
                      <w:rFonts w:hint="eastAsia"/>
                      <w:szCs w:val="21"/>
                      <w:lang w:bidi="zh-CN"/>
                    </w:rPr>
                    <w:t>18</w:t>
                  </w:r>
                </w:p>
              </w:tc>
              <w:tc>
                <w:tcPr>
                  <w:tcW w:w="1473" w:type="dxa"/>
                  <w:vAlign w:val="center"/>
                </w:tcPr>
                <w:p>
                  <w:pPr>
                    <w:autoSpaceDE w:val="0"/>
                    <w:autoSpaceDN w:val="0"/>
                    <w:spacing w:before="3" w:after="0"/>
                    <w:jc w:val="center"/>
                    <w:rPr>
                      <w:szCs w:val="21"/>
                      <w:lang w:bidi="zh-CN"/>
                    </w:rPr>
                  </w:pPr>
                  <w:r>
                    <w:rPr>
                      <w:szCs w:val="21"/>
                      <w:lang w:bidi="zh-CN"/>
                    </w:rPr>
                    <w:t>40</w:t>
                  </w:r>
                </w:p>
              </w:tc>
              <w:tc>
                <w:tcPr>
                  <w:tcW w:w="1471" w:type="dxa"/>
                  <w:vAlign w:val="center"/>
                </w:tcPr>
                <w:p>
                  <w:pPr>
                    <w:autoSpaceDE w:val="0"/>
                    <w:autoSpaceDN w:val="0"/>
                    <w:spacing w:before="3" w:after="0"/>
                    <w:jc w:val="center"/>
                    <w:rPr>
                      <w:szCs w:val="21"/>
                      <w:lang w:bidi="zh-CN"/>
                    </w:rPr>
                  </w:pPr>
                  <w:r>
                    <w:rPr>
                      <w:szCs w:val="21"/>
                      <w:lang w:bidi="zh-CN"/>
                    </w:rPr>
                    <w:t>0</w:t>
                  </w:r>
                </w:p>
              </w:tc>
              <w:tc>
                <w:tcPr>
                  <w:tcW w:w="1471" w:type="dxa"/>
                  <w:vAlign w:val="center"/>
                </w:tcPr>
                <w:p>
                  <w:pPr>
                    <w:autoSpaceDE w:val="0"/>
                    <w:autoSpaceDN w:val="0"/>
                    <w:spacing w:before="3" w:after="0"/>
                    <w:jc w:val="center"/>
                    <w:rPr>
                      <w:szCs w:val="21"/>
                      <w:lang w:val="zh-CN" w:bidi="zh-CN"/>
                    </w:rPr>
                  </w:pPr>
                  <w:r>
                    <w:rPr>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3" w:type="dxa"/>
                  <w:vMerge w:val="continue"/>
                  <w:vAlign w:val="center"/>
                </w:tcPr>
                <w:p>
                  <w:pPr>
                    <w:autoSpaceDE w:val="0"/>
                    <w:autoSpaceDN w:val="0"/>
                    <w:spacing w:before="3" w:after="0"/>
                    <w:jc w:val="center"/>
                    <w:rPr>
                      <w:szCs w:val="21"/>
                      <w:lang w:val="zh-CN" w:bidi="zh-CN"/>
                    </w:rPr>
                  </w:pPr>
                </w:p>
              </w:tc>
              <w:tc>
                <w:tcPr>
                  <w:tcW w:w="2160" w:type="dxa"/>
                  <w:vAlign w:val="center"/>
                </w:tcPr>
                <w:p>
                  <w:pPr>
                    <w:autoSpaceDE w:val="0"/>
                    <w:autoSpaceDN w:val="0"/>
                    <w:spacing w:before="3" w:after="0"/>
                    <w:jc w:val="center"/>
                    <w:rPr>
                      <w:szCs w:val="21"/>
                      <w:lang w:val="zh-CN" w:bidi="zh-CN"/>
                    </w:rPr>
                  </w:pPr>
                  <w:r>
                    <w:rPr>
                      <w:szCs w:val="21"/>
                      <w:lang w:bidi="zh-CN"/>
                    </w:rPr>
                    <w:t>PM</w:t>
                  </w:r>
                  <w:r>
                    <w:rPr>
                      <w:szCs w:val="21"/>
                      <w:vertAlign w:val="subscript"/>
                      <w:lang w:bidi="zh-CN"/>
                    </w:rPr>
                    <w:t>10</w:t>
                  </w:r>
                  <w:r>
                    <w:rPr>
                      <w:szCs w:val="21"/>
                      <w:lang w:bidi="zh-CN"/>
                    </w:rPr>
                    <w:t>年平均质量浓度</w:t>
                  </w:r>
                </w:p>
              </w:tc>
              <w:tc>
                <w:tcPr>
                  <w:tcW w:w="1378" w:type="dxa"/>
                  <w:vAlign w:val="center"/>
                </w:tcPr>
                <w:p>
                  <w:pPr>
                    <w:autoSpaceDE w:val="0"/>
                    <w:autoSpaceDN w:val="0"/>
                    <w:spacing w:before="3" w:after="0"/>
                    <w:jc w:val="center"/>
                    <w:rPr>
                      <w:szCs w:val="21"/>
                      <w:lang w:bidi="zh-CN"/>
                    </w:rPr>
                  </w:pPr>
                  <w:r>
                    <w:rPr>
                      <w:rFonts w:hint="eastAsia"/>
                      <w:szCs w:val="21"/>
                      <w:lang w:bidi="zh-CN"/>
                    </w:rPr>
                    <w:t>54</w:t>
                  </w:r>
                </w:p>
              </w:tc>
              <w:tc>
                <w:tcPr>
                  <w:tcW w:w="1473" w:type="dxa"/>
                  <w:vAlign w:val="center"/>
                </w:tcPr>
                <w:p>
                  <w:pPr>
                    <w:autoSpaceDE w:val="0"/>
                    <w:autoSpaceDN w:val="0"/>
                    <w:spacing w:before="3" w:after="0"/>
                    <w:jc w:val="center"/>
                    <w:rPr>
                      <w:szCs w:val="21"/>
                      <w:lang w:bidi="zh-CN"/>
                    </w:rPr>
                  </w:pPr>
                  <w:r>
                    <w:rPr>
                      <w:szCs w:val="21"/>
                      <w:lang w:bidi="zh-CN"/>
                    </w:rPr>
                    <w:t>70</w:t>
                  </w:r>
                </w:p>
              </w:tc>
              <w:tc>
                <w:tcPr>
                  <w:tcW w:w="1471" w:type="dxa"/>
                  <w:vAlign w:val="center"/>
                </w:tcPr>
                <w:p>
                  <w:pPr>
                    <w:autoSpaceDE w:val="0"/>
                    <w:autoSpaceDN w:val="0"/>
                    <w:spacing w:before="3" w:after="0"/>
                    <w:jc w:val="center"/>
                    <w:rPr>
                      <w:szCs w:val="21"/>
                      <w:lang w:bidi="zh-CN"/>
                    </w:rPr>
                  </w:pPr>
                  <w:r>
                    <w:rPr>
                      <w:szCs w:val="21"/>
                      <w:lang w:bidi="zh-CN"/>
                    </w:rPr>
                    <w:t>0</w:t>
                  </w:r>
                </w:p>
              </w:tc>
              <w:tc>
                <w:tcPr>
                  <w:tcW w:w="1471" w:type="dxa"/>
                  <w:vAlign w:val="center"/>
                </w:tcPr>
                <w:p>
                  <w:pPr>
                    <w:autoSpaceDE w:val="0"/>
                    <w:autoSpaceDN w:val="0"/>
                    <w:spacing w:before="3" w:after="0"/>
                    <w:jc w:val="center"/>
                    <w:rPr>
                      <w:szCs w:val="21"/>
                      <w:lang w:val="zh-CN" w:bidi="zh-CN"/>
                    </w:rPr>
                  </w:pPr>
                  <w:r>
                    <w:rPr>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Merge w:val="continue"/>
                  <w:vAlign w:val="center"/>
                </w:tcPr>
                <w:p>
                  <w:pPr>
                    <w:autoSpaceDE w:val="0"/>
                    <w:autoSpaceDN w:val="0"/>
                    <w:spacing w:before="3" w:after="0"/>
                    <w:jc w:val="center"/>
                    <w:rPr>
                      <w:szCs w:val="21"/>
                      <w:lang w:val="zh-CN" w:bidi="zh-CN"/>
                    </w:rPr>
                  </w:pPr>
                </w:p>
              </w:tc>
              <w:tc>
                <w:tcPr>
                  <w:tcW w:w="2160" w:type="dxa"/>
                  <w:vAlign w:val="center"/>
                </w:tcPr>
                <w:p>
                  <w:pPr>
                    <w:autoSpaceDE w:val="0"/>
                    <w:autoSpaceDN w:val="0"/>
                    <w:spacing w:before="3" w:after="0"/>
                    <w:jc w:val="center"/>
                    <w:rPr>
                      <w:szCs w:val="21"/>
                      <w:lang w:val="zh-CN" w:bidi="zh-CN"/>
                    </w:rPr>
                  </w:pPr>
                  <w:r>
                    <w:rPr>
                      <w:szCs w:val="21"/>
                      <w:lang w:bidi="zh-CN"/>
                    </w:rPr>
                    <w:t>PM</w:t>
                  </w:r>
                  <w:r>
                    <w:rPr>
                      <w:szCs w:val="21"/>
                      <w:vertAlign w:val="subscript"/>
                      <w:lang w:bidi="zh-CN"/>
                    </w:rPr>
                    <w:t>2.5</w:t>
                  </w:r>
                  <w:r>
                    <w:rPr>
                      <w:szCs w:val="21"/>
                      <w:lang w:bidi="zh-CN"/>
                    </w:rPr>
                    <w:t>年平均质量浓度</w:t>
                  </w:r>
                </w:p>
              </w:tc>
              <w:tc>
                <w:tcPr>
                  <w:tcW w:w="1378" w:type="dxa"/>
                  <w:vAlign w:val="center"/>
                </w:tcPr>
                <w:p>
                  <w:pPr>
                    <w:autoSpaceDE w:val="0"/>
                    <w:autoSpaceDN w:val="0"/>
                    <w:spacing w:before="3" w:after="0"/>
                    <w:jc w:val="center"/>
                    <w:rPr>
                      <w:szCs w:val="21"/>
                      <w:lang w:bidi="zh-CN"/>
                    </w:rPr>
                  </w:pPr>
                  <w:r>
                    <w:rPr>
                      <w:rFonts w:hint="eastAsia"/>
                      <w:szCs w:val="21"/>
                      <w:lang w:bidi="zh-CN"/>
                    </w:rPr>
                    <w:t>39</w:t>
                  </w:r>
                </w:p>
              </w:tc>
              <w:tc>
                <w:tcPr>
                  <w:tcW w:w="1473" w:type="dxa"/>
                  <w:vAlign w:val="center"/>
                </w:tcPr>
                <w:p>
                  <w:pPr>
                    <w:autoSpaceDE w:val="0"/>
                    <w:autoSpaceDN w:val="0"/>
                    <w:spacing w:before="3" w:after="0"/>
                    <w:jc w:val="center"/>
                    <w:rPr>
                      <w:szCs w:val="21"/>
                      <w:lang w:bidi="zh-CN"/>
                    </w:rPr>
                  </w:pPr>
                  <w:r>
                    <w:rPr>
                      <w:szCs w:val="21"/>
                      <w:lang w:bidi="zh-CN"/>
                    </w:rPr>
                    <w:t>35</w:t>
                  </w:r>
                </w:p>
              </w:tc>
              <w:tc>
                <w:tcPr>
                  <w:tcW w:w="1471" w:type="dxa"/>
                  <w:vAlign w:val="center"/>
                </w:tcPr>
                <w:p>
                  <w:pPr>
                    <w:autoSpaceDE w:val="0"/>
                    <w:autoSpaceDN w:val="0"/>
                    <w:spacing w:before="3" w:after="0"/>
                    <w:jc w:val="center"/>
                    <w:rPr>
                      <w:szCs w:val="21"/>
                      <w:lang w:bidi="zh-CN"/>
                    </w:rPr>
                  </w:pPr>
                  <w:r>
                    <w:rPr>
                      <w:szCs w:val="21"/>
                      <w:lang w:bidi="zh-CN"/>
                    </w:rPr>
                    <w:t>0.</w:t>
                  </w:r>
                  <w:r>
                    <w:rPr>
                      <w:rFonts w:hint="eastAsia"/>
                      <w:szCs w:val="21"/>
                      <w:lang w:bidi="zh-CN"/>
                    </w:rPr>
                    <w:t>114</w:t>
                  </w:r>
                </w:p>
              </w:tc>
              <w:tc>
                <w:tcPr>
                  <w:tcW w:w="1471" w:type="dxa"/>
                  <w:vAlign w:val="center"/>
                </w:tcPr>
                <w:p>
                  <w:pPr>
                    <w:autoSpaceDE w:val="0"/>
                    <w:autoSpaceDN w:val="0"/>
                    <w:spacing w:before="3" w:after="0"/>
                    <w:jc w:val="center"/>
                    <w:rPr>
                      <w:szCs w:val="21"/>
                      <w:lang w:val="zh-CN" w:bidi="zh-CN"/>
                    </w:rPr>
                  </w:pPr>
                  <w:r>
                    <w:rPr>
                      <w:szCs w:val="21"/>
                      <w:lang w:bidi="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Merge w:val="continue"/>
                  <w:vAlign w:val="center"/>
                </w:tcPr>
                <w:p>
                  <w:pPr>
                    <w:autoSpaceDE w:val="0"/>
                    <w:autoSpaceDN w:val="0"/>
                    <w:spacing w:before="3" w:after="0"/>
                    <w:jc w:val="center"/>
                    <w:rPr>
                      <w:szCs w:val="21"/>
                      <w:lang w:val="zh-CN" w:bidi="zh-CN"/>
                    </w:rPr>
                  </w:pPr>
                </w:p>
              </w:tc>
              <w:tc>
                <w:tcPr>
                  <w:tcW w:w="2160" w:type="dxa"/>
                  <w:vAlign w:val="center"/>
                </w:tcPr>
                <w:p>
                  <w:pPr>
                    <w:autoSpaceDE w:val="0"/>
                    <w:autoSpaceDN w:val="0"/>
                    <w:spacing w:before="3" w:after="0"/>
                    <w:jc w:val="center"/>
                    <w:rPr>
                      <w:szCs w:val="21"/>
                      <w:lang w:val="zh-CN" w:bidi="zh-CN"/>
                    </w:rPr>
                  </w:pPr>
                  <w:r>
                    <w:rPr>
                      <w:szCs w:val="21"/>
                      <w:lang w:bidi="zh-CN"/>
                    </w:rPr>
                    <w:t>CO第95百分位数日平均质量浓度</w:t>
                  </w:r>
                </w:p>
              </w:tc>
              <w:tc>
                <w:tcPr>
                  <w:tcW w:w="1378" w:type="dxa"/>
                  <w:vAlign w:val="center"/>
                </w:tcPr>
                <w:p>
                  <w:pPr>
                    <w:autoSpaceDE w:val="0"/>
                    <w:autoSpaceDN w:val="0"/>
                    <w:spacing w:before="3" w:after="0"/>
                    <w:jc w:val="center"/>
                    <w:rPr>
                      <w:szCs w:val="21"/>
                      <w:lang w:bidi="zh-CN"/>
                    </w:rPr>
                  </w:pPr>
                  <w:r>
                    <w:rPr>
                      <w:rFonts w:hint="eastAsia"/>
                      <w:szCs w:val="21"/>
                      <w:lang w:bidi="zh-CN"/>
                    </w:rPr>
                    <w:t>800</w:t>
                  </w:r>
                </w:p>
              </w:tc>
              <w:tc>
                <w:tcPr>
                  <w:tcW w:w="1473" w:type="dxa"/>
                  <w:vAlign w:val="center"/>
                </w:tcPr>
                <w:p>
                  <w:pPr>
                    <w:autoSpaceDE w:val="0"/>
                    <w:autoSpaceDN w:val="0"/>
                    <w:spacing w:before="3" w:after="0"/>
                    <w:jc w:val="center"/>
                    <w:rPr>
                      <w:szCs w:val="21"/>
                      <w:lang w:bidi="zh-CN"/>
                    </w:rPr>
                  </w:pPr>
                  <w:r>
                    <w:rPr>
                      <w:szCs w:val="21"/>
                      <w:lang w:bidi="zh-CN"/>
                    </w:rPr>
                    <w:t>4000</w:t>
                  </w:r>
                </w:p>
              </w:tc>
              <w:tc>
                <w:tcPr>
                  <w:tcW w:w="1471" w:type="dxa"/>
                  <w:vAlign w:val="center"/>
                </w:tcPr>
                <w:p>
                  <w:pPr>
                    <w:autoSpaceDE w:val="0"/>
                    <w:autoSpaceDN w:val="0"/>
                    <w:spacing w:before="3" w:after="0"/>
                    <w:jc w:val="center"/>
                    <w:rPr>
                      <w:szCs w:val="21"/>
                      <w:lang w:bidi="zh-CN"/>
                    </w:rPr>
                  </w:pPr>
                  <w:r>
                    <w:rPr>
                      <w:szCs w:val="21"/>
                      <w:lang w:bidi="zh-CN"/>
                    </w:rPr>
                    <w:t>0</w:t>
                  </w:r>
                </w:p>
              </w:tc>
              <w:tc>
                <w:tcPr>
                  <w:tcW w:w="1471" w:type="dxa"/>
                  <w:vAlign w:val="center"/>
                </w:tcPr>
                <w:p>
                  <w:pPr>
                    <w:autoSpaceDE w:val="0"/>
                    <w:autoSpaceDN w:val="0"/>
                    <w:spacing w:before="3" w:after="0"/>
                    <w:jc w:val="center"/>
                    <w:rPr>
                      <w:szCs w:val="21"/>
                      <w:lang w:val="zh-CN" w:bidi="zh-CN"/>
                    </w:rPr>
                  </w:pPr>
                  <w:r>
                    <w:rPr>
                      <w:szCs w:val="21"/>
                      <w:lang w:bidi="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Merge w:val="continue"/>
                  <w:vAlign w:val="center"/>
                </w:tcPr>
                <w:p>
                  <w:pPr>
                    <w:autoSpaceDE w:val="0"/>
                    <w:autoSpaceDN w:val="0"/>
                    <w:spacing w:before="3" w:after="0"/>
                    <w:jc w:val="center"/>
                    <w:rPr>
                      <w:szCs w:val="21"/>
                      <w:lang w:val="zh-CN" w:bidi="zh-CN"/>
                    </w:rPr>
                  </w:pPr>
                </w:p>
              </w:tc>
              <w:tc>
                <w:tcPr>
                  <w:tcW w:w="2160" w:type="dxa"/>
                  <w:vAlign w:val="center"/>
                </w:tcPr>
                <w:p>
                  <w:pPr>
                    <w:autoSpaceDE w:val="0"/>
                    <w:autoSpaceDN w:val="0"/>
                    <w:spacing w:before="3" w:after="0"/>
                    <w:jc w:val="center"/>
                    <w:rPr>
                      <w:szCs w:val="21"/>
                      <w:lang w:val="zh-CN" w:bidi="zh-CN"/>
                    </w:rPr>
                  </w:pPr>
                  <w:r>
                    <w:rPr>
                      <w:szCs w:val="21"/>
                      <w:lang w:bidi="zh-CN"/>
                    </w:rPr>
                    <w:t>O</w:t>
                  </w:r>
                  <w:r>
                    <w:rPr>
                      <w:szCs w:val="21"/>
                      <w:vertAlign w:val="subscript"/>
                      <w:lang w:bidi="zh-CN"/>
                    </w:rPr>
                    <w:t>3</w:t>
                  </w:r>
                  <w:r>
                    <w:rPr>
                      <w:szCs w:val="21"/>
                      <w:lang w:bidi="zh-CN"/>
                    </w:rPr>
                    <w:t>第90百分位数最大8小时平均质量浓度</w:t>
                  </w:r>
                </w:p>
              </w:tc>
              <w:tc>
                <w:tcPr>
                  <w:tcW w:w="1378" w:type="dxa"/>
                  <w:vAlign w:val="center"/>
                </w:tcPr>
                <w:p>
                  <w:pPr>
                    <w:autoSpaceDE w:val="0"/>
                    <w:autoSpaceDN w:val="0"/>
                    <w:spacing w:before="3" w:after="0"/>
                    <w:jc w:val="center"/>
                    <w:rPr>
                      <w:szCs w:val="21"/>
                      <w:lang w:bidi="zh-CN"/>
                    </w:rPr>
                  </w:pPr>
                  <w:r>
                    <w:rPr>
                      <w:rFonts w:hint="eastAsia"/>
                      <w:szCs w:val="21"/>
                      <w:lang w:bidi="zh-CN"/>
                    </w:rPr>
                    <w:t>91</w:t>
                  </w:r>
                </w:p>
              </w:tc>
              <w:tc>
                <w:tcPr>
                  <w:tcW w:w="1473" w:type="dxa"/>
                  <w:vAlign w:val="center"/>
                </w:tcPr>
                <w:p>
                  <w:pPr>
                    <w:autoSpaceDE w:val="0"/>
                    <w:autoSpaceDN w:val="0"/>
                    <w:spacing w:before="3" w:after="0"/>
                    <w:jc w:val="center"/>
                    <w:rPr>
                      <w:szCs w:val="21"/>
                      <w:lang w:bidi="zh-CN"/>
                    </w:rPr>
                  </w:pPr>
                  <w:r>
                    <w:rPr>
                      <w:szCs w:val="21"/>
                      <w:lang w:bidi="zh-CN"/>
                    </w:rPr>
                    <w:t>160</w:t>
                  </w:r>
                </w:p>
              </w:tc>
              <w:tc>
                <w:tcPr>
                  <w:tcW w:w="1471" w:type="dxa"/>
                  <w:vAlign w:val="center"/>
                </w:tcPr>
                <w:p>
                  <w:pPr>
                    <w:autoSpaceDE w:val="0"/>
                    <w:autoSpaceDN w:val="0"/>
                    <w:spacing w:before="3" w:after="0"/>
                    <w:jc w:val="center"/>
                    <w:rPr>
                      <w:szCs w:val="21"/>
                      <w:lang w:bidi="zh-CN"/>
                    </w:rPr>
                  </w:pPr>
                  <w:r>
                    <w:rPr>
                      <w:szCs w:val="21"/>
                      <w:lang w:bidi="zh-CN"/>
                    </w:rPr>
                    <w:t>0</w:t>
                  </w:r>
                </w:p>
              </w:tc>
              <w:tc>
                <w:tcPr>
                  <w:tcW w:w="1471" w:type="dxa"/>
                  <w:vAlign w:val="center"/>
                </w:tcPr>
                <w:p>
                  <w:pPr>
                    <w:autoSpaceDE w:val="0"/>
                    <w:autoSpaceDN w:val="0"/>
                    <w:spacing w:before="3" w:after="0"/>
                    <w:jc w:val="center"/>
                    <w:rPr>
                      <w:szCs w:val="21"/>
                      <w:lang w:val="zh-CN" w:bidi="zh-CN"/>
                    </w:rPr>
                  </w:pPr>
                  <w:r>
                    <w:rPr>
                      <w:szCs w:val="21"/>
                      <w:lang w:bidi="zh-CN"/>
                    </w:rPr>
                    <w:t>达标</w:t>
                  </w:r>
                </w:p>
              </w:tc>
            </w:tr>
          </w:tbl>
          <w:p>
            <w:pPr>
              <w:pStyle w:val="35"/>
              <w:spacing w:after="0" w:line="360" w:lineRule="auto"/>
              <w:ind w:firstLine="480" w:firstLineChars="200"/>
              <w:jc w:val="both"/>
              <w:rPr>
                <w:rFonts w:ascii="Times New Roman" w:cs="Times New Roman"/>
              </w:rPr>
            </w:pPr>
            <w:r>
              <w:t>由上表可知，</w:t>
            </w:r>
            <w:r>
              <w:rPr>
                <w:rFonts w:hint="eastAsia" w:ascii="Times New Roman" w:cs="Times New Roman"/>
              </w:rPr>
              <w:t>湘阴县</w:t>
            </w:r>
            <w:r>
              <w:rPr>
                <w:rFonts w:ascii="Times New Roman" w:cs="Times New Roman"/>
                <w:lang w:val="zh-CN"/>
              </w:rPr>
              <w:t>PM</w:t>
            </w:r>
            <w:r>
              <w:rPr>
                <w:rFonts w:ascii="Times New Roman" w:cs="Times New Roman"/>
                <w:vertAlign w:val="subscript"/>
                <w:lang w:val="zh-CN"/>
              </w:rPr>
              <w:t>10</w:t>
            </w:r>
            <w:r>
              <w:rPr>
                <w:rFonts w:ascii="Times New Roman" w:cs="Times New Roman"/>
                <w:lang w:val="zh-CN"/>
              </w:rPr>
              <w:t>、SO</w:t>
            </w:r>
            <w:r>
              <w:rPr>
                <w:rFonts w:ascii="Times New Roman" w:cs="Times New Roman"/>
                <w:vertAlign w:val="subscript"/>
                <w:lang w:val="zh-CN"/>
              </w:rPr>
              <w:t>2</w:t>
            </w:r>
            <w:r>
              <w:rPr>
                <w:rFonts w:ascii="Times New Roman" w:cs="Times New Roman"/>
                <w:lang w:val="zh-CN"/>
              </w:rPr>
              <w:t>、NO</w:t>
            </w:r>
            <w:r>
              <w:rPr>
                <w:rFonts w:ascii="Times New Roman" w:cs="Times New Roman"/>
                <w:vertAlign w:val="subscript"/>
                <w:lang w:val="zh-CN"/>
              </w:rPr>
              <w:t>2</w:t>
            </w:r>
            <w:r>
              <w:rPr>
                <w:rFonts w:ascii="Times New Roman" w:cs="Times New Roman"/>
                <w:lang w:val="zh-CN"/>
              </w:rPr>
              <w:t>年平均质量浓度和CO第95百分位数日平均质量浓度、O</w:t>
            </w:r>
            <w:r>
              <w:rPr>
                <w:rFonts w:ascii="Times New Roman" w:cs="Times New Roman"/>
                <w:vertAlign w:val="subscript"/>
                <w:lang w:val="zh-CN"/>
              </w:rPr>
              <w:t>3</w:t>
            </w:r>
            <w:r>
              <w:rPr>
                <w:rFonts w:ascii="Times New Roman" w:cs="Times New Roman"/>
                <w:lang w:val="zh-CN"/>
              </w:rPr>
              <w:t>第90百分位数最大8小时平均质量浓度达到</w:t>
            </w:r>
            <w:r>
              <w:rPr>
                <w:rFonts w:ascii="Times New Roman" w:cs="Times New Roman"/>
              </w:rPr>
              <w:t>了</w:t>
            </w:r>
            <w:r>
              <w:rPr>
                <w:rFonts w:ascii="Times New Roman" w:cs="Times New Roman"/>
                <w:lang w:val="zh-CN"/>
              </w:rPr>
              <w:t>《环境空气质量标准》（GB3095-2012）中二级标准，</w:t>
            </w:r>
            <w:r>
              <w:rPr>
                <w:rFonts w:ascii="Times New Roman" w:cs="Times New Roman"/>
              </w:rPr>
              <w:t>PM</w:t>
            </w:r>
            <w:r>
              <w:rPr>
                <w:rFonts w:ascii="Times New Roman" w:cs="Times New Roman"/>
                <w:vertAlign w:val="subscript"/>
              </w:rPr>
              <w:t>2.5</w:t>
            </w:r>
            <w:r>
              <w:rPr>
                <w:rFonts w:ascii="Times New Roman" w:cs="Times New Roman"/>
              </w:rPr>
              <w:t>出现超标，PM</w:t>
            </w:r>
            <w:r>
              <w:rPr>
                <w:rFonts w:ascii="Times New Roman" w:cs="Times New Roman"/>
                <w:vertAlign w:val="subscript"/>
              </w:rPr>
              <w:t>2.5</w:t>
            </w:r>
            <w:r>
              <w:rPr>
                <w:rFonts w:ascii="Times New Roman" w:cs="Times New Roman"/>
              </w:rPr>
              <w:t>的超标倍数分别为</w:t>
            </w:r>
            <w:r>
              <w:rPr>
                <w:rFonts w:hint="eastAsia" w:ascii="Times New Roman" w:cs="Times New Roman"/>
              </w:rPr>
              <w:t>0.114</w:t>
            </w:r>
            <w:r>
              <w:rPr>
                <w:rFonts w:ascii="Times New Roman" w:cs="Times New Roman"/>
              </w:rPr>
              <w:t>，</w:t>
            </w:r>
            <w:r>
              <w:rPr>
                <w:rFonts w:hint="eastAsia" w:ascii="Times New Roman" w:cs="Times New Roman"/>
              </w:rPr>
              <w:t>故</w:t>
            </w:r>
            <w:r>
              <w:rPr>
                <w:rFonts w:ascii="Times New Roman" w:cs="Times New Roman"/>
              </w:rPr>
              <w:t>项目所在区域为环境空气质量不达标区。</w:t>
            </w:r>
          </w:p>
          <w:p>
            <w:pPr>
              <w:autoSpaceDE w:val="0"/>
              <w:autoSpaceDN w:val="0"/>
              <w:adjustRightInd w:val="0"/>
              <w:spacing w:after="0" w:line="360" w:lineRule="auto"/>
              <w:ind w:firstLine="480" w:firstLineChars="200"/>
              <w:jc w:val="left"/>
              <w:rPr>
                <w:kern w:val="0"/>
                <w:sz w:val="24"/>
                <w:u w:val="wave"/>
              </w:rPr>
            </w:pPr>
            <w:r>
              <w:rPr>
                <w:rFonts w:hint="eastAsia"/>
                <w:kern w:val="0"/>
                <w:sz w:val="24"/>
                <w:u w:val="wave"/>
              </w:rPr>
              <w:t>本项目处在环境空气质量不达标区，根据湘阴县发布的《湖南省污染防治攻坚战三年行动计划(2018—2020年)》（湘政发〔2018〕17号）、《湘阴县污染防治攻坚战2019年度工作方案》的通知及大气特别排放限值，待其开始实施后，项目区域环境质量将有一定的改善。</w:t>
            </w:r>
          </w:p>
          <w:p>
            <w:pPr>
              <w:autoSpaceDE w:val="0"/>
              <w:autoSpaceDN w:val="0"/>
              <w:adjustRightInd w:val="0"/>
              <w:spacing w:after="0" w:line="360" w:lineRule="auto"/>
              <w:ind w:firstLine="480" w:firstLineChars="200"/>
              <w:jc w:val="left"/>
            </w:pPr>
            <w:r>
              <w:rPr>
                <w:rFonts w:hint="eastAsia"/>
                <w:kern w:val="0"/>
                <w:sz w:val="24"/>
                <w:u w:val="wave"/>
              </w:rPr>
              <w:t>本项目对废气的治理措施，符合关于印发《湘阴县污染防治攻坚战2019年度工作方案》的通知中的深入开展工业企业提标改造的工作措施要求。</w:t>
            </w:r>
          </w:p>
          <w:p>
            <w:pPr>
              <w:pStyle w:val="35"/>
              <w:spacing w:after="0" w:line="360" w:lineRule="auto"/>
              <w:jc w:val="both"/>
              <w:rPr>
                <w:rFonts w:ascii="Times New Roman" w:cs="Times New Roman"/>
                <w:b/>
                <w:bCs/>
                <w:color w:val="auto"/>
              </w:rPr>
            </w:pPr>
            <w:r>
              <w:rPr>
                <w:rFonts w:ascii="Times New Roman" w:cs="Times New Roman"/>
                <w:b/>
                <w:bCs/>
                <w:color w:val="auto"/>
              </w:rPr>
              <w:t>二、地表水环境质量现状</w:t>
            </w:r>
          </w:p>
          <w:p>
            <w:pPr>
              <w:autoSpaceDE w:val="0"/>
              <w:autoSpaceDN w:val="0"/>
              <w:adjustRightInd w:val="0"/>
              <w:snapToGrid w:val="0"/>
              <w:spacing w:after="0" w:line="360" w:lineRule="auto"/>
              <w:ind w:firstLine="480" w:firstLineChars="200"/>
              <w:rPr>
                <w:color w:val="000000"/>
                <w:sz w:val="24"/>
              </w:rPr>
            </w:pPr>
            <w:r>
              <w:rPr>
                <w:sz w:val="24"/>
              </w:rPr>
              <w:t>本项目生产废水</w:t>
            </w:r>
            <w:r>
              <w:rPr>
                <w:rFonts w:hint="eastAsia"/>
                <w:sz w:val="24"/>
              </w:rPr>
              <w:t>经三级沉淀池处理后循环使用，不外排；生活废水经隔油器及化粪池处理后用于周边农田灌溉，</w:t>
            </w:r>
            <w:r>
              <w:rPr>
                <w:color w:val="000000"/>
                <w:kern w:val="0"/>
                <w:sz w:val="24"/>
              </w:rPr>
              <w:t>按照</w:t>
            </w:r>
            <w:r>
              <w:rPr>
                <w:color w:val="000000"/>
                <w:sz w:val="24"/>
              </w:rPr>
              <w:t>《环境影响评价技术导则 地表水环境》（HJ 2.3-2018）评价等级划分</w:t>
            </w:r>
            <w:r>
              <w:rPr>
                <w:color w:val="000000"/>
                <w:kern w:val="0"/>
                <w:sz w:val="24"/>
              </w:rPr>
              <w:t>的规定，</w:t>
            </w:r>
            <w:r>
              <w:rPr>
                <w:sz w:val="24"/>
              </w:rPr>
              <w:t>确定水环境评价工作等级为三级B</w:t>
            </w:r>
            <w:r>
              <w:rPr>
                <w:rFonts w:hint="eastAsia"/>
                <w:sz w:val="24"/>
              </w:rPr>
              <w:t>。地表水</w:t>
            </w:r>
            <w:r>
              <w:rPr>
                <w:sz w:val="24"/>
              </w:rPr>
              <w:t>质量现状引用《湖南省湘江干流及洞庭湖区岳阳段河道采砂规划（2017-2020）环境影响报告书》中相关的监测的数据，湖南谱实检测技术有限公司于2018年2月1日~2月</w:t>
            </w:r>
            <w:r>
              <w:rPr>
                <w:rFonts w:hint="eastAsia"/>
                <w:sz w:val="24"/>
              </w:rPr>
              <w:t>3</w:t>
            </w:r>
            <w:r>
              <w:rPr>
                <w:sz w:val="24"/>
              </w:rPr>
              <w:t>日进行了为期</w:t>
            </w:r>
            <w:r>
              <w:rPr>
                <w:rFonts w:hint="eastAsia"/>
                <w:sz w:val="24"/>
              </w:rPr>
              <w:t>3</w:t>
            </w:r>
            <w:r>
              <w:rPr>
                <w:sz w:val="24"/>
              </w:rPr>
              <w:t>天的</w:t>
            </w:r>
            <w:r>
              <w:rPr>
                <w:rFonts w:hint="eastAsia"/>
                <w:sz w:val="24"/>
              </w:rPr>
              <w:t>地表水</w:t>
            </w:r>
            <w:r>
              <w:rPr>
                <w:sz w:val="24"/>
              </w:rPr>
              <w:t>质量现状监测。</w:t>
            </w:r>
            <w:r>
              <w:rPr>
                <w:rFonts w:hint="eastAsia" w:ascii="宋体" w:hAnsi="宋体" w:cs="宋体"/>
                <w:color w:val="000000"/>
                <w:sz w:val="24"/>
              </w:rPr>
              <w:t>详细数据见下表：</w:t>
            </w:r>
          </w:p>
          <w:p>
            <w:pPr>
              <w:overflowPunct w:val="0"/>
              <w:autoSpaceDE w:val="0"/>
              <w:autoSpaceDN w:val="0"/>
              <w:adjustRightInd w:val="0"/>
              <w:spacing w:after="0" w:line="360" w:lineRule="auto"/>
              <w:ind w:firstLine="482" w:firstLineChars="200"/>
              <w:jc w:val="center"/>
              <w:textAlignment w:val="baseline"/>
            </w:pPr>
            <w:r>
              <w:rPr>
                <w:b/>
                <w:kern w:val="0"/>
                <w:sz w:val="24"/>
              </w:rPr>
              <w:t>表3-</w:t>
            </w:r>
            <w:r>
              <w:rPr>
                <w:rFonts w:hint="eastAsia"/>
                <w:b/>
                <w:kern w:val="0"/>
                <w:sz w:val="24"/>
              </w:rPr>
              <w:t>2</w:t>
            </w:r>
            <w:r>
              <w:rPr>
                <w:b/>
                <w:kern w:val="0"/>
                <w:sz w:val="24"/>
              </w:rPr>
              <w:t xml:space="preserve">  </w:t>
            </w:r>
            <w:r>
              <w:rPr>
                <w:rFonts w:hint="eastAsia"/>
                <w:b/>
                <w:kern w:val="0"/>
                <w:sz w:val="24"/>
              </w:rPr>
              <w:t>地表水环境现状监测</w:t>
            </w:r>
            <w:r>
              <w:rPr>
                <w:b/>
                <w:kern w:val="0"/>
                <w:sz w:val="24"/>
              </w:rPr>
              <w:t xml:space="preserve">统计结果  </w:t>
            </w:r>
            <w:r>
              <w:rPr>
                <w:rFonts w:hint="eastAsia"/>
                <w:b/>
                <w:kern w:val="0"/>
                <w:sz w:val="24"/>
              </w:rPr>
              <w:t>单位</w:t>
            </w:r>
            <w:r>
              <w:rPr>
                <w:b/>
                <w:kern w:val="0"/>
                <w:sz w:val="24"/>
              </w:rPr>
              <w:t>:mg/L（pH</w:t>
            </w:r>
            <w:r>
              <w:rPr>
                <w:rFonts w:hint="eastAsia"/>
                <w:b/>
                <w:kern w:val="0"/>
                <w:sz w:val="24"/>
              </w:rPr>
              <w:t>无量纲</w:t>
            </w:r>
            <w:r>
              <w:rPr>
                <w:b/>
                <w:kern w:val="0"/>
                <w:sz w:val="24"/>
              </w:rPr>
              <w:t>）</w:t>
            </w:r>
          </w:p>
          <w:tbl>
            <w:tblPr>
              <w:tblStyle w:val="22"/>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350"/>
              <w:gridCol w:w="1317"/>
              <w:gridCol w:w="758"/>
              <w:gridCol w:w="1292"/>
              <w:gridCol w:w="1300"/>
              <w:gridCol w:w="833"/>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Merge w:val="restart"/>
                  <w:tcBorders>
                    <w:top w:val="single" w:color="auto" w:sz="4" w:space="0"/>
                    <w:left w:val="single" w:color="auto" w:sz="4" w:space="0"/>
                    <w:right w:val="single" w:color="auto" w:sz="4" w:space="0"/>
                  </w:tcBorders>
                  <w:vAlign w:val="center"/>
                </w:tcPr>
                <w:p>
                  <w:pPr>
                    <w:topLinePunct/>
                    <w:spacing w:after="0"/>
                    <w:jc w:val="center"/>
                    <w:rPr>
                      <w:szCs w:val="21"/>
                    </w:rPr>
                  </w:pPr>
                  <w:r>
                    <w:rPr>
                      <w:szCs w:val="21"/>
                    </w:rPr>
                    <w:t>监测</w:t>
                  </w:r>
                  <w:r>
                    <w:rPr>
                      <w:rFonts w:hint="eastAsia"/>
                      <w:szCs w:val="21"/>
                    </w:rPr>
                    <w:t>项目</w:t>
                  </w:r>
                </w:p>
              </w:tc>
              <w:tc>
                <w:tcPr>
                  <w:tcW w:w="3425" w:type="dxa"/>
                  <w:gridSpan w:val="3"/>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W11湘江西支湘资村采区上游500m（项目东北面4.1km）</w:t>
                  </w:r>
                </w:p>
              </w:tc>
              <w:tc>
                <w:tcPr>
                  <w:tcW w:w="3425" w:type="dxa"/>
                  <w:gridSpan w:val="3"/>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W12湘江西支湘资村采区下游500m（项目东北面1.7km）</w:t>
                  </w:r>
                </w:p>
              </w:tc>
              <w:tc>
                <w:tcPr>
                  <w:tcW w:w="1431" w:type="dxa"/>
                  <w:vMerge w:val="restart"/>
                  <w:tcBorders>
                    <w:top w:val="single" w:color="auto" w:sz="4" w:space="0"/>
                    <w:left w:val="nil"/>
                    <w:right w:val="single" w:color="auto" w:sz="4" w:space="0"/>
                  </w:tcBorders>
                  <w:vAlign w:val="center"/>
                </w:tcPr>
                <w:p>
                  <w:pPr>
                    <w:topLinePunct/>
                    <w:spacing w:after="0"/>
                    <w:jc w:val="center"/>
                    <w:rPr>
                      <w:szCs w:val="21"/>
                    </w:rPr>
                  </w:pPr>
                  <w:r>
                    <w:rPr>
                      <w:szCs w:val="21"/>
                    </w:rPr>
                    <w:t>《地表水环境质量标准》（GB3838-2002）Ⅲ类标准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6" w:type="dxa"/>
                  <w:vMerge w:val="continue"/>
                  <w:tcBorders>
                    <w:left w:val="single" w:color="auto" w:sz="4" w:space="0"/>
                    <w:bottom w:val="single" w:color="auto" w:sz="4" w:space="0"/>
                    <w:right w:val="single" w:color="auto" w:sz="4" w:space="0"/>
                  </w:tcBorders>
                  <w:vAlign w:val="center"/>
                </w:tcPr>
                <w:p>
                  <w:pPr>
                    <w:topLinePunct/>
                    <w:spacing w:after="0"/>
                    <w:jc w:val="center"/>
                    <w:rPr>
                      <w:szCs w:val="21"/>
                    </w:rPr>
                  </w:pPr>
                </w:p>
              </w:tc>
              <w:tc>
                <w:tcPr>
                  <w:tcW w:w="1350" w:type="dxa"/>
                  <w:tcBorders>
                    <w:top w:val="single" w:color="auto" w:sz="4" w:space="0"/>
                    <w:left w:val="single" w:color="auto" w:sz="4" w:space="0"/>
                    <w:bottom w:val="single" w:color="auto" w:sz="4" w:space="0"/>
                    <w:right w:val="single" w:color="auto" w:sz="4" w:space="0"/>
                  </w:tcBorders>
                  <w:vAlign w:val="center"/>
                </w:tcPr>
                <w:p>
                  <w:pPr>
                    <w:topLinePunct/>
                    <w:spacing w:after="0"/>
                    <w:jc w:val="center"/>
                    <w:rPr>
                      <w:szCs w:val="21"/>
                    </w:rPr>
                  </w:pPr>
                  <w:r>
                    <w:rPr>
                      <w:rFonts w:hint="eastAsia"/>
                      <w:szCs w:val="21"/>
                    </w:rPr>
                    <w:t>浓度范围</w:t>
                  </w:r>
                </w:p>
              </w:tc>
              <w:tc>
                <w:tcPr>
                  <w:tcW w:w="1317"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标准指数范围</w:t>
                  </w:r>
                </w:p>
              </w:tc>
              <w:tc>
                <w:tcPr>
                  <w:tcW w:w="758"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超标率</w:t>
                  </w:r>
                </w:p>
              </w:tc>
              <w:tc>
                <w:tcPr>
                  <w:tcW w:w="1292"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浓度范围</w:t>
                  </w:r>
                </w:p>
              </w:tc>
              <w:tc>
                <w:tcPr>
                  <w:tcW w:w="1300"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标准指数范围</w:t>
                  </w:r>
                </w:p>
              </w:tc>
              <w:tc>
                <w:tcPr>
                  <w:tcW w:w="833"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超标率</w:t>
                  </w:r>
                </w:p>
              </w:tc>
              <w:tc>
                <w:tcPr>
                  <w:tcW w:w="1431" w:type="dxa"/>
                  <w:vMerge w:val="continue"/>
                  <w:tcBorders>
                    <w:left w:val="nil"/>
                    <w:bottom w:val="single" w:color="auto" w:sz="4" w:space="0"/>
                    <w:right w:val="single" w:color="auto" w:sz="4" w:space="0"/>
                  </w:tcBorders>
                  <w:vAlign w:val="center"/>
                </w:tcPr>
                <w:p>
                  <w:pPr>
                    <w:topLinePunct/>
                    <w:spacing w:after="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topLinePunct/>
                    <w:spacing w:after="0"/>
                    <w:jc w:val="center"/>
                    <w:rPr>
                      <w:szCs w:val="21"/>
                    </w:rPr>
                  </w:pPr>
                  <w:r>
                    <w:rPr>
                      <w:rFonts w:hint="eastAsia"/>
                      <w:szCs w:val="21"/>
                    </w:rPr>
                    <w:t>pH</w:t>
                  </w:r>
                </w:p>
              </w:tc>
              <w:tc>
                <w:tcPr>
                  <w:tcW w:w="1350" w:type="dxa"/>
                  <w:tcBorders>
                    <w:top w:val="single" w:color="auto" w:sz="4" w:space="0"/>
                    <w:left w:val="single" w:color="auto" w:sz="4" w:space="0"/>
                    <w:bottom w:val="single" w:color="auto" w:sz="4" w:space="0"/>
                    <w:right w:val="single" w:color="auto" w:sz="4" w:space="0"/>
                  </w:tcBorders>
                  <w:vAlign w:val="center"/>
                </w:tcPr>
                <w:p>
                  <w:pPr>
                    <w:topLinePunct/>
                    <w:spacing w:after="0"/>
                    <w:jc w:val="center"/>
                    <w:rPr>
                      <w:szCs w:val="21"/>
                    </w:rPr>
                  </w:pPr>
                  <w:r>
                    <w:rPr>
                      <w:rFonts w:hint="eastAsia"/>
                      <w:szCs w:val="21"/>
                    </w:rPr>
                    <w:t>7.04~7.09</w:t>
                  </w:r>
                </w:p>
              </w:tc>
              <w:tc>
                <w:tcPr>
                  <w:tcW w:w="1317"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0.02~0.04</w:t>
                  </w:r>
                </w:p>
              </w:tc>
              <w:tc>
                <w:tcPr>
                  <w:tcW w:w="758"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292"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7.11~7.16</w:t>
                  </w:r>
                </w:p>
              </w:tc>
              <w:tc>
                <w:tcPr>
                  <w:tcW w:w="1300"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0.055~0.080</w:t>
                  </w:r>
                </w:p>
              </w:tc>
              <w:tc>
                <w:tcPr>
                  <w:tcW w:w="833"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431"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after="0"/>
                    <w:jc w:val="center"/>
                    <w:rPr>
                      <w:szCs w:val="21"/>
                    </w:rPr>
                  </w:pPr>
                  <w:r>
                    <w:rPr>
                      <w:rFonts w:hint="eastAsia"/>
                      <w:szCs w:val="21"/>
                    </w:rPr>
                    <w:t>DO</w:t>
                  </w:r>
                </w:p>
              </w:tc>
              <w:tc>
                <w:tcPr>
                  <w:tcW w:w="1350" w:type="dxa"/>
                  <w:tcBorders>
                    <w:top w:val="single" w:color="auto" w:sz="4" w:space="0"/>
                    <w:left w:val="single" w:color="auto" w:sz="4" w:space="0"/>
                    <w:bottom w:val="single" w:color="auto" w:sz="4" w:space="0"/>
                    <w:right w:val="single" w:color="auto" w:sz="4" w:space="0"/>
                  </w:tcBorders>
                  <w:vAlign w:val="center"/>
                </w:tcPr>
                <w:p>
                  <w:pPr>
                    <w:topLinePunct/>
                    <w:spacing w:after="0"/>
                    <w:jc w:val="center"/>
                    <w:rPr>
                      <w:szCs w:val="21"/>
                    </w:rPr>
                  </w:pPr>
                  <w:r>
                    <w:rPr>
                      <w:rFonts w:hint="eastAsia"/>
                      <w:szCs w:val="21"/>
                    </w:rPr>
                    <w:t>5.82~5.91</w:t>
                  </w:r>
                </w:p>
              </w:tc>
              <w:tc>
                <w:tcPr>
                  <w:tcW w:w="1317"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0.852~0.867</w:t>
                  </w:r>
                </w:p>
              </w:tc>
              <w:tc>
                <w:tcPr>
                  <w:tcW w:w="758"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292"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5.46~5.51</w:t>
                  </w:r>
                </w:p>
              </w:tc>
              <w:tc>
                <w:tcPr>
                  <w:tcW w:w="1300"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0.917~0.925</w:t>
                  </w:r>
                </w:p>
              </w:tc>
              <w:tc>
                <w:tcPr>
                  <w:tcW w:w="833"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431"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after="0"/>
                    <w:jc w:val="center"/>
                    <w:rPr>
                      <w:szCs w:val="21"/>
                    </w:rPr>
                  </w:pPr>
                  <w:r>
                    <w:rPr>
                      <w:rFonts w:hint="eastAsia"/>
                      <w:szCs w:val="21"/>
                    </w:rPr>
                    <w:t>COD</w:t>
                  </w:r>
                  <w:r>
                    <w:rPr>
                      <w:rFonts w:hint="eastAsia"/>
                      <w:szCs w:val="21"/>
                      <w:vertAlign w:val="subscript"/>
                    </w:rPr>
                    <w:t>cr</w:t>
                  </w:r>
                </w:p>
              </w:tc>
              <w:tc>
                <w:tcPr>
                  <w:tcW w:w="1350" w:type="dxa"/>
                  <w:tcBorders>
                    <w:top w:val="single" w:color="auto" w:sz="4" w:space="0"/>
                    <w:left w:val="single" w:color="auto" w:sz="4" w:space="0"/>
                    <w:bottom w:val="single" w:color="auto" w:sz="4" w:space="0"/>
                    <w:right w:val="single" w:color="auto" w:sz="4" w:space="0"/>
                  </w:tcBorders>
                  <w:vAlign w:val="center"/>
                </w:tcPr>
                <w:p>
                  <w:pPr>
                    <w:topLinePunct/>
                    <w:spacing w:after="0"/>
                    <w:jc w:val="center"/>
                    <w:rPr>
                      <w:szCs w:val="21"/>
                    </w:rPr>
                  </w:pPr>
                  <w:r>
                    <w:rPr>
                      <w:rFonts w:hint="eastAsia"/>
                      <w:szCs w:val="21"/>
                    </w:rPr>
                    <w:t>13~16</w:t>
                  </w:r>
                </w:p>
              </w:tc>
              <w:tc>
                <w:tcPr>
                  <w:tcW w:w="1317"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0.65~0.80</w:t>
                  </w:r>
                </w:p>
              </w:tc>
              <w:tc>
                <w:tcPr>
                  <w:tcW w:w="758"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292"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15~16</w:t>
                  </w:r>
                </w:p>
              </w:tc>
              <w:tc>
                <w:tcPr>
                  <w:tcW w:w="1300"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0.75~0.80</w:t>
                  </w:r>
                </w:p>
              </w:tc>
              <w:tc>
                <w:tcPr>
                  <w:tcW w:w="833"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431"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after="0"/>
                    <w:jc w:val="center"/>
                    <w:rPr>
                      <w:szCs w:val="21"/>
                    </w:rPr>
                  </w:pPr>
                  <w:r>
                    <w:rPr>
                      <w:rFonts w:hint="eastAsia"/>
                      <w:szCs w:val="21"/>
                    </w:rPr>
                    <w:t>BOD</w:t>
                  </w:r>
                  <w:r>
                    <w:rPr>
                      <w:rFonts w:hint="eastAsia"/>
                      <w:szCs w:val="21"/>
                      <w:vertAlign w:val="subscript"/>
                    </w:rPr>
                    <w:t>5</w:t>
                  </w:r>
                </w:p>
              </w:tc>
              <w:tc>
                <w:tcPr>
                  <w:tcW w:w="1350" w:type="dxa"/>
                  <w:tcBorders>
                    <w:top w:val="single" w:color="auto" w:sz="4" w:space="0"/>
                    <w:left w:val="single" w:color="auto" w:sz="4" w:space="0"/>
                    <w:bottom w:val="single" w:color="auto" w:sz="4" w:space="0"/>
                    <w:right w:val="single" w:color="auto" w:sz="4" w:space="0"/>
                  </w:tcBorders>
                  <w:vAlign w:val="center"/>
                </w:tcPr>
                <w:p>
                  <w:pPr>
                    <w:topLinePunct/>
                    <w:spacing w:after="0"/>
                    <w:jc w:val="center"/>
                    <w:rPr>
                      <w:szCs w:val="21"/>
                    </w:rPr>
                  </w:pPr>
                  <w:r>
                    <w:rPr>
                      <w:rFonts w:hint="eastAsia"/>
                      <w:szCs w:val="21"/>
                    </w:rPr>
                    <w:t>3.1~3.6</w:t>
                  </w:r>
                </w:p>
              </w:tc>
              <w:tc>
                <w:tcPr>
                  <w:tcW w:w="1317"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0.775~0.900</w:t>
                  </w:r>
                </w:p>
              </w:tc>
              <w:tc>
                <w:tcPr>
                  <w:tcW w:w="758"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292"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3.3~3.7</w:t>
                  </w:r>
                </w:p>
              </w:tc>
              <w:tc>
                <w:tcPr>
                  <w:tcW w:w="1300"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0.825~0.925</w:t>
                  </w:r>
                </w:p>
              </w:tc>
              <w:tc>
                <w:tcPr>
                  <w:tcW w:w="833"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431"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after="0"/>
                    <w:jc w:val="center"/>
                    <w:rPr>
                      <w:szCs w:val="21"/>
                    </w:rPr>
                  </w:pPr>
                  <w:r>
                    <w:rPr>
                      <w:rFonts w:hint="eastAsia"/>
                      <w:szCs w:val="21"/>
                    </w:rPr>
                    <w:t>氨氮</w:t>
                  </w:r>
                </w:p>
              </w:tc>
              <w:tc>
                <w:tcPr>
                  <w:tcW w:w="1350" w:type="dxa"/>
                  <w:tcBorders>
                    <w:top w:val="single" w:color="auto" w:sz="4" w:space="0"/>
                    <w:left w:val="single" w:color="auto" w:sz="4" w:space="0"/>
                    <w:bottom w:val="single" w:color="auto" w:sz="4" w:space="0"/>
                    <w:right w:val="single" w:color="auto" w:sz="4" w:space="0"/>
                  </w:tcBorders>
                  <w:vAlign w:val="center"/>
                </w:tcPr>
                <w:p>
                  <w:pPr>
                    <w:topLinePunct/>
                    <w:spacing w:after="0"/>
                    <w:jc w:val="center"/>
                    <w:rPr>
                      <w:szCs w:val="21"/>
                    </w:rPr>
                  </w:pPr>
                  <w:r>
                    <w:rPr>
                      <w:rFonts w:hint="eastAsia"/>
                      <w:szCs w:val="21"/>
                    </w:rPr>
                    <w:t>0.346~0.388</w:t>
                  </w:r>
                </w:p>
              </w:tc>
              <w:tc>
                <w:tcPr>
                  <w:tcW w:w="1317"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0.346~0.388</w:t>
                  </w:r>
                </w:p>
              </w:tc>
              <w:tc>
                <w:tcPr>
                  <w:tcW w:w="758"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292"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0.518~0.536</w:t>
                  </w:r>
                </w:p>
              </w:tc>
              <w:tc>
                <w:tcPr>
                  <w:tcW w:w="1300"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0.518~0.536</w:t>
                  </w:r>
                </w:p>
              </w:tc>
              <w:tc>
                <w:tcPr>
                  <w:tcW w:w="833"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431"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after="0"/>
                    <w:jc w:val="center"/>
                    <w:rPr>
                      <w:szCs w:val="21"/>
                    </w:rPr>
                  </w:pPr>
                  <w:r>
                    <w:rPr>
                      <w:rFonts w:hint="eastAsia"/>
                      <w:szCs w:val="21"/>
                    </w:rPr>
                    <w:t>总氮</w:t>
                  </w:r>
                </w:p>
              </w:tc>
              <w:tc>
                <w:tcPr>
                  <w:tcW w:w="1350" w:type="dxa"/>
                  <w:tcBorders>
                    <w:top w:val="single" w:color="auto" w:sz="4" w:space="0"/>
                    <w:left w:val="single" w:color="auto" w:sz="4" w:space="0"/>
                    <w:bottom w:val="single" w:color="auto" w:sz="4" w:space="0"/>
                    <w:right w:val="single" w:color="auto" w:sz="4" w:space="0"/>
                  </w:tcBorders>
                  <w:vAlign w:val="center"/>
                </w:tcPr>
                <w:p>
                  <w:pPr>
                    <w:topLinePunct/>
                    <w:spacing w:after="0"/>
                    <w:jc w:val="center"/>
                    <w:rPr>
                      <w:szCs w:val="21"/>
                    </w:rPr>
                  </w:pPr>
                  <w:r>
                    <w:rPr>
                      <w:rFonts w:hint="eastAsia"/>
                      <w:szCs w:val="21"/>
                    </w:rPr>
                    <w:t>0.498~0.511</w:t>
                  </w:r>
                </w:p>
              </w:tc>
              <w:tc>
                <w:tcPr>
                  <w:tcW w:w="1317"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0.498~0.511</w:t>
                  </w:r>
                </w:p>
              </w:tc>
              <w:tc>
                <w:tcPr>
                  <w:tcW w:w="758"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292"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0.624~0.678</w:t>
                  </w:r>
                </w:p>
              </w:tc>
              <w:tc>
                <w:tcPr>
                  <w:tcW w:w="1300"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0.624~0.678</w:t>
                  </w:r>
                </w:p>
              </w:tc>
              <w:tc>
                <w:tcPr>
                  <w:tcW w:w="833"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431"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after="0"/>
                    <w:jc w:val="center"/>
                    <w:rPr>
                      <w:szCs w:val="21"/>
                    </w:rPr>
                  </w:pPr>
                  <w:r>
                    <w:rPr>
                      <w:rFonts w:hint="eastAsia"/>
                      <w:szCs w:val="21"/>
                    </w:rPr>
                    <w:t>总磷</w:t>
                  </w:r>
                </w:p>
              </w:tc>
              <w:tc>
                <w:tcPr>
                  <w:tcW w:w="1350" w:type="dxa"/>
                  <w:tcBorders>
                    <w:top w:val="single" w:color="auto" w:sz="4" w:space="0"/>
                    <w:left w:val="single" w:color="auto" w:sz="4" w:space="0"/>
                    <w:bottom w:val="single" w:color="auto" w:sz="4" w:space="0"/>
                    <w:right w:val="single" w:color="auto" w:sz="4" w:space="0"/>
                  </w:tcBorders>
                  <w:vAlign w:val="center"/>
                </w:tcPr>
                <w:p>
                  <w:pPr>
                    <w:topLinePunct/>
                    <w:spacing w:after="0"/>
                    <w:jc w:val="center"/>
                    <w:rPr>
                      <w:szCs w:val="21"/>
                    </w:rPr>
                  </w:pPr>
                  <w:r>
                    <w:rPr>
                      <w:rFonts w:hint="eastAsia"/>
                      <w:szCs w:val="21"/>
                    </w:rPr>
                    <w:t>0.04~0.06</w:t>
                  </w:r>
                </w:p>
              </w:tc>
              <w:tc>
                <w:tcPr>
                  <w:tcW w:w="1317"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0.2~0.3</w:t>
                  </w:r>
                </w:p>
              </w:tc>
              <w:tc>
                <w:tcPr>
                  <w:tcW w:w="758"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292"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0.07~0.09</w:t>
                  </w:r>
                </w:p>
              </w:tc>
              <w:tc>
                <w:tcPr>
                  <w:tcW w:w="1300"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0.35~0.45</w:t>
                  </w:r>
                </w:p>
              </w:tc>
              <w:tc>
                <w:tcPr>
                  <w:tcW w:w="833"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w:t>
                  </w:r>
                </w:p>
              </w:tc>
              <w:tc>
                <w:tcPr>
                  <w:tcW w:w="1431" w:type="dxa"/>
                  <w:tcBorders>
                    <w:top w:val="single" w:color="auto" w:sz="4" w:space="0"/>
                    <w:left w:val="nil"/>
                    <w:bottom w:val="single" w:color="auto" w:sz="4" w:space="0"/>
                    <w:right w:val="single" w:color="auto" w:sz="4" w:space="0"/>
                  </w:tcBorders>
                  <w:vAlign w:val="center"/>
                </w:tcPr>
                <w:p>
                  <w:pPr>
                    <w:topLinePunct/>
                    <w:spacing w:after="0"/>
                    <w:jc w:val="center"/>
                    <w:rPr>
                      <w:szCs w:val="21"/>
                    </w:rPr>
                  </w:pPr>
                  <w:r>
                    <w:rPr>
                      <w:rFonts w:hint="eastAsia"/>
                      <w:szCs w:val="21"/>
                    </w:rPr>
                    <w:t>0.2</w:t>
                  </w:r>
                </w:p>
              </w:tc>
            </w:tr>
          </w:tbl>
          <w:p>
            <w:pPr>
              <w:spacing w:after="0" w:line="360" w:lineRule="auto"/>
              <w:ind w:firstLine="480" w:firstLineChars="200"/>
              <w:rPr>
                <w:b/>
                <w:bCs/>
                <w:color w:val="FF0000"/>
              </w:rPr>
            </w:pPr>
            <w:r>
              <w:rPr>
                <w:sz w:val="24"/>
              </w:rPr>
              <w:t>由上表可知，</w:t>
            </w:r>
            <w:r>
              <w:rPr>
                <w:rFonts w:hint="eastAsia"/>
                <w:sz w:val="24"/>
              </w:rPr>
              <w:t>两个</w:t>
            </w:r>
            <w:r>
              <w:rPr>
                <w:sz w:val="24"/>
              </w:rPr>
              <w:t>监测断面各监测因子均符合《地表水环境质量标准》（GB3838-2002）Ⅲ类标准。</w:t>
            </w:r>
          </w:p>
          <w:p>
            <w:pPr>
              <w:pStyle w:val="35"/>
              <w:spacing w:after="0" w:line="360" w:lineRule="auto"/>
              <w:jc w:val="both"/>
              <w:rPr>
                <w:rFonts w:ascii="Times New Roman"/>
                <w:color w:val="FF0000"/>
              </w:rPr>
            </w:pPr>
            <w:r>
              <w:rPr>
                <w:rFonts w:ascii="Times New Roman" w:cs="Times New Roman"/>
                <w:b/>
                <w:bCs/>
                <w:color w:val="auto"/>
              </w:rPr>
              <w:t>三、声环境质量现状</w:t>
            </w:r>
          </w:p>
          <w:p>
            <w:pPr>
              <w:spacing w:after="0" w:line="360" w:lineRule="auto"/>
              <w:ind w:firstLine="480" w:firstLineChars="200"/>
              <w:rPr>
                <w:sz w:val="24"/>
              </w:rPr>
            </w:pPr>
            <w:r>
              <w:rPr>
                <w:sz w:val="24"/>
              </w:rPr>
              <w:t>监测点位：本次评价范围内共布设4个噪声监测点，即N1东面厂界外1m，N2南面厂界外1m，N3西面厂界外1m，N4北面厂界外1m。</w:t>
            </w:r>
          </w:p>
          <w:p>
            <w:pPr>
              <w:spacing w:after="0" w:line="360" w:lineRule="auto"/>
              <w:ind w:firstLine="480" w:firstLineChars="200"/>
              <w:rPr>
                <w:sz w:val="24"/>
              </w:rPr>
            </w:pPr>
            <w:r>
              <w:rPr>
                <w:sz w:val="24"/>
              </w:rPr>
              <w:t>监测因子：等效连续A声级。</w:t>
            </w:r>
          </w:p>
          <w:p>
            <w:pPr>
              <w:pStyle w:val="35"/>
              <w:spacing w:after="0" w:line="360" w:lineRule="auto"/>
              <w:ind w:firstLine="480" w:firstLineChars="200"/>
              <w:jc w:val="both"/>
              <w:rPr>
                <w:rFonts w:ascii="Times New Roman" w:cs="Times New Roman"/>
                <w:color w:val="auto"/>
              </w:rPr>
            </w:pPr>
            <w:r>
              <w:rPr>
                <w:rFonts w:ascii="Times New Roman" w:cs="Times New Roman"/>
              </w:rPr>
              <w:t>监测时间与频次</w:t>
            </w:r>
            <w:r>
              <w:rPr>
                <w:rFonts w:ascii="Times New Roman" w:cs="Times New Roman"/>
                <w:color w:val="auto"/>
              </w:rPr>
              <w:t>：本次评价委托</w:t>
            </w:r>
            <w:r>
              <w:rPr>
                <w:rFonts w:hint="eastAsia" w:ascii="Times New Roman" w:cs="Times New Roman"/>
                <w:color w:val="auto"/>
              </w:rPr>
              <w:t>湖南昌旭环保科技有限公司</w:t>
            </w:r>
            <w:r>
              <w:rPr>
                <w:rFonts w:ascii="Times New Roman" w:cs="Times New Roman"/>
                <w:color w:val="auto"/>
              </w:rPr>
              <w:t>于20</w:t>
            </w:r>
            <w:r>
              <w:rPr>
                <w:rFonts w:hint="eastAsia" w:ascii="Times New Roman" w:cs="Times New Roman"/>
                <w:color w:val="auto"/>
              </w:rPr>
              <w:t>20</w:t>
            </w:r>
            <w:r>
              <w:rPr>
                <w:rFonts w:ascii="Times New Roman" w:cs="Times New Roman"/>
                <w:color w:val="auto"/>
              </w:rPr>
              <w:t>年</w:t>
            </w:r>
            <w:r>
              <w:rPr>
                <w:rFonts w:hint="eastAsia" w:ascii="Times New Roman" w:cs="Times New Roman"/>
                <w:color w:val="auto"/>
              </w:rPr>
              <w:t>1</w:t>
            </w:r>
            <w:r>
              <w:rPr>
                <w:rFonts w:ascii="Times New Roman" w:cs="Times New Roman"/>
                <w:color w:val="auto"/>
              </w:rPr>
              <w:t>月</w:t>
            </w:r>
            <w:r>
              <w:rPr>
                <w:rFonts w:hint="eastAsia" w:ascii="Times New Roman" w:cs="Times New Roman"/>
                <w:color w:val="auto"/>
              </w:rPr>
              <w:t>5</w:t>
            </w:r>
            <w:r>
              <w:rPr>
                <w:rFonts w:ascii="Times New Roman" w:cs="Times New Roman"/>
                <w:color w:val="auto"/>
              </w:rPr>
              <w:t>日至20</w:t>
            </w:r>
            <w:r>
              <w:rPr>
                <w:rFonts w:hint="eastAsia" w:ascii="Times New Roman" w:cs="Times New Roman"/>
                <w:color w:val="auto"/>
              </w:rPr>
              <w:t>20</w:t>
            </w:r>
            <w:r>
              <w:rPr>
                <w:rFonts w:ascii="Times New Roman" w:cs="Times New Roman"/>
                <w:color w:val="auto"/>
              </w:rPr>
              <w:t>年</w:t>
            </w:r>
            <w:r>
              <w:rPr>
                <w:rFonts w:hint="eastAsia" w:ascii="Times New Roman" w:cs="Times New Roman"/>
                <w:color w:val="auto"/>
              </w:rPr>
              <w:t>1</w:t>
            </w:r>
            <w:r>
              <w:rPr>
                <w:rFonts w:ascii="Times New Roman" w:cs="Times New Roman"/>
                <w:color w:val="auto"/>
              </w:rPr>
              <w:t>月</w:t>
            </w:r>
            <w:r>
              <w:rPr>
                <w:rFonts w:hint="eastAsia" w:ascii="Times New Roman" w:cs="Times New Roman"/>
                <w:color w:val="auto"/>
              </w:rPr>
              <w:t>6</w:t>
            </w:r>
            <w:r>
              <w:rPr>
                <w:rFonts w:ascii="Times New Roman" w:cs="Times New Roman"/>
                <w:color w:val="auto"/>
              </w:rPr>
              <w:t>日进行监测，监测2天，每天昼、夜间各测一次。测量方法按《声环境质量标准》（GB3096-2008）的相关要求进行。监测结果统计如下表所示。具体点位图见附图</w:t>
            </w:r>
            <w:r>
              <w:rPr>
                <w:rFonts w:hint="eastAsia" w:ascii="Times New Roman" w:cs="Times New Roman"/>
                <w:color w:val="auto"/>
              </w:rPr>
              <w:t>3</w:t>
            </w:r>
            <w:r>
              <w:rPr>
                <w:rFonts w:ascii="Times New Roman" w:cs="Times New Roman"/>
                <w:color w:val="auto"/>
              </w:rPr>
              <w:t>。</w:t>
            </w:r>
          </w:p>
          <w:p>
            <w:pPr>
              <w:spacing w:after="0" w:line="360" w:lineRule="auto"/>
              <w:jc w:val="center"/>
              <w:rPr>
                <w:b/>
                <w:bCs/>
                <w:sz w:val="24"/>
              </w:rPr>
            </w:pPr>
            <w:r>
              <w:rPr>
                <w:b/>
                <w:bCs/>
                <w:sz w:val="24"/>
              </w:rPr>
              <w:t>表3-</w:t>
            </w:r>
            <w:r>
              <w:rPr>
                <w:rFonts w:hint="eastAsia"/>
                <w:b/>
                <w:bCs/>
                <w:sz w:val="24"/>
              </w:rPr>
              <w:t>3</w:t>
            </w:r>
            <w:r>
              <w:rPr>
                <w:b/>
                <w:bCs/>
                <w:sz w:val="24"/>
              </w:rPr>
              <w:t xml:space="preserve">  声环境质量现状监测结果表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704"/>
              <w:gridCol w:w="1488"/>
              <w:gridCol w:w="1512"/>
              <w:gridCol w:w="1575"/>
              <w:gridCol w:w="1338"/>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1704" w:type="dxa"/>
                  <w:vMerge w:val="restart"/>
                  <w:vAlign w:val="center"/>
                </w:tcPr>
                <w:p>
                  <w:pPr>
                    <w:spacing w:after="0"/>
                    <w:jc w:val="center"/>
                    <w:rPr>
                      <w:szCs w:val="21"/>
                    </w:rPr>
                  </w:pPr>
                  <w:r>
                    <w:rPr>
                      <w:szCs w:val="21"/>
                    </w:rPr>
                    <w:t>采样点位</w:t>
                  </w:r>
                </w:p>
              </w:tc>
              <w:tc>
                <w:tcPr>
                  <w:tcW w:w="1488" w:type="dxa"/>
                  <w:vMerge w:val="restart"/>
                  <w:vAlign w:val="center"/>
                </w:tcPr>
                <w:p>
                  <w:pPr>
                    <w:spacing w:after="0"/>
                    <w:jc w:val="center"/>
                    <w:rPr>
                      <w:szCs w:val="21"/>
                    </w:rPr>
                  </w:pPr>
                  <w:r>
                    <w:rPr>
                      <w:szCs w:val="21"/>
                    </w:rPr>
                    <w:t>采样日期</w:t>
                  </w:r>
                </w:p>
              </w:tc>
              <w:tc>
                <w:tcPr>
                  <w:tcW w:w="3087" w:type="dxa"/>
                  <w:gridSpan w:val="2"/>
                  <w:vAlign w:val="center"/>
                </w:tcPr>
                <w:p>
                  <w:pPr>
                    <w:spacing w:after="0"/>
                    <w:jc w:val="center"/>
                    <w:rPr>
                      <w:szCs w:val="21"/>
                    </w:rPr>
                  </w:pPr>
                  <w:r>
                    <w:rPr>
                      <w:szCs w:val="21"/>
                    </w:rPr>
                    <w:t>检测结果L</w:t>
                  </w:r>
                  <w:r>
                    <w:rPr>
                      <w:szCs w:val="21"/>
                      <w:vertAlign w:val="subscript"/>
                    </w:rPr>
                    <w:t>eq</w:t>
                  </w:r>
                  <w:r>
                    <w:rPr>
                      <w:szCs w:val="21"/>
                    </w:rPr>
                    <w:t>A（dB）</w:t>
                  </w:r>
                </w:p>
              </w:tc>
              <w:tc>
                <w:tcPr>
                  <w:tcW w:w="2602" w:type="dxa"/>
                  <w:gridSpan w:val="2"/>
                  <w:vAlign w:val="center"/>
                </w:tcPr>
                <w:p>
                  <w:pPr>
                    <w:spacing w:after="0"/>
                    <w:jc w:val="center"/>
                    <w:rPr>
                      <w:szCs w:val="21"/>
                    </w:rPr>
                  </w:pPr>
                  <w:r>
                    <w:rPr>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1704" w:type="dxa"/>
                  <w:vMerge w:val="continue"/>
                  <w:vAlign w:val="center"/>
                </w:tcPr>
                <w:p>
                  <w:pPr>
                    <w:spacing w:after="0"/>
                    <w:jc w:val="center"/>
                    <w:rPr>
                      <w:szCs w:val="21"/>
                    </w:rPr>
                  </w:pPr>
                </w:p>
              </w:tc>
              <w:tc>
                <w:tcPr>
                  <w:tcW w:w="1488" w:type="dxa"/>
                  <w:vMerge w:val="continue"/>
                  <w:vAlign w:val="center"/>
                </w:tcPr>
                <w:p>
                  <w:pPr>
                    <w:spacing w:after="0"/>
                    <w:jc w:val="center"/>
                    <w:rPr>
                      <w:szCs w:val="21"/>
                    </w:rPr>
                  </w:pPr>
                </w:p>
              </w:tc>
              <w:tc>
                <w:tcPr>
                  <w:tcW w:w="1512" w:type="dxa"/>
                  <w:vAlign w:val="center"/>
                </w:tcPr>
                <w:p>
                  <w:pPr>
                    <w:spacing w:after="0"/>
                    <w:jc w:val="center"/>
                    <w:rPr>
                      <w:szCs w:val="21"/>
                    </w:rPr>
                  </w:pPr>
                  <w:r>
                    <w:rPr>
                      <w:szCs w:val="21"/>
                    </w:rPr>
                    <w:t>昼间</w:t>
                  </w:r>
                </w:p>
              </w:tc>
              <w:tc>
                <w:tcPr>
                  <w:tcW w:w="1575" w:type="dxa"/>
                  <w:vAlign w:val="center"/>
                </w:tcPr>
                <w:p>
                  <w:pPr>
                    <w:spacing w:after="0"/>
                    <w:jc w:val="center"/>
                    <w:rPr>
                      <w:szCs w:val="21"/>
                    </w:rPr>
                  </w:pPr>
                  <w:r>
                    <w:rPr>
                      <w:szCs w:val="21"/>
                    </w:rPr>
                    <w:t>夜间</w:t>
                  </w:r>
                </w:p>
              </w:tc>
              <w:tc>
                <w:tcPr>
                  <w:tcW w:w="1338" w:type="dxa"/>
                  <w:vAlign w:val="center"/>
                </w:tcPr>
                <w:p>
                  <w:pPr>
                    <w:spacing w:after="0"/>
                    <w:jc w:val="center"/>
                    <w:rPr>
                      <w:szCs w:val="21"/>
                    </w:rPr>
                  </w:pPr>
                  <w:r>
                    <w:rPr>
                      <w:szCs w:val="21"/>
                    </w:rPr>
                    <w:t>昼间</w:t>
                  </w:r>
                </w:p>
              </w:tc>
              <w:tc>
                <w:tcPr>
                  <w:tcW w:w="1264" w:type="dxa"/>
                  <w:vAlign w:val="center"/>
                </w:tcPr>
                <w:p>
                  <w:pPr>
                    <w:spacing w:after="0"/>
                    <w:jc w:val="center"/>
                    <w:rPr>
                      <w:szCs w:val="21"/>
                    </w:rPr>
                  </w:pPr>
                  <w:r>
                    <w:rPr>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1704" w:type="dxa"/>
                  <w:vMerge w:val="restart"/>
                  <w:vAlign w:val="center"/>
                </w:tcPr>
                <w:p>
                  <w:pPr>
                    <w:spacing w:after="0"/>
                    <w:jc w:val="center"/>
                    <w:rPr>
                      <w:szCs w:val="21"/>
                    </w:rPr>
                  </w:pPr>
                  <w:r>
                    <w:rPr>
                      <w:szCs w:val="21"/>
                    </w:rPr>
                    <w:t>N1东面厂界外1m</w:t>
                  </w:r>
                </w:p>
              </w:tc>
              <w:tc>
                <w:tcPr>
                  <w:tcW w:w="1488" w:type="dxa"/>
                  <w:vAlign w:val="center"/>
                </w:tcPr>
                <w:p>
                  <w:pPr>
                    <w:spacing w:after="0"/>
                    <w:jc w:val="center"/>
                    <w:rPr>
                      <w:szCs w:val="21"/>
                    </w:rPr>
                  </w:pPr>
                  <w:r>
                    <w:rPr>
                      <w:szCs w:val="21"/>
                    </w:rPr>
                    <w:t>20</w:t>
                  </w:r>
                  <w:r>
                    <w:rPr>
                      <w:rFonts w:hint="eastAsia"/>
                      <w:szCs w:val="21"/>
                    </w:rPr>
                    <w:t>20.1.5</w:t>
                  </w:r>
                </w:p>
              </w:tc>
              <w:tc>
                <w:tcPr>
                  <w:tcW w:w="1512" w:type="dxa"/>
                  <w:vAlign w:val="center"/>
                </w:tcPr>
                <w:p>
                  <w:pPr>
                    <w:spacing w:after="0"/>
                    <w:jc w:val="center"/>
                    <w:rPr>
                      <w:szCs w:val="21"/>
                    </w:rPr>
                  </w:pPr>
                  <w:r>
                    <w:rPr>
                      <w:rFonts w:hint="eastAsia"/>
                      <w:szCs w:val="21"/>
                    </w:rPr>
                    <w:t>52.8</w:t>
                  </w:r>
                </w:p>
              </w:tc>
              <w:tc>
                <w:tcPr>
                  <w:tcW w:w="1575" w:type="dxa"/>
                  <w:vAlign w:val="center"/>
                </w:tcPr>
                <w:p>
                  <w:pPr>
                    <w:spacing w:after="0"/>
                    <w:jc w:val="center"/>
                    <w:rPr>
                      <w:szCs w:val="21"/>
                    </w:rPr>
                  </w:pPr>
                  <w:r>
                    <w:rPr>
                      <w:rFonts w:hint="eastAsia"/>
                      <w:szCs w:val="21"/>
                    </w:rPr>
                    <w:t>44.3</w:t>
                  </w:r>
                </w:p>
              </w:tc>
              <w:tc>
                <w:tcPr>
                  <w:tcW w:w="1338" w:type="dxa"/>
                  <w:vAlign w:val="center"/>
                </w:tcPr>
                <w:p>
                  <w:pPr>
                    <w:spacing w:after="0"/>
                    <w:jc w:val="center"/>
                    <w:rPr>
                      <w:szCs w:val="21"/>
                    </w:rPr>
                  </w:pPr>
                  <w:r>
                    <w:rPr>
                      <w:szCs w:val="21"/>
                    </w:rPr>
                    <w:t>60</w:t>
                  </w:r>
                </w:p>
              </w:tc>
              <w:tc>
                <w:tcPr>
                  <w:tcW w:w="1264" w:type="dxa"/>
                  <w:vAlign w:val="center"/>
                </w:tcPr>
                <w:p>
                  <w:pPr>
                    <w:spacing w:after="0"/>
                    <w:jc w:val="center"/>
                    <w:rPr>
                      <w:szCs w:val="21"/>
                    </w:rPr>
                  </w:pPr>
                  <w:r>
                    <w:rPr>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1704" w:type="dxa"/>
                  <w:vMerge w:val="continue"/>
                  <w:vAlign w:val="center"/>
                </w:tcPr>
                <w:p>
                  <w:pPr>
                    <w:spacing w:after="0"/>
                    <w:jc w:val="center"/>
                    <w:rPr>
                      <w:szCs w:val="21"/>
                    </w:rPr>
                  </w:pPr>
                </w:p>
              </w:tc>
              <w:tc>
                <w:tcPr>
                  <w:tcW w:w="1488" w:type="dxa"/>
                  <w:vAlign w:val="center"/>
                </w:tcPr>
                <w:p>
                  <w:pPr>
                    <w:spacing w:after="0"/>
                    <w:jc w:val="center"/>
                    <w:rPr>
                      <w:szCs w:val="21"/>
                    </w:rPr>
                  </w:pPr>
                  <w:r>
                    <w:rPr>
                      <w:szCs w:val="21"/>
                    </w:rPr>
                    <w:t>20</w:t>
                  </w:r>
                  <w:r>
                    <w:rPr>
                      <w:rFonts w:hint="eastAsia"/>
                      <w:szCs w:val="21"/>
                    </w:rPr>
                    <w:t>20.1.6</w:t>
                  </w:r>
                </w:p>
              </w:tc>
              <w:tc>
                <w:tcPr>
                  <w:tcW w:w="1512" w:type="dxa"/>
                  <w:vAlign w:val="center"/>
                </w:tcPr>
                <w:p>
                  <w:pPr>
                    <w:spacing w:after="0"/>
                    <w:jc w:val="center"/>
                    <w:rPr>
                      <w:szCs w:val="21"/>
                    </w:rPr>
                  </w:pPr>
                  <w:r>
                    <w:rPr>
                      <w:rFonts w:hint="eastAsia"/>
                      <w:szCs w:val="21"/>
                    </w:rPr>
                    <w:t>52.5</w:t>
                  </w:r>
                </w:p>
              </w:tc>
              <w:tc>
                <w:tcPr>
                  <w:tcW w:w="1575" w:type="dxa"/>
                  <w:vAlign w:val="center"/>
                </w:tcPr>
                <w:p>
                  <w:pPr>
                    <w:spacing w:after="0"/>
                    <w:jc w:val="center"/>
                    <w:rPr>
                      <w:szCs w:val="21"/>
                    </w:rPr>
                  </w:pPr>
                  <w:r>
                    <w:rPr>
                      <w:rFonts w:hint="eastAsia"/>
                      <w:szCs w:val="21"/>
                    </w:rPr>
                    <w:t>44.1</w:t>
                  </w:r>
                </w:p>
              </w:tc>
              <w:tc>
                <w:tcPr>
                  <w:tcW w:w="1338" w:type="dxa"/>
                  <w:vAlign w:val="center"/>
                </w:tcPr>
                <w:p>
                  <w:pPr>
                    <w:spacing w:after="0"/>
                    <w:jc w:val="center"/>
                    <w:rPr>
                      <w:szCs w:val="21"/>
                    </w:rPr>
                  </w:pPr>
                  <w:r>
                    <w:rPr>
                      <w:szCs w:val="21"/>
                    </w:rPr>
                    <w:t>60</w:t>
                  </w:r>
                </w:p>
              </w:tc>
              <w:tc>
                <w:tcPr>
                  <w:tcW w:w="1264" w:type="dxa"/>
                  <w:vAlign w:val="center"/>
                </w:tcPr>
                <w:p>
                  <w:pPr>
                    <w:spacing w:after="0"/>
                    <w:jc w:val="center"/>
                    <w:rPr>
                      <w:szCs w:val="21"/>
                    </w:rPr>
                  </w:pPr>
                  <w:r>
                    <w:rPr>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1704" w:type="dxa"/>
                  <w:vMerge w:val="restart"/>
                  <w:vAlign w:val="center"/>
                </w:tcPr>
                <w:p>
                  <w:pPr>
                    <w:spacing w:after="0"/>
                    <w:jc w:val="center"/>
                    <w:rPr>
                      <w:szCs w:val="21"/>
                    </w:rPr>
                  </w:pPr>
                  <w:r>
                    <w:rPr>
                      <w:szCs w:val="21"/>
                    </w:rPr>
                    <w:t>N2南面厂界外1m</w:t>
                  </w:r>
                </w:p>
              </w:tc>
              <w:tc>
                <w:tcPr>
                  <w:tcW w:w="1488" w:type="dxa"/>
                  <w:vAlign w:val="center"/>
                </w:tcPr>
                <w:p>
                  <w:pPr>
                    <w:spacing w:after="0"/>
                    <w:jc w:val="center"/>
                    <w:rPr>
                      <w:szCs w:val="21"/>
                    </w:rPr>
                  </w:pPr>
                  <w:r>
                    <w:rPr>
                      <w:szCs w:val="21"/>
                    </w:rPr>
                    <w:t>20</w:t>
                  </w:r>
                  <w:r>
                    <w:rPr>
                      <w:rFonts w:hint="eastAsia"/>
                      <w:szCs w:val="21"/>
                    </w:rPr>
                    <w:t>20.1.5</w:t>
                  </w:r>
                </w:p>
              </w:tc>
              <w:tc>
                <w:tcPr>
                  <w:tcW w:w="1512" w:type="dxa"/>
                  <w:vAlign w:val="center"/>
                </w:tcPr>
                <w:p>
                  <w:pPr>
                    <w:spacing w:after="0"/>
                    <w:jc w:val="center"/>
                    <w:rPr>
                      <w:szCs w:val="21"/>
                    </w:rPr>
                  </w:pPr>
                  <w:r>
                    <w:rPr>
                      <w:rFonts w:hint="eastAsia"/>
                      <w:szCs w:val="21"/>
                    </w:rPr>
                    <w:t>53.3</w:t>
                  </w:r>
                </w:p>
              </w:tc>
              <w:tc>
                <w:tcPr>
                  <w:tcW w:w="1575" w:type="dxa"/>
                  <w:vAlign w:val="center"/>
                </w:tcPr>
                <w:p>
                  <w:pPr>
                    <w:spacing w:after="0"/>
                    <w:jc w:val="center"/>
                    <w:rPr>
                      <w:szCs w:val="21"/>
                    </w:rPr>
                  </w:pPr>
                  <w:r>
                    <w:rPr>
                      <w:rFonts w:hint="eastAsia"/>
                      <w:szCs w:val="21"/>
                    </w:rPr>
                    <w:t>45.9</w:t>
                  </w:r>
                </w:p>
              </w:tc>
              <w:tc>
                <w:tcPr>
                  <w:tcW w:w="1338" w:type="dxa"/>
                  <w:vAlign w:val="center"/>
                </w:tcPr>
                <w:p>
                  <w:pPr>
                    <w:spacing w:after="0"/>
                    <w:jc w:val="center"/>
                    <w:rPr>
                      <w:szCs w:val="21"/>
                    </w:rPr>
                  </w:pPr>
                  <w:r>
                    <w:rPr>
                      <w:szCs w:val="21"/>
                    </w:rPr>
                    <w:t>60</w:t>
                  </w:r>
                </w:p>
              </w:tc>
              <w:tc>
                <w:tcPr>
                  <w:tcW w:w="1264" w:type="dxa"/>
                  <w:vAlign w:val="center"/>
                </w:tcPr>
                <w:p>
                  <w:pPr>
                    <w:spacing w:after="0"/>
                    <w:jc w:val="center"/>
                    <w:rPr>
                      <w:szCs w:val="21"/>
                    </w:rPr>
                  </w:pPr>
                  <w:r>
                    <w:rPr>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1704" w:type="dxa"/>
                  <w:vMerge w:val="continue"/>
                  <w:vAlign w:val="center"/>
                </w:tcPr>
                <w:p>
                  <w:pPr>
                    <w:spacing w:after="0"/>
                    <w:jc w:val="center"/>
                    <w:rPr>
                      <w:szCs w:val="21"/>
                    </w:rPr>
                  </w:pPr>
                </w:p>
              </w:tc>
              <w:tc>
                <w:tcPr>
                  <w:tcW w:w="1488" w:type="dxa"/>
                  <w:vAlign w:val="center"/>
                </w:tcPr>
                <w:p>
                  <w:pPr>
                    <w:spacing w:after="0"/>
                    <w:jc w:val="center"/>
                    <w:rPr>
                      <w:szCs w:val="21"/>
                    </w:rPr>
                  </w:pPr>
                  <w:r>
                    <w:rPr>
                      <w:szCs w:val="21"/>
                    </w:rPr>
                    <w:t>20</w:t>
                  </w:r>
                  <w:r>
                    <w:rPr>
                      <w:rFonts w:hint="eastAsia"/>
                      <w:szCs w:val="21"/>
                    </w:rPr>
                    <w:t>20.1.6</w:t>
                  </w:r>
                </w:p>
              </w:tc>
              <w:tc>
                <w:tcPr>
                  <w:tcW w:w="1512" w:type="dxa"/>
                  <w:vAlign w:val="center"/>
                </w:tcPr>
                <w:p>
                  <w:pPr>
                    <w:spacing w:after="0"/>
                    <w:jc w:val="center"/>
                    <w:rPr>
                      <w:szCs w:val="21"/>
                    </w:rPr>
                  </w:pPr>
                  <w:r>
                    <w:rPr>
                      <w:rFonts w:hint="eastAsia"/>
                      <w:szCs w:val="21"/>
                    </w:rPr>
                    <w:t>53.6</w:t>
                  </w:r>
                </w:p>
              </w:tc>
              <w:tc>
                <w:tcPr>
                  <w:tcW w:w="1575" w:type="dxa"/>
                  <w:vAlign w:val="center"/>
                </w:tcPr>
                <w:p>
                  <w:pPr>
                    <w:spacing w:after="0"/>
                    <w:jc w:val="center"/>
                    <w:rPr>
                      <w:szCs w:val="21"/>
                    </w:rPr>
                  </w:pPr>
                  <w:r>
                    <w:rPr>
                      <w:rFonts w:hint="eastAsia"/>
                      <w:szCs w:val="21"/>
                    </w:rPr>
                    <w:t>45.5</w:t>
                  </w:r>
                </w:p>
              </w:tc>
              <w:tc>
                <w:tcPr>
                  <w:tcW w:w="1338" w:type="dxa"/>
                  <w:vAlign w:val="center"/>
                </w:tcPr>
                <w:p>
                  <w:pPr>
                    <w:spacing w:after="0"/>
                    <w:jc w:val="center"/>
                    <w:rPr>
                      <w:szCs w:val="21"/>
                    </w:rPr>
                  </w:pPr>
                  <w:r>
                    <w:rPr>
                      <w:szCs w:val="21"/>
                    </w:rPr>
                    <w:t>60</w:t>
                  </w:r>
                </w:p>
              </w:tc>
              <w:tc>
                <w:tcPr>
                  <w:tcW w:w="1264" w:type="dxa"/>
                  <w:vAlign w:val="center"/>
                </w:tcPr>
                <w:p>
                  <w:pPr>
                    <w:spacing w:after="0"/>
                    <w:jc w:val="center"/>
                    <w:rPr>
                      <w:szCs w:val="21"/>
                    </w:rPr>
                  </w:pPr>
                  <w:r>
                    <w:rPr>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1704" w:type="dxa"/>
                  <w:vMerge w:val="restart"/>
                  <w:vAlign w:val="center"/>
                </w:tcPr>
                <w:p>
                  <w:pPr>
                    <w:spacing w:after="0"/>
                    <w:jc w:val="center"/>
                    <w:rPr>
                      <w:szCs w:val="21"/>
                    </w:rPr>
                  </w:pPr>
                  <w:r>
                    <w:rPr>
                      <w:szCs w:val="21"/>
                    </w:rPr>
                    <w:t>N3西面厂界外1m</w:t>
                  </w:r>
                </w:p>
              </w:tc>
              <w:tc>
                <w:tcPr>
                  <w:tcW w:w="1488" w:type="dxa"/>
                  <w:vAlign w:val="center"/>
                </w:tcPr>
                <w:p>
                  <w:pPr>
                    <w:spacing w:after="0"/>
                    <w:jc w:val="center"/>
                    <w:rPr>
                      <w:szCs w:val="21"/>
                    </w:rPr>
                  </w:pPr>
                  <w:r>
                    <w:rPr>
                      <w:szCs w:val="21"/>
                    </w:rPr>
                    <w:t>20</w:t>
                  </w:r>
                  <w:r>
                    <w:rPr>
                      <w:rFonts w:hint="eastAsia"/>
                      <w:szCs w:val="21"/>
                    </w:rPr>
                    <w:t>20.1.5</w:t>
                  </w:r>
                </w:p>
              </w:tc>
              <w:tc>
                <w:tcPr>
                  <w:tcW w:w="1512" w:type="dxa"/>
                  <w:vAlign w:val="center"/>
                </w:tcPr>
                <w:p>
                  <w:pPr>
                    <w:spacing w:after="0"/>
                    <w:jc w:val="center"/>
                    <w:rPr>
                      <w:szCs w:val="21"/>
                    </w:rPr>
                  </w:pPr>
                  <w:r>
                    <w:rPr>
                      <w:rFonts w:hint="eastAsia"/>
                      <w:szCs w:val="21"/>
                    </w:rPr>
                    <w:t>50.7</w:t>
                  </w:r>
                </w:p>
              </w:tc>
              <w:tc>
                <w:tcPr>
                  <w:tcW w:w="1575" w:type="dxa"/>
                  <w:vAlign w:val="center"/>
                </w:tcPr>
                <w:p>
                  <w:pPr>
                    <w:spacing w:after="0"/>
                    <w:jc w:val="center"/>
                    <w:rPr>
                      <w:szCs w:val="21"/>
                    </w:rPr>
                  </w:pPr>
                  <w:r>
                    <w:rPr>
                      <w:rFonts w:hint="eastAsia"/>
                      <w:szCs w:val="21"/>
                    </w:rPr>
                    <w:t>43.6</w:t>
                  </w:r>
                </w:p>
              </w:tc>
              <w:tc>
                <w:tcPr>
                  <w:tcW w:w="1338" w:type="dxa"/>
                  <w:vAlign w:val="center"/>
                </w:tcPr>
                <w:p>
                  <w:pPr>
                    <w:spacing w:after="0"/>
                    <w:jc w:val="center"/>
                    <w:rPr>
                      <w:szCs w:val="21"/>
                    </w:rPr>
                  </w:pPr>
                  <w:r>
                    <w:rPr>
                      <w:szCs w:val="21"/>
                    </w:rPr>
                    <w:t>60</w:t>
                  </w:r>
                </w:p>
              </w:tc>
              <w:tc>
                <w:tcPr>
                  <w:tcW w:w="1264" w:type="dxa"/>
                  <w:vAlign w:val="center"/>
                </w:tcPr>
                <w:p>
                  <w:pPr>
                    <w:spacing w:after="0"/>
                    <w:jc w:val="center"/>
                    <w:rPr>
                      <w:szCs w:val="21"/>
                    </w:rPr>
                  </w:pPr>
                  <w:r>
                    <w:rPr>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1704" w:type="dxa"/>
                  <w:vMerge w:val="continue"/>
                  <w:vAlign w:val="center"/>
                </w:tcPr>
                <w:p>
                  <w:pPr>
                    <w:spacing w:after="0"/>
                    <w:jc w:val="center"/>
                    <w:rPr>
                      <w:szCs w:val="21"/>
                    </w:rPr>
                  </w:pPr>
                </w:p>
              </w:tc>
              <w:tc>
                <w:tcPr>
                  <w:tcW w:w="1488" w:type="dxa"/>
                  <w:vAlign w:val="center"/>
                </w:tcPr>
                <w:p>
                  <w:pPr>
                    <w:spacing w:after="0"/>
                    <w:jc w:val="center"/>
                    <w:rPr>
                      <w:szCs w:val="21"/>
                    </w:rPr>
                  </w:pPr>
                  <w:r>
                    <w:rPr>
                      <w:szCs w:val="21"/>
                    </w:rPr>
                    <w:t>20</w:t>
                  </w:r>
                  <w:r>
                    <w:rPr>
                      <w:rFonts w:hint="eastAsia"/>
                      <w:szCs w:val="21"/>
                    </w:rPr>
                    <w:t>20.1.6</w:t>
                  </w:r>
                </w:p>
              </w:tc>
              <w:tc>
                <w:tcPr>
                  <w:tcW w:w="1512" w:type="dxa"/>
                  <w:vAlign w:val="center"/>
                </w:tcPr>
                <w:p>
                  <w:pPr>
                    <w:spacing w:after="0"/>
                    <w:jc w:val="center"/>
                    <w:rPr>
                      <w:szCs w:val="21"/>
                    </w:rPr>
                  </w:pPr>
                  <w:r>
                    <w:rPr>
                      <w:rFonts w:hint="eastAsia"/>
                      <w:szCs w:val="21"/>
                    </w:rPr>
                    <w:t>50.3</w:t>
                  </w:r>
                </w:p>
              </w:tc>
              <w:tc>
                <w:tcPr>
                  <w:tcW w:w="1575" w:type="dxa"/>
                  <w:vAlign w:val="center"/>
                </w:tcPr>
                <w:p>
                  <w:pPr>
                    <w:spacing w:after="0"/>
                    <w:jc w:val="center"/>
                    <w:rPr>
                      <w:szCs w:val="21"/>
                    </w:rPr>
                  </w:pPr>
                  <w:r>
                    <w:rPr>
                      <w:rFonts w:hint="eastAsia"/>
                      <w:szCs w:val="21"/>
                    </w:rPr>
                    <w:t>43.8</w:t>
                  </w:r>
                </w:p>
              </w:tc>
              <w:tc>
                <w:tcPr>
                  <w:tcW w:w="1338" w:type="dxa"/>
                  <w:vAlign w:val="center"/>
                </w:tcPr>
                <w:p>
                  <w:pPr>
                    <w:spacing w:after="0"/>
                    <w:jc w:val="center"/>
                    <w:rPr>
                      <w:szCs w:val="21"/>
                    </w:rPr>
                  </w:pPr>
                  <w:r>
                    <w:rPr>
                      <w:szCs w:val="21"/>
                    </w:rPr>
                    <w:t>60</w:t>
                  </w:r>
                </w:p>
              </w:tc>
              <w:tc>
                <w:tcPr>
                  <w:tcW w:w="1264" w:type="dxa"/>
                  <w:vAlign w:val="center"/>
                </w:tcPr>
                <w:p>
                  <w:pPr>
                    <w:spacing w:after="0"/>
                    <w:jc w:val="center"/>
                    <w:rPr>
                      <w:szCs w:val="21"/>
                    </w:rPr>
                  </w:pPr>
                  <w:r>
                    <w:rPr>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0" w:hRule="atLeast"/>
                <w:jc w:val="center"/>
              </w:trPr>
              <w:tc>
                <w:tcPr>
                  <w:tcW w:w="1704" w:type="dxa"/>
                  <w:vMerge w:val="restart"/>
                  <w:vAlign w:val="center"/>
                </w:tcPr>
                <w:p>
                  <w:pPr>
                    <w:spacing w:after="0"/>
                    <w:jc w:val="center"/>
                    <w:rPr>
                      <w:szCs w:val="21"/>
                    </w:rPr>
                  </w:pPr>
                  <w:r>
                    <w:rPr>
                      <w:szCs w:val="21"/>
                    </w:rPr>
                    <w:t>N4北面厂界外1m</w:t>
                  </w:r>
                </w:p>
              </w:tc>
              <w:tc>
                <w:tcPr>
                  <w:tcW w:w="1488" w:type="dxa"/>
                  <w:vAlign w:val="center"/>
                </w:tcPr>
                <w:p>
                  <w:pPr>
                    <w:spacing w:after="0"/>
                    <w:jc w:val="center"/>
                    <w:rPr>
                      <w:szCs w:val="21"/>
                    </w:rPr>
                  </w:pPr>
                  <w:r>
                    <w:rPr>
                      <w:szCs w:val="21"/>
                    </w:rPr>
                    <w:t>20</w:t>
                  </w:r>
                  <w:r>
                    <w:rPr>
                      <w:rFonts w:hint="eastAsia"/>
                      <w:szCs w:val="21"/>
                    </w:rPr>
                    <w:t>20.1.5</w:t>
                  </w:r>
                </w:p>
              </w:tc>
              <w:tc>
                <w:tcPr>
                  <w:tcW w:w="1512" w:type="dxa"/>
                  <w:vAlign w:val="center"/>
                </w:tcPr>
                <w:p>
                  <w:pPr>
                    <w:spacing w:after="0"/>
                    <w:jc w:val="center"/>
                    <w:rPr>
                      <w:szCs w:val="21"/>
                    </w:rPr>
                  </w:pPr>
                  <w:r>
                    <w:rPr>
                      <w:rFonts w:hint="eastAsia"/>
                      <w:szCs w:val="21"/>
                    </w:rPr>
                    <w:t>51.4</w:t>
                  </w:r>
                </w:p>
              </w:tc>
              <w:tc>
                <w:tcPr>
                  <w:tcW w:w="1575" w:type="dxa"/>
                  <w:vAlign w:val="center"/>
                </w:tcPr>
                <w:p>
                  <w:pPr>
                    <w:spacing w:after="0"/>
                    <w:jc w:val="center"/>
                    <w:rPr>
                      <w:szCs w:val="21"/>
                    </w:rPr>
                  </w:pPr>
                  <w:r>
                    <w:rPr>
                      <w:rFonts w:hint="eastAsia"/>
                      <w:szCs w:val="21"/>
                    </w:rPr>
                    <w:t>44.4</w:t>
                  </w:r>
                </w:p>
              </w:tc>
              <w:tc>
                <w:tcPr>
                  <w:tcW w:w="1338" w:type="dxa"/>
                  <w:vAlign w:val="center"/>
                </w:tcPr>
                <w:p>
                  <w:pPr>
                    <w:spacing w:after="0"/>
                    <w:jc w:val="center"/>
                    <w:rPr>
                      <w:szCs w:val="21"/>
                    </w:rPr>
                  </w:pPr>
                  <w:r>
                    <w:rPr>
                      <w:szCs w:val="21"/>
                    </w:rPr>
                    <w:t>60</w:t>
                  </w:r>
                </w:p>
              </w:tc>
              <w:tc>
                <w:tcPr>
                  <w:tcW w:w="1264" w:type="dxa"/>
                  <w:vAlign w:val="center"/>
                </w:tcPr>
                <w:p>
                  <w:pPr>
                    <w:spacing w:after="0"/>
                    <w:jc w:val="center"/>
                    <w:rPr>
                      <w:szCs w:val="21"/>
                    </w:rPr>
                  </w:pPr>
                  <w:r>
                    <w:rPr>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jc w:val="center"/>
              </w:trPr>
              <w:tc>
                <w:tcPr>
                  <w:tcW w:w="1704" w:type="dxa"/>
                  <w:vMerge w:val="continue"/>
                  <w:vAlign w:val="center"/>
                </w:tcPr>
                <w:p>
                  <w:pPr>
                    <w:spacing w:after="0"/>
                    <w:jc w:val="center"/>
                    <w:rPr>
                      <w:szCs w:val="21"/>
                    </w:rPr>
                  </w:pPr>
                </w:p>
              </w:tc>
              <w:tc>
                <w:tcPr>
                  <w:tcW w:w="1488" w:type="dxa"/>
                  <w:vAlign w:val="center"/>
                </w:tcPr>
                <w:p>
                  <w:pPr>
                    <w:spacing w:after="0"/>
                    <w:jc w:val="center"/>
                    <w:rPr>
                      <w:szCs w:val="21"/>
                    </w:rPr>
                  </w:pPr>
                  <w:r>
                    <w:rPr>
                      <w:szCs w:val="21"/>
                    </w:rPr>
                    <w:t>20</w:t>
                  </w:r>
                  <w:r>
                    <w:rPr>
                      <w:rFonts w:hint="eastAsia"/>
                      <w:szCs w:val="21"/>
                    </w:rPr>
                    <w:t>20.1.6</w:t>
                  </w:r>
                </w:p>
              </w:tc>
              <w:tc>
                <w:tcPr>
                  <w:tcW w:w="1512" w:type="dxa"/>
                  <w:vAlign w:val="center"/>
                </w:tcPr>
                <w:p>
                  <w:pPr>
                    <w:spacing w:after="0"/>
                    <w:jc w:val="center"/>
                    <w:rPr>
                      <w:szCs w:val="21"/>
                    </w:rPr>
                  </w:pPr>
                  <w:r>
                    <w:rPr>
                      <w:rFonts w:hint="eastAsia"/>
                      <w:szCs w:val="21"/>
                    </w:rPr>
                    <w:t>51.9</w:t>
                  </w:r>
                </w:p>
              </w:tc>
              <w:tc>
                <w:tcPr>
                  <w:tcW w:w="1575" w:type="dxa"/>
                  <w:vAlign w:val="center"/>
                </w:tcPr>
                <w:p>
                  <w:pPr>
                    <w:spacing w:after="0"/>
                    <w:jc w:val="center"/>
                    <w:rPr>
                      <w:szCs w:val="21"/>
                    </w:rPr>
                  </w:pPr>
                  <w:r>
                    <w:rPr>
                      <w:rFonts w:hint="eastAsia"/>
                      <w:szCs w:val="21"/>
                    </w:rPr>
                    <w:t>44.1</w:t>
                  </w:r>
                </w:p>
              </w:tc>
              <w:tc>
                <w:tcPr>
                  <w:tcW w:w="1338" w:type="dxa"/>
                  <w:vAlign w:val="center"/>
                </w:tcPr>
                <w:p>
                  <w:pPr>
                    <w:spacing w:after="0"/>
                    <w:jc w:val="center"/>
                    <w:rPr>
                      <w:szCs w:val="21"/>
                    </w:rPr>
                  </w:pPr>
                  <w:r>
                    <w:rPr>
                      <w:szCs w:val="21"/>
                    </w:rPr>
                    <w:t>60</w:t>
                  </w:r>
                </w:p>
              </w:tc>
              <w:tc>
                <w:tcPr>
                  <w:tcW w:w="1264" w:type="dxa"/>
                  <w:vAlign w:val="center"/>
                </w:tcPr>
                <w:p>
                  <w:pPr>
                    <w:spacing w:after="0"/>
                    <w:jc w:val="center"/>
                    <w:rPr>
                      <w:szCs w:val="21"/>
                    </w:rPr>
                  </w:pPr>
                  <w:r>
                    <w:rPr>
                      <w:szCs w:val="21"/>
                    </w:rPr>
                    <w:t>50</w:t>
                  </w:r>
                </w:p>
              </w:tc>
            </w:tr>
          </w:tbl>
          <w:p>
            <w:pPr>
              <w:pStyle w:val="3"/>
              <w:widowControl/>
              <w:spacing w:before="0" w:after="0" w:line="360" w:lineRule="auto"/>
              <w:ind w:firstLine="480" w:firstLineChars="200"/>
              <w:rPr>
                <w:rFonts w:ascii="Times New Roman" w:hAnsi="Times New Roman" w:eastAsia="宋体" w:cs="Times New Roman"/>
                <w:b w:val="0"/>
                <w:bCs w:val="0"/>
                <w:color w:val="000000"/>
                <w:sz w:val="24"/>
                <w:szCs w:val="24"/>
              </w:rPr>
            </w:pPr>
            <w:r>
              <w:rPr>
                <w:rFonts w:ascii="Times New Roman" w:hAnsi="Times New Roman" w:eastAsia="宋体" w:cs="Times New Roman"/>
                <w:b w:val="0"/>
                <w:bCs w:val="0"/>
                <w:color w:val="000000"/>
                <w:sz w:val="24"/>
                <w:szCs w:val="24"/>
              </w:rPr>
              <w:t>从监测结果来看，项目四周厂界噪声符合《声环境质量标准》（GB3096-2008）2类标准要求。</w:t>
            </w:r>
          </w:p>
          <w:p>
            <w:pPr>
              <w:pStyle w:val="35"/>
              <w:spacing w:after="0" w:line="360" w:lineRule="auto"/>
              <w:jc w:val="both"/>
              <w:rPr>
                <w:rFonts w:ascii="Times New Roman" w:cs="Times New Roman"/>
                <w:b/>
                <w:bCs/>
                <w:color w:val="auto"/>
                <w:u w:val="wave"/>
                <w:lang w:val="zh-CN"/>
              </w:rPr>
            </w:pPr>
            <w:r>
              <w:rPr>
                <w:rFonts w:ascii="Times New Roman" w:cs="Times New Roman"/>
                <w:b/>
                <w:bCs/>
                <w:color w:val="auto"/>
                <w:u w:val="wave"/>
              </w:rPr>
              <w:t>四</w:t>
            </w:r>
            <w:r>
              <w:rPr>
                <w:rFonts w:ascii="Times New Roman" w:cs="Times New Roman"/>
                <w:b/>
                <w:bCs/>
                <w:color w:val="auto"/>
                <w:u w:val="wave"/>
                <w:lang w:val="zh-CN"/>
              </w:rPr>
              <w:t>、区域污染源调查</w:t>
            </w:r>
          </w:p>
          <w:p>
            <w:pPr>
              <w:spacing w:after="0" w:line="360" w:lineRule="auto"/>
              <w:ind w:firstLine="480" w:firstLineChars="200"/>
            </w:pPr>
            <w:r>
              <w:rPr>
                <w:sz w:val="24"/>
                <w:u w:val="wave"/>
                <w:lang w:val="zh-CN"/>
              </w:rPr>
              <w:t>根据现场调查及了解，本项目周边</w:t>
            </w:r>
            <w:r>
              <w:rPr>
                <w:rFonts w:hint="eastAsia"/>
                <w:sz w:val="24"/>
                <w:u w:val="wave"/>
              </w:rPr>
              <w:t>只有湖南科凡再生资源综合利用有限公司</w:t>
            </w:r>
            <w:r>
              <w:rPr>
                <w:sz w:val="24"/>
                <w:u w:val="wave"/>
                <w:lang w:val="zh-CN"/>
              </w:rPr>
              <w:t>，产生的主要污染物为粉尘及噪音</w:t>
            </w:r>
            <w:r>
              <w:rPr>
                <w:rFonts w:hint="eastAsia"/>
                <w:sz w:val="24"/>
                <w:u w:val="wav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8" w:hRule="atLeast"/>
        </w:trPr>
        <w:tc>
          <w:tcPr>
            <w:tcW w:w="9288" w:type="dxa"/>
          </w:tcPr>
          <w:p>
            <w:pPr>
              <w:pStyle w:val="35"/>
              <w:spacing w:after="0" w:line="360" w:lineRule="auto"/>
              <w:jc w:val="both"/>
              <w:rPr>
                <w:rFonts w:ascii="Times New Roman" w:cs="Times New Roman"/>
                <w:b/>
                <w:bCs/>
                <w:u w:val="wave"/>
              </w:rPr>
            </w:pPr>
            <w:r>
              <w:rPr>
                <w:rFonts w:hint="eastAsia" w:ascii="Times New Roman" w:cs="Times New Roman"/>
                <w:b/>
                <w:bCs/>
                <w:u w:val="wave"/>
              </w:rPr>
              <w:t>主要环境保护目标</w:t>
            </w:r>
          </w:p>
          <w:p>
            <w:pPr>
              <w:pStyle w:val="35"/>
              <w:spacing w:after="0" w:line="360" w:lineRule="auto"/>
              <w:ind w:firstLine="480" w:firstLineChars="200"/>
              <w:jc w:val="both"/>
              <w:rPr>
                <w:rFonts w:ascii="Times New Roman" w:cs="Times New Roman"/>
                <w:u w:val="wave"/>
              </w:rPr>
            </w:pPr>
            <w:r>
              <w:rPr>
                <w:rFonts w:hint="eastAsia" w:ascii="Times New Roman" w:cs="Times New Roman"/>
                <w:u w:val="wave"/>
              </w:rPr>
              <w:t>根据现场调查，区域内无自然保护区、水源保护区、珍稀动植物保护物种、无历</w:t>
            </w:r>
          </w:p>
          <w:p>
            <w:pPr>
              <w:pStyle w:val="35"/>
              <w:spacing w:after="0" w:line="360" w:lineRule="auto"/>
              <w:jc w:val="both"/>
              <w:rPr>
                <w:rFonts w:ascii="Times New Roman" w:cs="Times New Roman"/>
                <w:u w:val="wave"/>
              </w:rPr>
            </w:pPr>
            <w:r>
              <w:rPr>
                <w:rFonts w:hint="eastAsia" w:ascii="Times New Roman" w:cs="Times New Roman"/>
                <w:u w:val="wave"/>
              </w:rPr>
              <w:t>史文物古迹等需要特殊保护的环境敏感点。本项目主要环境保护目标见下表。</w:t>
            </w:r>
          </w:p>
          <w:p>
            <w:pPr>
              <w:pStyle w:val="35"/>
              <w:spacing w:after="0" w:line="360" w:lineRule="auto"/>
              <w:jc w:val="center"/>
              <w:rPr>
                <w:rFonts w:ascii="Times New Roman" w:cs="Times New Roman"/>
                <w:u w:val="wave"/>
              </w:rPr>
            </w:pPr>
            <w:r>
              <w:rPr>
                <w:rFonts w:hint="eastAsia" w:ascii="Times New Roman" w:cs="Times New Roman"/>
                <w:b/>
                <w:bCs/>
                <w:color w:val="auto"/>
                <w:szCs w:val="32"/>
                <w:u w:val="wave"/>
              </w:rPr>
              <w:t xml:space="preserve">表3-4  </w:t>
            </w:r>
            <w:r>
              <w:rPr>
                <w:rFonts w:ascii="Times New Roman" w:cs="Times New Roman"/>
                <w:b/>
                <w:bCs/>
                <w:color w:val="auto"/>
                <w:szCs w:val="32"/>
                <w:u w:val="wave"/>
              </w:rPr>
              <w:t>主要环境保护目标与环境敏感点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7"/>
              <w:gridCol w:w="635"/>
              <w:gridCol w:w="635"/>
              <w:gridCol w:w="1177"/>
              <w:gridCol w:w="1882"/>
              <w:gridCol w:w="1314"/>
              <w:gridCol w:w="1005"/>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82" w:type="dxa"/>
                  <w:gridSpan w:val="8"/>
                  <w:vAlign w:val="center"/>
                </w:tcPr>
                <w:p>
                  <w:pPr>
                    <w:pStyle w:val="35"/>
                    <w:spacing w:after="0"/>
                    <w:jc w:val="center"/>
                    <w:rPr>
                      <w:rStyle w:val="28"/>
                      <w:rFonts w:ascii="Times New Roman" w:cs="Times New Roman"/>
                      <w:color w:val="auto"/>
                      <w:kern w:val="2"/>
                      <w:u w:val="wave"/>
                    </w:rPr>
                  </w:pPr>
                  <w:r>
                    <w:rPr>
                      <w:rFonts w:ascii="Times New Roman" w:cs="Times New Roman"/>
                      <w:b/>
                      <w:bCs/>
                      <w:color w:val="auto"/>
                      <w:sz w:val="21"/>
                      <w:szCs w:val="21"/>
                      <w:u w:val="wave"/>
                    </w:rPr>
                    <w:t>大气环境保护目标与环境敏感点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67" w:type="dxa"/>
                  <w:vMerge w:val="restart"/>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名称</w:t>
                  </w:r>
                </w:p>
              </w:tc>
              <w:tc>
                <w:tcPr>
                  <w:tcW w:w="1270" w:type="dxa"/>
                  <w:gridSpan w:val="2"/>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坐标/m</w:t>
                  </w:r>
                </w:p>
              </w:tc>
              <w:tc>
                <w:tcPr>
                  <w:tcW w:w="1177" w:type="dxa"/>
                  <w:vMerge w:val="restart"/>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保护对象</w:t>
                  </w:r>
                </w:p>
              </w:tc>
              <w:tc>
                <w:tcPr>
                  <w:tcW w:w="1882" w:type="dxa"/>
                  <w:vMerge w:val="restart"/>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保护内容</w:t>
                  </w:r>
                </w:p>
              </w:tc>
              <w:tc>
                <w:tcPr>
                  <w:tcW w:w="1314" w:type="dxa"/>
                  <w:vMerge w:val="restart"/>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环境功能区</w:t>
                  </w:r>
                </w:p>
              </w:tc>
              <w:tc>
                <w:tcPr>
                  <w:tcW w:w="1005" w:type="dxa"/>
                  <w:vMerge w:val="restart"/>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相对场址方位</w:t>
                  </w:r>
                </w:p>
              </w:tc>
              <w:tc>
                <w:tcPr>
                  <w:tcW w:w="967" w:type="dxa"/>
                  <w:vMerge w:val="restart"/>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67" w:type="dxa"/>
                  <w:vMerge w:val="continue"/>
                  <w:vAlign w:val="center"/>
                </w:tcPr>
                <w:p>
                  <w:pPr>
                    <w:pStyle w:val="35"/>
                    <w:spacing w:after="0"/>
                    <w:jc w:val="center"/>
                    <w:rPr>
                      <w:rFonts w:ascii="Times New Roman" w:cs="Times New Roman"/>
                      <w:sz w:val="21"/>
                      <w:szCs w:val="21"/>
                      <w:u w:val="wave"/>
                    </w:rPr>
                  </w:pPr>
                </w:p>
              </w:tc>
              <w:tc>
                <w:tcPr>
                  <w:tcW w:w="635" w:type="dxa"/>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X</w:t>
                  </w:r>
                </w:p>
              </w:tc>
              <w:tc>
                <w:tcPr>
                  <w:tcW w:w="635" w:type="dxa"/>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Y</w:t>
                  </w:r>
                </w:p>
              </w:tc>
              <w:tc>
                <w:tcPr>
                  <w:tcW w:w="1177" w:type="dxa"/>
                  <w:vMerge w:val="continue"/>
                  <w:vAlign w:val="center"/>
                </w:tcPr>
                <w:p>
                  <w:pPr>
                    <w:pStyle w:val="35"/>
                    <w:spacing w:after="0"/>
                    <w:jc w:val="center"/>
                    <w:rPr>
                      <w:rStyle w:val="28"/>
                      <w:rFonts w:ascii="Times New Roman" w:cs="Times New Roman"/>
                      <w:color w:val="auto"/>
                      <w:kern w:val="2"/>
                      <w:u w:val="wave"/>
                    </w:rPr>
                  </w:pPr>
                </w:p>
              </w:tc>
              <w:tc>
                <w:tcPr>
                  <w:tcW w:w="1882" w:type="dxa"/>
                  <w:vMerge w:val="continue"/>
                  <w:vAlign w:val="center"/>
                </w:tcPr>
                <w:p>
                  <w:pPr>
                    <w:pStyle w:val="35"/>
                    <w:spacing w:after="0"/>
                    <w:jc w:val="center"/>
                    <w:rPr>
                      <w:rStyle w:val="28"/>
                      <w:rFonts w:ascii="Times New Roman" w:cs="Times New Roman"/>
                      <w:color w:val="auto"/>
                      <w:kern w:val="2"/>
                      <w:u w:val="wave"/>
                    </w:rPr>
                  </w:pPr>
                </w:p>
              </w:tc>
              <w:tc>
                <w:tcPr>
                  <w:tcW w:w="1314" w:type="dxa"/>
                  <w:vMerge w:val="continue"/>
                  <w:vAlign w:val="center"/>
                </w:tcPr>
                <w:p>
                  <w:pPr>
                    <w:pStyle w:val="35"/>
                    <w:spacing w:after="0"/>
                    <w:jc w:val="center"/>
                    <w:rPr>
                      <w:rStyle w:val="28"/>
                      <w:rFonts w:ascii="Times New Roman" w:cs="Times New Roman"/>
                      <w:color w:val="auto"/>
                      <w:kern w:val="2"/>
                      <w:u w:val="wave"/>
                    </w:rPr>
                  </w:pPr>
                </w:p>
              </w:tc>
              <w:tc>
                <w:tcPr>
                  <w:tcW w:w="1005" w:type="dxa"/>
                  <w:vMerge w:val="continue"/>
                  <w:vAlign w:val="center"/>
                </w:tcPr>
                <w:p>
                  <w:pPr>
                    <w:pStyle w:val="35"/>
                    <w:spacing w:after="0"/>
                    <w:jc w:val="center"/>
                    <w:rPr>
                      <w:rStyle w:val="28"/>
                      <w:rFonts w:ascii="Times New Roman" w:cs="Times New Roman"/>
                      <w:color w:val="auto"/>
                      <w:kern w:val="2"/>
                      <w:u w:val="wave"/>
                    </w:rPr>
                  </w:pPr>
                </w:p>
              </w:tc>
              <w:tc>
                <w:tcPr>
                  <w:tcW w:w="967" w:type="dxa"/>
                  <w:vMerge w:val="continue"/>
                  <w:vAlign w:val="center"/>
                </w:tcPr>
                <w:p>
                  <w:pPr>
                    <w:pStyle w:val="35"/>
                    <w:spacing w:after="0"/>
                    <w:jc w:val="center"/>
                    <w:rPr>
                      <w:rStyle w:val="28"/>
                      <w:rFonts w:ascii="Times New Roman" w:cs="Times New Roman"/>
                      <w:color w:val="auto"/>
                      <w:kern w:val="2"/>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67" w:type="dxa"/>
                  <w:vAlign w:val="center"/>
                </w:tcPr>
                <w:p>
                  <w:pPr>
                    <w:pStyle w:val="35"/>
                    <w:spacing w:after="0"/>
                    <w:jc w:val="center"/>
                    <w:rPr>
                      <w:rStyle w:val="28"/>
                      <w:rFonts w:ascii="Times New Roman" w:cs="Times New Roman"/>
                      <w:color w:val="auto"/>
                      <w:kern w:val="2"/>
                      <w:u w:val="wave"/>
                    </w:rPr>
                  </w:pPr>
                  <w:r>
                    <w:rPr>
                      <w:rFonts w:hint="eastAsia" w:ascii="Times New Roman" w:cs="Times New Roman"/>
                      <w:color w:val="auto"/>
                      <w:sz w:val="21"/>
                      <w:szCs w:val="21"/>
                      <w:u w:val="wave"/>
                    </w:rPr>
                    <w:t>东侧沅潭村居民点</w:t>
                  </w:r>
                </w:p>
              </w:tc>
              <w:tc>
                <w:tcPr>
                  <w:tcW w:w="63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76</w:t>
                  </w:r>
                </w:p>
              </w:tc>
              <w:tc>
                <w:tcPr>
                  <w:tcW w:w="63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0</w:t>
                  </w:r>
                </w:p>
              </w:tc>
              <w:tc>
                <w:tcPr>
                  <w:tcW w:w="1177" w:type="dxa"/>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居民</w:t>
                  </w:r>
                  <w:r>
                    <w:rPr>
                      <w:rStyle w:val="28"/>
                      <w:rFonts w:hint="eastAsia" w:ascii="Times New Roman" w:cs="Times New Roman"/>
                      <w:color w:val="auto"/>
                      <w:kern w:val="2"/>
                      <w:u w:val="wave"/>
                    </w:rPr>
                    <w:t>，70户，约210人</w:t>
                  </w:r>
                </w:p>
              </w:tc>
              <w:tc>
                <w:tcPr>
                  <w:tcW w:w="1882" w:type="dxa"/>
                  <w:vMerge w:val="restart"/>
                  <w:vAlign w:val="center"/>
                </w:tcPr>
                <w:p>
                  <w:pPr>
                    <w:pStyle w:val="35"/>
                    <w:spacing w:after="0"/>
                    <w:jc w:val="center"/>
                    <w:rPr>
                      <w:rFonts w:ascii="Times New Roman" w:cs="Times New Roman"/>
                      <w:color w:val="auto"/>
                      <w:kern w:val="2"/>
                      <w:sz w:val="21"/>
                      <w:szCs w:val="21"/>
                      <w:u w:val="wave"/>
                    </w:rPr>
                  </w:pPr>
                  <w:r>
                    <w:rPr>
                      <w:rFonts w:ascii="Times New Roman" w:cs="Times New Roman"/>
                      <w:color w:val="auto"/>
                      <w:sz w:val="21"/>
                      <w:u w:val="wave"/>
                    </w:rPr>
                    <w:t>《环境空气质量标准》（GB3095-2012）二级</w:t>
                  </w:r>
                </w:p>
              </w:tc>
              <w:tc>
                <w:tcPr>
                  <w:tcW w:w="1314" w:type="dxa"/>
                  <w:vMerge w:val="restart"/>
                  <w:vAlign w:val="center"/>
                </w:tcPr>
                <w:p>
                  <w:pPr>
                    <w:pStyle w:val="35"/>
                    <w:spacing w:after="0"/>
                    <w:jc w:val="center"/>
                    <w:rPr>
                      <w:rFonts w:ascii="Times New Roman" w:cs="Times New Roman"/>
                      <w:color w:val="auto"/>
                      <w:kern w:val="2"/>
                      <w:sz w:val="21"/>
                      <w:szCs w:val="21"/>
                      <w:u w:val="wave"/>
                    </w:rPr>
                  </w:pPr>
                  <w:r>
                    <w:rPr>
                      <w:rFonts w:hint="eastAsia" w:ascii="Times New Roman" w:cs="Times New Roman"/>
                      <w:color w:val="auto"/>
                      <w:sz w:val="21"/>
                      <w:u w:val="wave"/>
                    </w:rPr>
                    <w:t>二类区</w:t>
                  </w:r>
                </w:p>
              </w:tc>
              <w:tc>
                <w:tcPr>
                  <w:tcW w:w="100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东</w:t>
                  </w:r>
                </w:p>
              </w:tc>
              <w:tc>
                <w:tcPr>
                  <w:tcW w:w="967"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67"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北侧沅潭村居民点</w:t>
                  </w:r>
                </w:p>
              </w:tc>
              <w:tc>
                <w:tcPr>
                  <w:tcW w:w="63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185</w:t>
                  </w:r>
                </w:p>
              </w:tc>
              <w:tc>
                <w:tcPr>
                  <w:tcW w:w="63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-295</w:t>
                  </w:r>
                </w:p>
              </w:tc>
              <w:tc>
                <w:tcPr>
                  <w:tcW w:w="1177"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居民，80户，约240人</w:t>
                  </w:r>
                </w:p>
              </w:tc>
              <w:tc>
                <w:tcPr>
                  <w:tcW w:w="1882" w:type="dxa"/>
                  <w:vMerge w:val="continue"/>
                  <w:vAlign w:val="center"/>
                </w:tcPr>
                <w:p>
                  <w:pPr>
                    <w:pStyle w:val="35"/>
                    <w:spacing w:after="0"/>
                    <w:jc w:val="center"/>
                    <w:rPr>
                      <w:rFonts w:ascii="Times New Roman" w:cs="Times New Roman"/>
                      <w:color w:val="auto"/>
                      <w:sz w:val="21"/>
                      <w:szCs w:val="21"/>
                      <w:u w:val="wave"/>
                    </w:rPr>
                  </w:pPr>
                </w:p>
              </w:tc>
              <w:tc>
                <w:tcPr>
                  <w:tcW w:w="1314" w:type="dxa"/>
                  <w:vMerge w:val="continue"/>
                  <w:vAlign w:val="center"/>
                </w:tcPr>
                <w:p>
                  <w:pPr>
                    <w:pStyle w:val="35"/>
                    <w:spacing w:after="0"/>
                    <w:jc w:val="center"/>
                    <w:rPr>
                      <w:rFonts w:ascii="Times New Roman" w:cs="Times New Roman"/>
                      <w:color w:val="auto"/>
                      <w:sz w:val="21"/>
                      <w:szCs w:val="21"/>
                      <w:u w:val="wave"/>
                    </w:rPr>
                  </w:pPr>
                </w:p>
              </w:tc>
              <w:tc>
                <w:tcPr>
                  <w:tcW w:w="100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西北</w:t>
                  </w:r>
                </w:p>
              </w:tc>
              <w:tc>
                <w:tcPr>
                  <w:tcW w:w="967"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67"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西侧沅潭村居民点</w:t>
                  </w:r>
                </w:p>
              </w:tc>
              <w:tc>
                <w:tcPr>
                  <w:tcW w:w="63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-436</w:t>
                  </w:r>
                </w:p>
              </w:tc>
              <w:tc>
                <w:tcPr>
                  <w:tcW w:w="63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-62</w:t>
                  </w:r>
                </w:p>
              </w:tc>
              <w:tc>
                <w:tcPr>
                  <w:tcW w:w="1177"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居民，62户，约186人</w:t>
                  </w:r>
                </w:p>
              </w:tc>
              <w:tc>
                <w:tcPr>
                  <w:tcW w:w="1882" w:type="dxa"/>
                  <w:vMerge w:val="continue"/>
                  <w:vAlign w:val="center"/>
                </w:tcPr>
                <w:p>
                  <w:pPr>
                    <w:pStyle w:val="35"/>
                    <w:spacing w:after="0"/>
                    <w:jc w:val="center"/>
                    <w:rPr>
                      <w:rFonts w:ascii="Times New Roman" w:cs="Times New Roman"/>
                      <w:color w:val="auto"/>
                      <w:sz w:val="21"/>
                      <w:szCs w:val="21"/>
                      <w:u w:val="wave"/>
                    </w:rPr>
                  </w:pPr>
                </w:p>
              </w:tc>
              <w:tc>
                <w:tcPr>
                  <w:tcW w:w="1314" w:type="dxa"/>
                  <w:vMerge w:val="continue"/>
                  <w:vAlign w:val="center"/>
                </w:tcPr>
                <w:p>
                  <w:pPr>
                    <w:pStyle w:val="35"/>
                    <w:spacing w:after="0"/>
                    <w:jc w:val="center"/>
                    <w:rPr>
                      <w:rFonts w:ascii="Times New Roman" w:cs="Times New Roman"/>
                      <w:color w:val="auto"/>
                      <w:sz w:val="21"/>
                      <w:szCs w:val="21"/>
                      <w:u w:val="wave"/>
                    </w:rPr>
                  </w:pPr>
                </w:p>
              </w:tc>
              <w:tc>
                <w:tcPr>
                  <w:tcW w:w="100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西</w:t>
                  </w:r>
                </w:p>
              </w:tc>
              <w:tc>
                <w:tcPr>
                  <w:tcW w:w="967"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67"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杨林寨水厂</w:t>
                  </w:r>
                </w:p>
              </w:tc>
              <w:tc>
                <w:tcPr>
                  <w:tcW w:w="63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0</w:t>
                  </w:r>
                </w:p>
              </w:tc>
              <w:tc>
                <w:tcPr>
                  <w:tcW w:w="63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-40</w:t>
                  </w:r>
                </w:p>
              </w:tc>
              <w:tc>
                <w:tcPr>
                  <w:tcW w:w="1177"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自来水厂</w:t>
                  </w:r>
                </w:p>
              </w:tc>
              <w:tc>
                <w:tcPr>
                  <w:tcW w:w="1882" w:type="dxa"/>
                  <w:vMerge w:val="continue"/>
                  <w:vAlign w:val="center"/>
                </w:tcPr>
                <w:p>
                  <w:pPr>
                    <w:pStyle w:val="35"/>
                    <w:spacing w:after="0"/>
                    <w:jc w:val="center"/>
                    <w:rPr>
                      <w:rFonts w:ascii="Times New Roman" w:cs="Times New Roman"/>
                      <w:color w:val="auto"/>
                      <w:sz w:val="21"/>
                      <w:szCs w:val="21"/>
                      <w:u w:val="wave"/>
                    </w:rPr>
                  </w:pPr>
                </w:p>
              </w:tc>
              <w:tc>
                <w:tcPr>
                  <w:tcW w:w="1314" w:type="dxa"/>
                  <w:vMerge w:val="continue"/>
                  <w:vAlign w:val="center"/>
                </w:tcPr>
                <w:p>
                  <w:pPr>
                    <w:pStyle w:val="35"/>
                    <w:spacing w:after="0"/>
                    <w:jc w:val="center"/>
                    <w:rPr>
                      <w:rFonts w:ascii="Times New Roman" w:cs="Times New Roman"/>
                      <w:color w:val="auto"/>
                      <w:sz w:val="21"/>
                      <w:szCs w:val="21"/>
                      <w:u w:val="wave"/>
                    </w:rPr>
                  </w:pPr>
                </w:p>
              </w:tc>
              <w:tc>
                <w:tcPr>
                  <w:tcW w:w="100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南</w:t>
                  </w:r>
                </w:p>
              </w:tc>
              <w:tc>
                <w:tcPr>
                  <w:tcW w:w="967"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82" w:type="dxa"/>
                  <w:gridSpan w:val="8"/>
                  <w:vAlign w:val="center"/>
                </w:tcPr>
                <w:p>
                  <w:pPr>
                    <w:pStyle w:val="35"/>
                    <w:spacing w:before="156" w:beforeLines="50" w:after="0"/>
                    <w:ind w:left="422" w:hanging="422" w:hangingChars="200"/>
                    <w:jc w:val="center"/>
                    <w:rPr>
                      <w:rStyle w:val="28"/>
                      <w:rFonts w:ascii="Times New Roman" w:cs="Times New Roman"/>
                      <w:color w:val="auto"/>
                      <w:kern w:val="2"/>
                      <w:u w:val="wave"/>
                    </w:rPr>
                  </w:pPr>
                  <w:r>
                    <w:rPr>
                      <w:rFonts w:ascii="Times New Roman" w:cs="Times New Roman"/>
                      <w:b/>
                      <w:bCs/>
                      <w:color w:val="auto"/>
                      <w:sz w:val="21"/>
                      <w:szCs w:val="21"/>
                      <w:u w:val="wave"/>
                    </w:rPr>
                    <w:t>水环境保护目标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67" w:type="dxa"/>
                  <w:vMerge w:val="restart"/>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名称</w:t>
                  </w:r>
                </w:p>
              </w:tc>
              <w:tc>
                <w:tcPr>
                  <w:tcW w:w="1270" w:type="dxa"/>
                  <w:gridSpan w:val="2"/>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坐标/m</w:t>
                  </w:r>
                </w:p>
              </w:tc>
              <w:tc>
                <w:tcPr>
                  <w:tcW w:w="1177" w:type="dxa"/>
                  <w:vMerge w:val="restart"/>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保护对象</w:t>
                  </w:r>
                </w:p>
              </w:tc>
              <w:tc>
                <w:tcPr>
                  <w:tcW w:w="1882" w:type="dxa"/>
                  <w:vMerge w:val="restart"/>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保护内容</w:t>
                  </w:r>
                </w:p>
              </w:tc>
              <w:tc>
                <w:tcPr>
                  <w:tcW w:w="1314" w:type="dxa"/>
                  <w:vMerge w:val="restart"/>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环境功能区</w:t>
                  </w:r>
                </w:p>
              </w:tc>
              <w:tc>
                <w:tcPr>
                  <w:tcW w:w="1005" w:type="dxa"/>
                  <w:vMerge w:val="restart"/>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相对场址方位</w:t>
                  </w:r>
                </w:p>
              </w:tc>
              <w:tc>
                <w:tcPr>
                  <w:tcW w:w="967" w:type="dxa"/>
                  <w:vMerge w:val="restart"/>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67" w:type="dxa"/>
                  <w:vMerge w:val="continue"/>
                  <w:vAlign w:val="center"/>
                </w:tcPr>
                <w:p>
                  <w:pPr>
                    <w:pStyle w:val="35"/>
                    <w:spacing w:after="0"/>
                    <w:jc w:val="center"/>
                    <w:rPr>
                      <w:rFonts w:ascii="Times New Roman" w:cs="Times New Roman"/>
                      <w:sz w:val="21"/>
                      <w:szCs w:val="21"/>
                      <w:u w:val="wave"/>
                    </w:rPr>
                  </w:pPr>
                </w:p>
              </w:tc>
              <w:tc>
                <w:tcPr>
                  <w:tcW w:w="635" w:type="dxa"/>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X</w:t>
                  </w:r>
                </w:p>
              </w:tc>
              <w:tc>
                <w:tcPr>
                  <w:tcW w:w="635" w:type="dxa"/>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Y</w:t>
                  </w:r>
                </w:p>
              </w:tc>
              <w:tc>
                <w:tcPr>
                  <w:tcW w:w="1177" w:type="dxa"/>
                  <w:vMerge w:val="continue"/>
                  <w:vAlign w:val="center"/>
                </w:tcPr>
                <w:p>
                  <w:pPr>
                    <w:pStyle w:val="35"/>
                    <w:spacing w:after="0"/>
                    <w:jc w:val="center"/>
                    <w:rPr>
                      <w:rStyle w:val="28"/>
                      <w:rFonts w:ascii="Times New Roman" w:cs="Times New Roman"/>
                      <w:color w:val="auto"/>
                      <w:kern w:val="2"/>
                      <w:u w:val="wave"/>
                    </w:rPr>
                  </w:pPr>
                </w:p>
              </w:tc>
              <w:tc>
                <w:tcPr>
                  <w:tcW w:w="1882" w:type="dxa"/>
                  <w:vMerge w:val="continue"/>
                  <w:vAlign w:val="center"/>
                </w:tcPr>
                <w:p>
                  <w:pPr>
                    <w:pStyle w:val="35"/>
                    <w:spacing w:after="0"/>
                    <w:jc w:val="center"/>
                    <w:rPr>
                      <w:rStyle w:val="28"/>
                      <w:rFonts w:ascii="Times New Roman" w:cs="Times New Roman"/>
                      <w:color w:val="auto"/>
                      <w:kern w:val="2"/>
                      <w:u w:val="wave"/>
                    </w:rPr>
                  </w:pPr>
                </w:p>
              </w:tc>
              <w:tc>
                <w:tcPr>
                  <w:tcW w:w="1314" w:type="dxa"/>
                  <w:vMerge w:val="continue"/>
                  <w:vAlign w:val="center"/>
                </w:tcPr>
                <w:p>
                  <w:pPr>
                    <w:pStyle w:val="35"/>
                    <w:spacing w:after="0"/>
                    <w:jc w:val="center"/>
                    <w:rPr>
                      <w:rStyle w:val="28"/>
                      <w:rFonts w:ascii="Times New Roman" w:cs="Times New Roman"/>
                      <w:color w:val="auto"/>
                      <w:kern w:val="2"/>
                      <w:u w:val="wave"/>
                    </w:rPr>
                  </w:pPr>
                </w:p>
              </w:tc>
              <w:tc>
                <w:tcPr>
                  <w:tcW w:w="1005" w:type="dxa"/>
                  <w:vMerge w:val="continue"/>
                  <w:vAlign w:val="center"/>
                </w:tcPr>
                <w:p>
                  <w:pPr>
                    <w:pStyle w:val="35"/>
                    <w:spacing w:after="0"/>
                    <w:jc w:val="center"/>
                    <w:rPr>
                      <w:rStyle w:val="28"/>
                      <w:rFonts w:ascii="Times New Roman" w:cs="Times New Roman"/>
                      <w:color w:val="auto"/>
                      <w:kern w:val="2"/>
                      <w:u w:val="wave"/>
                    </w:rPr>
                  </w:pPr>
                </w:p>
              </w:tc>
              <w:tc>
                <w:tcPr>
                  <w:tcW w:w="967" w:type="dxa"/>
                  <w:vMerge w:val="continue"/>
                  <w:vAlign w:val="center"/>
                </w:tcPr>
                <w:p>
                  <w:pPr>
                    <w:pStyle w:val="35"/>
                    <w:spacing w:after="0"/>
                    <w:jc w:val="center"/>
                    <w:rPr>
                      <w:rStyle w:val="28"/>
                      <w:rFonts w:ascii="Times New Roman" w:cs="Times New Roman"/>
                      <w:color w:val="auto"/>
                      <w:kern w:val="2"/>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67" w:type="dxa"/>
                  <w:vAlign w:val="center"/>
                </w:tcPr>
                <w:p>
                  <w:pPr>
                    <w:pStyle w:val="35"/>
                    <w:spacing w:after="0"/>
                    <w:jc w:val="center"/>
                    <w:rPr>
                      <w:rStyle w:val="28"/>
                      <w:rFonts w:ascii="Times New Roman" w:cs="Times New Roman"/>
                      <w:color w:val="auto"/>
                      <w:kern w:val="2"/>
                      <w:u w:val="wave"/>
                    </w:rPr>
                  </w:pPr>
                  <w:r>
                    <w:rPr>
                      <w:rFonts w:hint="eastAsia" w:ascii="Times New Roman" w:cs="Times New Roman"/>
                      <w:color w:val="auto"/>
                      <w:sz w:val="21"/>
                      <w:szCs w:val="21"/>
                      <w:u w:val="wave"/>
                    </w:rPr>
                    <w:t>湘江</w:t>
                  </w:r>
                </w:p>
              </w:tc>
              <w:tc>
                <w:tcPr>
                  <w:tcW w:w="63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0</w:t>
                  </w:r>
                </w:p>
              </w:tc>
              <w:tc>
                <w:tcPr>
                  <w:tcW w:w="63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-264</w:t>
                  </w:r>
                </w:p>
              </w:tc>
              <w:tc>
                <w:tcPr>
                  <w:tcW w:w="1177"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地表水</w:t>
                  </w:r>
                </w:p>
              </w:tc>
              <w:tc>
                <w:tcPr>
                  <w:tcW w:w="1882" w:type="dxa"/>
                  <w:vAlign w:val="center"/>
                </w:tcPr>
                <w:p>
                  <w:pPr>
                    <w:pStyle w:val="35"/>
                    <w:spacing w:after="0"/>
                    <w:jc w:val="center"/>
                    <w:rPr>
                      <w:rFonts w:ascii="Times New Roman" w:cs="Times New Roman"/>
                      <w:color w:val="auto"/>
                      <w:kern w:val="2"/>
                      <w:sz w:val="21"/>
                      <w:szCs w:val="21"/>
                      <w:u w:val="wave"/>
                    </w:rPr>
                  </w:pPr>
                  <w:r>
                    <w:rPr>
                      <w:rStyle w:val="28"/>
                      <w:rFonts w:ascii="Times New Roman" w:cs="Times New Roman"/>
                      <w:color w:val="auto"/>
                      <w:kern w:val="2"/>
                      <w:u w:val="wave"/>
                    </w:rPr>
                    <w:t>《地表水环境质量标准》（GB3838-2002）中</w:t>
                  </w:r>
                  <w:r>
                    <w:rPr>
                      <w:rStyle w:val="28"/>
                      <w:rFonts w:hint="eastAsia" w:ascii="Times New Roman" w:cs="Times New Roman"/>
                      <w:color w:val="auto"/>
                      <w:kern w:val="2"/>
                      <w:u w:val="wave"/>
                    </w:rPr>
                    <w:t>Ⅲ</w:t>
                  </w:r>
                  <w:r>
                    <w:rPr>
                      <w:rStyle w:val="28"/>
                      <w:rFonts w:ascii="Times New Roman" w:cs="Times New Roman"/>
                      <w:color w:val="auto"/>
                      <w:kern w:val="2"/>
                      <w:u w:val="wave"/>
                    </w:rPr>
                    <w:t>类水质标准</w:t>
                  </w:r>
                </w:p>
              </w:tc>
              <w:tc>
                <w:tcPr>
                  <w:tcW w:w="1314" w:type="dxa"/>
                  <w:vAlign w:val="center"/>
                </w:tcPr>
                <w:p>
                  <w:pPr>
                    <w:pStyle w:val="35"/>
                    <w:spacing w:after="0"/>
                    <w:jc w:val="center"/>
                    <w:rPr>
                      <w:rFonts w:ascii="Times New Roman" w:cs="Times New Roman"/>
                      <w:color w:val="auto"/>
                      <w:kern w:val="2"/>
                      <w:sz w:val="21"/>
                      <w:szCs w:val="21"/>
                      <w:u w:val="wave"/>
                    </w:rPr>
                  </w:pPr>
                  <w:r>
                    <w:rPr>
                      <w:rStyle w:val="28"/>
                      <w:rFonts w:hint="eastAsia" w:ascii="Times New Roman" w:cs="Times New Roman"/>
                      <w:color w:val="auto"/>
                      <w:kern w:val="2"/>
                      <w:u w:val="wave"/>
                    </w:rPr>
                    <w:t>渔业用水区</w:t>
                  </w:r>
                </w:p>
              </w:tc>
              <w:tc>
                <w:tcPr>
                  <w:tcW w:w="100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南</w:t>
                  </w:r>
                </w:p>
              </w:tc>
              <w:tc>
                <w:tcPr>
                  <w:tcW w:w="967"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67"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杨林寨水厂取水口</w:t>
                  </w:r>
                </w:p>
              </w:tc>
              <w:tc>
                <w:tcPr>
                  <w:tcW w:w="63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-501</w:t>
                  </w:r>
                </w:p>
              </w:tc>
              <w:tc>
                <w:tcPr>
                  <w:tcW w:w="63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745</w:t>
                  </w:r>
                </w:p>
              </w:tc>
              <w:tc>
                <w:tcPr>
                  <w:tcW w:w="1177"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地下水</w:t>
                  </w:r>
                </w:p>
              </w:tc>
              <w:tc>
                <w:tcPr>
                  <w:tcW w:w="1882" w:type="dxa"/>
                  <w:vAlign w:val="center"/>
                </w:tcPr>
                <w:p>
                  <w:pPr>
                    <w:pStyle w:val="35"/>
                    <w:spacing w:after="0"/>
                    <w:jc w:val="center"/>
                    <w:rPr>
                      <w:rStyle w:val="28"/>
                      <w:rFonts w:ascii="Times New Roman" w:cs="Times New Roman"/>
                      <w:color w:val="auto"/>
                      <w:kern w:val="2"/>
                      <w:u w:val="wave"/>
                    </w:rPr>
                  </w:pPr>
                  <w:r>
                    <w:rPr>
                      <w:rStyle w:val="28"/>
                      <w:rFonts w:ascii="Times New Roman" w:cs="Times New Roman"/>
                      <w:color w:val="auto"/>
                      <w:kern w:val="2"/>
                      <w:u w:val="wave"/>
                    </w:rPr>
                    <w:t>《地下水质量标准》（GB/T14848-</w:t>
                  </w:r>
                  <w:r>
                    <w:rPr>
                      <w:rStyle w:val="28"/>
                      <w:rFonts w:hint="eastAsia" w:ascii="Times New Roman" w:cs="Times New Roman"/>
                      <w:color w:val="auto"/>
                      <w:kern w:val="2"/>
                      <w:u w:val="wave"/>
                    </w:rPr>
                    <w:t>2017</w:t>
                  </w:r>
                  <w:r>
                    <w:rPr>
                      <w:rStyle w:val="28"/>
                      <w:rFonts w:ascii="Times New Roman" w:cs="Times New Roman"/>
                      <w:color w:val="auto"/>
                      <w:kern w:val="2"/>
                      <w:u w:val="wave"/>
                    </w:rPr>
                    <w:t>）III类</w:t>
                  </w:r>
                </w:p>
              </w:tc>
              <w:tc>
                <w:tcPr>
                  <w:tcW w:w="1314"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饮用水水源保护区</w:t>
                  </w:r>
                </w:p>
              </w:tc>
              <w:tc>
                <w:tcPr>
                  <w:tcW w:w="1005"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西北</w:t>
                  </w:r>
                </w:p>
              </w:tc>
              <w:tc>
                <w:tcPr>
                  <w:tcW w:w="967" w:type="dxa"/>
                  <w:vAlign w:val="center"/>
                </w:tcPr>
                <w:p>
                  <w:pPr>
                    <w:pStyle w:val="35"/>
                    <w:spacing w:after="0"/>
                    <w:jc w:val="center"/>
                    <w:rPr>
                      <w:rStyle w:val="28"/>
                      <w:rFonts w:ascii="Times New Roman" w:cs="Times New Roman"/>
                      <w:color w:val="auto"/>
                      <w:kern w:val="2"/>
                      <w:u w:val="wave"/>
                    </w:rPr>
                  </w:pPr>
                  <w:r>
                    <w:rPr>
                      <w:rStyle w:val="28"/>
                      <w:rFonts w:hint="eastAsia" w:ascii="Times New Roman" w:cs="Times New Roman"/>
                      <w:color w:val="auto"/>
                      <w:kern w:val="2"/>
                      <w:u w:val="wave"/>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82" w:type="dxa"/>
                  <w:gridSpan w:val="8"/>
                  <w:vAlign w:val="center"/>
                </w:tcPr>
                <w:p>
                  <w:pPr>
                    <w:pStyle w:val="35"/>
                    <w:spacing w:after="0"/>
                    <w:jc w:val="center"/>
                    <w:rPr>
                      <w:rStyle w:val="28"/>
                      <w:rFonts w:ascii="Times New Roman" w:cs="Times New Roman"/>
                      <w:color w:val="auto"/>
                      <w:kern w:val="2"/>
                      <w:u w:val="wave"/>
                    </w:rPr>
                  </w:pPr>
                  <w:r>
                    <w:rPr>
                      <w:rFonts w:ascii="Times New Roman" w:cs="Times New Roman"/>
                      <w:b/>
                      <w:bCs/>
                      <w:color w:val="auto"/>
                      <w:sz w:val="21"/>
                      <w:szCs w:val="21"/>
                      <w:u w:val="wave"/>
                    </w:rPr>
                    <w:t>声环境保护目标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67" w:type="dxa"/>
                  <w:vAlign w:val="center"/>
                </w:tcPr>
                <w:p>
                  <w:pPr>
                    <w:pStyle w:val="35"/>
                    <w:spacing w:after="0"/>
                    <w:jc w:val="center"/>
                    <w:rPr>
                      <w:rFonts w:ascii="Times New Roman" w:cs="Times New Roman"/>
                      <w:color w:val="auto"/>
                      <w:kern w:val="2"/>
                      <w:sz w:val="21"/>
                      <w:szCs w:val="21"/>
                      <w:u w:val="wave"/>
                    </w:rPr>
                  </w:pPr>
                  <w:r>
                    <w:rPr>
                      <w:rFonts w:hint="eastAsia" w:ascii="Times New Roman" w:cs="Times New Roman"/>
                      <w:color w:val="auto"/>
                      <w:sz w:val="21"/>
                      <w:szCs w:val="21"/>
                      <w:u w:val="wave"/>
                    </w:rPr>
                    <w:t>东侧沅潭村居民点</w:t>
                  </w:r>
                </w:p>
              </w:tc>
              <w:tc>
                <w:tcPr>
                  <w:tcW w:w="635" w:type="dxa"/>
                  <w:vAlign w:val="center"/>
                </w:tcPr>
                <w:p>
                  <w:pPr>
                    <w:pStyle w:val="35"/>
                    <w:spacing w:after="0"/>
                    <w:jc w:val="center"/>
                    <w:rPr>
                      <w:rFonts w:ascii="Times New Roman" w:cs="Times New Roman"/>
                      <w:color w:val="auto"/>
                      <w:kern w:val="2"/>
                      <w:sz w:val="21"/>
                      <w:szCs w:val="21"/>
                      <w:u w:val="wave"/>
                    </w:rPr>
                  </w:pPr>
                  <w:r>
                    <w:rPr>
                      <w:rStyle w:val="28"/>
                      <w:rFonts w:hint="eastAsia" w:ascii="Times New Roman" w:cs="Times New Roman"/>
                      <w:color w:val="auto"/>
                      <w:kern w:val="2"/>
                      <w:u w:val="wave"/>
                    </w:rPr>
                    <w:t>76</w:t>
                  </w:r>
                </w:p>
              </w:tc>
              <w:tc>
                <w:tcPr>
                  <w:tcW w:w="635" w:type="dxa"/>
                  <w:vAlign w:val="center"/>
                </w:tcPr>
                <w:p>
                  <w:pPr>
                    <w:pStyle w:val="35"/>
                    <w:spacing w:after="0"/>
                    <w:jc w:val="center"/>
                    <w:rPr>
                      <w:rFonts w:ascii="Times New Roman" w:cs="Times New Roman"/>
                      <w:color w:val="auto"/>
                      <w:kern w:val="2"/>
                      <w:sz w:val="21"/>
                      <w:szCs w:val="21"/>
                      <w:u w:val="wave"/>
                    </w:rPr>
                  </w:pPr>
                  <w:r>
                    <w:rPr>
                      <w:rStyle w:val="28"/>
                      <w:rFonts w:hint="eastAsia" w:ascii="Times New Roman" w:cs="Times New Roman"/>
                      <w:color w:val="auto"/>
                      <w:kern w:val="2"/>
                      <w:u w:val="wave"/>
                    </w:rPr>
                    <w:t>0</w:t>
                  </w:r>
                </w:p>
              </w:tc>
              <w:tc>
                <w:tcPr>
                  <w:tcW w:w="1177" w:type="dxa"/>
                  <w:vAlign w:val="center"/>
                </w:tcPr>
                <w:p>
                  <w:pPr>
                    <w:pStyle w:val="35"/>
                    <w:spacing w:after="0"/>
                    <w:jc w:val="center"/>
                    <w:rPr>
                      <w:rFonts w:ascii="Times New Roman" w:cs="Times New Roman"/>
                      <w:color w:val="auto"/>
                      <w:kern w:val="2"/>
                      <w:sz w:val="21"/>
                      <w:szCs w:val="21"/>
                      <w:u w:val="wave"/>
                    </w:rPr>
                  </w:pPr>
                  <w:r>
                    <w:rPr>
                      <w:rStyle w:val="28"/>
                      <w:rFonts w:ascii="Times New Roman" w:cs="Times New Roman"/>
                      <w:color w:val="auto"/>
                      <w:kern w:val="2"/>
                      <w:u w:val="wave"/>
                    </w:rPr>
                    <w:t>居民</w:t>
                  </w:r>
                </w:p>
              </w:tc>
              <w:tc>
                <w:tcPr>
                  <w:tcW w:w="1882" w:type="dxa"/>
                  <w:vMerge w:val="restart"/>
                  <w:vAlign w:val="center"/>
                </w:tcPr>
                <w:p>
                  <w:pPr>
                    <w:pStyle w:val="35"/>
                    <w:spacing w:after="0"/>
                    <w:jc w:val="center"/>
                    <w:rPr>
                      <w:rFonts w:ascii="Times New Roman" w:cs="Times New Roman"/>
                      <w:color w:val="auto"/>
                      <w:kern w:val="2"/>
                      <w:sz w:val="21"/>
                      <w:szCs w:val="21"/>
                      <w:u w:val="wave"/>
                    </w:rPr>
                  </w:pPr>
                  <w:r>
                    <w:rPr>
                      <w:rStyle w:val="28"/>
                      <w:rFonts w:ascii="Times New Roman" w:cs="Times New Roman"/>
                      <w:color w:val="auto"/>
                      <w:kern w:val="2"/>
                      <w:u w:val="wave"/>
                    </w:rPr>
                    <w:t>《声环境质量标准》（GB3096-2008）2类</w:t>
                  </w:r>
                </w:p>
              </w:tc>
              <w:tc>
                <w:tcPr>
                  <w:tcW w:w="1314" w:type="dxa"/>
                  <w:vMerge w:val="restart"/>
                  <w:vAlign w:val="center"/>
                </w:tcPr>
                <w:p>
                  <w:pPr>
                    <w:pStyle w:val="35"/>
                    <w:spacing w:after="0"/>
                    <w:jc w:val="center"/>
                    <w:rPr>
                      <w:rFonts w:ascii="Times New Roman" w:cs="Times New Roman"/>
                      <w:color w:val="auto"/>
                      <w:kern w:val="2"/>
                      <w:sz w:val="21"/>
                      <w:szCs w:val="21"/>
                      <w:u w:val="wave"/>
                    </w:rPr>
                  </w:pPr>
                  <w:r>
                    <w:rPr>
                      <w:rStyle w:val="28"/>
                      <w:rFonts w:hint="eastAsia" w:ascii="Times New Roman" w:cs="Times New Roman"/>
                      <w:color w:val="auto"/>
                      <w:kern w:val="2"/>
                      <w:u w:val="wave"/>
                    </w:rPr>
                    <w:t>2类区</w:t>
                  </w:r>
                </w:p>
              </w:tc>
              <w:tc>
                <w:tcPr>
                  <w:tcW w:w="1005" w:type="dxa"/>
                  <w:vAlign w:val="center"/>
                </w:tcPr>
                <w:p>
                  <w:pPr>
                    <w:pStyle w:val="35"/>
                    <w:spacing w:after="0"/>
                    <w:jc w:val="center"/>
                    <w:rPr>
                      <w:rFonts w:ascii="Times New Roman" w:cs="Times New Roman"/>
                      <w:color w:val="auto"/>
                      <w:kern w:val="2"/>
                      <w:sz w:val="21"/>
                      <w:szCs w:val="21"/>
                      <w:u w:val="wave"/>
                    </w:rPr>
                  </w:pPr>
                  <w:r>
                    <w:rPr>
                      <w:rStyle w:val="28"/>
                      <w:rFonts w:hint="eastAsia" w:ascii="Times New Roman" w:cs="Times New Roman"/>
                      <w:color w:val="auto"/>
                      <w:kern w:val="2"/>
                      <w:u w:val="wave"/>
                    </w:rPr>
                    <w:t>东</w:t>
                  </w:r>
                </w:p>
              </w:tc>
              <w:tc>
                <w:tcPr>
                  <w:tcW w:w="967" w:type="dxa"/>
                  <w:vAlign w:val="center"/>
                </w:tcPr>
                <w:p>
                  <w:pPr>
                    <w:pStyle w:val="35"/>
                    <w:spacing w:after="0"/>
                    <w:jc w:val="center"/>
                    <w:rPr>
                      <w:rFonts w:ascii="Times New Roman" w:cs="Times New Roman"/>
                      <w:color w:val="auto"/>
                      <w:kern w:val="2"/>
                      <w:sz w:val="21"/>
                      <w:szCs w:val="21"/>
                      <w:u w:val="wave"/>
                    </w:rPr>
                  </w:pPr>
                  <w:r>
                    <w:rPr>
                      <w:rStyle w:val="28"/>
                      <w:rFonts w:hint="eastAsia" w:ascii="Times New Roman" w:cs="Times New Roman"/>
                      <w:color w:val="auto"/>
                      <w:kern w:val="2"/>
                      <w:u w:val="wave"/>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67" w:type="dxa"/>
                  <w:vAlign w:val="center"/>
                </w:tcPr>
                <w:p>
                  <w:pPr>
                    <w:pStyle w:val="35"/>
                    <w:spacing w:after="0"/>
                    <w:jc w:val="center"/>
                    <w:rPr>
                      <w:rFonts w:ascii="Times New Roman" w:cs="Times New Roman"/>
                      <w:color w:val="auto"/>
                      <w:sz w:val="21"/>
                      <w:szCs w:val="21"/>
                      <w:u w:val="wave"/>
                    </w:rPr>
                  </w:pPr>
                  <w:r>
                    <w:rPr>
                      <w:rFonts w:hint="eastAsia" w:ascii="Times New Roman" w:cs="Times New Roman"/>
                      <w:color w:val="auto"/>
                      <w:sz w:val="21"/>
                      <w:szCs w:val="21"/>
                      <w:u w:val="wave"/>
                    </w:rPr>
                    <w:t>杨林寨水厂</w:t>
                  </w:r>
                </w:p>
              </w:tc>
              <w:tc>
                <w:tcPr>
                  <w:tcW w:w="635" w:type="dxa"/>
                  <w:vAlign w:val="center"/>
                </w:tcPr>
                <w:p>
                  <w:pPr>
                    <w:pStyle w:val="35"/>
                    <w:spacing w:after="0"/>
                    <w:jc w:val="center"/>
                    <w:rPr>
                      <w:rFonts w:ascii="Times New Roman" w:cs="Times New Roman"/>
                      <w:color w:val="auto"/>
                      <w:kern w:val="2"/>
                      <w:sz w:val="21"/>
                      <w:szCs w:val="21"/>
                      <w:u w:val="wave"/>
                    </w:rPr>
                  </w:pPr>
                  <w:r>
                    <w:rPr>
                      <w:rStyle w:val="28"/>
                      <w:rFonts w:hint="eastAsia" w:ascii="Times New Roman" w:cs="Times New Roman"/>
                      <w:color w:val="auto"/>
                      <w:kern w:val="2"/>
                      <w:u w:val="wave"/>
                    </w:rPr>
                    <w:t>0</w:t>
                  </w:r>
                </w:p>
              </w:tc>
              <w:tc>
                <w:tcPr>
                  <w:tcW w:w="635" w:type="dxa"/>
                  <w:vAlign w:val="center"/>
                </w:tcPr>
                <w:p>
                  <w:pPr>
                    <w:pStyle w:val="35"/>
                    <w:spacing w:after="0"/>
                    <w:jc w:val="center"/>
                    <w:rPr>
                      <w:rFonts w:ascii="Times New Roman" w:cs="Times New Roman"/>
                      <w:color w:val="auto"/>
                      <w:kern w:val="2"/>
                      <w:sz w:val="21"/>
                      <w:szCs w:val="21"/>
                      <w:u w:val="wave"/>
                    </w:rPr>
                  </w:pPr>
                  <w:r>
                    <w:rPr>
                      <w:rStyle w:val="28"/>
                      <w:rFonts w:hint="eastAsia" w:ascii="Times New Roman" w:cs="Times New Roman"/>
                      <w:color w:val="auto"/>
                      <w:kern w:val="2"/>
                      <w:u w:val="wave"/>
                    </w:rPr>
                    <w:t>-40</w:t>
                  </w:r>
                </w:p>
              </w:tc>
              <w:tc>
                <w:tcPr>
                  <w:tcW w:w="1177" w:type="dxa"/>
                  <w:vAlign w:val="center"/>
                </w:tcPr>
                <w:p>
                  <w:pPr>
                    <w:pStyle w:val="35"/>
                    <w:spacing w:after="0"/>
                    <w:jc w:val="center"/>
                    <w:rPr>
                      <w:rFonts w:ascii="Times New Roman" w:cs="Times New Roman"/>
                      <w:color w:val="auto"/>
                      <w:kern w:val="2"/>
                      <w:sz w:val="21"/>
                      <w:szCs w:val="21"/>
                      <w:u w:val="wave"/>
                    </w:rPr>
                  </w:pPr>
                  <w:r>
                    <w:rPr>
                      <w:rStyle w:val="28"/>
                      <w:rFonts w:hint="eastAsia" w:ascii="Times New Roman" w:cs="Times New Roman"/>
                      <w:color w:val="auto"/>
                      <w:kern w:val="2"/>
                      <w:u w:val="wave"/>
                    </w:rPr>
                    <w:t>自来水厂</w:t>
                  </w:r>
                </w:p>
              </w:tc>
              <w:tc>
                <w:tcPr>
                  <w:tcW w:w="1882" w:type="dxa"/>
                  <w:vMerge w:val="continue"/>
                  <w:vAlign w:val="center"/>
                </w:tcPr>
                <w:p>
                  <w:pPr>
                    <w:pStyle w:val="35"/>
                    <w:spacing w:after="0"/>
                    <w:jc w:val="center"/>
                    <w:rPr>
                      <w:rStyle w:val="28"/>
                      <w:rFonts w:ascii="Times New Roman" w:cs="Times New Roman"/>
                      <w:color w:val="auto"/>
                      <w:kern w:val="2"/>
                      <w:u w:val="wave"/>
                    </w:rPr>
                  </w:pPr>
                </w:p>
              </w:tc>
              <w:tc>
                <w:tcPr>
                  <w:tcW w:w="1314" w:type="dxa"/>
                  <w:vMerge w:val="continue"/>
                  <w:vAlign w:val="center"/>
                </w:tcPr>
                <w:p>
                  <w:pPr>
                    <w:pStyle w:val="35"/>
                    <w:spacing w:after="0"/>
                    <w:jc w:val="center"/>
                    <w:rPr>
                      <w:rStyle w:val="28"/>
                      <w:rFonts w:ascii="Times New Roman" w:cs="Times New Roman"/>
                      <w:color w:val="auto"/>
                      <w:kern w:val="2"/>
                      <w:u w:val="wave"/>
                    </w:rPr>
                  </w:pPr>
                </w:p>
              </w:tc>
              <w:tc>
                <w:tcPr>
                  <w:tcW w:w="1005" w:type="dxa"/>
                  <w:vAlign w:val="center"/>
                </w:tcPr>
                <w:p>
                  <w:pPr>
                    <w:pStyle w:val="35"/>
                    <w:spacing w:after="0"/>
                    <w:jc w:val="center"/>
                    <w:rPr>
                      <w:rFonts w:ascii="Times New Roman" w:cs="Times New Roman"/>
                      <w:color w:val="auto"/>
                      <w:kern w:val="2"/>
                      <w:sz w:val="21"/>
                      <w:szCs w:val="21"/>
                      <w:u w:val="wave"/>
                    </w:rPr>
                  </w:pPr>
                  <w:r>
                    <w:rPr>
                      <w:rStyle w:val="28"/>
                      <w:rFonts w:hint="eastAsia" w:ascii="Times New Roman" w:cs="Times New Roman"/>
                      <w:color w:val="auto"/>
                      <w:kern w:val="2"/>
                      <w:u w:val="wave"/>
                    </w:rPr>
                    <w:t>南</w:t>
                  </w:r>
                </w:p>
              </w:tc>
              <w:tc>
                <w:tcPr>
                  <w:tcW w:w="967" w:type="dxa"/>
                  <w:vAlign w:val="center"/>
                </w:tcPr>
                <w:p>
                  <w:pPr>
                    <w:pStyle w:val="35"/>
                    <w:spacing w:after="0"/>
                    <w:jc w:val="center"/>
                    <w:rPr>
                      <w:rFonts w:ascii="Times New Roman" w:cs="Times New Roman"/>
                      <w:color w:val="auto"/>
                      <w:kern w:val="2"/>
                      <w:sz w:val="21"/>
                      <w:szCs w:val="21"/>
                      <w:u w:val="wave"/>
                    </w:rPr>
                  </w:pPr>
                  <w:r>
                    <w:rPr>
                      <w:rStyle w:val="28"/>
                      <w:rFonts w:hint="eastAsia" w:ascii="Times New Roman" w:cs="Times New Roman"/>
                      <w:color w:val="auto"/>
                      <w:kern w:val="2"/>
                      <w:u w:val="wave"/>
                    </w:rPr>
                    <w:t>40</w:t>
                  </w:r>
                </w:p>
              </w:tc>
            </w:tr>
          </w:tbl>
          <w:p>
            <w:pPr>
              <w:pStyle w:val="35"/>
              <w:spacing w:after="0"/>
            </w:pPr>
          </w:p>
          <w:p>
            <w:pPr>
              <w:pStyle w:val="35"/>
              <w:spacing w:after="0"/>
            </w:pPr>
          </w:p>
        </w:tc>
      </w:tr>
    </w:tbl>
    <w:p>
      <w:pPr>
        <w:pStyle w:val="35"/>
        <w:outlineLvl w:val="0"/>
        <w:rPr>
          <w:rFonts w:ascii="Times New Roman" w:cs="Times New Roman"/>
          <w:b/>
          <w:bCs/>
          <w:color w:val="auto"/>
          <w:sz w:val="32"/>
          <w:szCs w:val="40"/>
        </w:rPr>
      </w:pPr>
      <w:r>
        <w:rPr>
          <w:rFonts w:hint="eastAsia" w:ascii="Times New Roman" w:cs="Times New Roman"/>
          <w:b/>
          <w:bCs/>
        </w:rPr>
        <w:br w:type="page"/>
      </w:r>
      <w:bookmarkStart w:id="73" w:name="_Toc8857"/>
      <w:r>
        <w:rPr>
          <w:rFonts w:hint="eastAsia" w:ascii="Times New Roman" w:cs="Times New Roman"/>
          <w:b/>
          <w:bCs/>
          <w:color w:val="auto"/>
          <w:sz w:val="32"/>
          <w:szCs w:val="40"/>
        </w:rPr>
        <w:t>4评价适用标准</w:t>
      </w:r>
      <w:bookmarkEnd w:id="73"/>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458"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环境质量标准</w:t>
            </w:r>
          </w:p>
        </w:tc>
        <w:tc>
          <w:tcPr>
            <w:tcW w:w="8830" w:type="dxa"/>
          </w:tcPr>
          <w:p>
            <w:pPr>
              <w:pStyle w:val="35"/>
              <w:spacing w:after="0" w:line="360" w:lineRule="auto"/>
              <w:rPr>
                <w:rFonts w:ascii="Times New Roman" w:cs="Times New Roman"/>
                <w:b/>
                <w:bCs/>
                <w:color w:val="auto"/>
                <w:szCs w:val="32"/>
              </w:rPr>
            </w:pPr>
            <w:r>
              <w:rPr>
                <w:rFonts w:ascii="Times New Roman" w:cs="Times New Roman"/>
                <w:b/>
                <w:bCs/>
                <w:color w:val="auto"/>
                <w:szCs w:val="32"/>
              </w:rPr>
              <w:t>一、环境空气质量标准</w:t>
            </w:r>
          </w:p>
          <w:p>
            <w:pPr>
              <w:pStyle w:val="35"/>
              <w:spacing w:after="0" w:line="360" w:lineRule="auto"/>
              <w:ind w:firstLine="480" w:firstLineChars="200"/>
              <w:jc w:val="both"/>
              <w:rPr>
                <w:rFonts w:ascii="Times New Roman" w:cs="Times New Roman"/>
                <w:color w:val="auto"/>
                <w:szCs w:val="32"/>
              </w:rPr>
            </w:pPr>
            <w:r>
              <w:rPr>
                <w:rFonts w:ascii="Times New Roman" w:cs="Times New Roman"/>
                <w:color w:val="auto"/>
                <w:szCs w:val="32"/>
              </w:rPr>
              <w:t>本项目</w:t>
            </w:r>
            <w:r>
              <w:rPr>
                <w:rFonts w:hint="eastAsia" w:ascii="Times New Roman" w:cs="Times New Roman"/>
                <w:color w:val="auto"/>
                <w:szCs w:val="32"/>
              </w:rPr>
              <w:t>评价范围内</w:t>
            </w:r>
            <w:r>
              <w:rPr>
                <w:rFonts w:ascii="Times New Roman" w:cs="Times New Roman"/>
                <w:color w:val="auto"/>
                <w:szCs w:val="32"/>
              </w:rPr>
              <w:t>环境空气质量执行《环境空气质量标准》（GB3095-2012）中的二级标准</w:t>
            </w:r>
            <w:r>
              <w:rPr>
                <w:rFonts w:hint="eastAsia" w:ascii="Times New Roman" w:cs="Times New Roman"/>
                <w:color w:val="auto"/>
                <w:szCs w:val="32"/>
              </w:rPr>
              <w:t>限值，具体详</w:t>
            </w:r>
            <w:r>
              <w:rPr>
                <w:rFonts w:ascii="Times New Roman" w:cs="Times New Roman"/>
                <w:color w:val="auto"/>
                <w:szCs w:val="32"/>
              </w:rPr>
              <w:t>见</w:t>
            </w:r>
            <w:r>
              <w:rPr>
                <w:rFonts w:hint="eastAsia" w:ascii="Times New Roman" w:cs="Times New Roman"/>
                <w:color w:val="auto"/>
                <w:szCs w:val="32"/>
              </w:rPr>
              <w:t>下</w:t>
            </w:r>
            <w:r>
              <w:rPr>
                <w:rFonts w:ascii="Times New Roman" w:cs="Times New Roman"/>
                <w:color w:val="auto"/>
                <w:szCs w:val="32"/>
              </w:rPr>
              <w:t>表。</w:t>
            </w:r>
          </w:p>
          <w:p>
            <w:pPr>
              <w:pStyle w:val="35"/>
              <w:spacing w:after="0" w:line="360" w:lineRule="auto"/>
              <w:jc w:val="center"/>
              <w:rPr>
                <w:rFonts w:ascii="Times New Roman" w:cs="Times New Roman"/>
                <w:b/>
                <w:bCs/>
                <w:color w:val="auto"/>
                <w:szCs w:val="32"/>
              </w:rPr>
            </w:pPr>
            <w:r>
              <w:rPr>
                <w:rFonts w:ascii="Times New Roman" w:cs="Times New Roman"/>
                <w:b/>
                <w:bCs/>
                <w:color w:val="auto"/>
                <w:szCs w:val="32"/>
              </w:rPr>
              <w:t>表</w:t>
            </w:r>
            <w:r>
              <w:rPr>
                <w:rFonts w:hint="eastAsia" w:ascii="Times New Roman" w:cs="Times New Roman"/>
                <w:b/>
                <w:bCs/>
                <w:color w:val="auto"/>
                <w:szCs w:val="32"/>
              </w:rPr>
              <w:t>4-1</w:t>
            </w:r>
            <w:r>
              <w:rPr>
                <w:rFonts w:ascii="Times New Roman" w:cs="Times New Roman"/>
                <w:b/>
                <w:bCs/>
                <w:color w:val="auto"/>
                <w:szCs w:val="32"/>
              </w:rPr>
              <w:t xml:space="preserve">  《环境空气质量标准》（GB3095-2012）单位：ug/m</w:t>
            </w:r>
            <w:r>
              <w:rPr>
                <w:rFonts w:ascii="Times New Roman" w:cs="Times New Roman"/>
                <w:b/>
                <w:bCs/>
                <w:color w:val="auto"/>
                <w:szCs w:val="32"/>
                <w:vertAlign w:val="superscript"/>
              </w:rPr>
              <w:t>3</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2045"/>
              <w:gridCol w:w="1551"/>
              <w:gridCol w:w="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tcBorders>
                    <w:top w:val="single" w:color="auto" w:sz="4" w:space="0"/>
                    <w:left w:val="single" w:color="auto" w:sz="4" w:space="0"/>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污染物名称</w:t>
                  </w:r>
                </w:p>
              </w:tc>
              <w:tc>
                <w:tcPr>
                  <w:tcW w:w="2045"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取值时间</w:t>
                  </w:r>
                </w:p>
              </w:tc>
              <w:tc>
                <w:tcPr>
                  <w:tcW w:w="1551"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浓度限值</w:t>
                  </w:r>
                </w:p>
              </w:tc>
              <w:tc>
                <w:tcPr>
                  <w:tcW w:w="3153"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环境空气质量标准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vMerge w:val="restart"/>
                  <w:tcBorders>
                    <w:top w:val="nil"/>
                    <w:left w:val="single" w:color="auto" w:sz="4" w:space="0"/>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SO</w:t>
                  </w:r>
                  <w:r>
                    <w:rPr>
                      <w:szCs w:val="21"/>
                      <w:vertAlign w:val="subscript"/>
                    </w:rPr>
                    <w:t>2</w:t>
                  </w:r>
                </w:p>
              </w:tc>
              <w:tc>
                <w:tcPr>
                  <w:tcW w:w="2045"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年平均值</w:t>
                  </w:r>
                </w:p>
              </w:tc>
              <w:tc>
                <w:tcPr>
                  <w:tcW w:w="1551" w:type="dxa"/>
                  <w:tcBorders>
                    <w:top w:val="single" w:color="auto" w:sz="4" w:space="0"/>
                    <w:left w:val="nil"/>
                    <w:bottom w:val="single" w:color="auto" w:sz="4" w:space="0"/>
                    <w:right w:val="single" w:color="auto" w:sz="4" w:space="0"/>
                  </w:tcBorders>
                  <w:vAlign w:val="center"/>
                </w:tcPr>
                <w:p>
                  <w:pPr>
                    <w:autoSpaceDE w:val="0"/>
                    <w:autoSpaceDN w:val="0"/>
                    <w:adjustRightInd w:val="0"/>
                    <w:spacing w:after="0"/>
                    <w:ind w:left="63" w:leftChars="30" w:right="63" w:rightChars="30"/>
                    <w:jc w:val="center"/>
                    <w:rPr>
                      <w:szCs w:val="21"/>
                    </w:rPr>
                  </w:pPr>
                  <w:r>
                    <w:rPr>
                      <w:szCs w:val="21"/>
                    </w:rPr>
                    <w:t>60</w:t>
                  </w:r>
                </w:p>
              </w:tc>
              <w:tc>
                <w:tcPr>
                  <w:tcW w:w="3153" w:type="dxa"/>
                  <w:vMerge w:val="restart"/>
                  <w:tcBorders>
                    <w:top w:val="nil"/>
                    <w:left w:val="nil"/>
                    <w:right w:val="single" w:color="auto" w:sz="4" w:space="0"/>
                  </w:tcBorders>
                  <w:vAlign w:val="center"/>
                </w:tcPr>
                <w:p>
                  <w:pPr>
                    <w:adjustRightInd w:val="0"/>
                    <w:spacing w:after="0"/>
                    <w:ind w:left="63" w:leftChars="30" w:right="63" w:rightChars="30"/>
                    <w:jc w:val="center"/>
                    <w:rPr>
                      <w:szCs w:val="21"/>
                    </w:rPr>
                  </w:pPr>
                  <w:r>
                    <w:rPr>
                      <w:szCs w:val="21"/>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vMerge w:val="continue"/>
                  <w:tcBorders>
                    <w:top w:val="nil"/>
                    <w:left w:val="single" w:color="auto" w:sz="4" w:space="0"/>
                    <w:bottom w:val="single" w:color="auto" w:sz="4" w:space="0"/>
                    <w:right w:val="single" w:color="auto" w:sz="4" w:space="0"/>
                  </w:tcBorders>
                  <w:vAlign w:val="center"/>
                </w:tcPr>
                <w:p>
                  <w:pPr>
                    <w:spacing w:after="0"/>
                    <w:rPr>
                      <w:szCs w:val="21"/>
                    </w:rPr>
                  </w:pPr>
                </w:p>
              </w:tc>
              <w:tc>
                <w:tcPr>
                  <w:tcW w:w="2045"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24小时平均值</w:t>
                  </w:r>
                </w:p>
              </w:tc>
              <w:tc>
                <w:tcPr>
                  <w:tcW w:w="1551" w:type="dxa"/>
                  <w:tcBorders>
                    <w:top w:val="single" w:color="auto" w:sz="4" w:space="0"/>
                    <w:left w:val="nil"/>
                    <w:bottom w:val="single" w:color="auto" w:sz="4" w:space="0"/>
                    <w:right w:val="single" w:color="auto" w:sz="4" w:space="0"/>
                  </w:tcBorders>
                  <w:vAlign w:val="center"/>
                </w:tcPr>
                <w:p>
                  <w:pPr>
                    <w:autoSpaceDE w:val="0"/>
                    <w:autoSpaceDN w:val="0"/>
                    <w:adjustRightInd w:val="0"/>
                    <w:spacing w:after="0"/>
                    <w:ind w:left="63" w:leftChars="30" w:right="63" w:rightChars="30"/>
                    <w:jc w:val="center"/>
                    <w:rPr>
                      <w:szCs w:val="21"/>
                    </w:rPr>
                  </w:pPr>
                  <w:r>
                    <w:rPr>
                      <w:szCs w:val="21"/>
                    </w:rPr>
                    <w:t>150</w:t>
                  </w:r>
                </w:p>
              </w:tc>
              <w:tc>
                <w:tcPr>
                  <w:tcW w:w="3153" w:type="dxa"/>
                  <w:vMerge w:val="continue"/>
                  <w:tcBorders>
                    <w:left w:val="nil"/>
                    <w:right w:val="single" w:color="auto" w:sz="4" w:space="0"/>
                  </w:tcBorders>
                  <w:vAlign w:val="center"/>
                </w:tcPr>
                <w:p>
                  <w:pPr>
                    <w:spacing w:after="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83" w:type="dxa"/>
                  <w:vMerge w:val="continue"/>
                  <w:tcBorders>
                    <w:top w:val="nil"/>
                    <w:left w:val="single" w:color="auto" w:sz="4" w:space="0"/>
                    <w:bottom w:val="single" w:color="auto" w:sz="4" w:space="0"/>
                    <w:right w:val="single" w:color="auto" w:sz="4" w:space="0"/>
                  </w:tcBorders>
                  <w:vAlign w:val="center"/>
                </w:tcPr>
                <w:p>
                  <w:pPr>
                    <w:spacing w:after="0"/>
                    <w:rPr>
                      <w:szCs w:val="21"/>
                    </w:rPr>
                  </w:pPr>
                </w:p>
              </w:tc>
              <w:tc>
                <w:tcPr>
                  <w:tcW w:w="2045"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1小时平均值</w:t>
                  </w:r>
                </w:p>
              </w:tc>
              <w:tc>
                <w:tcPr>
                  <w:tcW w:w="1551" w:type="dxa"/>
                  <w:tcBorders>
                    <w:top w:val="single" w:color="auto" w:sz="4" w:space="0"/>
                    <w:left w:val="nil"/>
                    <w:bottom w:val="single" w:color="auto" w:sz="4" w:space="0"/>
                    <w:right w:val="single" w:color="auto" w:sz="4" w:space="0"/>
                  </w:tcBorders>
                  <w:vAlign w:val="center"/>
                </w:tcPr>
                <w:p>
                  <w:pPr>
                    <w:autoSpaceDE w:val="0"/>
                    <w:autoSpaceDN w:val="0"/>
                    <w:adjustRightInd w:val="0"/>
                    <w:spacing w:after="0"/>
                    <w:ind w:left="63" w:leftChars="30" w:right="63" w:rightChars="30"/>
                    <w:jc w:val="center"/>
                    <w:rPr>
                      <w:szCs w:val="21"/>
                    </w:rPr>
                  </w:pPr>
                  <w:r>
                    <w:rPr>
                      <w:szCs w:val="21"/>
                    </w:rPr>
                    <w:t>500</w:t>
                  </w:r>
                </w:p>
              </w:tc>
              <w:tc>
                <w:tcPr>
                  <w:tcW w:w="3153" w:type="dxa"/>
                  <w:vMerge w:val="continue"/>
                  <w:tcBorders>
                    <w:left w:val="nil"/>
                    <w:right w:val="single" w:color="auto" w:sz="4" w:space="0"/>
                  </w:tcBorders>
                  <w:vAlign w:val="center"/>
                </w:tcPr>
                <w:p>
                  <w:pPr>
                    <w:spacing w:after="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83" w:type="dxa"/>
                  <w:vMerge w:val="restart"/>
                  <w:tcBorders>
                    <w:top w:val="nil"/>
                    <w:left w:val="single" w:color="auto" w:sz="4" w:space="0"/>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NO</w:t>
                  </w:r>
                  <w:r>
                    <w:rPr>
                      <w:szCs w:val="21"/>
                      <w:vertAlign w:val="subscript"/>
                    </w:rPr>
                    <w:t>2</w:t>
                  </w:r>
                </w:p>
              </w:tc>
              <w:tc>
                <w:tcPr>
                  <w:tcW w:w="2045"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年平均值</w:t>
                  </w:r>
                </w:p>
              </w:tc>
              <w:tc>
                <w:tcPr>
                  <w:tcW w:w="1551" w:type="dxa"/>
                  <w:tcBorders>
                    <w:top w:val="single" w:color="auto" w:sz="4" w:space="0"/>
                    <w:left w:val="nil"/>
                    <w:bottom w:val="single" w:color="auto" w:sz="4" w:space="0"/>
                    <w:right w:val="single" w:color="auto" w:sz="4" w:space="0"/>
                  </w:tcBorders>
                  <w:vAlign w:val="center"/>
                </w:tcPr>
                <w:p>
                  <w:pPr>
                    <w:autoSpaceDE w:val="0"/>
                    <w:autoSpaceDN w:val="0"/>
                    <w:adjustRightInd w:val="0"/>
                    <w:spacing w:after="0"/>
                    <w:ind w:left="63" w:leftChars="30" w:right="63" w:rightChars="30"/>
                    <w:jc w:val="center"/>
                    <w:rPr>
                      <w:szCs w:val="21"/>
                    </w:rPr>
                  </w:pPr>
                  <w:r>
                    <w:rPr>
                      <w:szCs w:val="21"/>
                    </w:rPr>
                    <w:t>40</w:t>
                  </w:r>
                </w:p>
              </w:tc>
              <w:tc>
                <w:tcPr>
                  <w:tcW w:w="3153" w:type="dxa"/>
                  <w:vMerge w:val="continue"/>
                  <w:tcBorders>
                    <w:left w:val="nil"/>
                    <w:right w:val="single" w:color="auto" w:sz="4" w:space="0"/>
                  </w:tcBorders>
                  <w:vAlign w:val="center"/>
                </w:tcPr>
                <w:p>
                  <w:pPr>
                    <w:spacing w:after="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vMerge w:val="continue"/>
                  <w:tcBorders>
                    <w:top w:val="nil"/>
                    <w:left w:val="single" w:color="auto" w:sz="4" w:space="0"/>
                    <w:bottom w:val="single" w:color="auto" w:sz="4" w:space="0"/>
                    <w:right w:val="single" w:color="auto" w:sz="4" w:space="0"/>
                  </w:tcBorders>
                  <w:vAlign w:val="center"/>
                </w:tcPr>
                <w:p>
                  <w:pPr>
                    <w:spacing w:after="0"/>
                    <w:rPr>
                      <w:szCs w:val="21"/>
                    </w:rPr>
                  </w:pPr>
                </w:p>
              </w:tc>
              <w:tc>
                <w:tcPr>
                  <w:tcW w:w="2045"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24小时平均值</w:t>
                  </w:r>
                </w:p>
              </w:tc>
              <w:tc>
                <w:tcPr>
                  <w:tcW w:w="1551" w:type="dxa"/>
                  <w:tcBorders>
                    <w:top w:val="single" w:color="auto" w:sz="4" w:space="0"/>
                    <w:left w:val="nil"/>
                    <w:bottom w:val="single" w:color="auto" w:sz="4" w:space="0"/>
                    <w:right w:val="single" w:color="auto" w:sz="4" w:space="0"/>
                  </w:tcBorders>
                  <w:vAlign w:val="center"/>
                </w:tcPr>
                <w:p>
                  <w:pPr>
                    <w:autoSpaceDE w:val="0"/>
                    <w:autoSpaceDN w:val="0"/>
                    <w:adjustRightInd w:val="0"/>
                    <w:spacing w:after="0"/>
                    <w:ind w:left="63" w:leftChars="30" w:right="63" w:rightChars="30"/>
                    <w:jc w:val="center"/>
                    <w:rPr>
                      <w:szCs w:val="21"/>
                    </w:rPr>
                  </w:pPr>
                  <w:r>
                    <w:rPr>
                      <w:szCs w:val="21"/>
                    </w:rPr>
                    <w:t>80</w:t>
                  </w:r>
                </w:p>
              </w:tc>
              <w:tc>
                <w:tcPr>
                  <w:tcW w:w="3153" w:type="dxa"/>
                  <w:vMerge w:val="continue"/>
                  <w:tcBorders>
                    <w:left w:val="nil"/>
                    <w:right w:val="single" w:color="auto" w:sz="4" w:space="0"/>
                  </w:tcBorders>
                  <w:vAlign w:val="center"/>
                </w:tcPr>
                <w:p>
                  <w:pPr>
                    <w:spacing w:after="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vMerge w:val="continue"/>
                  <w:tcBorders>
                    <w:top w:val="nil"/>
                    <w:left w:val="single" w:color="auto" w:sz="4" w:space="0"/>
                    <w:bottom w:val="single" w:color="auto" w:sz="4" w:space="0"/>
                    <w:right w:val="single" w:color="auto" w:sz="4" w:space="0"/>
                  </w:tcBorders>
                  <w:vAlign w:val="center"/>
                </w:tcPr>
                <w:p>
                  <w:pPr>
                    <w:spacing w:after="0"/>
                    <w:rPr>
                      <w:szCs w:val="21"/>
                    </w:rPr>
                  </w:pPr>
                </w:p>
              </w:tc>
              <w:tc>
                <w:tcPr>
                  <w:tcW w:w="2045"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1小时平均值</w:t>
                  </w:r>
                </w:p>
              </w:tc>
              <w:tc>
                <w:tcPr>
                  <w:tcW w:w="1551" w:type="dxa"/>
                  <w:tcBorders>
                    <w:top w:val="single" w:color="auto" w:sz="4" w:space="0"/>
                    <w:left w:val="nil"/>
                    <w:bottom w:val="single" w:color="auto" w:sz="4" w:space="0"/>
                    <w:right w:val="single" w:color="auto" w:sz="4" w:space="0"/>
                  </w:tcBorders>
                  <w:vAlign w:val="center"/>
                </w:tcPr>
                <w:p>
                  <w:pPr>
                    <w:autoSpaceDE w:val="0"/>
                    <w:autoSpaceDN w:val="0"/>
                    <w:adjustRightInd w:val="0"/>
                    <w:spacing w:after="0"/>
                    <w:ind w:left="63" w:leftChars="30" w:right="63" w:rightChars="30"/>
                    <w:jc w:val="center"/>
                    <w:rPr>
                      <w:szCs w:val="21"/>
                    </w:rPr>
                  </w:pPr>
                  <w:r>
                    <w:rPr>
                      <w:szCs w:val="21"/>
                    </w:rPr>
                    <w:t>200</w:t>
                  </w:r>
                </w:p>
              </w:tc>
              <w:tc>
                <w:tcPr>
                  <w:tcW w:w="3153" w:type="dxa"/>
                  <w:vMerge w:val="continue"/>
                  <w:tcBorders>
                    <w:left w:val="nil"/>
                    <w:right w:val="single" w:color="auto" w:sz="4" w:space="0"/>
                  </w:tcBorders>
                  <w:vAlign w:val="center"/>
                </w:tcPr>
                <w:p>
                  <w:pPr>
                    <w:spacing w:after="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vMerge w:val="restart"/>
                  <w:tcBorders>
                    <w:top w:val="nil"/>
                    <w:left w:val="single" w:color="auto" w:sz="4" w:space="0"/>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PM</w:t>
                  </w:r>
                  <w:r>
                    <w:rPr>
                      <w:szCs w:val="21"/>
                      <w:vertAlign w:val="subscript"/>
                    </w:rPr>
                    <w:t>10</w:t>
                  </w:r>
                </w:p>
              </w:tc>
              <w:tc>
                <w:tcPr>
                  <w:tcW w:w="2045"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年平均值</w:t>
                  </w:r>
                </w:p>
              </w:tc>
              <w:tc>
                <w:tcPr>
                  <w:tcW w:w="1551" w:type="dxa"/>
                  <w:tcBorders>
                    <w:top w:val="single" w:color="auto" w:sz="4" w:space="0"/>
                    <w:left w:val="nil"/>
                    <w:bottom w:val="single" w:color="auto" w:sz="4" w:space="0"/>
                    <w:right w:val="single" w:color="auto" w:sz="4" w:space="0"/>
                  </w:tcBorders>
                  <w:vAlign w:val="center"/>
                </w:tcPr>
                <w:p>
                  <w:pPr>
                    <w:autoSpaceDE w:val="0"/>
                    <w:autoSpaceDN w:val="0"/>
                    <w:adjustRightInd w:val="0"/>
                    <w:spacing w:after="0"/>
                    <w:ind w:left="63" w:leftChars="30" w:right="63" w:rightChars="30"/>
                    <w:jc w:val="center"/>
                    <w:rPr>
                      <w:szCs w:val="21"/>
                    </w:rPr>
                  </w:pPr>
                  <w:r>
                    <w:rPr>
                      <w:szCs w:val="21"/>
                    </w:rPr>
                    <w:t>70</w:t>
                  </w:r>
                </w:p>
              </w:tc>
              <w:tc>
                <w:tcPr>
                  <w:tcW w:w="3153" w:type="dxa"/>
                  <w:vMerge w:val="continue"/>
                  <w:tcBorders>
                    <w:left w:val="nil"/>
                    <w:right w:val="single" w:color="auto" w:sz="4" w:space="0"/>
                  </w:tcBorders>
                  <w:vAlign w:val="center"/>
                </w:tcPr>
                <w:p>
                  <w:pPr>
                    <w:spacing w:after="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vMerge w:val="continue"/>
                  <w:tcBorders>
                    <w:top w:val="nil"/>
                    <w:left w:val="single" w:color="auto" w:sz="4" w:space="0"/>
                    <w:bottom w:val="single" w:color="auto" w:sz="4" w:space="0"/>
                    <w:right w:val="single" w:color="auto" w:sz="4" w:space="0"/>
                  </w:tcBorders>
                  <w:vAlign w:val="center"/>
                </w:tcPr>
                <w:p>
                  <w:pPr>
                    <w:spacing w:after="0"/>
                    <w:rPr>
                      <w:szCs w:val="21"/>
                    </w:rPr>
                  </w:pPr>
                </w:p>
              </w:tc>
              <w:tc>
                <w:tcPr>
                  <w:tcW w:w="2045"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24小时平均值</w:t>
                  </w:r>
                </w:p>
              </w:tc>
              <w:tc>
                <w:tcPr>
                  <w:tcW w:w="1551" w:type="dxa"/>
                  <w:tcBorders>
                    <w:top w:val="single" w:color="auto" w:sz="4" w:space="0"/>
                    <w:left w:val="nil"/>
                    <w:bottom w:val="single" w:color="auto" w:sz="4" w:space="0"/>
                    <w:right w:val="single" w:color="auto" w:sz="4" w:space="0"/>
                  </w:tcBorders>
                  <w:vAlign w:val="center"/>
                </w:tcPr>
                <w:p>
                  <w:pPr>
                    <w:autoSpaceDE w:val="0"/>
                    <w:autoSpaceDN w:val="0"/>
                    <w:adjustRightInd w:val="0"/>
                    <w:spacing w:after="0"/>
                    <w:ind w:left="63" w:leftChars="30" w:right="63" w:rightChars="30"/>
                    <w:jc w:val="center"/>
                    <w:rPr>
                      <w:szCs w:val="21"/>
                    </w:rPr>
                  </w:pPr>
                  <w:r>
                    <w:rPr>
                      <w:szCs w:val="21"/>
                    </w:rPr>
                    <w:t>150</w:t>
                  </w:r>
                </w:p>
              </w:tc>
              <w:tc>
                <w:tcPr>
                  <w:tcW w:w="3153" w:type="dxa"/>
                  <w:vMerge w:val="continue"/>
                  <w:tcBorders>
                    <w:left w:val="nil"/>
                    <w:right w:val="single" w:color="auto" w:sz="4" w:space="0"/>
                  </w:tcBorders>
                  <w:vAlign w:val="center"/>
                </w:tcPr>
                <w:p>
                  <w:pPr>
                    <w:spacing w:after="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vMerge w:val="restart"/>
                  <w:tcBorders>
                    <w:top w:val="single" w:color="auto" w:sz="4" w:space="0"/>
                    <w:left w:val="single" w:color="auto" w:sz="4" w:space="0"/>
                    <w:right w:val="single" w:color="auto" w:sz="4" w:space="0"/>
                  </w:tcBorders>
                  <w:vAlign w:val="center"/>
                </w:tcPr>
                <w:p>
                  <w:pPr>
                    <w:spacing w:after="0"/>
                    <w:jc w:val="center"/>
                    <w:rPr>
                      <w:szCs w:val="21"/>
                    </w:rPr>
                  </w:pPr>
                  <w:r>
                    <w:rPr>
                      <w:szCs w:val="21"/>
                    </w:rPr>
                    <w:t>PM</w:t>
                  </w:r>
                  <w:r>
                    <w:rPr>
                      <w:szCs w:val="21"/>
                      <w:vertAlign w:val="subscript"/>
                    </w:rPr>
                    <w:t>2.5</w:t>
                  </w:r>
                </w:p>
              </w:tc>
              <w:tc>
                <w:tcPr>
                  <w:tcW w:w="2045"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年平均值</w:t>
                  </w:r>
                </w:p>
              </w:tc>
              <w:tc>
                <w:tcPr>
                  <w:tcW w:w="1551" w:type="dxa"/>
                  <w:tcBorders>
                    <w:top w:val="single" w:color="auto" w:sz="4" w:space="0"/>
                    <w:left w:val="nil"/>
                    <w:bottom w:val="single" w:color="auto" w:sz="4" w:space="0"/>
                    <w:right w:val="single" w:color="auto" w:sz="4" w:space="0"/>
                  </w:tcBorders>
                  <w:vAlign w:val="center"/>
                </w:tcPr>
                <w:p>
                  <w:pPr>
                    <w:autoSpaceDE w:val="0"/>
                    <w:autoSpaceDN w:val="0"/>
                    <w:adjustRightInd w:val="0"/>
                    <w:spacing w:after="0"/>
                    <w:ind w:left="63" w:leftChars="30" w:right="63" w:rightChars="30"/>
                    <w:jc w:val="center"/>
                    <w:rPr>
                      <w:szCs w:val="21"/>
                    </w:rPr>
                  </w:pPr>
                  <w:r>
                    <w:rPr>
                      <w:szCs w:val="21"/>
                    </w:rPr>
                    <w:t>15</w:t>
                  </w:r>
                </w:p>
              </w:tc>
              <w:tc>
                <w:tcPr>
                  <w:tcW w:w="3153" w:type="dxa"/>
                  <w:vMerge w:val="continue"/>
                  <w:tcBorders>
                    <w:left w:val="nil"/>
                    <w:right w:val="single" w:color="auto" w:sz="4" w:space="0"/>
                  </w:tcBorders>
                  <w:vAlign w:val="center"/>
                </w:tcPr>
                <w:p>
                  <w:pPr>
                    <w:spacing w:after="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vMerge w:val="continue"/>
                  <w:tcBorders>
                    <w:left w:val="single" w:color="auto" w:sz="4" w:space="0"/>
                    <w:right w:val="single" w:color="auto" w:sz="4" w:space="0"/>
                  </w:tcBorders>
                  <w:vAlign w:val="center"/>
                </w:tcPr>
                <w:p>
                  <w:pPr>
                    <w:spacing w:after="0"/>
                    <w:rPr>
                      <w:szCs w:val="21"/>
                    </w:rPr>
                  </w:pPr>
                </w:p>
              </w:tc>
              <w:tc>
                <w:tcPr>
                  <w:tcW w:w="2045"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24小时平均值</w:t>
                  </w:r>
                </w:p>
              </w:tc>
              <w:tc>
                <w:tcPr>
                  <w:tcW w:w="1551" w:type="dxa"/>
                  <w:tcBorders>
                    <w:top w:val="single" w:color="auto" w:sz="4" w:space="0"/>
                    <w:left w:val="nil"/>
                    <w:bottom w:val="single" w:color="auto" w:sz="4" w:space="0"/>
                    <w:right w:val="single" w:color="auto" w:sz="4" w:space="0"/>
                  </w:tcBorders>
                  <w:vAlign w:val="center"/>
                </w:tcPr>
                <w:p>
                  <w:pPr>
                    <w:autoSpaceDE w:val="0"/>
                    <w:autoSpaceDN w:val="0"/>
                    <w:adjustRightInd w:val="0"/>
                    <w:spacing w:after="0"/>
                    <w:ind w:left="63" w:leftChars="30" w:right="63" w:rightChars="30"/>
                    <w:jc w:val="center"/>
                    <w:rPr>
                      <w:szCs w:val="21"/>
                    </w:rPr>
                  </w:pPr>
                  <w:r>
                    <w:rPr>
                      <w:szCs w:val="21"/>
                    </w:rPr>
                    <w:t>35</w:t>
                  </w:r>
                </w:p>
              </w:tc>
              <w:tc>
                <w:tcPr>
                  <w:tcW w:w="3153" w:type="dxa"/>
                  <w:vMerge w:val="continue"/>
                  <w:tcBorders>
                    <w:left w:val="nil"/>
                    <w:right w:val="single" w:color="auto" w:sz="4" w:space="0"/>
                  </w:tcBorders>
                  <w:vAlign w:val="center"/>
                </w:tcPr>
                <w:p>
                  <w:pPr>
                    <w:spacing w:after="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vMerge w:val="continue"/>
                  <w:tcBorders>
                    <w:left w:val="single" w:color="auto" w:sz="4" w:space="0"/>
                    <w:right w:val="single" w:color="auto" w:sz="4" w:space="0"/>
                  </w:tcBorders>
                  <w:vAlign w:val="center"/>
                </w:tcPr>
                <w:p>
                  <w:pPr>
                    <w:spacing w:after="0"/>
                    <w:rPr>
                      <w:szCs w:val="21"/>
                    </w:rPr>
                  </w:pPr>
                </w:p>
              </w:tc>
              <w:tc>
                <w:tcPr>
                  <w:tcW w:w="2045" w:type="dxa"/>
                  <w:tcBorders>
                    <w:top w:val="single" w:color="auto" w:sz="4" w:space="0"/>
                    <w:left w:val="nil"/>
                    <w:bottom w:val="single" w:color="auto" w:sz="4" w:space="0"/>
                    <w:right w:val="single" w:color="auto" w:sz="4" w:space="0"/>
                  </w:tcBorders>
                  <w:vAlign w:val="center"/>
                </w:tcPr>
                <w:p>
                  <w:pPr>
                    <w:adjustRightInd w:val="0"/>
                    <w:spacing w:after="0"/>
                    <w:ind w:left="63" w:leftChars="30" w:right="63" w:rightChars="30"/>
                    <w:jc w:val="center"/>
                    <w:rPr>
                      <w:szCs w:val="21"/>
                    </w:rPr>
                  </w:pPr>
                  <w:r>
                    <w:rPr>
                      <w:szCs w:val="21"/>
                    </w:rPr>
                    <w:t>1小时平均值</w:t>
                  </w:r>
                </w:p>
              </w:tc>
              <w:tc>
                <w:tcPr>
                  <w:tcW w:w="1551" w:type="dxa"/>
                  <w:tcBorders>
                    <w:top w:val="single" w:color="auto" w:sz="4" w:space="0"/>
                    <w:left w:val="nil"/>
                    <w:bottom w:val="single" w:color="auto" w:sz="4" w:space="0"/>
                    <w:right w:val="single" w:color="auto" w:sz="4" w:space="0"/>
                  </w:tcBorders>
                  <w:vAlign w:val="center"/>
                </w:tcPr>
                <w:p>
                  <w:pPr>
                    <w:autoSpaceDE w:val="0"/>
                    <w:autoSpaceDN w:val="0"/>
                    <w:adjustRightInd w:val="0"/>
                    <w:spacing w:after="0"/>
                    <w:ind w:left="63" w:leftChars="30" w:right="63" w:rightChars="30"/>
                    <w:jc w:val="center"/>
                    <w:rPr>
                      <w:szCs w:val="21"/>
                    </w:rPr>
                  </w:pPr>
                  <w:r>
                    <w:rPr>
                      <w:szCs w:val="21"/>
                    </w:rPr>
                    <w:t>/</w:t>
                  </w:r>
                </w:p>
              </w:tc>
              <w:tc>
                <w:tcPr>
                  <w:tcW w:w="3153" w:type="dxa"/>
                  <w:vMerge w:val="continue"/>
                  <w:tcBorders>
                    <w:left w:val="nil"/>
                    <w:right w:val="single" w:color="auto" w:sz="4" w:space="0"/>
                  </w:tcBorders>
                  <w:vAlign w:val="center"/>
                </w:tcPr>
                <w:p>
                  <w:pPr>
                    <w:spacing w:after="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vMerge w:val="restart"/>
                  <w:tcBorders>
                    <w:left w:val="single" w:color="auto" w:sz="4" w:space="0"/>
                    <w:right w:val="single" w:color="auto" w:sz="4" w:space="0"/>
                  </w:tcBorders>
                  <w:vAlign w:val="center"/>
                </w:tcPr>
                <w:p>
                  <w:pPr>
                    <w:adjustRightInd w:val="0"/>
                    <w:snapToGrid w:val="0"/>
                    <w:spacing w:after="0" w:line="360" w:lineRule="auto"/>
                    <w:jc w:val="center"/>
                    <w:outlineLvl w:val="0"/>
                    <w:rPr>
                      <w:szCs w:val="21"/>
                    </w:rPr>
                  </w:pPr>
                  <w:bookmarkStart w:id="74" w:name="_Toc26103"/>
                  <w:r>
                    <w:rPr>
                      <w:szCs w:val="21"/>
                    </w:rPr>
                    <w:t>一氧化碳</w:t>
                  </w:r>
                  <w:bookmarkEnd w:id="74"/>
                </w:p>
                <w:p>
                  <w:pPr>
                    <w:adjustRightInd w:val="0"/>
                    <w:snapToGrid w:val="0"/>
                    <w:spacing w:after="0" w:line="360" w:lineRule="auto"/>
                    <w:jc w:val="center"/>
                    <w:outlineLvl w:val="0"/>
                    <w:rPr>
                      <w:szCs w:val="21"/>
                    </w:rPr>
                  </w:pPr>
                  <w:bookmarkStart w:id="75" w:name="_Toc6955"/>
                  <w:r>
                    <w:rPr>
                      <w:szCs w:val="21"/>
                    </w:rPr>
                    <w:t>（CO）</w:t>
                  </w:r>
                  <w:bookmarkEnd w:id="75"/>
                </w:p>
              </w:tc>
              <w:tc>
                <w:tcPr>
                  <w:tcW w:w="2045" w:type="dxa"/>
                  <w:tcBorders>
                    <w:top w:val="single" w:color="auto" w:sz="4" w:space="0"/>
                    <w:left w:val="nil"/>
                    <w:bottom w:val="single" w:color="auto" w:sz="4" w:space="0"/>
                    <w:right w:val="single" w:color="auto" w:sz="4" w:space="0"/>
                  </w:tcBorders>
                  <w:vAlign w:val="center"/>
                </w:tcPr>
                <w:p>
                  <w:pPr>
                    <w:adjustRightInd w:val="0"/>
                    <w:snapToGrid w:val="0"/>
                    <w:spacing w:after="0" w:line="360" w:lineRule="auto"/>
                    <w:jc w:val="center"/>
                    <w:outlineLvl w:val="0"/>
                    <w:rPr>
                      <w:szCs w:val="21"/>
                    </w:rPr>
                  </w:pPr>
                  <w:bookmarkStart w:id="76" w:name="_Toc19092"/>
                  <w:r>
                    <w:rPr>
                      <w:szCs w:val="21"/>
                    </w:rPr>
                    <w:t>24小时平均</w:t>
                  </w:r>
                  <w:bookmarkEnd w:id="76"/>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after="0" w:line="360" w:lineRule="auto"/>
                    <w:jc w:val="center"/>
                    <w:outlineLvl w:val="0"/>
                    <w:rPr>
                      <w:szCs w:val="21"/>
                    </w:rPr>
                  </w:pPr>
                  <w:bookmarkStart w:id="77" w:name="_Toc10364"/>
                  <w:r>
                    <w:rPr>
                      <w:szCs w:val="21"/>
                    </w:rPr>
                    <w:t>4</w:t>
                  </w:r>
                  <w:bookmarkEnd w:id="77"/>
                </w:p>
              </w:tc>
              <w:tc>
                <w:tcPr>
                  <w:tcW w:w="3153" w:type="dxa"/>
                  <w:vMerge w:val="continue"/>
                  <w:tcBorders>
                    <w:left w:val="nil"/>
                    <w:right w:val="single" w:color="auto" w:sz="4" w:space="0"/>
                  </w:tcBorders>
                  <w:vAlign w:val="center"/>
                </w:tcPr>
                <w:p>
                  <w:pPr>
                    <w:spacing w:after="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vMerge w:val="continue"/>
                  <w:tcBorders>
                    <w:left w:val="single" w:color="auto" w:sz="4" w:space="0"/>
                    <w:right w:val="single" w:color="auto" w:sz="4" w:space="0"/>
                  </w:tcBorders>
                  <w:vAlign w:val="center"/>
                </w:tcPr>
                <w:p>
                  <w:pPr>
                    <w:spacing w:after="0"/>
                    <w:rPr>
                      <w:szCs w:val="21"/>
                    </w:rPr>
                  </w:pPr>
                </w:p>
              </w:tc>
              <w:tc>
                <w:tcPr>
                  <w:tcW w:w="2045" w:type="dxa"/>
                  <w:tcBorders>
                    <w:top w:val="single" w:color="auto" w:sz="4" w:space="0"/>
                    <w:left w:val="nil"/>
                    <w:bottom w:val="single" w:color="auto" w:sz="4" w:space="0"/>
                    <w:right w:val="single" w:color="auto" w:sz="4" w:space="0"/>
                  </w:tcBorders>
                  <w:vAlign w:val="center"/>
                </w:tcPr>
                <w:p>
                  <w:pPr>
                    <w:adjustRightInd w:val="0"/>
                    <w:snapToGrid w:val="0"/>
                    <w:spacing w:after="0" w:line="360" w:lineRule="auto"/>
                    <w:jc w:val="center"/>
                    <w:outlineLvl w:val="0"/>
                    <w:rPr>
                      <w:szCs w:val="21"/>
                    </w:rPr>
                  </w:pPr>
                  <w:bookmarkStart w:id="78" w:name="_Toc32459"/>
                  <w:r>
                    <w:rPr>
                      <w:szCs w:val="21"/>
                    </w:rPr>
                    <w:t>1小时平均</w:t>
                  </w:r>
                  <w:bookmarkEnd w:id="78"/>
                </w:p>
              </w:tc>
              <w:tc>
                <w:tcPr>
                  <w:tcW w:w="1551" w:type="dxa"/>
                  <w:tcBorders>
                    <w:top w:val="single" w:color="auto" w:sz="4" w:space="0"/>
                    <w:left w:val="nil"/>
                    <w:bottom w:val="single" w:color="auto" w:sz="4" w:space="0"/>
                    <w:right w:val="single" w:color="auto" w:sz="4" w:space="0"/>
                  </w:tcBorders>
                  <w:vAlign w:val="center"/>
                </w:tcPr>
                <w:p>
                  <w:pPr>
                    <w:adjustRightInd w:val="0"/>
                    <w:snapToGrid w:val="0"/>
                    <w:spacing w:after="0" w:line="360" w:lineRule="auto"/>
                    <w:jc w:val="center"/>
                    <w:outlineLvl w:val="0"/>
                    <w:rPr>
                      <w:szCs w:val="21"/>
                    </w:rPr>
                  </w:pPr>
                  <w:bookmarkStart w:id="79" w:name="_Toc20084"/>
                  <w:r>
                    <w:rPr>
                      <w:szCs w:val="21"/>
                    </w:rPr>
                    <w:t>10</w:t>
                  </w:r>
                  <w:bookmarkEnd w:id="79"/>
                </w:p>
              </w:tc>
              <w:tc>
                <w:tcPr>
                  <w:tcW w:w="3153" w:type="dxa"/>
                  <w:vMerge w:val="continue"/>
                  <w:tcBorders>
                    <w:left w:val="nil"/>
                    <w:right w:val="single" w:color="auto" w:sz="4" w:space="0"/>
                  </w:tcBorders>
                  <w:vAlign w:val="center"/>
                </w:tcPr>
                <w:p>
                  <w:pPr>
                    <w:spacing w:after="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vMerge w:val="restart"/>
                  <w:vAlign w:val="center"/>
                </w:tcPr>
                <w:p>
                  <w:pPr>
                    <w:adjustRightInd w:val="0"/>
                    <w:snapToGrid w:val="0"/>
                    <w:spacing w:after="0" w:line="360" w:lineRule="auto"/>
                    <w:jc w:val="center"/>
                    <w:outlineLvl w:val="0"/>
                    <w:rPr>
                      <w:szCs w:val="21"/>
                    </w:rPr>
                  </w:pPr>
                  <w:bookmarkStart w:id="80" w:name="_Toc16298"/>
                  <w:bookmarkStart w:id="81" w:name="_Toc24832"/>
                  <w:bookmarkStart w:id="82" w:name="_Toc11521"/>
                  <w:bookmarkStart w:id="83" w:name="_Toc6239"/>
                  <w:r>
                    <w:rPr>
                      <w:szCs w:val="21"/>
                    </w:rPr>
                    <w:t>臭氧（O</w:t>
                  </w:r>
                  <w:r>
                    <w:rPr>
                      <w:szCs w:val="21"/>
                      <w:vertAlign w:val="subscript"/>
                    </w:rPr>
                    <w:t>3</w:t>
                  </w:r>
                  <w:r>
                    <w:rPr>
                      <w:szCs w:val="21"/>
                    </w:rPr>
                    <w:t>）</w:t>
                  </w:r>
                  <w:bookmarkEnd w:id="80"/>
                </w:p>
              </w:tc>
              <w:tc>
                <w:tcPr>
                  <w:tcW w:w="0" w:type="auto"/>
                  <w:vAlign w:val="center"/>
                </w:tcPr>
                <w:p>
                  <w:pPr>
                    <w:adjustRightInd w:val="0"/>
                    <w:snapToGrid w:val="0"/>
                    <w:spacing w:after="0" w:line="360" w:lineRule="auto"/>
                    <w:jc w:val="center"/>
                    <w:outlineLvl w:val="0"/>
                    <w:rPr>
                      <w:szCs w:val="21"/>
                    </w:rPr>
                  </w:pPr>
                  <w:bookmarkStart w:id="84" w:name="_Toc936"/>
                  <w:r>
                    <w:rPr>
                      <w:szCs w:val="21"/>
                    </w:rPr>
                    <w:t>日最大8小时平均</w:t>
                  </w:r>
                  <w:bookmarkEnd w:id="84"/>
                </w:p>
              </w:tc>
              <w:tc>
                <w:tcPr>
                  <w:tcW w:w="0" w:type="auto"/>
                  <w:vAlign w:val="center"/>
                </w:tcPr>
                <w:p>
                  <w:pPr>
                    <w:adjustRightInd w:val="0"/>
                    <w:snapToGrid w:val="0"/>
                    <w:spacing w:after="0" w:line="360" w:lineRule="auto"/>
                    <w:jc w:val="center"/>
                    <w:outlineLvl w:val="0"/>
                    <w:rPr>
                      <w:szCs w:val="21"/>
                    </w:rPr>
                  </w:pPr>
                  <w:bookmarkStart w:id="85" w:name="_Toc2113"/>
                  <w:r>
                    <w:rPr>
                      <w:szCs w:val="21"/>
                    </w:rPr>
                    <w:t>160</w:t>
                  </w:r>
                  <w:bookmarkEnd w:id="85"/>
                </w:p>
              </w:tc>
              <w:tc>
                <w:tcPr>
                  <w:tcW w:w="3153" w:type="dxa"/>
                  <w:vMerge w:val="continue"/>
                  <w:tcBorders>
                    <w:left w:val="nil"/>
                    <w:right w:val="single" w:color="auto" w:sz="4" w:space="0"/>
                  </w:tcBorders>
                </w:tcPr>
                <w:p>
                  <w:pPr>
                    <w:spacing w:after="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3" w:type="dxa"/>
                  <w:vMerge w:val="continue"/>
                </w:tcPr>
                <w:p>
                  <w:pPr>
                    <w:spacing w:after="0"/>
                    <w:rPr>
                      <w:szCs w:val="21"/>
                    </w:rPr>
                  </w:pPr>
                </w:p>
              </w:tc>
              <w:tc>
                <w:tcPr>
                  <w:tcW w:w="0" w:type="auto"/>
                  <w:vAlign w:val="center"/>
                </w:tcPr>
                <w:p>
                  <w:pPr>
                    <w:adjustRightInd w:val="0"/>
                    <w:snapToGrid w:val="0"/>
                    <w:spacing w:after="0" w:line="360" w:lineRule="auto"/>
                    <w:jc w:val="center"/>
                    <w:outlineLvl w:val="0"/>
                    <w:rPr>
                      <w:szCs w:val="21"/>
                    </w:rPr>
                  </w:pPr>
                  <w:bookmarkStart w:id="86" w:name="_Toc621"/>
                  <w:r>
                    <w:rPr>
                      <w:szCs w:val="21"/>
                    </w:rPr>
                    <w:t>1小时平均</w:t>
                  </w:r>
                  <w:bookmarkEnd w:id="86"/>
                </w:p>
              </w:tc>
              <w:tc>
                <w:tcPr>
                  <w:tcW w:w="0" w:type="auto"/>
                  <w:vAlign w:val="center"/>
                </w:tcPr>
                <w:p>
                  <w:pPr>
                    <w:adjustRightInd w:val="0"/>
                    <w:snapToGrid w:val="0"/>
                    <w:spacing w:after="0" w:line="360" w:lineRule="auto"/>
                    <w:jc w:val="center"/>
                    <w:outlineLvl w:val="0"/>
                    <w:rPr>
                      <w:szCs w:val="21"/>
                    </w:rPr>
                  </w:pPr>
                  <w:bookmarkStart w:id="87" w:name="_Toc20209"/>
                  <w:r>
                    <w:rPr>
                      <w:szCs w:val="21"/>
                    </w:rPr>
                    <w:t>200</w:t>
                  </w:r>
                  <w:bookmarkEnd w:id="87"/>
                </w:p>
              </w:tc>
              <w:tc>
                <w:tcPr>
                  <w:tcW w:w="3153" w:type="dxa"/>
                  <w:vMerge w:val="continue"/>
                  <w:tcBorders>
                    <w:left w:val="nil"/>
                    <w:right w:val="single" w:color="auto" w:sz="4" w:space="0"/>
                  </w:tcBorders>
                </w:tcPr>
                <w:p>
                  <w:pPr>
                    <w:spacing w:after="0"/>
                    <w:rPr>
                      <w:szCs w:val="21"/>
                    </w:rPr>
                  </w:pPr>
                </w:p>
              </w:tc>
            </w:tr>
            <w:bookmarkEnd w:id="81"/>
            <w:bookmarkEnd w:id="82"/>
            <w:bookmarkEnd w:id="83"/>
          </w:tbl>
          <w:p>
            <w:pPr>
              <w:pStyle w:val="35"/>
              <w:spacing w:after="0" w:line="360" w:lineRule="auto"/>
              <w:rPr>
                <w:rFonts w:ascii="Times New Roman" w:cs="Times New Roman"/>
                <w:b/>
                <w:bCs/>
                <w:color w:val="auto"/>
                <w:szCs w:val="32"/>
              </w:rPr>
            </w:pPr>
            <w:r>
              <w:rPr>
                <w:rFonts w:ascii="Times New Roman" w:cs="Times New Roman"/>
                <w:b/>
                <w:bCs/>
                <w:color w:val="auto"/>
                <w:szCs w:val="32"/>
              </w:rPr>
              <w:t>二、地表水环境质量标准</w:t>
            </w:r>
          </w:p>
          <w:p>
            <w:pPr>
              <w:pStyle w:val="35"/>
              <w:spacing w:after="0" w:line="360" w:lineRule="auto"/>
              <w:ind w:firstLine="480" w:firstLineChars="200"/>
              <w:jc w:val="both"/>
              <w:rPr>
                <w:rFonts w:ascii="Times New Roman" w:cs="Times New Roman"/>
                <w:b/>
                <w:bCs/>
                <w:color w:val="auto"/>
                <w:szCs w:val="32"/>
              </w:rPr>
            </w:pPr>
            <w:r>
              <w:rPr>
                <w:rFonts w:ascii="Times New Roman" w:cs="Times New Roman"/>
                <w:color w:val="auto"/>
                <w:szCs w:val="32"/>
              </w:rPr>
              <w:t>本项目附近地表水体为</w:t>
            </w:r>
            <w:r>
              <w:rPr>
                <w:rFonts w:hint="eastAsia" w:ascii="Times New Roman" w:cs="Times New Roman"/>
                <w:color w:val="auto"/>
                <w:szCs w:val="32"/>
              </w:rPr>
              <w:t>湘江</w:t>
            </w:r>
            <w:r>
              <w:rPr>
                <w:rFonts w:ascii="Times New Roman" w:cs="Times New Roman"/>
                <w:color w:val="auto"/>
                <w:szCs w:val="32"/>
              </w:rPr>
              <w:t>，</w:t>
            </w:r>
            <w:r>
              <w:rPr>
                <w:rFonts w:ascii="Times New Roman" w:cs="Times New Roman"/>
                <w:szCs w:val="32"/>
              </w:rPr>
              <w:t>执行《地表水环境质量标准》（GB3838-2002）</w:t>
            </w:r>
            <w:r>
              <w:t>Ⅲ</w:t>
            </w:r>
            <w:r>
              <w:rPr>
                <w:rFonts w:ascii="Times New Roman" w:cs="Times New Roman"/>
              </w:rPr>
              <w:t>类</w:t>
            </w:r>
            <w:r>
              <w:rPr>
                <w:rFonts w:ascii="Times New Roman" w:cs="Times New Roman"/>
                <w:szCs w:val="32"/>
              </w:rPr>
              <w:t>标准限值</w:t>
            </w:r>
            <w:r>
              <w:rPr>
                <w:rFonts w:hint="eastAsia" w:ascii="Times New Roman" w:cs="Times New Roman"/>
                <w:szCs w:val="32"/>
              </w:rPr>
              <w:t>，具体详见下表。</w:t>
            </w:r>
          </w:p>
          <w:p>
            <w:pPr>
              <w:pStyle w:val="35"/>
              <w:spacing w:after="0" w:line="360" w:lineRule="auto"/>
              <w:jc w:val="center"/>
              <w:rPr>
                <w:rFonts w:ascii="Times New Roman" w:cs="Times New Roman"/>
                <w:b/>
                <w:bCs/>
                <w:color w:val="auto"/>
                <w:szCs w:val="32"/>
              </w:rPr>
            </w:pPr>
            <w:r>
              <w:rPr>
                <w:rFonts w:ascii="Times New Roman" w:cs="Times New Roman"/>
                <w:b/>
                <w:bCs/>
                <w:color w:val="auto"/>
                <w:szCs w:val="32"/>
              </w:rPr>
              <w:t>表</w:t>
            </w:r>
            <w:r>
              <w:rPr>
                <w:rFonts w:hint="eastAsia" w:ascii="Times New Roman" w:cs="Times New Roman"/>
                <w:b/>
                <w:bCs/>
                <w:color w:val="auto"/>
                <w:szCs w:val="32"/>
              </w:rPr>
              <w:t>4-2</w:t>
            </w:r>
            <w:r>
              <w:rPr>
                <w:rFonts w:ascii="Times New Roman" w:cs="Times New Roman"/>
                <w:b/>
                <w:bCs/>
                <w:color w:val="auto"/>
                <w:szCs w:val="32"/>
              </w:rPr>
              <w:t xml:space="preserve">  地表水环境质量标准（GB3838-2002）</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8"/>
              <w:gridCol w:w="2093"/>
              <w:gridCol w:w="1687"/>
              <w:gridCol w:w="1687"/>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78" w:type="dxa"/>
                  <w:vAlign w:val="center"/>
                </w:tcPr>
                <w:p>
                  <w:pPr>
                    <w:pStyle w:val="35"/>
                    <w:spacing w:after="0"/>
                    <w:jc w:val="center"/>
                    <w:rPr>
                      <w:rFonts w:ascii="Times New Roman" w:cs="Times New Roman"/>
                      <w:color w:val="auto"/>
                      <w:sz w:val="21"/>
                      <w:szCs w:val="21"/>
                    </w:rPr>
                  </w:pPr>
                  <w:r>
                    <w:rPr>
                      <w:rFonts w:ascii="Times New Roman" w:cs="Times New Roman"/>
                      <w:color w:val="auto"/>
                      <w:sz w:val="21"/>
                      <w:szCs w:val="21"/>
                    </w:rPr>
                    <w:t>水域名</w:t>
                  </w:r>
                </w:p>
              </w:tc>
              <w:tc>
                <w:tcPr>
                  <w:tcW w:w="2093" w:type="dxa"/>
                  <w:vAlign w:val="center"/>
                </w:tcPr>
                <w:p>
                  <w:pPr>
                    <w:pStyle w:val="35"/>
                    <w:spacing w:after="0"/>
                    <w:jc w:val="center"/>
                    <w:rPr>
                      <w:rFonts w:ascii="Times New Roman" w:cs="Times New Roman"/>
                      <w:color w:val="auto"/>
                      <w:sz w:val="21"/>
                      <w:szCs w:val="21"/>
                    </w:rPr>
                  </w:pPr>
                  <w:r>
                    <w:rPr>
                      <w:rFonts w:ascii="Times New Roman" w:cs="Times New Roman"/>
                      <w:color w:val="auto"/>
                      <w:sz w:val="21"/>
                      <w:szCs w:val="21"/>
                    </w:rPr>
                    <w:t>执行标准</w:t>
                  </w:r>
                </w:p>
              </w:tc>
              <w:tc>
                <w:tcPr>
                  <w:tcW w:w="1687" w:type="dxa"/>
                  <w:vAlign w:val="center"/>
                </w:tcPr>
                <w:p>
                  <w:pPr>
                    <w:pStyle w:val="35"/>
                    <w:spacing w:after="0"/>
                    <w:jc w:val="center"/>
                    <w:rPr>
                      <w:rFonts w:ascii="Times New Roman" w:cs="Times New Roman"/>
                      <w:color w:val="auto"/>
                      <w:sz w:val="21"/>
                      <w:szCs w:val="21"/>
                    </w:rPr>
                  </w:pPr>
                  <w:r>
                    <w:rPr>
                      <w:rFonts w:ascii="Times New Roman" w:cs="Times New Roman"/>
                      <w:color w:val="auto"/>
                      <w:sz w:val="21"/>
                      <w:szCs w:val="21"/>
                    </w:rPr>
                    <w:t>污染物指标</w:t>
                  </w:r>
                </w:p>
              </w:tc>
              <w:tc>
                <w:tcPr>
                  <w:tcW w:w="1687" w:type="dxa"/>
                  <w:vAlign w:val="center"/>
                </w:tcPr>
                <w:p>
                  <w:pPr>
                    <w:pStyle w:val="35"/>
                    <w:spacing w:after="0"/>
                    <w:jc w:val="center"/>
                    <w:rPr>
                      <w:rFonts w:ascii="Times New Roman" w:cs="Times New Roman"/>
                      <w:color w:val="auto"/>
                      <w:sz w:val="21"/>
                      <w:szCs w:val="21"/>
                    </w:rPr>
                  </w:pPr>
                  <w:r>
                    <w:rPr>
                      <w:rFonts w:ascii="Times New Roman" w:cs="Times New Roman"/>
                      <w:color w:val="auto"/>
                      <w:sz w:val="21"/>
                      <w:szCs w:val="21"/>
                    </w:rPr>
                    <w:t>标准限值</w:t>
                  </w:r>
                </w:p>
              </w:tc>
              <w:tc>
                <w:tcPr>
                  <w:tcW w:w="1687" w:type="dxa"/>
                  <w:vAlign w:val="center"/>
                </w:tcPr>
                <w:p>
                  <w:pPr>
                    <w:pStyle w:val="35"/>
                    <w:spacing w:after="0"/>
                    <w:jc w:val="center"/>
                    <w:rPr>
                      <w:rFonts w:ascii="Times New Roman" w:cs="Times New Roman"/>
                      <w:color w:val="auto"/>
                      <w:sz w:val="21"/>
                      <w:szCs w:val="21"/>
                    </w:rPr>
                  </w:pPr>
                  <w:r>
                    <w:rPr>
                      <w:rFonts w:ascii="Times New Roman" w:cs="Times New Roman"/>
                      <w:color w:val="auto"/>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78" w:type="dxa"/>
                  <w:vMerge w:val="restart"/>
                  <w:vAlign w:val="center"/>
                </w:tcPr>
                <w:p>
                  <w:pPr>
                    <w:pStyle w:val="35"/>
                    <w:spacing w:after="0"/>
                    <w:jc w:val="center"/>
                    <w:rPr>
                      <w:rFonts w:ascii="Times New Roman" w:cs="Times New Roman"/>
                      <w:color w:val="auto"/>
                      <w:sz w:val="21"/>
                      <w:szCs w:val="21"/>
                    </w:rPr>
                  </w:pPr>
                  <w:r>
                    <w:rPr>
                      <w:rFonts w:ascii="Times New Roman" w:cs="Times New Roman"/>
                      <w:color w:val="auto"/>
                      <w:sz w:val="21"/>
                      <w:szCs w:val="21"/>
                    </w:rPr>
                    <w:t>湘江</w:t>
                  </w:r>
                </w:p>
              </w:tc>
              <w:tc>
                <w:tcPr>
                  <w:tcW w:w="2093" w:type="dxa"/>
                  <w:vMerge w:val="restart"/>
                  <w:vAlign w:val="center"/>
                </w:tcPr>
                <w:p>
                  <w:pPr>
                    <w:pStyle w:val="35"/>
                    <w:spacing w:after="0"/>
                    <w:jc w:val="center"/>
                    <w:rPr>
                      <w:rFonts w:ascii="Times New Roman" w:cs="Times New Roman"/>
                      <w:color w:val="auto"/>
                      <w:sz w:val="21"/>
                      <w:szCs w:val="21"/>
                    </w:rPr>
                  </w:pPr>
                  <w:r>
                    <w:rPr>
                      <w:rFonts w:ascii="Times New Roman" w:cs="Times New Roman"/>
                      <w:sz w:val="21"/>
                      <w:szCs w:val="21"/>
                    </w:rPr>
                    <w:t>《地表水环境质量标准》（GB3838-2002）Ⅲ类水质标准</w:t>
                  </w:r>
                </w:p>
              </w:tc>
              <w:tc>
                <w:tcPr>
                  <w:tcW w:w="1687" w:type="dxa"/>
                  <w:vAlign w:val="center"/>
                </w:tcPr>
                <w:p>
                  <w:pPr>
                    <w:widowControl/>
                    <w:spacing w:after="0"/>
                    <w:jc w:val="center"/>
                    <w:rPr>
                      <w:szCs w:val="21"/>
                    </w:rPr>
                  </w:pPr>
                  <w:r>
                    <w:rPr>
                      <w:color w:val="000000"/>
                      <w:szCs w:val="21"/>
                    </w:rPr>
                    <w:t>PH</w:t>
                  </w:r>
                </w:p>
              </w:tc>
              <w:tc>
                <w:tcPr>
                  <w:tcW w:w="1687" w:type="dxa"/>
                  <w:vAlign w:val="center"/>
                </w:tcPr>
                <w:p>
                  <w:pPr>
                    <w:pStyle w:val="35"/>
                    <w:spacing w:after="0"/>
                    <w:jc w:val="center"/>
                    <w:rPr>
                      <w:rFonts w:ascii="Times New Roman" w:cs="Times New Roman"/>
                      <w:color w:val="auto"/>
                      <w:sz w:val="21"/>
                      <w:szCs w:val="21"/>
                    </w:rPr>
                  </w:pPr>
                  <w:r>
                    <w:rPr>
                      <w:rFonts w:ascii="Times New Roman" w:cs="Times New Roman"/>
                      <w:color w:val="auto"/>
                      <w:sz w:val="21"/>
                      <w:szCs w:val="21"/>
                    </w:rPr>
                    <w:t>6~9</w:t>
                  </w:r>
                </w:p>
              </w:tc>
              <w:tc>
                <w:tcPr>
                  <w:tcW w:w="1687" w:type="dxa"/>
                  <w:vAlign w:val="center"/>
                </w:tcPr>
                <w:p>
                  <w:pPr>
                    <w:widowControl/>
                    <w:spacing w:after="0"/>
                    <w:jc w:val="center"/>
                    <w:rPr>
                      <w:szCs w:val="21"/>
                    </w:rPr>
                  </w:pPr>
                  <w:r>
                    <w:rPr>
                      <w:color w:val="000000"/>
                      <w:szCs w:val="21"/>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78" w:type="dxa"/>
                  <w:vMerge w:val="continue"/>
                  <w:vAlign w:val="center"/>
                </w:tcPr>
                <w:p>
                  <w:pPr>
                    <w:pStyle w:val="35"/>
                    <w:spacing w:after="0"/>
                    <w:jc w:val="center"/>
                    <w:rPr>
                      <w:rFonts w:ascii="Times New Roman" w:cs="Times New Roman"/>
                      <w:color w:val="auto"/>
                      <w:sz w:val="21"/>
                      <w:szCs w:val="21"/>
                    </w:rPr>
                  </w:pPr>
                </w:p>
              </w:tc>
              <w:tc>
                <w:tcPr>
                  <w:tcW w:w="2093" w:type="dxa"/>
                  <w:vMerge w:val="continue"/>
                  <w:vAlign w:val="center"/>
                </w:tcPr>
                <w:p>
                  <w:pPr>
                    <w:pStyle w:val="35"/>
                    <w:spacing w:after="0"/>
                    <w:jc w:val="center"/>
                    <w:rPr>
                      <w:rFonts w:ascii="Times New Roman" w:cs="Times New Roman"/>
                      <w:color w:val="auto"/>
                      <w:sz w:val="21"/>
                      <w:szCs w:val="21"/>
                    </w:rPr>
                  </w:pPr>
                </w:p>
              </w:tc>
              <w:tc>
                <w:tcPr>
                  <w:tcW w:w="1687" w:type="dxa"/>
                  <w:vAlign w:val="center"/>
                </w:tcPr>
                <w:p>
                  <w:pPr>
                    <w:widowControl/>
                    <w:spacing w:after="0"/>
                    <w:jc w:val="center"/>
                    <w:rPr>
                      <w:szCs w:val="21"/>
                    </w:rPr>
                  </w:pPr>
                  <w:r>
                    <w:rPr>
                      <w:rFonts w:hint="eastAsia"/>
                      <w:szCs w:val="21"/>
                    </w:rPr>
                    <w:t>DO</w:t>
                  </w:r>
                </w:p>
              </w:tc>
              <w:tc>
                <w:tcPr>
                  <w:tcW w:w="1687" w:type="dxa"/>
                  <w:vAlign w:val="center"/>
                </w:tcPr>
                <w:p>
                  <w:pPr>
                    <w:pStyle w:val="35"/>
                    <w:spacing w:after="0"/>
                    <w:jc w:val="center"/>
                    <w:rPr>
                      <w:rFonts w:ascii="Times New Roman" w:cs="Times New Roman"/>
                      <w:color w:val="auto"/>
                      <w:sz w:val="21"/>
                      <w:szCs w:val="21"/>
                    </w:rPr>
                  </w:pPr>
                  <w:r>
                    <w:rPr>
                      <w:rFonts w:hint="eastAsia" w:ascii="Times New Roman" w:cs="Times New Roman"/>
                      <w:color w:val="auto"/>
                      <w:sz w:val="21"/>
                      <w:szCs w:val="21"/>
                    </w:rPr>
                    <w:t>5</w:t>
                  </w:r>
                </w:p>
              </w:tc>
              <w:tc>
                <w:tcPr>
                  <w:tcW w:w="1687" w:type="dxa"/>
                  <w:vAlign w:val="center"/>
                </w:tcPr>
                <w:p>
                  <w:pPr>
                    <w:widowControl/>
                    <w:spacing w:after="0"/>
                    <w:jc w:val="center"/>
                    <w:rPr>
                      <w:color w:val="000000"/>
                      <w:szCs w:val="21"/>
                    </w:rPr>
                  </w:pPr>
                  <w:r>
                    <w:rPr>
                      <w:color w:val="000000"/>
                      <w:szCs w:val="21"/>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78" w:type="dxa"/>
                  <w:vMerge w:val="continue"/>
                  <w:vAlign w:val="center"/>
                </w:tcPr>
                <w:p>
                  <w:pPr>
                    <w:pStyle w:val="35"/>
                    <w:spacing w:after="0"/>
                    <w:jc w:val="center"/>
                    <w:rPr>
                      <w:rFonts w:ascii="Times New Roman" w:cs="Times New Roman"/>
                      <w:color w:val="auto"/>
                      <w:sz w:val="21"/>
                      <w:szCs w:val="21"/>
                    </w:rPr>
                  </w:pPr>
                </w:p>
              </w:tc>
              <w:tc>
                <w:tcPr>
                  <w:tcW w:w="2093" w:type="dxa"/>
                  <w:vMerge w:val="continue"/>
                  <w:vAlign w:val="center"/>
                </w:tcPr>
                <w:p>
                  <w:pPr>
                    <w:pStyle w:val="35"/>
                    <w:spacing w:after="0"/>
                    <w:jc w:val="center"/>
                    <w:rPr>
                      <w:rFonts w:ascii="Times New Roman" w:cs="Times New Roman"/>
                      <w:color w:val="auto"/>
                      <w:sz w:val="21"/>
                      <w:szCs w:val="21"/>
                    </w:rPr>
                  </w:pPr>
                </w:p>
              </w:tc>
              <w:tc>
                <w:tcPr>
                  <w:tcW w:w="1687" w:type="dxa"/>
                  <w:vAlign w:val="center"/>
                </w:tcPr>
                <w:p>
                  <w:pPr>
                    <w:widowControl/>
                    <w:spacing w:after="0"/>
                    <w:jc w:val="center"/>
                    <w:rPr>
                      <w:szCs w:val="21"/>
                    </w:rPr>
                  </w:pPr>
                  <w:r>
                    <w:rPr>
                      <w:szCs w:val="21"/>
                    </w:rPr>
                    <w:t>COD</w:t>
                  </w:r>
                </w:p>
              </w:tc>
              <w:tc>
                <w:tcPr>
                  <w:tcW w:w="1687" w:type="dxa"/>
                  <w:vAlign w:val="center"/>
                </w:tcPr>
                <w:p>
                  <w:pPr>
                    <w:pStyle w:val="35"/>
                    <w:spacing w:after="0"/>
                    <w:jc w:val="center"/>
                    <w:rPr>
                      <w:rFonts w:ascii="Times New Roman" w:cs="Times New Roman"/>
                      <w:color w:val="auto"/>
                      <w:sz w:val="21"/>
                      <w:szCs w:val="21"/>
                    </w:rPr>
                  </w:pPr>
                  <w:r>
                    <w:rPr>
                      <w:rFonts w:ascii="Times New Roman" w:cs="Times New Roman"/>
                      <w:color w:val="auto"/>
                      <w:sz w:val="21"/>
                      <w:szCs w:val="21"/>
                    </w:rPr>
                    <w:t>20</w:t>
                  </w:r>
                </w:p>
              </w:tc>
              <w:tc>
                <w:tcPr>
                  <w:tcW w:w="1687" w:type="dxa"/>
                  <w:vAlign w:val="center"/>
                </w:tcPr>
                <w:p>
                  <w:pPr>
                    <w:widowControl/>
                    <w:spacing w:after="0"/>
                    <w:jc w:val="center"/>
                    <w:rPr>
                      <w:szCs w:val="21"/>
                    </w:rPr>
                  </w:pPr>
                  <w:r>
                    <w:rPr>
                      <w:color w:val="000000"/>
                      <w:szCs w:val="21"/>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78" w:type="dxa"/>
                  <w:vMerge w:val="continue"/>
                  <w:vAlign w:val="center"/>
                </w:tcPr>
                <w:p>
                  <w:pPr>
                    <w:pStyle w:val="35"/>
                    <w:spacing w:after="0"/>
                    <w:jc w:val="center"/>
                    <w:rPr>
                      <w:rFonts w:ascii="Times New Roman" w:cs="Times New Roman"/>
                      <w:color w:val="auto"/>
                      <w:sz w:val="21"/>
                      <w:szCs w:val="21"/>
                    </w:rPr>
                  </w:pPr>
                </w:p>
              </w:tc>
              <w:tc>
                <w:tcPr>
                  <w:tcW w:w="2093" w:type="dxa"/>
                  <w:vMerge w:val="continue"/>
                  <w:vAlign w:val="center"/>
                </w:tcPr>
                <w:p>
                  <w:pPr>
                    <w:pStyle w:val="35"/>
                    <w:spacing w:after="0"/>
                    <w:jc w:val="center"/>
                    <w:rPr>
                      <w:rFonts w:ascii="Times New Roman" w:cs="Times New Roman"/>
                      <w:color w:val="auto"/>
                      <w:sz w:val="21"/>
                      <w:szCs w:val="21"/>
                    </w:rPr>
                  </w:pPr>
                </w:p>
              </w:tc>
              <w:tc>
                <w:tcPr>
                  <w:tcW w:w="1687" w:type="dxa"/>
                  <w:vAlign w:val="center"/>
                </w:tcPr>
                <w:p>
                  <w:pPr>
                    <w:widowControl/>
                    <w:spacing w:after="0"/>
                    <w:jc w:val="center"/>
                    <w:rPr>
                      <w:szCs w:val="21"/>
                    </w:rPr>
                  </w:pPr>
                  <w:r>
                    <w:rPr>
                      <w:color w:val="000000"/>
                      <w:szCs w:val="21"/>
                    </w:rPr>
                    <w:t>BOD</w:t>
                  </w:r>
                  <w:r>
                    <w:rPr>
                      <w:color w:val="000000"/>
                      <w:szCs w:val="21"/>
                      <w:vertAlign w:val="subscript"/>
                    </w:rPr>
                    <w:t>5</w:t>
                  </w:r>
                </w:p>
              </w:tc>
              <w:tc>
                <w:tcPr>
                  <w:tcW w:w="1687" w:type="dxa"/>
                  <w:vAlign w:val="center"/>
                </w:tcPr>
                <w:p>
                  <w:pPr>
                    <w:pStyle w:val="35"/>
                    <w:spacing w:after="0"/>
                    <w:jc w:val="center"/>
                    <w:rPr>
                      <w:rFonts w:ascii="Times New Roman" w:cs="Times New Roman"/>
                      <w:color w:val="auto"/>
                      <w:sz w:val="21"/>
                      <w:szCs w:val="21"/>
                    </w:rPr>
                  </w:pPr>
                  <w:r>
                    <w:rPr>
                      <w:rFonts w:ascii="Times New Roman" w:cs="Times New Roman"/>
                      <w:color w:val="auto"/>
                      <w:sz w:val="21"/>
                      <w:szCs w:val="21"/>
                    </w:rPr>
                    <w:t>4</w:t>
                  </w:r>
                </w:p>
              </w:tc>
              <w:tc>
                <w:tcPr>
                  <w:tcW w:w="1687" w:type="dxa"/>
                  <w:vAlign w:val="center"/>
                </w:tcPr>
                <w:p>
                  <w:pPr>
                    <w:widowControl/>
                    <w:spacing w:after="0"/>
                    <w:jc w:val="center"/>
                    <w:rPr>
                      <w:szCs w:val="21"/>
                    </w:rPr>
                  </w:pPr>
                  <w:r>
                    <w:rPr>
                      <w:color w:val="000000"/>
                      <w:szCs w:val="21"/>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78" w:type="dxa"/>
                  <w:vMerge w:val="continue"/>
                  <w:vAlign w:val="center"/>
                </w:tcPr>
                <w:p>
                  <w:pPr>
                    <w:pStyle w:val="35"/>
                    <w:spacing w:after="0"/>
                    <w:jc w:val="center"/>
                    <w:rPr>
                      <w:rFonts w:ascii="Times New Roman" w:cs="Times New Roman"/>
                      <w:color w:val="auto"/>
                      <w:sz w:val="21"/>
                      <w:szCs w:val="21"/>
                    </w:rPr>
                  </w:pPr>
                </w:p>
              </w:tc>
              <w:tc>
                <w:tcPr>
                  <w:tcW w:w="2093" w:type="dxa"/>
                  <w:vMerge w:val="continue"/>
                  <w:vAlign w:val="center"/>
                </w:tcPr>
                <w:p>
                  <w:pPr>
                    <w:pStyle w:val="35"/>
                    <w:spacing w:after="0"/>
                    <w:jc w:val="center"/>
                    <w:rPr>
                      <w:rFonts w:ascii="Times New Roman" w:cs="Times New Roman"/>
                      <w:color w:val="auto"/>
                      <w:sz w:val="21"/>
                      <w:szCs w:val="21"/>
                    </w:rPr>
                  </w:pPr>
                </w:p>
              </w:tc>
              <w:tc>
                <w:tcPr>
                  <w:tcW w:w="1687" w:type="dxa"/>
                  <w:vAlign w:val="center"/>
                </w:tcPr>
                <w:p>
                  <w:pPr>
                    <w:widowControl/>
                    <w:spacing w:after="0"/>
                    <w:jc w:val="center"/>
                    <w:rPr>
                      <w:szCs w:val="21"/>
                    </w:rPr>
                  </w:pPr>
                  <w:r>
                    <w:rPr>
                      <w:color w:val="000000"/>
                      <w:szCs w:val="21"/>
                    </w:rPr>
                    <w:t>TP</w:t>
                  </w:r>
                </w:p>
              </w:tc>
              <w:tc>
                <w:tcPr>
                  <w:tcW w:w="1687" w:type="dxa"/>
                  <w:vAlign w:val="center"/>
                </w:tcPr>
                <w:p>
                  <w:pPr>
                    <w:pStyle w:val="35"/>
                    <w:spacing w:after="0"/>
                    <w:jc w:val="center"/>
                    <w:rPr>
                      <w:rFonts w:ascii="Times New Roman" w:cs="Times New Roman"/>
                      <w:color w:val="auto"/>
                      <w:sz w:val="21"/>
                      <w:szCs w:val="21"/>
                    </w:rPr>
                  </w:pPr>
                  <w:r>
                    <w:rPr>
                      <w:rFonts w:ascii="Times New Roman" w:cs="Times New Roman"/>
                      <w:color w:val="auto"/>
                      <w:sz w:val="21"/>
                      <w:szCs w:val="21"/>
                    </w:rPr>
                    <w:t>0.2</w:t>
                  </w:r>
                </w:p>
              </w:tc>
              <w:tc>
                <w:tcPr>
                  <w:tcW w:w="1687" w:type="dxa"/>
                  <w:vAlign w:val="center"/>
                </w:tcPr>
                <w:p>
                  <w:pPr>
                    <w:widowControl/>
                    <w:spacing w:after="0"/>
                    <w:jc w:val="center"/>
                    <w:rPr>
                      <w:szCs w:val="21"/>
                    </w:rPr>
                  </w:pPr>
                  <w:r>
                    <w:rPr>
                      <w:color w:val="000000"/>
                      <w:szCs w:val="21"/>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78" w:type="dxa"/>
                  <w:vMerge w:val="continue"/>
                  <w:vAlign w:val="center"/>
                </w:tcPr>
                <w:p>
                  <w:pPr>
                    <w:pStyle w:val="35"/>
                    <w:spacing w:after="0"/>
                    <w:jc w:val="center"/>
                    <w:rPr>
                      <w:rFonts w:ascii="Times New Roman" w:cs="Times New Roman"/>
                      <w:color w:val="auto"/>
                      <w:sz w:val="21"/>
                      <w:szCs w:val="21"/>
                    </w:rPr>
                  </w:pPr>
                </w:p>
              </w:tc>
              <w:tc>
                <w:tcPr>
                  <w:tcW w:w="2093" w:type="dxa"/>
                  <w:vMerge w:val="continue"/>
                  <w:vAlign w:val="center"/>
                </w:tcPr>
                <w:p>
                  <w:pPr>
                    <w:pStyle w:val="35"/>
                    <w:spacing w:after="0"/>
                    <w:jc w:val="center"/>
                    <w:rPr>
                      <w:rFonts w:ascii="Times New Roman" w:cs="Times New Roman"/>
                      <w:color w:val="auto"/>
                      <w:sz w:val="21"/>
                      <w:szCs w:val="21"/>
                    </w:rPr>
                  </w:pPr>
                </w:p>
              </w:tc>
              <w:tc>
                <w:tcPr>
                  <w:tcW w:w="1687" w:type="dxa"/>
                  <w:vAlign w:val="center"/>
                </w:tcPr>
                <w:p>
                  <w:pPr>
                    <w:widowControl/>
                    <w:spacing w:after="0"/>
                    <w:jc w:val="center"/>
                    <w:rPr>
                      <w:szCs w:val="21"/>
                    </w:rPr>
                  </w:pPr>
                  <w:r>
                    <w:rPr>
                      <w:color w:val="000000"/>
                      <w:szCs w:val="21"/>
                    </w:rPr>
                    <w:t>氨氮</w:t>
                  </w:r>
                </w:p>
              </w:tc>
              <w:tc>
                <w:tcPr>
                  <w:tcW w:w="1687" w:type="dxa"/>
                  <w:vAlign w:val="center"/>
                </w:tcPr>
                <w:p>
                  <w:pPr>
                    <w:pStyle w:val="35"/>
                    <w:spacing w:after="0"/>
                    <w:jc w:val="center"/>
                    <w:rPr>
                      <w:rFonts w:ascii="Times New Roman" w:cs="Times New Roman"/>
                      <w:color w:val="auto"/>
                      <w:sz w:val="21"/>
                      <w:szCs w:val="21"/>
                    </w:rPr>
                  </w:pPr>
                  <w:r>
                    <w:rPr>
                      <w:rFonts w:ascii="Times New Roman" w:cs="Times New Roman"/>
                      <w:color w:val="auto"/>
                      <w:sz w:val="21"/>
                      <w:szCs w:val="21"/>
                    </w:rPr>
                    <w:t>1</w:t>
                  </w:r>
                </w:p>
              </w:tc>
              <w:tc>
                <w:tcPr>
                  <w:tcW w:w="1687" w:type="dxa"/>
                  <w:vAlign w:val="center"/>
                </w:tcPr>
                <w:p>
                  <w:pPr>
                    <w:widowControl/>
                    <w:spacing w:after="0"/>
                    <w:jc w:val="center"/>
                    <w:rPr>
                      <w:szCs w:val="21"/>
                    </w:rPr>
                  </w:pPr>
                  <w:r>
                    <w:rPr>
                      <w:color w:val="000000"/>
                      <w:szCs w:val="21"/>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78" w:type="dxa"/>
                  <w:vMerge w:val="continue"/>
                  <w:vAlign w:val="center"/>
                </w:tcPr>
                <w:p>
                  <w:pPr>
                    <w:pStyle w:val="35"/>
                    <w:spacing w:after="0"/>
                    <w:jc w:val="center"/>
                    <w:rPr>
                      <w:rFonts w:ascii="Times New Roman" w:cs="Times New Roman"/>
                      <w:color w:val="auto"/>
                      <w:sz w:val="21"/>
                      <w:szCs w:val="21"/>
                    </w:rPr>
                  </w:pPr>
                </w:p>
              </w:tc>
              <w:tc>
                <w:tcPr>
                  <w:tcW w:w="2093" w:type="dxa"/>
                  <w:vMerge w:val="continue"/>
                  <w:vAlign w:val="center"/>
                </w:tcPr>
                <w:p>
                  <w:pPr>
                    <w:pStyle w:val="35"/>
                    <w:spacing w:after="0"/>
                    <w:jc w:val="center"/>
                    <w:rPr>
                      <w:rFonts w:ascii="Times New Roman" w:cs="Times New Roman"/>
                      <w:color w:val="auto"/>
                      <w:sz w:val="21"/>
                      <w:szCs w:val="21"/>
                    </w:rPr>
                  </w:pPr>
                </w:p>
              </w:tc>
              <w:tc>
                <w:tcPr>
                  <w:tcW w:w="1687" w:type="dxa"/>
                  <w:vAlign w:val="center"/>
                </w:tcPr>
                <w:p>
                  <w:pPr>
                    <w:widowControl/>
                    <w:spacing w:after="0"/>
                    <w:jc w:val="center"/>
                    <w:rPr>
                      <w:szCs w:val="21"/>
                    </w:rPr>
                  </w:pPr>
                  <w:r>
                    <w:rPr>
                      <w:rFonts w:hint="eastAsia"/>
                      <w:color w:val="000000"/>
                      <w:szCs w:val="21"/>
                    </w:rPr>
                    <w:t>总磷</w:t>
                  </w:r>
                </w:p>
              </w:tc>
              <w:tc>
                <w:tcPr>
                  <w:tcW w:w="1687" w:type="dxa"/>
                  <w:vAlign w:val="center"/>
                </w:tcPr>
                <w:p>
                  <w:pPr>
                    <w:pStyle w:val="35"/>
                    <w:spacing w:after="0"/>
                    <w:jc w:val="center"/>
                    <w:rPr>
                      <w:rFonts w:ascii="Times New Roman" w:cs="Times New Roman"/>
                      <w:color w:val="auto"/>
                      <w:sz w:val="21"/>
                      <w:szCs w:val="21"/>
                    </w:rPr>
                  </w:pPr>
                  <w:r>
                    <w:rPr>
                      <w:rFonts w:hint="eastAsia" w:ascii="Times New Roman" w:cs="Times New Roman"/>
                      <w:color w:val="auto"/>
                      <w:sz w:val="21"/>
                      <w:szCs w:val="21"/>
                    </w:rPr>
                    <w:t>1</w:t>
                  </w:r>
                </w:p>
              </w:tc>
              <w:tc>
                <w:tcPr>
                  <w:tcW w:w="1687" w:type="dxa"/>
                  <w:vAlign w:val="center"/>
                </w:tcPr>
                <w:p>
                  <w:pPr>
                    <w:widowControl/>
                    <w:spacing w:after="0"/>
                    <w:jc w:val="center"/>
                    <w:rPr>
                      <w:szCs w:val="21"/>
                    </w:rPr>
                  </w:pPr>
                  <w:r>
                    <w:rPr>
                      <w:color w:val="000000"/>
                      <w:szCs w:val="21"/>
                    </w:rPr>
                    <w:t>mg/L</w:t>
                  </w:r>
                </w:p>
              </w:tc>
            </w:tr>
          </w:tbl>
          <w:p>
            <w:pPr>
              <w:pStyle w:val="35"/>
              <w:spacing w:after="0" w:line="360" w:lineRule="auto"/>
              <w:rPr>
                <w:rFonts w:ascii="Times New Roman" w:cs="Times New Roman"/>
                <w:b/>
                <w:bCs/>
                <w:color w:val="auto"/>
                <w:szCs w:val="32"/>
              </w:rPr>
            </w:pPr>
          </w:p>
          <w:p>
            <w:pPr>
              <w:pStyle w:val="35"/>
              <w:spacing w:after="0" w:line="360" w:lineRule="auto"/>
              <w:rPr>
                <w:rFonts w:ascii="Times New Roman" w:cs="Times New Roman"/>
                <w:b/>
                <w:bCs/>
                <w:color w:val="auto"/>
                <w:szCs w:val="32"/>
              </w:rPr>
            </w:pPr>
            <w:r>
              <w:rPr>
                <w:rFonts w:ascii="Times New Roman" w:cs="Times New Roman"/>
                <w:b/>
                <w:bCs/>
                <w:color w:val="auto"/>
                <w:szCs w:val="32"/>
              </w:rPr>
              <w:t>三、声环境质量标准</w:t>
            </w:r>
          </w:p>
          <w:p>
            <w:pPr>
              <w:pStyle w:val="35"/>
              <w:spacing w:after="0" w:line="360" w:lineRule="auto"/>
              <w:ind w:firstLine="480" w:firstLineChars="200"/>
              <w:jc w:val="both"/>
              <w:rPr>
                <w:rFonts w:ascii="Times New Roman" w:cs="Times New Roman"/>
                <w:color w:val="auto"/>
                <w:szCs w:val="32"/>
              </w:rPr>
            </w:pPr>
            <w:r>
              <w:rPr>
                <w:rFonts w:ascii="Times New Roman" w:cs="Times New Roman"/>
                <w:color w:val="auto"/>
                <w:szCs w:val="32"/>
              </w:rPr>
              <w:t>本项目评价范围内执行《声环境质量标准》（GB3096-2008）2类标准，具体详见下表。</w:t>
            </w:r>
          </w:p>
          <w:p>
            <w:pPr>
              <w:spacing w:after="0" w:line="360" w:lineRule="auto"/>
              <w:jc w:val="center"/>
              <w:rPr>
                <w:b/>
                <w:color w:val="000000"/>
                <w:sz w:val="24"/>
              </w:rPr>
            </w:pPr>
            <w:r>
              <w:rPr>
                <w:b/>
                <w:color w:val="000000"/>
                <w:sz w:val="24"/>
              </w:rPr>
              <w:t>表4-3  《声环境质量标准》（GB3096-2008）单位：dB（A）</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809"/>
              <w:gridCol w:w="2811"/>
              <w:gridCol w:w="281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09" w:type="dxa"/>
                  <w:tcBorders>
                    <w:top w:val="single" w:color="auto" w:sz="4" w:space="0"/>
                    <w:left w:val="single" w:color="auto" w:sz="4" w:space="0"/>
                    <w:bottom w:val="single" w:color="auto" w:sz="6" w:space="0"/>
                    <w:right w:val="single" w:color="auto" w:sz="6" w:space="0"/>
                  </w:tcBorders>
                  <w:vAlign w:val="center"/>
                </w:tcPr>
                <w:p>
                  <w:pPr>
                    <w:spacing w:after="0"/>
                    <w:jc w:val="center"/>
                    <w:rPr>
                      <w:szCs w:val="21"/>
                    </w:rPr>
                  </w:pPr>
                  <w:r>
                    <w:rPr>
                      <w:szCs w:val="21"/>
                    </w:rPr>
                    <w:t>环境声环境功能区</w:t>
                  </w:r>
                </w:p>
              </w:tc>
              <w:tc>
                <w:tcPr>
                  <w:tcW w:w="2811" w:type="dxa"/>
                  <w:tcBorders>
                    <w:top w:val="single" w:color="auto" w:sz="4" w:space="0"/>
                    <w:left w:val="single" w:color="auto" w:sz="6" w:space="0"/>
                    <w:bottom w:val="single" w:color="auto" w:sz="6" w:space="0"/>
                    <w:right w:val="single" w:color="auto" w:sz="6" w:space="0"/>
                  </w:tcBorders>
                  <w:vAlign w:val="center"/>
                </w:tcPr>
                <w:p>
                  <w:pPr>
                    <w:spacing w:after="0"/>
                    <w:jc w:val="center"/>
                    <w:rPr>
                      <w:szCs w:val="21"/>
                    </w:rPr>
                  </w:pPr>
                  <w:r>
                    <w:rPr>
                      <w:szCs w:val="21"/>
                    </w:rPr>
                    <w:t>昼间</w:t>
                  </w:r>
                </w:p>
              </w:tc>
              <w:tc>
                <w:tcPr>
                  <w:tcW w:w="2812" w:type="dxa"/>
                  <w:tcBorders>
                    <w:top w:val="single" w:color="auto" w:sz="4" w:space="0"/>
                    <w:left w:val="single" w:color="auto" w:sz="6" w:space="0"/>
                    <w:bottom w:val="single" w:color="auto" w:sz="6" w:space="0"/>
                    <w:right w:val="single" w:color="auto" w:sz="4" w:space="0"/>
                  </w:tcBorders>
                  <w:vAlign w:val="center"/>
                </w:tcPr>
                <w:p>
                  <w:pPr>
                    <w:spacing w:after="0"/>
                    <w:jc w:val="center"/>
                    <w:rPr>
                      <w:szCs w:val="21"/>
                    </w:rPr>
                  </w:pPr>
                  <w:r>
                    <w:rPr>
                      <w:szCs w:val="21"/>
                    </w:rPr>
                    <w:t>夜间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09" w:type="dxa"/>
                  <w:tcBorders>
                    <w:top w:val="single" w:color="auto" w:sz="6" w:space="0"/>
                    <w:left w:val="single" w:color="auto" w:sz="4" w:space="0"/>
                    <w:bottom w:val="single" w:color="auto" w:sz="6" w:space="0"/>
                    <w:right w:val="single" w:color="auto" w:sz="6" w:space="0"/>
                  </w:tcBorders>
                  <w:vAlign w:val="center"/>
                </w:tcPr>
                <w:p>
                  <w:pPr>
                    <w:spacing w:after="0"/>
                    <w:jc w:val="center"/>
                    <w:rPr>
                      <w:szCs w:val="21"/>
                    </w:rPr>
                  </w:pPr>
                  <w:r>
                    <w:rPr>
                      <w:szCs w:val="21"/>
                    </w:rPr>
                    <w:t>2类</w:t>
                  </w:r>
                </w:p>
              </w:tc>
              <w:tc>
                <w:tcPr>
                  <w:tcW w:w="2811"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60</w:t>
                  </w:r>
                </w:p>
              </w:tc>
              <w:tc>
                <w:tcPr>
                  <w:tcW w:w="2812" w:type="dxa"/>
                  <w:tcBorders>
                    <w:top w:val="single" w:color="auto" w:sz="6" w:space="0"/>
                    <w:left w:val="single" w:color="auto" w:sz="6" w:space="0"/>
                    <w:bottom w:val="single" w:color="auto" w:sz="6" w:space="0"/>
                    <w:right w:val="single" w:color="auto" w:sz="4" w:space="0"/>
                  </w:tcBorders>
                  <w:vAlign w:val="center"/>
                </w:tcPr>
                <w:p>
                  <w:pPr>
                    <w:spacing w:after="0"/>
                    <w:jc w:val="center"/>
                    <w:rPr>
                      <w:szCs w:val="21"/>
                    </w:rPr>
                  </w:pPr>
                  <w:r>
                    <w:rPr>
                      <w:szCs w:val="21"/>
                    </w:rPr>
                    <w:t>50</w:t>
                  </w:r>
                </w:p>
              </w:tc>
            </w:tr>
          </w:tbl>
          <w:p>
            <w:pPr>
              <w:pStyle w:val="35"/>
              <w:spacing w:after="0"/>
              <w:rPr>
                <w:rFonts w:ascii="Times New Roman" w:cs="Times New Roman"/>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pPr>
              <w:pStyle w:val="35"/>
              <w:spacing w:after="0"/>
              <w:jc w:val="center"/>
              <w:rPr>
                <w:rFonts w:ascii="Times New Roman" w:cs="Times New Roman"/>
                <w:color w:val="auto"/>
                <w:szCs w:val="32"/>
              </w:rPr>
            </w:pPr>
            <w:r>
              <w:rPr>
                <w:rFonts w:hint="eastAsia" w:ascii="Times New Roman" w:cs="Times New Roman"/>
                <w:color w:val="auto"/>
                <w:szCs w:val="32"/>
              </w:rPr>
              <w:t>污染物排放标准</w:t>
            </w:r>
          </w:p>
        </w:tc>
        <w:tc>
          <w:tcPr>
            <w:tcW w:w="8830" w:type="dxa"/>
          </w:tcPr>
          <w:p>
            <w:pPr>
              <w:spacing w:after="0"/>
              <w:ind w:firstLine="482" w:firstLineChars="200"/>
              <w:rPr>
                <w:sz w:val="24"/>
              </w:rPr>
            </w:pPr>
            <w:r>
              <w:rPr>
                <w:b/>
                <w:bCs/>
                <w:sz w:val="24"/>
              </w:rPr>
              <w:t>一、废水</w:t>
            </w:r>
          </w:p>
          <w:p>
            <w:pPr>
              <w:spacing w:after="0" w:line="360" w:lineRule="auto"/>
              <w:ind w:firstLine="480" w:firstLineChars="200"/>
              <w:rPr>
                <w:sz w:val="24"/>
              </w:rPr>
            </w:pPr>
            <w:r>
              <w:rPr>
                <w:rFonts w:hint="eastAsia"/>
                <w:sz w:val="24"/>
              </w:rPr>
              <w:t>（1）施工期：生活废水经化粪池处理后用于周边农田灌溉；施工废水经沉淀池处理后用做地面养护用水，不外排。</w:t>
            </w:r>
          </w:p>
          <w:p>
            <w:pPr>
              <w:spacing w:after="0" w:line="360" w:lineRule="auto"/>
              <w:ind w:firstLine="480" w:firstLineChars="200"/>
              <w:rPr>
                <w:sz w:val="24"/>
              </w:rPr>
            </w:pPr>
            <w:r>
              <w:rPr>
                <w:rFonts w:hint="eastAsia"/>
                <w:sz w:val="24"/>
              </w:rPr>
              <w:t>（2）营运期：生活污水经隔油器及化粪池处理后，用于周边农田灌溉；生产废水经三级沉淀池沉淀处理后循环使用，不外排。</w:t>
            </w:r>
          </w:p>
          <w:p>
            <w:pPr>
              <w:spacing w:after="0" w:line="360" w:lineRule="auto"/>
              <w:ind w:firstLine="482" w:firstLineChars="200"/>
              <w:rPr>
                <w:b/>
                <w:bCs/>
                <w:sz w:val="24"/>
              </w:rPr>
            </w:pPr>
            <w:r>
              <w:rPr>
                <w:b/>
                <w:bCs/>
                <w:sz w:val="24"/>
              </w:rPr>
              <w:t>二、废气</w:t>
            </w:r>
          </w:p>
          <w:p>
            <w:pPr>
              <w:spacing w:after="0" w:line="360" w:lineRule="auto"/>
              <w:ind w:firstLine="480" w:firstLineChars="200"/>
              <w:rPr>
                <w:sz w:val="24"/>
                <w:szCs w:val="20"/>
              </w:rPr>
            </w:pPr>
            <w:r>
              <w:rPr>
                <w:rFonts w:hint="eastAsia"/>
                <w:sz w:val="24"/>
                <w:szCs w:val="20"/>
              </w:rPr>
              <w:t>（1）施工期：施工扬尘执行</w:t>
            </w:r>
            <w:r>
              <w:rPr>
                <w:sz w:val="24"/>
                <w:szCs w:val="20"/>
              </w:rPr>
              <w:t>《大气污染物综合排放标准》（GB16297-1996）表2中</w:t>
            </w:r>
            <w:r>
              <w:rPr>
                <w:rFonts w:hint="eastAsia"/>
                <w:sz w:val="24"/>
                <w:szCs w:val="20"/>
              </w:rPr>
              <w:t>规定的限值。</w:t>
            </w:r>
          </w:p>
          <w:p>
            <w:pPr>
              <w:spacing w:after="0" w:line="360" w:lineRule="auto"/>
              <w:ind w:firstLine="480" w:firstLineChars="200"/>
              <w:rPr>
                <w:sz w:val="24"/>
              </w:rPr>
            </w:pPr>
            <w:r>
              <w:rPr>
                <w:rFonts w:hint="eastAsia"/>
                <w:sz w:val="24"/>
                <w:szCs w:val="20"/>
              </w:rPr>
              <w:t>（2）营运期：项目</w:t>
            </w:r>
            <w:r>
              <w:rPr>
                <w:sz w:val="24"/>
                <w:szCs w:val="20"/>
              </w:rPr>
              <w:t>有组织粉尘排放执行《水泥工业大气污染物排放标准》（GB4915-2013）表2中规定的限值，无组织颗粒物排放执行《水泥工业大气污染物排放标准》（GB4915-2013）表3中规定的限值；食堂油烟排放执行《饮食业油烟排放标准（试行）》（GB18483-2001）表2中规定的限值。</w:t>
            </w:r>
            <w:r>
              <w:rPr>
                <w:sz w:val="24"/>
              </w:rPr>
              <w:t>具体详见下表。</w:t>
            </w:r>
          </w:p>
          <w:p>
            <w:pPr>
              <w:pStyle w:val="31"/>
              <w:spacing w:before="0" w:beforeLines="0" w:after="0"/>
              <w:rPr>
                <w:rFonts w:hAnsi="Times New Roman"/>
                <w:bCs w:val="0"/>
                <w:color w:val="000000"/>
              </w:rPr>
            </w:pPr>
            <w:r>
              <w:rPr>
                <w:rFonts w:hAnsi="Times New Roman"/>
                <w:bCs w:val="0"/>
                <w:color w:val="000000"/>
              </w:rPr>
              <w:t>表4-4  废气污染物排放标准限值  （单位：mg/m</w:t>
            </w:r>
            <w:r>
              <w:rPr>
                <w:rFonts w:hAnsi="Times New Roman"/>
                <w:bCs w:val="0"/>
                <w:color w:val="000000"/>
                <w:vertAlign w:val="superscript"/>
              </w:rPr>
              <w:t>3</w:t>
            </w:r>
            <w:r>
              <w:rPr>
                <w:rFonts w:hAnsi="Times New Roman"/>
                <w:bCs w:val="0"/>
                <w:color w:val="000000"/>
              </w:rPr>
              <w:t>）</w:t>
            </w:r>
          </w:p>
          <w:tbl>
            <w:tblPr>
              <w:tblStyle w:val="22"/>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85" w:type="dxa"/>
                <w:bottom w:w="0" w:type="dxa"/>
                <w:right w:w="85" w:type="dxa"/>
              </w:tblCellMar>
            </w:tblPr>
            <w:tblGrid>
              <w:gridCol w:w="1089"/>
              <w:gridCol w:w="1274"/>
              <w:gridCol w:w="1336"/>
              <w:gridCol w:w="1224"/>
              <w:gridCol w:w="1195"/>
              <w:gridCol w:w="24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1374" w:type="pct"/>
                  <w:gridSpan w:val="2"/>
                  <w:vAlign w:val="center"/>
                </w:tcPr>
                <w:p>
                  <w:pPr>
                    <w:spacing w:after="0"/>
                    <w:jc w:val="center"/>
                    <w:rPr>
                      <w:color w:val="000000"/>
                    </w:rPr>
                  </w:pPr>
                  <w:r>
                    <w:rPr>
                      <w:rFonts w:hint="eastAsia"/>
                      <w:color w:val="000000"/>
                    </w:rPr>
                    <w:t>废气类型</w:t>
                  </w:r>
                </w:p>
              </w:tc>
              <w:tc>
                <w:tcPr>
                  <w:tcW w:w="777" w:type="pct"/>
                  <w:vAlign w:val="center"/>
                </w:tcPr>
                <w:p>
                  <w:pPr>
                    <w:spacing w:after="0"/>
                    <w:jc w:val="center"/>
                    <w:rPr>
                      <w:color w:val="000000"/>
                    </w:rPr>
                  </w:pPr>
                  <w:r>
                    <w:rPr>
                      <w:rFonts w:hint="eastAsia"/>
                      <w:color w:val="000000"/>
                    </w:rPr>
                    <w:t>污染物</w:t>
                  </w:r>
                </w:p>
              </w:tc>
              <w:tc>
                <w:tcPr>
                  <w:tcW w:w="712" w:type="pct"/>
                  <w:vAlign w:val="center"/>
                </w:tcPr>
                <w:p>
                  <w:pPr>
                    <w:spacing w:after="0"/>
                    <w:jc w:val="center"/>
                    <w:rPr>
                      <w:color w:val="000000"/>
                      <w:szCs w:val="21"/>
                    </w:rPr>
                  </w:pPr>
                  <w:r>
                    <w:rPr>
                      <w:rFonts w:hint="eastAsia"/>
                      <w:color w:val="000000"/>
                      <w:szCs w:val="21"/>
                    </w:rPr>
                    <w:t>排放方式</w:t>
                  </w:r>
                </w:p>
              </w:tc>
              <w:tc>
                <w:tcPr>
                  <w:tcW w:w="695" w:type="pct"/>
                  <w:vAlign w:val="center"/>
                </w:tcPr>
                <w:p>
                  <w:pPr>
                    <w:spacing w:after="0"/>
                    <w:jc w:val="center"/>
                    <w:rPr>
                      <w:color w:val="000000"/>
                      <w:szCs w:val="21"/>
                    </w:rPr>
                  </w:pPr>
                  <w:r>
                    <w:rPr>
                      <w:rFonts w:hint="eastAsia"/>
                      <w:color w:val="000000"/>
                    </w:rPr>
                    <w:t>浓度限值</w:t>
                  </w:r>
                </w:p>
              </w:tc>
              <w:tc>
                <w:tcPr>
                  <w:tcW w:w="1440" w:type="pct"/>
                  <w:vAlign w:val="center"/>
                </w:tcPr>
                <w:p>
                  <w:pPr>
                    <w:spacing w:after="0"/>
                    <w:jc w:val="center"/>
                    <w:rPr>
                      <w:color w:val="000000"/>
                    </w:rPr>
                  </w:pPr>
                  <w:r>
                    <w:rPr>
                      <w:rFonts w:hint="eastAsia"/>
                      <w:color w:val="000000"/>
                    </w:rPr>
                    <w:t>标准来源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633" w:type="pct"/>
                  <w:tcBorders>
                    <w:right w:val="single" w:color="auto" w:sz="4" w:space="0"/>
                  </w:tcBorders>
                  <w:vAlign w:val="center"/>
                </w:tcPr>
                <w:p>
                  <w:pPr>
                    <w:spacing w:after="0"/>
                    <w:jc w:val="center"/>
                    <w:rPr>
                      <w:color w:val="000000"/>
                      <w:szCs w:val="21"/>
                    </w:rPr>
                  </w:pPr>
                  <w:r>
                    <w:rPr>
                      <w:rFonts w:hint="eastAsia"/>
                      <w:color w:val="000000"/>
                      <w:szCs w:val="21"/>
                    </w:rPr>
                    <w:t>施工期</w:t>
                  </w:r>
                </w:p>
              </w:tc>
              <w:tc>
                <w:tcPr>
                  <w:tcW w:w="740" w:type="pct"/>
                  <w:tcBorders>
                    <w:left w:val="single" w:color="auto" w:sz="4" w:space="0"/>
                  </w:tcBorders>
                  <w:vAlign w:val="center"/>
                </w:tcPr>
                <w:p>
                  <w:pPr>
                    <w:spacing w:after="0"/>
                    <w:jc w:val="center"/>
                    <w:rPr>
                      <w:color w:val="000000"/>
                    </w:rPr>
                  </w:pPr>
                  <w:r>
                    <w:rPr>
                      <w:rFonts w:hint="eastAsia"/>
                      <w:color w:val="000000"/>
                    </w:rPr>
                    <w:t>施工扬尘</w:t>
                  </w:r>
                </w:p>
              </w:tc>
              <w:tc>
                <w:tcPr>
                  <w:tcW w:w="777" w:type="pct"/>
                  <w:vAlign w:val="center"/>
                </w:tcPr>
                <w:p>
                  <w:pPr>
                    <w:spacing w:after="0"/>
                    <w:jc w:val="center"/>
                    <w:rPr>
                      <w:color w:val="000000"/>
                      <w:szCs w:val="21"/>
                    </w:rPr>
                  </w:pPr>
                  <w:r>
                    <w:rPr>
                      <w:rFonts w:hint="eastAsia"/>
                      <w:color w:val="000000"/>
                    </w:rPr>
                    <w:t>颗粒物</w:t>
                  </w:r>
                </w:p>
              </w:tc>
              <w:tc>
                <w:tcPr>
                  <w:tcW w:w="712" w:type="pct"/>
                  <w:vAlign w:val="center"/>
                </w:tcPr>
                <w:p>
                  <w:pPr>
                    <w:spacing w:after="0"/>
                    <w:jc w:val="center"/>
                    <w:rPr>
                      <w:color w:val="000000"/>
                      <w:szCs w:val="21"/>
                    </w:rPr>
                  </w:pPr>
                  <w:r>
                    <w:rPr>
                      <w:rFonts w:hint="eastAsia"/>
                      <w:color w:val="000000"/>
                      <w:szCs w:val="21"/>
                    </w:rPr>
                    <w:t>无组织</w:t>
                  </w:r>
                </w:p>
              </w:tc>
              <w:tc>
                <w:tcPr>
                  <w:tcW w:w="695" w:type="pct"/>
                  <w:vAlign w:val="center"/>
                </w:tcPr>
                <w:p>
                  <w:pPr>
                    <w:spacing w:after="0"/>
                    <w:jc w:val="center"/>
                    <w:rPr>
                      <w:color w:val="000000"/>
                      <w:szCs w:val="21"/>
                    </w:rPr>
                  </w:pPr>
                  <w:r>
                    <w:rPr>
                      <w:rFonts w:hint="eastAsia"/>
                      <w:color w:val="000000"/>
                      <w:szCs w:val="21"/>
                    </w:rPr>
                    <w:t>1.0</w:t>
                  </w:r>
                </w:p>
              </w:tc>
              <w:tc>
                <w:tcPr>
                  <w:tcW w:w="1440" w:type="pct"/>
                  <w:vAlign w:val="center"/>
                </w:tcPr>
                <w:p>
                  <w:pPr>
                    <w:spacing w:after="0"/>
                    <w:jc w:val="center"/>
                    <w:rPr>
                      <w:color w:val="000000"/>
                    </w:rPr>
                  </w:pPr>
                  <w:r>
                    <w:rPr>
                      <w:rFonts w:hint="eastAsia"/>
                      <w:color w:val="000000"/>
                    </w:rPr>
                    <w:t>《大气污染物综合排放标准》（GB16297-1996）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633" w:type="pct"/>
                  <w:vMerge w:val="restart"/>
                  <w:tcBorders>
                    <w:right w:val="single" w:color="auto" w:sz="4" w:space="0"/>
                  </w:tcBorders>
                  <w:vAlign w:val="center"/>
                </w:tcPr>
                <w:p>
                  <w:pPr>
                    <w:spacing w:after="0"/>
                    <w:jc w:val="center"/>
                    <w:rPr>
                      <w:color w:val="000000"/>
                      <w:szCs w:val="21"/>
                    </w:rPr>
                  </w:pPr>
                  <w:r>
                    <w:rPr>
                      <w:rFonts w:hint="eastAsia"/>
                      <w:color w:val="000000"/>
                      <w:szCs w:val="21"/>
                    </w:rPr>
                    <w:t>营运期</w:t>
                  </w:r>
                </w:p>
              </w:tc>
              <w:tc>
                <w:tcPr>
                  <w:tcW w:w="740" w:type="pct"/>
                  <w:vMerge w:val="restart"/>
                  <w:tcBorders>
                    <w:left w:val="single" w:color="auto" w:sz="4" w:space="0"/>
                  </w:tcBorders>
                  <w:vAlign w:val="center"/>
                </w:tcPr>
                <w:p>
                  <w:pPr>
                    <w:spacing w:after="0"/>
                    <w:jc w:val="center"/>
                    <w:rPr>
                      <w:color w:val="000000"/>
                      <w:szCs w:val="21"/>
                    </w:rPr>
                  </w:pPr>
                  <w:r>
                    <w:rPr>
                      <w:rFonts w:hint="eastAsia"/>
                      <w:color w:val="000000"/>
                    </w:rPr>
                    <w:t>生产粉尘</w:t>
                  </w:r>
                </w:p>
              </w:tc>
              <w:tc>
                <w:tcPr>
                  <w:tcW w:w="777" w:type="pct"/>
                  <w:vMerge w:val="restart"/>
                  <w:vAlign w:val="center"/>
                </w:tcPr>
                <w:p>
                  <w:pPr>
                    <w:spacing w:after="0"/>
                    <w:jc w:val="center"/>
                    <w:rPr>
                      <w:color w:val="000000"/>
                      <w:szCs w:val="21"/>
                    </w:rPr>
                  </w:pPr>
                  <w:r>
                    <w:rPr>
                      <w:rFonts w:hint="eastAsia"/>
                      <w:color w:val="000000"/>
                    </w:rPr>
                    <w:t>颗粒物</w:t>
                  </w:r>
                </w:p>
              </w:tc>
              <w:tc>
                <w:tcPr>
                  <w:tcW w:w="712" w:type="pct"/>
                  <w:vAlign w:val="center"/>
                </w:tcPr>
                <w:p>
                  <w:pPr>
                    <w:spacing w:after="0"/>
                    <w:jc w:val="center"/>
                    <w:rPr>
                      <w:color w:val="000000"/>
                      <w:szCs w:val="21"/>
                    </w:rPr>
                  </w:pPr>
                  <w:r>
                    <w:rPr>
                      <w:rFonts w:hint="eastAsia"/>
                      <w:color w:val="000000"/>
                      <w:szCs w:val="21"/>
                    </w:rPr>
                    <w:t>有组织</w:t>
                  </w:r>
                </w:p>
              </w:tc>
              <w:tc>
                <w:tcPr>
                  <w:tcW w:w="695" w:type="pct"/>
                  <w:vAlign w:val="center"/>
                </w:tcPr>
                <w:p>
                  <w:pPr>
                    <w:spacing w:after="0"/>
                    <w:jc w:val="center"/>
                    <w:rPr>
                      <w:color w:val="000000"/>
                      <w:szCs w:val="21"/>
                    </w:rPr>
                  </w:pPr>
                  <w:r>
                    <w:rPr>
                      <w:rFonts w:hint="eastAsia"/>
                      <w:color w:val="000000"/>
                      <w:szCs w:val="21"/>
                    </w:rPr>
                    <w:t>10</w:t>
                  </w:r>
                </w:p>
              </w:tc>
              <w:tc>
                <w:tcPr>
                  <w:tcW w:w="1440" w:type="pct"/>
                  <w:vMerge w:val="restart"/>
                  <w:vAlign w:val="center"/>
                </w:tcPr>
                <w:p>
                  <w:pPr>
                    <w:spacing w:after="0"/>
                    <w:jc w:val="center"/>
                    <w:rPr>
                      <w:color w:val="000000"/>
                      <w:szCs w:val="21"/>
                    </w:rPr>
                  </w:pPr>
                  <w:r>
                    <w:rPr>
                      <w:rFonts w:hint="eastAsia"/>
                      <w:color w:val="000000"/>
                    </w:rPr>
                    <w:t>《水泥工业大气污染物排放标准》（GB4915-2013）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633" w:type="pct"/>
                  <w:vMerge w:val="continue"/>
                  <w:tcBorders>
                    <w:right w:val="single" w:color="auto" w:sz="4" w:space="0"/>
                  </w:tcBorders>
                  <w:vAlign w:val="center"/>
                </w:tcPr>
                <w:p>
                  <w:pPr>
                    <w:spacing w:after="0"/>
                    <w:jc w:val="center"/>
                    <w:rPr>
                      <w:color w:val="000000"/>
                    </w:rPr>
                  </w:pPr>
                </w:p>
              </w:tc>
              <w:tc>
                <w:tcPr>
                  <w:tcW w:w="740" w:type="pct"/>
                  <w:vMerge w:val="continue"/>
                  <w:tcBorders>
                    <w:left w:val="single" w:color="auto" w:sz="4" w:space="0"/>
                  </w:tcBorders>
                  <w:vAlign w:val="center"/>
                </w:tcPr>
                <w:p>
                  <w:pPr>
                    <w:spacing w:after="0"/>
                    <w:jc w:val="center"/>
                    <w:rPr>
                      <w:color w:val="000000"/>
                    </w:rPr>
                  </w:pPr>
                </w:p>
              </w:tc>
              <w:tc>
                <w:tcPr>
                  <w:tcW w:w="777" w:type="pct"/>
                  <w:vMerge w:val="continue"/>
                  <w:vAlign w:val="center"/>
                </w:tcPr>
                <w:p>
                  <w:pPr>
                    <w:spacing w:after="0"/>
                    <w:jc w:val="center"/>
                    <w:rPr>
                      <w:color w:val="000000"/>
                    </w:rPr>
                  </w:pPr>
                </w:p>
              </w:tc>
              <w:tc>
                <w:tcPr>
                  <w:tcW w:w="712" w:type="pct"/>
                  <w:vAlign w:val="center"/>
                </w:tcPr>
                <w:p>
                  <w:pPr>
                    <w:spacing w:after="0"/>
                    <w:jc w:val="center"/>
                    <w:rPr>
                      <w:color w:val="000000"/>
                      <w:szCs w:val="21"/>
                    </w:rPr>
                  </w:pPr>
                  <w:r>
                    <w:rPr>
                      <w:rFonts w:hint="eastAsia"/>
                      <w:color w:val="000000"/>
                      <w:szCs w:val="21"/>
                    </w:rPr>
                    <w:t>无组织</w:t>
                  </w:r>
                </w:p>
              </w:tc>
              <w:tc>
                <w:tcPr>
                  <w:tcW w:w="695" w:type="pct"/>
                  <w:vAlign w:val="center"/>
                </w:tcPr>
                <w:p>
                  <w:pPr>
                    <w:spacing w:after="0"/>
                    <w:jc w:val="center"/>
                    <w:rPr>
                      <w:color w:val="000000"/>
                      <w:szCs w:val="21"/>
                    </w:rPr>
                  </w:pPr>
                  <w:r>
                    <w:rPr>
                      <w:rFonts w:hint="eastAsia"/>
                      <w:color w:val="000000"/>
                      <w:szCs w:val="21"/>
                    </w:rPr>
                    <w:t>0.5</w:t>
                  </w:r>
                </w:p>
              </w:tc>
              <w:tc>
                <w:tcPr>
                  <w:tcW w:w="1440" w:type="pct"/>
                  <w:vMerge w:val="continue"/>
                  <w:vAlign w:val="center"/>
                </w:tcPr>
                <w:p>
                  <w:pPr>
                    <w:spacing w:after="0"/>
                    <w:jc w:val="cente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633" w:type="pct"/>
                  <w:vMerge w:val="continue"/>
                  <w:tcBorders>
                    <w:right w:val="single" w:color="auto" w:sz="4" w:space="0"/>
                  </w:tcBorders>
                  <w:vAlign w:val="center"/>
                </w:tcPr>
                <w:p>
                  <w:pPr>
                    <w:spacing w:after="0"/>
                    <w:jc w:val="center"/>
                    <w:rPr>
                      <w:color w:val="000000"/>
                    </w:rPr>
                  </w:pPr>
                </w:p>
              </w:tc>
              <w:tc>
                <w:tcPr>
                  <w:tcW w:w="740" w:type="pct"/>
                  <w:tcBorders>
                    <w:left w:val="single" w:color="auto" w:sz="4" w:space="0"/>
                  </w:tcBorders>
                  <w:vAlign w:val="center"/>
                </w:tcPr>
                <w:p>
                  <w:pPr>
                    <w:spacing w:after="0"/>
                    <w:jc w:val="center"/>
                    <w:rPr>
                      <w:color w:val="000000"/>
                    </w:rPr>
                  </w:pPr>
                  <w:r>
                    <w:rPr>
                      <w:rFonts w:hint="eastAsia"/>
                      <w:color w:val="000000"/>
                    </w:rPr>
                    <w:t>食堂油烟</w:t>
                  </w:r>
                </w:p>
              </w:tc>
              <w:tc>
                <w:tcPr>
                  <w:tcW w:w="777" w:type="pct"/>
                  <w:vAlign w:val="center"/>
                </w:tcPr>
                <w:p>
                  <w:pPr>
                    <w:spacing w:after="0"/>
                    <w:jc w:val="center"/>
                    <w:rPr>
                      <w:color w:val="000000"/>
                    </w:rPr>
                  </w:pPr>
                  <w:r>
                    <w:rPr>
                      <w:rFonts w:hint="eastAsia"/>
                      <w:color w:val="000000"/>
                    </w:rPr>
                    <w:t>饮食业油烟</w:t>
                  </w:r>
                </w:p>
              </w:tc>
              <w:tc>
                <w:tcPr>
                  <w:tcW w:w="712" w:type="pct"/>
                  <w:vAlign w:val="center"/>
                </w:tcPr>
                <w:p>
                  <w:pPr>
                    <w:spacing w:after="0"/>
                    <w:jc w:val="center"/>
                    <w:rPr>
                      <w:color w:val="000000"/>
                      <w:szCs w:val="21"/>
                    </w:rPr>
                  </w:pPr>
                  <w:r>
                    <w:rPr>
                      <w:rFonts w:hint="eastAsia"/>
                      <w:color w:val="000000"/>
                      <w:szCs w:val="21"/>
                    </w:rPr>
                    <w:t>有组织</w:t>
                  </w:r>
                </w:p>
              </w:tc>
              <w:tc>
                <w:tcPr>
                  <w:tcW w:w="695" w:type="pct"/>
                  <w:vAlign w:val="center"/>
                </w:tcPr>
                <w:p>
                  <w:pPr>
                    <w:spacing w:after="0"/>
                    <w:jc w:val="center"/>
                    <w:rPr>
                      <w:color w:val="000000"/>
                      <w:szCs w:val="21"/>
                    </w:rPr>
                  </w:pPr>
                  <w:r>
                    <w:rPr>
                      <w:rFonts w:hint="eastAsia"/>
                      <w:color w:val="000000"/>
                      <w:szCs w:val="21"/>
                    </w:rPr>
                    <w:t>2.0</w:t>
                  </w:r>
                </w:p>
              </w:tc>
              <w:tc>
                <w:tcPr>
                  <w:tcW w:w="1440" w:type="pct"/>
                  <w:vAlign w:val="center"/>
                </w:tcPr>
                <w:p>
                  <w:pPr>
                    <w:spacing w:after="0"/>
                    <w:jc w:val="center"/>
                    <w:rPr>
                      <w:color w:val="000000"/>
                    </w:rPr>
                  </w:pPr>
                  <w:r>
                    <w:rPr>
                      <w:rFonts w:hint="eastAsia"/>
                      <w:color w:val="000000"/>
                    </w:rPr>
                    <w:t>《饮食业油烟排放标准》（GB18483-2001）</w:t>
                  </w:r>
                </w:p>
              </w:tc>
            </w:tr>
          </w:tbl>
          <w:p>
            <w:pPr>
              <w:spacing w:after="0" w:line="360" w:lineRule="auto"/>
              <w:ind w:firstLine="482" w:firstLineChars="200"/>
              <w:rPr>
                <w:b/>
                <w:bCs/>
                <w:sz w:val="24"/>
              </w:rPr>
            </w:pPr>
            <w:r>
              <w:rPr>
                <w:b/>
                <w:bCs/>
                <w:sz w:val="24"/>
              </w:rPr>
              <w:t>三、噪声</w:t>
            </w:r>
          </w:p>
          <w:p>
            <w:pPr>
              <w:pStyle w:val="49"/>
              <w:spacing w:after="0" w:line="520" w:lineRule="exact"/>
              <w:ind w:firstLine="480"/>
              <w:rPr>
                <w:rFonts w:cs="宋体"/>
              </w:rPr>
            </w:pPr>
            <w:r>
              <w:rPr>
                <w:rFonts w:hint="eastAsia"/>
              </w:rPr>
              <w:t>（1）施工期：</w:t>
            </w:r>
            <w:r>
              <w:rPr>
                <w:rFonts w:hint="eastAsia" w:cs="宋体"/>
              </w:rPr>
              <w:t>执行</w:t>
            </w:r>
            <w:r>
              <w:rPr>
                <w:rFonts w:cs="宋体"/>
              </w:rPr>
              <w:t>《建筑施工场界环境噪声排放标准》（GB12523-2011）；</w:t>
            </w:r>
          </w:p>
          <w:p>
            <w:pPr>
              <w:spacing w:after="0" w:line="360" w:lineRule="auto"/>
              <w:ind w:firstLine="480" w:firstLineChars="200"/>
              <w:rPr>
                <w:b/>
                <w:bCs/>
                <w:sz w:val="24"/>
              </w:rPr>
            </w:pPr>
            <w:r>
              <w:rPr>
                <w:rFonts w:hint="eastAsia" w:cs="宋体"/>
                <w:color w:val="000000"/>
                <w:sz w:val="24"/>
                <w:szCs w:val="20"/>
              </w:rPr>
              <w:t>（2）</w:t>
            </w:r>
            <w:r>
              <w:rPr>
                <w:rFonts w:cs="宋体"/>
                <w:color w:val="000000"/>
                <w:sz w:val="24"/>
                <w:szCs w:val="20"/>
              </w:rPr>
              <w:t>营运期</w:t>
            </w:r>
            <w:r>
              <w:rPr>
                <w:rFonts w:hint="eastAsia" w:cs="宋体"/>
                <w:color w:val="000000"/>
                <w:sz w:val="24"/>
                <w:szCs w:val="20"/>
              </w:rPr>
              <w:t>：执行</w:t>
            </w:r>
            <w:r>
              <w:rPr>
                <w:rFonts w:cs="宋体"/>
                <w:color w:val="000000"/>
                <w:sz w:val="24"/>
                <w:szCs w:val="20"/>
              </w:rPr>
              <w:t>《工业</w:t>
            </w:r>
            <w:r>
              <w:rPr>
                <w:rFonts w:hint="eastAsia" w:cs="宋体"/>
                <w:color w:val="000000"/>
                <w:sz w:val="24"/>
                <w:szCs w:val="20"/>
              </w:rPr>
              <w:t>企业</w:t>
            </w:r>
            <w:r>
              <w:rPr>
                <w:rFonts w:cs="宋体"/>
                <w:color w:val="000000"/>
                <w:sz w:val="24"/>
                <w:szCs w:val="20"/>
              </w:rPr>
              <w:t>厂界环境噪声排放标准》（GB12348-2008）</w:t>
            </w:r>
            <w:r>
              <w:rPr>
                <w:rFonts w:hint="eastAsia" w:cs="宋体"/>
                <w:color w:val="000000"/>
                <w:sz w:val="24"/>
                <w:szCs w:val="20"/>
              </w:rPr>
              <w:t>2类标准。具体</w:t>
            </w:r>
            <w:r>
              <w:rPr>
                <w:sz w:val="24"/>
              </w:rPr>
              <w:t>详见下表。</w:t>
            </w:r>
          </w:p>
          <w:p>
            <w:pPr>
              <w:pStyle w:val="31"/>
              <w:spacing w:before="0" w:beforeLines="0" w:after="0"/>
              <w:rPr>
                <w:rFonts w:hAnsi="Times New Roman"/>
                <w:bCs w:val="0"/>
                <w:color w:val="000000"/>
              </w:rPr>
            </w:pPr>
            <w:r>
              <w:rPr>
                <w:rFonts w:hAnsi="Times New Roman"/>
                <w:bCs w:val="0"/>
                <w:color w:val="000000"/>
              </w:rPr>
              <w:t>表4-5  噪声标准限值  （单位：dB(A)）</w:t>
            </w:r>
          </w:p>
          <w:tbl>
            <w:tblPr>
              <w:tblStyle w:val="22"/>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85" w:type="dxa"/>
                <w:bottom w:w="0" w:type="dxa"/>
                <w:right w:w="85" w:type="dxa"/>
              </w:tblCellMar>
            </w:tblPr>
            <w:tblGrid>
              <w:gridCol w:w="1719"/>
              <w:gridCol w:w="1493"/>
              <w:gridCol w:w="1495"/>
              <w:gridCol w:w="38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70" w:hRule="atLeast"/>
                <w:jc w:val="center"/>
              </w:trPr>
              <w:tc>
                <w:tcPr>
                  <w:tcW w:w="1000" w:type="pct"/>
                  <w:vMerge w:val="restart"/>
                  <w:vAlign w:val="center"/>
                </w:tcPr>
                <w:p>
                  <w:pPr>
                    <w:spacing w:after="0"/>
                    <w:jc w:val="center"/>
                    <w:rPr>
                      <w:color w:val="000000"/>
                      <w:szCs w:val="21"/>
                    </w:rPr>
                  </w:pPr>
                  <w:r>
                    <w:rPr>
                      <w:rFonts w:hint="eastAsia"/>
                      <w:color w:val="000000"/>
                      <w:szCs w:val="21"/>
                    </w:rPr>
                    <w:t>阶段</w:t>
                  </w:r>
                </w:p>
              </w:tc>
              <w:tc>
                <w:tcPr>
                  <w:tcW w:w="1737" w:type="pct"/>
                  <w:gridSpan w:val="2"/>
                  <w:vAlign w:val="center"/>
                </w:tcPr>
                <w:p>
                  <w:pPr>
                    <w:spacing w:after="0"/>
                    <w:jc w:val="center"/>
                    <w:rPr>
                      <w:color w:val="000000"/>
                      <w:szCs w:val="21"/>
                    </w:rPr>
                  </w:pPr>
                  <w:r>
                    <w:rPr>
                      <w:rFonts w:hint="eastAsia"/>
                      <w:color w:val="000000"/>
                      <w:szCs w:val="21"/>
                    </w:rPr>
                    <w:t>标准值</w:t>
                  </w:r>
                </w:p>
              </w:tc>
              <w:tc>
                <w:tcPr>
                  <w:tcW w:w="2262" w:type="pct"/>
                  <w:vMerge w:val="restart"/>
                  <w:vAlign w:val="center"/>
                </w:tcPr>
                <w:p>
                  <w:pPr>
                    <w:spacing w:after="0"/>
                    <w:jc w:val="center"/>
                    <w:rPr>
                      <w:color w:val="000000"/>
                      <w:szCs w:val="21"/>
                    </w:rPr>
                  </w:pPr>
                  <w:r>
                    <w:rPr>
                      <w:rFonts w:hint="eastAsia"/>
                      <w:color w:val="000000"/>
                      <w:szCs w:val="21"/>
                    </w:rPr>
                    <w:t>标准来源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70" w:hRule="atLeast"/>
                <w:jc w:val="center"/>
              </w:trPr>
              <w:tc>
                <w:tcPr>
                  <w:tcW w:w="1000" w:type="pct"/>
                  <w:vMerge w:val="continue"/>
                  <w:vAlign w:val="center"/>
                </w:tcPr>
                <w:p>
                  <w:pPr>
                    <w:widowControl/>
                    <w:spacing w:after="0"/>
                    <w:jc w:val="left"/>
                    <w:rPr>
                      <w:color w:val="000000"/>
                      <w:szCs w:val="21"/>
                    </w:rPr>
                  </w:pPr>
                </w:p>
              </w:tc>
              <w:tc>
                <w:tcPr>
                  <w:tcW w:w="868" w:type="pct"/>
                  <w:vAlign w:val="center"/>
                </w:tcPr>
                <w:p>
                  <w:pPr>
                    <w:spacing w:after="0"/>
                    <w:jc w:val="center"/>
                    <w:rPr>
                      <w:color w:val="000000"/>
                    </w:rPr>
                  </w:pPr>
                  <w:r>
                    <w:rPr>
                      <w:rFonts w:hint="eastAsia"/>
                      <w:color w:val="000000"/>
                    </w:rPr>
                    <w:t>昼间</w:t>
                  </w:r>
                </w:p>
              </w:tc>
              <w:tc>
                <w:tcPr>
                  <w:tcW w:w="868" w:type="pct"/>
                  <w:vAlign w:val="center"/>
                </w:tcPr>
                <w:p>
                  <w:pPr>
                    <w:spacing w:after="0"/>
                    <w:jc w:val="center"/>
                    <w:rPr>
                      <w:color w:val="000000"/>
                    </w:rPr>
                  </w:pPr>
                  <w:r>
                    <w:rPr>
                      <w:rFonts w:hint="eastAsia"/>
                      <w:color w:val="000000"/>
                    </w:rPr>
                    <w:t>夜间</w:t>
                  </w:r>
                </w:p>
              </w:tc>
              <w:tc>
                <w:tcPr>
                  <w:tcW w:w="2262" w:type="pct"/>
                  <w:vMerge w:val="continue"/>
                  <w:vAlign w:val="center"/>
                </w:tcPr>
                <w:p>
                  <w:pPr>
                    <w:widowControl/>
                    <w:spacing w:after="0"/>
                    <w:jc w:val="left"/>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70" w:hRule="atLeast"/>
                <w:jc w:val="center"/>
              </w:trPr>
              <w:tc>
                <w:tcPr>
                  <w:tcW w:w="1000" w:type="pct"/>
                  <w:vAlign w:val="center"/>
                </w:tcPr>
                <w:p>
                  <w:pPr>
                    <w:spacing w:after="0"/>
                    <w:jc w:val="center"/>
                    <w:rPr>
                      <w:color w:val="000000"/>
                    </w:rPr>
                  </w:pPr>
                  <w:r>
                    <w:rPr>
                      <w:rFonts w:hint="eastAsia"/>
                      <w:color w:val="000000"/>
                    </w:rPr>
                    <w:t>施工期</w:t>
                  </w:r>
                </w:p>
              </w:tc>
              <w:tc>
                <w:tcPr>
                  <w:tcW w:w="868" w:type="pct"/>
                  <w:vAlign w:val="center"/>
                </w:tcPr>
                <w:p>
                  <w:pPr>
                    <w:spacing w:after="0"/>
                    <w:jc w:val="center"/>
                    <w:rPr>
                      <w:color w:val="000000"/>
                    </w:rPr>
                  </w:pPr>
                  <w:r>
                    <w:rPr>
                      <w:rFonts w:hint="eastAsia"/>
                      <w:color w:val="000000"/>
                    </w:rPr>
                    <w:t>70</w:t>
                  </w:r>
                </w:p>
              </w:tc>
              <w:tc>
                <w:tcPr>
                  <w:tcW w:w="868" w:type="pct"/>
                  <w:vAlign w:val="center"/>
                </w:tcPr>
                <w:p>
                  <w:pPr>
                    <w:spacing w:after="0"/>
                    <w:jc w:val="center"/>
                    <w:rPr>
                      <w:color w:val="000000"/>
                    </w:rPr>
                  </w:pPr>
                  <w:r>
                    <w:rPr>
                      <w:rFonts w:hint="eastAsia"/>
                      <w:color w:val="000000"/>
                    </w:rPr>
                    <w:t>55</w:t>
                  </w:r>
                </w:p>
              </w:tc>
              <w:tc>
                <w:tcPr>
                  <w:tcW w:w="2262" w:type="pct"/>
                  <w:vAlign w:val="center"/>
                </w:tcPr>
                <w:p>
                  <w:pPr>
                    <w:spacing w:after="0"/>
                    <w:jc w:val="center"/>
                    <w:rPr>
                      <w:color w:val="000000"/>
                    </w:rPr>
                  </w:pPr>
                  <w:r>
                    <w:rPr>
                      <w:color w:val="000000"/>
                    </w:rPr>
                    <w:t>《建筑施工场界环境噪声排放标准》（GB12523-2011）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70" w:hRule="atLeast"/>
                <w:jc w:val="center"/>
              </w:trPr>
              <w:tc>
                <w:tcPr>
                  <w:tcW w:w="1000" w:type="pct"/>
                  <w:vAlign w:val="center"/>
                </w:tcPr>
                <w:p>
                  <w:pPr>
                    <w:spacing w:after="0"/>
                    <w:jc w:val="center"/>
                    <w:rPr>
                      <w:color w:val="000000"/>
                      <w:szCs w:val="21"/>
                    </w:rPr>
                  </w:pPr>
                  <w:r>
                    <w:rPr>
                      <w:rFonts w:hint="eastAsia"/>
                      <w:color w:val="000000"/>
                      <w:szCs w:val="21"/>
                    </w:rPr>
                    <w:t>营运期</w:t>
                  </w:r>
                </w:p>
              </w:tc>
              <w:tc>
                <w:tcPr>
                  <w:tcW w:w="868" w:type="pct"/>
                  <w:vAlign w:val="center"/>
                </w:tcPr>
                <w:p>
                  <w:pPr>
                    <w:spacing w:after="0"/>
                    <w:jc w:val="center"/>
                    <w:rPr>
                      <w:color w:val="000000"/>
                      <w:szCs w:val="21"/>
                    </w:rPr>
                  </w:pPr>
                  <w:r>
                    <w:rPr>
                      <w:color w:val="000000"/>
                      <w:szCs w:val="21"/>
                    </w:rPr>
                    <w:t>6</w:t>
                  </w:r>
                  <w:r>
                    <w:rPr>
                      <w:rFonts w:hint="eastAsia"/>
                      <w:color w:val="000000"/>
                      <w:szCs w:val="21"/>
                    </w:rPr>
                    <w:t>0</w:t>
                  </w:r>
                </w:p>
              </w:tc>
              <w:tc>
                <w:tcPr>
                  <w:tcW w:w="868" w:type="pct"/>
                  <w:vAlign w:val="center"/>
                </w:tcPr>
                <w:p>
                  <w:pPr>
                    <w:spacing w:after="0"/>
                    <w:jc w:val="center"/>
                    <w:rPr>
                      <w:color w:val="000000"/>
                      <w:szCs w:val="21"/>
                    </w:rPr>
                  </w:pPr>
                  <w:r>
                    <w:rPr>
                      <w:color w:val="000000"/>
                      <w:szCs w:val="21"/>
                    </w:rPr>
                    <w:t>5</w:t>
                  </w:r>
                  <w:r>
                    <w:rPr>
                      <w:rFonts w:hint="eastAsia"/>
                      <w:color w:val="000000"/>
                      <w:szCs w:val="21"/>
                    </w:rPr>
                    <w:t>0</w:t>
                  </w:r>
                </w:p>
              </w:tc>
              <w:tc>
                <w:tcPr>
                  <w:tcW w:w="2262" w:type="pct"/>
                  <w:vAlign w:val="center"/>
                </w:tcPr>
                <w:p>
                  <w:pPr>
                    <w:spacing w:after="0"/>
                    <w:jc w:val="center"/>
                    <w:rPr>
                      <w:color w:val="000000"/>
                      <w:szCs w:val="21"/>
                    </w:rPr>
                  </w:pPr>
                  <w:r>
                    <w:rPr>
                      <w:rFonts w:hint="eastAsia"/>
                      <w:color w:val="000000"/>
                    </w:rPr>
                    <w:t>《工业企业厂界环境噪声排放标准》（</w:t>
                  </w:r>
                  <w:r>
                    <w:rPr>
                      <w:color w:val="000000"/>
                    </w:rPr>
                    <w:t>GB12348-2008</w:t>
                  </w:r>
                  <w:r>
                    <w:rPr>
                      <w:rFonts w:hint="eastAsia"/>
                      <w:color w:val="000000"/>
                    </w:rPr>
                    <w:t>）</w:t>
                  </w:r>
                </w:p>
              </w:tc>
            </w:tr>
          </w:tbl>
          <w:p>
            <w:pPr>
              <w:spacing w:after="0"/>
              <w:ind w:firstLine="482" w:firstLineChars="200"/>
              <w:rPr>
                <w:b/>
                <w:bCs/>
                <w:sz w:val="24"/>
              </w:rPr>
            </w:pPr>
            <w:r>
              <w:rPr>
                <w:b/>
                <w:bCs/>
                <w:sz w:val="24"/>
              </w:rPr>
              <w:t>四、固体废物</w:t>
            </w:r>
          </w:p>
          <w:p>
            <w:pPr>
              <w:spacing w:after="0" w:line="360" w:lineRule="auto"/>
              <w:ind w:firstLine="480" w:firstLineChars="200"/>
              <w:rPr>
                <w:szCs w:val="32"/>
              </w:rPr>
            </w:pPr>
            <w:r>
              <w:rPr>
                <w:sz w:val="24"/>
              </w:rPr>
              <w:t>一般固体废弃物暂存、处置过程执行《一般工业固体废物贮存、处置场污染控制标准》（GB18599-2001）及环保部2013年第36号修改单标准；危险废物暂存、处置过程执行《危险废物贮存污染控制标准》（GB18597-2001）及环保部2013年第36号修改单标准；生活垃圾处置执行《生活垃圾填埋场污染控制标准》（GB16889-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Align w:val="center"/>
          </w:tcPr>
          <w:p>
            <w:pPr>
              <w:pStyle w:val="35"/>
              <w:spacing w:after="0"/>
              <w:jc w:val="center"/>
              <w:rPr>
                <w:rFonts w:ascii="Times New Roman" w:cs="Times New Roman"/>
                <w:color w:val="auto"/>
                <w:szCs w:val="32"/>
              </w:rPr>
            </w:pPr>
            <w:r>
              <w:rPr>
                <w:rFonts w:hint="eastAsia" w:ascii="Times New Roman" w:cs="Times New Roman"/>
                <w:color w:val="auto"/>
              </w:rPr>
              <w:t>总量控制指标</w:t>
            </w:r>
          </w:p>
        </w:tc>
        <w:tc>
          <w:tcPr>
            <w:tcW w:w="8830" w:type="dxa"/>
          </w:tcPr>
          <w:p>
            <w:pPr>
              <w:pStyle w:val="16"/>
              <w:spacing w:after="0"/>
              <w:ind w:left="0" w:leftChars="0"/>
              <w:rPr>
                <w:sz w:val="24"/>
              </w:rPr>
            </w:pPr>
          </w:p>
          <w:p>
            <w:pPr>
              <w:spacing w:after="0"/>
              <w:rPr>
                <w:sz w:val="24"/>
              </w:rPr>
            </w:pPr>
          </w:p>
          <w:p>
            <w:pPr>
              <w:pStyle w:val="16"/>
              <w:spacing w:after="0"/>
              <w:rPr>
                <w:sz w:val="24"/>
              </w:rPr>
            </w:pPr>
          </w:p>
          <w:p>
            <w:pPr>
              <w:spacing w:after="0"/>
              <w:rPr>
                <w:sz w:val="24"/>
              </w:rPr>
            </w:pPr>
          </w:p>
          <w:p>
            <w:pPr>
              <w:pStyle w:val="16"/>
              <w:spacing w:after="0"/>
            </w:pPr>
          </w:p>
          <w:p>
            <w:pPr>
              <w:spacing w:after="0"/>
            </w:pPr>
          </w:p>
          <w:p>
            <w:pPr>
              <w:spacing w:after="0" w:line="360" w:lineRule="auto"/>
              <w:ind w:firstLine="480" w:firstLineChars="200"/>
              <w:rPr>
                <w:sz w:val="24"/>
              </w:rPr>
            </w:pPr>
            <w:r>
              <w:rPr>
                <w:sz w:val="24"/>
              </w:rPr>
              <w:t>根据《国家环境保护“十三五”主要污染物减排规划》，湖南省约束性总量指标控制为二氧化硫（SO</w:t>
            </w:r>
            <w:r>
              <w:rPr>
                <w:sz w:val="24"/>
                <w:vertAlign w:val="subscript"/>
              </w:rPr>
              <w:t>2</w:t>
            </w:r>
            <w:r>
              <w:rPr>
                <w:sz w:val="24"/>
              </w:rPr>
              <w:t>）、氮氧化物（NO</w:t>
            </w:r>
            <w:r>
              <w:rPr>
                <w:sz w:val="24"/>
                <w:vertAlign w:val="subscript"/>
              </w:rPr>
              <w:t>X</w:t>
            </w:r>
            <w:r>
              <w:rPr>
                <w:sz w:val="24"/>
              </w:rPr>
              <w:t>）、化学需氧量（COD）和氨氮（NH</w:t>
            </w:r>
            <w:r>
              <w:rPr>
                <w:sz w:val="24"/>
                <w:vertAlign w:val="subscript"/>
              </w:rPr>
              <w:t>3</w:t>
            </w:r>
            <w:r>
              <w:rPr>
                <w:sz w:val="24"/>
              </w:rPr>
              <w:t>-N），推荐性总量指标控制为VOCs。</w:t>
            </w:r>
          </w:p>
          <w:p>
            <w:pPr>
              <w:spacing w:after="0" w:line="360" w:lineRule="auto"/>
              <w:ind w:firstLine="480" w:firstLineChars="200"/>
              <w:rPr>
                <w:sz w:val="24"/>
              </w:rPr>
            </w:pPr>
            <w:r>
              <w:rPr>
                <w:sz w:val="24"/>
              </w:rPr>
              <w:t>本项目投产使用后，废气排放的污染物主要为粉尘。项目生活污水经化粪池处理后用于附近农田灌溉，不外排；</w:t>
            </w:r>
            <w:r>
              <w:rPr>
                <w:rFonts w:hint="eastAsia"/>
                <w:sz w:val="24"/>
              </w:rPr>
              <w:t>生产</w:t>
            </w:r>
            <w:r>
              <w:rPr>
                <w:sz w:val="24"/>
              </w:rPr>
              <w:t>废水经三级沉淀池沉淀处理后循环使用，不外排。</w:t>
            </w:r>
          </w:p>
          <w:p>
            <w:pPr>
              <w:spacing w:after="0" w:line="360" w:lineRule="auto"/>
              <w:ind w:firstLine="480" w:firstLineChars="200"/>
              <w:rPr>
                <w:sz w:val="24"/>
              </w:rPr>
            </w:pPr>
            <w:r>
              <w:rPr>
                <w:sz w:val="24"/>
              </w:rPr>
              <w:t>因此，本项目不设置总量控制指标。</w:t>
            </w:r>
          </w:p>
          <w:p>
            <w:pPr>
              <w:spacing w:after="0" w:line="360" w:lineRule="auto"/>
              <w:ind w:firstLine="420" w:firstLineChars="200"/>
            </w:pPr>
          </w:p>
          <w:p>
            <w:pPr>
              <w:pStyle w:val="16"/>
              <w:spacing w:after="0"/>
            </w:pPr>
          </w:p>
          <w:p>
            <w:pPr>
              <w:spacing w:after="0"/>
            </w:pPr>
          </w:p>
          <w:p>
            <w:pPr>
              <w:pStyle w:val="16"/>
              <w:spacing w:after="0"/>
            </w:pPr>
          </w:p>
          <w:p>
            <w:pPr>
              <w:spacing w:after="0"/>
            </w:pPr>
          </w:p>
          <w:p>
            <w:pPr>
              <w:spacing w:after="0"/>
            </w:pPr>
          </w:p>
        </w:tc>
      </w:tr>
    </w:tbl>
    <w:p>
      <w:pPr>
        <w:pStyle w:val="35"/>
        <w:rPr>
          <w:rFonts w:ascii="Times New Roman" w:cs="Times New Roman"/>
          <w:color w:val="auto"/>
          <w:szCs w:val="32"/>
        </w:rPr>
        <w:sectPr>
          <w:pgSz w:w="11906" w:h="16838"/>
          <w:pgMar w:top="1134" w:right="1417" w:bottom="1134" w:left="1417" w:header="851" w:footer="992" w:gutter="0"/>
          <w:cols w:space="720" w:num="1"/>
          <w:docGrid w:type="lines" w:linePitch="312" w:charSpace="0"/>
        </w:sectPr>
      </w:pPr>
    </w:p>
    <w:p>
      <w:pPr>
        <w:pStyle w:val="35"/>
        <w:outlineLvl w:val="0"/>
        <w:rPr>
          <w:rFonts w:ascii="Times New Roman" w:cs="Times New Roman"/>
          <w:b/>
          <w:bCs/>
          <w:color w:val="auto"/>
          <w:sz w:val="32"/>
          <w:szCs w:val="40"/>
        </w:rPr>
      </w:pPr>
      <w:bookmarkStart w:id="88" w:name="_Toc32638"/>
      <w:r>
        <w:rPr>
          <w:rFonts w:hint="eastAsia" w:ascii="Times New Roman" w:cs="Times New Roman"/>
          <w:b/>
          <w:bCs/>
          <w:color w:val="auto"/>
          <w:sz w:val="32"/>
          <w:szCs w:val="40"/>
        </w:rPr>
        <w:t>5建设项目工程分析</w:t>
      </w:r>
      <w:bookmarkEnd w:id="88"/>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autoSpaceDE w:val="0"/>
              <w:autoSpaceDN w:val="0"/>
              <w:adjustRightInd w:val="0"/>
              <w:spacing w:after="0" w:line="360" w:lineRule="auto"/>
              <w:rPr>
                <w:b/>
                <w:bCs/>
                <w:sz w:val="24"/>
                <w:szCs w:val="32"/>
              </w:rPr>
            </w:pPr>
            <w:r>
              <w:rPr>
                <w:b/>
                <w:bCs/>
                <w:sz w:val="24"/>
                <w:szCs w:val="32"/>
              </w:rPr>
              <w:t>工艺流程简述</w:t>
            </w:r>
          </w:p>
          <w:p>
            <w:pPr>
              <w:autoSpaceDE w:val="0"/>
              <w:autoSpaceDN w:val="0"/>
              <w:adjustRightInd w:val="0"/>
              <w:spacing w:after="0" w:line="360" w:lineRule="auto"/>
              <w:rPr>
                <w:b/>
                <w:bCs/>
                <w:sz w:val="24"/>
                <w:szCs w:val="32"/>
              </w:rPr>
            </w:pPr>
            <w:r>
              <w:rPr>
                <w:rFonts w:hint="eastAsia"/>
                <w:b/>
                <w:bCs/>
                <w:sz w:val="24"/>
                <w:szCs w:val="32"/>
              </w:rPr>
              <w:t>一、施工期施工工艺流程</w:t>
            </w:r>
          </w:p>
          <w:p>
            <w:pPr>
              <w:pStyle w:val="49"/>
              <w:spacing w:after="0" w:line="520" w:lineRule="exact"/>
              <w:ind w:firstLine="480"/>
            </w:pPr>
            <w:r>
              <w:rPr>
                <w:rFonts w:hint="eastAsia"/>
              </w:rPr>
              <w:t>本项目施工期流程及产污环节详见图</w:t>
            </w:r>
            <w:r>
              <w:t>5-1</w:t>
            </w:r>
            <w:r>
              <w:rPr>
                <w:rFonts w:hint="eastAsia"/>
              </w:rPr>
              <w:t>。</w:t>
            </w:r>
          </w:p>
          <w:p>
            <w:pPr>
              <w:pStyle w:val="49"/>
              <w:spacing w:after="0" w:line="520" w:lineRule="exact"/>
              <w:ind w:firstLine="480"/>
            </w:pPr>
            <w:r>
              <w:drawing>
                <wp:anchor distT="0" distB="0" distL="114300" distR="114300" simplePos="0" relativeHeight="251714560" behindDoc="0" locked="0" layoutInCell="1" allowOverlap="1">
                  <wp:simplePos x="0" y="0"/>
                  <wp:positionH relativeFrom="column">
                    <wp:posOffset>285750</wp:posOffset>
                  </wp:positionH>
                  <wp:positionV relativeFrom="paragraph">
                    <wp:posOffset>6985</wp:posOffset>
                  </wp:positionV>
                  <wp:extent cx="4893310" cy="1428750"/>
                  <wp:effectExtent l="0" t="0" r="2540" b="0"/>
                  <wp:wrapNone/>
                  <wp:docPr id="1"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5"/>
                          <pic:cNvPicPr>
                            <a:picLocks noChangeAspect="1"/>
                          </pic:cNvPicPr>
                        </pic:nvPicPr>
                        <pic:blipFill>
                          <a:blip r:embed="rId6"/>
                          <a:stretch>
                            <a:fillRect/>
                          </a:stretch>
                        </pic:blipFill>
                        <pic:spPr>
                          <a:xfrm>
                            <a:off x="0" y="0"/>
                            <a:ext cx="4893310" cy="1428750"/>
                          </a:xfrm>
                          <a:prstGeom prst="rect">
                            <a:avLst/>
                          </a:prstGeom>
                          <a:noFill/>
                          <a:ln>
                            <a:noFill/>
                          </a:ln>
                        </pic:spPr>
                      </pic:pic>
                    </a:graphicData>
                  </a:graphic>
                </wp:anchor>
              </w:drawing>
            </w:r>
          </w:p>
          <w:p>
            <w:pPr>
              <w:pStyle w:val="49"/>
              <w:spacing w:after="0" w:line="520" w:lineRule="exact"/>
              <w:ind w:firstLine="480"/>
            </w:pPr>
            <w:r>
              <w:t xml:space="preserve">     </w:t>
            </w:r>
          </w:p>
          <w:p>
            <w:pPr>
              <w:pStyle w:val="49"/>
              <w:spacing w:after="0" w:line="520" w:lineRule="exact"/>
              <w:ind w:firstLine="0" w:firstLineChars="0"/>
            </w:pPr>
          </w:p>
          <w:p>
            <w:pPr>
              <w:pStyle w:val="49"/>
              <w:spacing w:after="0" w:line="520" w:lineRule="exact"/>
              <w:ind w:firstLine="480"/>
            </w:pPr>
          </w:p>
          <w:p>
            <w:pPr>
              <w:pStyle w:val="49"/>
              <w:spacing w:after="0" w:line="520" w:lineRule="exact"/>
              <w:ind w:firstLine="480"/>
            </w:pPr>
            <w:r>
              <w:t>1</w:t>
            </w:r>
            <w:r>
              <w:rPr>
                <w:rFonts w:hint="eastAsia"/>
              </w:rPr>
              <w:t>、基础工程施工</w:t>
            </w:r>
          </w:p>
          <w:p>
            <w:pPr>
              <w:pStyle w:val="49"/>
              <w:spacing w:after="0" w:line="520" w:lineRule="exact"/>
              <w:ind w:firstLine="480"/>
            </w:pPr>
            <w:r>
              <w:rPr>
                <w:rFonts w:hint="eastAsia"/>
              </w:rPr>
              <w:t>基础工程施工包括土方（挖方、填方）、地基处理（岩土工程）等。施工过程中挖土机、冲击机、卷扬机、大型载重车等运行时将主要产生施工噪声、施工扬尘、生态破坏和水土流失。</w:t>
            </w:r>
          </w:p>
          <w:p>
            <w:pPr>
              <w:pStyle w:val="49"/>
              <w:spacing w:after="0" w:line="520" w:lineRule="exact"/>
              <w:ind w:firstLine="480"/>
            </w:pPr>
            <w:r>
              <w:t>2</w:t>
            </w:r>
            <w:r>
              <w:rPr>
                <w:rFonts w:hint="eastAsia"/>
              </w:rPr>
              <w:t>、主体工程施工</w:t>
            </w:r>
          </w:p>
          <w:p>
            <w:pPr>
              <w:pStyle w:val="49"/>
              <w:spacing w:after="0" w:line="360" w:lineRule="auto"/>
              <w:ind w:firstLine="480"/>
            </w:pPr>
            <w:r>
              <w:rPr>
                <w:rFonts w:hint="eastAsia"/>
              </w:rPr>
              <w:t>主体工程施工包括搅拌大楼、办公楼、原料堆场等施工，施工过程挖土、建材搬运和汽车运输过程中会产生扬尘，混凝土输送泵、电焊机、钢筋切割机等施工机械的运行将产生噪声。</w:t>
            </w:r>
          </w:p>
          <w:p>
            <w:pPr>
              <w:pStyle w:val="49"/>
              <w:spacing w:after="0" w:line="360" w:lineRule="auto"/>
              <w:ind w:firstLine="480"/>
            </w:pPr>
            <w:r>
              <w:rPr>
                <w:rFonts w:hint="eastAsia"/>
              </w:rPr>
              <w:t>3、设备安装</w:t>
            </w:r>
          </w:p>
          <w:p>
            <w:pPr>
              <w:spacing w:after="0" w:line="360" w:lineRule="auto"/>
              <w:ind w:firstLine="480" w:firstLineChars="200"/>
              <w:rPr>
                <w:color w:val="000000"/>
                <w:sz w:val="24"/>
                <w:szCs w:val="20"/>
              </w:rPr>
            </w:pPr>
            <w:r>
              <w:rPr>
                <w:rFonts w:hint="eastAsia"/>
                <w:color w:val="000000"/>
                <w:sz w:val="24"/>
                <w:szCs w:val="20"/>
              </w:rPr>
              <w:t>设备安装及试机过程中会产生噪声。</w:t>
            </w:r>
          </w:p>
          <w:p>
            <w:pPr>
              <w:pStyle w:val="49"/>
              <w:spacing w:after="0" w:line="360" w:lineRule="auto"/>
              <w:ind w:firstLine="480"/>
            </w:pPr>
            <w:r>
              <w:rPr>
                <w:rFonts w:hint="eastAsia"/>
              </w:rPr>
              <w:t>从上述污染工序分析可知，施工期环境污染问题主要是：施工扬尘和废气、施工噪声、施工人员生活污水和工程废水、施工垃圾等，这些污染几乎发生于整个施工过程，但不同污染因子在不同施工段污染强度不同</w:t>
            </w:r>
            <w:r>
              <w:t>。</w:t>
            </w:r>
          </w:p>
          <w:p>
            <w:pPr>
              <w:autoSpaceDE w:val="0"/>
              <w:autoSpaceDN w:val="0"/>
              <w:adjustRightInd w:val="0"/>
              <w:spacing w:after="0" w:line="360" w:lineRule="auto"/>
              <w:rPr>
                <w:b/>
                <w:bCs/>
                <w:sz w:val="24"/>
                <w:szCs w:val="32"/>
              </w:rPr>
            </w:pPr>
          </w:p>
          <w:p>
            <w:pPr>
              <w:autoSpaceDE w:val="0"/>
              <w:autoSpaceDN w:val="0"/>
              <w:adjustRightInd w:val="0"/>
              <w:spacing w:after="0" w:line="360" w:lineRule="auto"/>
              <w:rPr>
                <w:b/>
                <w:bCs/>
                <w:sz w:val="24"/>
                <w:szCs w:val="32"/>
              </w:rPr>
            </w:pPr>
          </w:p>
          <w:p>
            <w:pPr>
              <w:autoSpaceDE w:val="0"/>
              <w:autoSpaceDN w:val="0"/>
              <w:adjustRightInd w:val="0"/>
              <w:spacing w:after="0" w:line="360" w:lineRule="auto"/>
              <w:rPr>
                <w:b/>
                <w:bCs/>
                <w:sz w:val="24"/>
                <w:szCs w:val="32"/>
              </w:rPr>
            </w:pPr>
          </w:p>
          <w:p>
            <w:pPr>
              <w:autoSpaceDE w:val="0"/>
              <w:autoSpaceDN w:val="0"/>
              <w:adjustRightInd w:val="0"/>
              <w:spacing w:after="0" w:line="360" w:lineRule="auto"/>
              <w:rPr>
                <w:b/>
                <w:bCs/>
                <w:sz w:val="24"/>
                <w:szCs w:val="32"/>
              </w:rPr>
            </w:pPr>
          </w:p>
          <w:p>
            <w:pPr>
              <w:autoSpaceDE w:val="0"/>
              <w:autoSpaceDN w:val="0"/>
              <w:adjustRightInd w:val="0"/>
              <w:spacing w:after="0" w:line="360" w:lineRule="auto"/>
              <w:rPr>
                <w:b/>
                <w:bCs/>
                <w:sz w:val="24"/>
                <w:szCs w:val="32"/>
              </w:rPr>
            </w:pPr>
          </w:p>
          <w:p>
            <w:pPr>
              <w:autoSpaceDE w:val="0"/>
              <w:autoSpaceDN w:val="0"/>
              <w:adjustRightInd w:val="0"/>
              <w:spacing w:after="0" w:line="360" w:lineRule="auto"/>
              <w:rPr>
                <w:b/>
                <w:bCs/>
                <w:sz w:val="24"/>
                <w:szCs w:val="32"/>
              </w:rPr>
            </w:pPr>
          </w:p>
          <w:p>
            <w:pPr>
              <w:pStyle w:val="2"/>
              <w:spacing w:after="0"/>
              <w:rPr>
                <w:sz w:val="24"/>
              </w:rPr>
            </w:pPr>
          </w:p>
          <w:p>
            <w:pPr>
              <w:autoSpaceDE w:val="0"/>
              <w:autoSpaceDN w:val="0"/>
              <w:adjustRightInd w:val="0"/>
              <w:spacing w:after="0" w:line="360" w:lineRule="auto"/>
              <w:rPr>
                <w:sz w:val="24"/>
              </w:rPr>
            </w:pPr>
            <w:r>
              <w:rPr>
                <w:rFonts w:hint="eastAsia"/>
                <w:b/>
                <w:bCs/>
                <w:sz w:val="24"/>
                <w:szCs w:val="32"/>
              </w:rPr>
              <w:t>二、营运期工艺</w:t>
            </w:r>
            <w:r>
              <w:rPr>
                <w:b/>
                <w:bCs/>
                <w:sz w:val="24"/>
                <w:szCs w:val="32"/>
              </w:rPr>
              <w:t>流程</w:t>
            </w:r>
          </w:p>
          <w:p>
            <w:pPr>
              <w:pStyle w:val="35"/>
              <w:spacing w:after="0" w:line="360" w:lineRule="auto"/>
              <w:jc w:val="center"/>
              <w:rPr>
                <w:rFonts w:ascii="Times New Roman" w:cs="Times New Roman"/>
                <w:sz w:val="21"/>
                <w:szCs w:val="21"/>
              </w:rPr>
            </w:pPr>
            <w:r>
              <w:rPr>
                <w:rFonts w:ascii="Times New Roman" w:cs="Times New Roman"/>
                <w:sz w:val="21"/>
                <w:szCs w:val="21"/>
              </w:rPr>
              <w:drawing>
                <wp:inline distT="0" distB="0" distL="114300" distR="114300">
                  <wp:extent cx="5658485" cy="3982085"/>
                  <wp:effectExtent l="0" t="0" r="18415" b="18415"/>
                  <wp:docPr id="16" name="图片 1" descr="1583077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1583077744(1)"/>
                          <pic:cNvPicPr>
                            <a:picLocks noChangeAspect="1"/>
                          </pic:cNvPicPr>
                        </pic:nvPicPr>
                        <pic:blipFill>
                          <a:blip r:embed="rId7"/>
                          <a:stretch>
                            <a:fillRect/>
                          </a:stretch>
                        </pic:blipFill>
                        <pic:spPr>
                          <a:xfrm>
                            <a:off x="0" y="0"/>
                            <a:ext cx="5658485" cy="3982085"/>
                          </a:xfrm>
                          <a:prstGeom prst="rect">
                            <a:avLst/>
                          </a:prstGeom>
                          <a:noFill/>
                          <a:ln>
                            <a:noFill/>
                          </a:ln>
                        </pic:spPr>
                      </pic:pic>
                    </a:graphicData>
                  </a:graphic>
                </wp:inline>
              </w:drawing>
            </w:r>
          </w:p>
          <w:p>
            <w:pPr>
              <w:pStyle w:val="35"/>
              <w:spacing w:after="0" w:line="360" w:lineRule="auto"/>
              <w:jc w:val="center"/>
              <w:rPr>
                <w:rFonts w:ascii="Times New Roman" w:cs="Times New Roman"/>
                <w:sz w:val="21"/>
                <w:szCs w:val="21"/>
              </w:rPr>
            </w:pPr>
            <w:r>
              <w:rPr>
                <w:rFonts w:ascii="Times New Roman" w:cs="Times New Roman"/>
                <w:sz w:val="21"/>
                <w:szCs w:val="21"/>
              </w:rPr>
              <w:t>注：W</w:t>
            </w:r>
            <w:r>
              <w:rPr>
                <w:rFonts w:hint="eastAsia" w:ascii="Times New Roman" w:cs="Times New Roman"/>
                <w:sz w:val="21"/>
                <w:szCs w:val="21"/>
              </w:rPr>
              <w:t>-</w:t>
            </w:r>
            <w:r>
              <w:rPr>
                <w:rFonts w:ascii="Times New Roman" w:cs="Times New Roman"/>
                <w:sz w:val="21"/>
                <w:szCs w:val="21"/>
              </w:rPr>
              <w:t>水污染源，G</w:t>
            </w:r>
            <w:r>
              <w:rPr>
                <w:rFonts w:hint="eastAsia" w:ascii="Times New Roman" w:cs="Times New Roman"/>
                <w:sz w:val="21"/>
                <w:szCs w:val="21"/>
              </w:rPr>
              <w:t>-</w:t>
            </w:r>
            <w:r>
              <w:rPr>
                <w:rFonts w:ascii="Times New Roman" w:cs="Times New Roman"/>
                <w:sz w:val="21"/>
                <w:szCs w:val="21"/>
              </w:rPr>
              <w:t>大气污染源，N</w:t>
            </w:r>
            <w:r>
              <w:rPr>
                <w:rFonts w:hint="eastAsia" w:ascii="Times New Roman" w:cs="Times New Roman"/>
                <w:sz w:val="21"/>
                <w:szCs w:val="21"/>
              </w:rPr>
              <w:t>-</w:t>
            </w:r>
            <w:r>
              <w:rPr>
                <w:rFonts w:ascii="Times New Roman" w:cs="Times New Roman"/>
                <w:sz w:val="21"/>
                <w:szCs w:val="21"/>
              </w:rPr>
              <w:t>噪声污染源，S</w:t>
            </w:r>
            <w:r>
              <w:rPr>
                <w:rFonts w:hint="eastAsia" w:ascii="Times New Roman" w:cs="Times New Roman"/>
                <w:sz w:val="21"/>
                <w:szCs w:val="21"/>
              </w:rPr>
              <w:t>-</w:t>
            </w:r>
            <w:r>
              <w:rPr>
                <w:rFonts w:ascii="Times New Roman" w:cs="Times New Roman"/>
                <w:sz w:val="21"/>
                <w:szCs w:val="21"/>
              </w:rPr>
              <w:t>固体废物污染源</w:t>
            </w:r>
          </w:p>
          <w:p>
            <w:pPr>
              <w:pStyle w:val="35"/>
              <w:spacing w:after="0" w:line="360" w:lineRule="auto"/>
              <w:ind w:firstLine="482" w:firstLineChars="200"/>
              <w:jc w:val="center"/>
              <w:rPr>
                <w:rFonts w:ascii="Times New Roman" w:cs="Times New Roman"/>
                <w:sz w:val="21"/>
                <w:szCs w:val="21"/>
              </w:rPr>
            </w:pPr>
            <w:r>
              <w:rPr>
                <w:rFonts w:ascii="Times New Roman" w:cs="Times New Roman"/>
                <w:b/>
                <w:bCs/>
              </w:rPr>
              <w:t>图</w:t>
            </w:r>
            <w:r>
              <w:rPr>
                <w:rFonts w:hint="eastAsia" w:ascii="Times New Roman" w:cs="Times New Roman"/>
                <w:b/>
                <w:bCs/>
              </w:rPr>
              <w:t>5-</w:t>
            </w:r>
            <w:r>
              <w:rPr>
                <w:rFonts w:ascii="Times New Roman" w:cs="Times New Roman"/>
                <w:b/>
                <w:bCs/>
              </w:rPr>
              <w:t xml:space="preserve">2  </w:t>
            </w:r>
            <w:r>
              <w:rPr>
                <w:rFonts w:hint="eastAsia" w:ascii="Times New Roman" w:cs="Times New Roman"/>
                <w:b/>
                <w:bCs/>
              </w:rPr>
              <w:t>营运期生产工艺</w:t>
            </w:r>
            <w:r>
              <w:rPr>
                <w:rFonts w:ascii="Times New Roman" w:cs="Times New Roman"/>
                <w:b/>
                <w:bCs/>
              </w:rPr>
              <w:t>流程及产污环节</w:t>
            </w:r>
            <w:r>
              <w:rPr>
                <w:rFonts w:hint="eastAsia" w:ascii="Times New Roman" w:cs="Times New Roman"/>
                <w:b/>
                <w:bCs/>
              </w:rPr>
              <w:t>图</w:t>
            </w:r>
          </w:p>
          <w:p>
            <w:pPr>
              <w:pStyle w:val="35"/>
              <w:spacing w:after="0" w:line="360" w:lineRule="auto"/>
              <w:ind w:firstLine="482" w:firstLineChars="200"/>
              <w:jc w:val="both"/>
              <w:rPr>
                <w:rFonts w:ascii="Times New Roman" w:cs="Times New Roman"/>
                <w:u w:val="wave"/>
              </w:rPr>
            </w:pPr>
            <w:r>
              <w:rPr>
                <w:rFonts w:ascii="Times New Roman" w:cs="Times New Roman"/>
                <w:b/>
                <w:bCs/>
                <w:u w:val="wave"/>
              </w:rPr>
              <w:t>工艺流程及产污环节说明：</w:t>
            </w:r>
          </w:p>
          <w:p>
            <w:pPr>
              <w:adjustRightInd w:val="0"/>
              <w:snapToGrid w:val="0"/>
              <w:spacing w:after="0" w:line="360" w:lineRule="auto"/>
              <w:ind w:firstLine="480" w:firstLineChars="200"/>
              <w:rPr>
                <w:kern w:val="0"/>
                <w:sz w:val="24"/>
                <w:u w:val="wave"/>
                <w:lang w:bidi="ar"/>
              </w:rPr>
            </w:pPr>
            <w:r>
              <w:rPr>
                <w:kern w:val="0"/>
                <w:sz w:val="24"/>
                <w:u w:val="wave"/>
                <w:lang w:val="zh-CN" w:bidi="ar"/>
              </w:rPr>
              <w:t>（</w:t>
            </w:r>
            <w:r>
              <w:rPr>
                <w:kern w:val="0"/>
                <w:sz w:val="24"/>
                <w:u w:val="wave"/>
                <w:lang w:bidi="ar"/>
              </w:rPr>
              <w:t>1</w:t>
            </w:r>
            <w:r>
              <w:rPr>
                <w:kern w:val="0"/>
                <w:sz w:val="24"/>
                <w:u w:val="wave"/>
                <w:lang w:val="zh-CN" w:bidi="ar"/>
              </w:rPr>
              <w:t>）</w:t>
            </w:r>
            <w:r>
              <w:rPr>
                <w:kern w:val="0"/>
                <w:sz w:val="24"/>
                <w:u w:val="wave"/>
                <w:lang w:bidi="ar"/>
              </w:rPr>
              <w:t>原料采购进场</w:t>
            </w:r>
          </w:p>
          <w:p>
            <w:pPr>
              <w:adjustRightInd w:val="0"/>
              <w:snapToGrid w:val="0"/>
              <w:spacing w:after="0" w:line="360" w:lineRule="auto"/>
              <w:ind w:firstLine="480" w:firstLineChars="200"/>
              <w:rPr>
                <w:kern w:val="0"/>
                <w:sz w:val="24"/>
                <w:u w:val="wave"/>
                <w:lang w:val="zh-CN" w:bidi="ar"/>
              </w:rPr>
            </w:pPr>
            <w:r>
              <w:rPr>
                <w:kern w:val="0"/>
                <w:sz w:val="24"/>
                <w:u w:val="wave"/>
                <w:lang w:val="zh-CN" w:bidi="ar"/>
              </w:rPr>
              <w:t>项目生产所需</w:t>
            </w:r>
            <w:r>
              <w:rPr>
                <w:kern w:val="0"/>
                <w:sz w:val="24"/>
                <w:u w:val="wave"/>
                <w:lang w:bidi="ar"/>
              </w:rPr>
              <w:t>的</w:t>
            </w:r>
            <w:r>
              <w:rPr>
                <w:kern w:val="0"/>
                <w:sz w:val="24"/>
                <w:u w:val="wave"/>
                <w:lang w:val="zh-CN" w:bidi="ar"/>
              </w:rPr>
              <w:t>水泥、粉煤灰、</w:t>
            </w:r>
            <w:r>
              <w:rPr>
                <w:kern w:val="0"/>
                <w:sz w:val="24"/>
                <w:u w:val="wave"/>
                <w:lang w:bidi="ar"/>
              </w:rPr>
              <w:t>机制砂、碎石、外加剂等原料，</w:t>
            </w:r>
            <w:r>
              <w:rPr>
                <w:kern w:val="0"/>
                <w:sz w:val="24"/>
                <w:u w:val="wave"/>
                <w:lang w:val="zh-CN" w:bidi="ar"/>
              </w:rPr>
              <w:t>由各供应商按要求供应。</w:t>
            </w:r>
            <w:r>
              <w:rPr>
                <w:kern w:val="0"/>
                <w:sz w:val="24"/>
                <w:u w:val="wave"/>
                <w:lang w:bidi="ar"/>
              </w:rPr>
              <w:t>机制砂及碎石</w:t>
            </w:r>
            <w:r>
              <w:rPr>
                <w:kern w:val="0"/>
                <w:sz w:val="24"/>
                <w:u w:val="wave"/>
                <w:lang w:val="zh-CN" w:bidi="ar"/>
              </w:rPr>
              <w:t>已在厂外清洗干净，清洗干净的骨料（机砂、碎石）经汽车从厂区外分别运至原料堆场内分开堆存，进入厂区后不再进行清洗，</w:t>
            </w:r>
            <w:r>
              <w:rPr>
                <w:kern w:val="0"/>
                <w:sz w:val="24"/>
                <w:u w:val="wave"/>
                <w:lang w:bidi="ar"/>
              </w:rPr>
              <w:t>在骨料、水泥及粉煤灰进场时会产生噪声（N）、</w:t>
            </w:r>
            <w:r>
              <w:rPr>
                <w:sz w:val="24"/>
                <w:u w:val="wave"/>
              </w:rPr>
              <w:t>运输扬尘</w:t>
            </w:r>
            <w:r>
              <w:rPr>
                <w:kern w:val="0"/>
                <w:sz w:val="24"/>
                <w:u w:val="wave"/>
                <w:lang w:bidi="ar"/>
              </w:rPr>
              <w:t>（G1）</w:t>
            </w:r>
            <w:r>
              <w:rPr>
                <w:sz w:val="24"/>
                <w:u w:val="wave"/>
              </w:rPr>
              <w:t>及</w:t>
            </w:r>
            <w:r>
              <w:rPr>
                <w:kern w:val="0"/>
                <w:sz w:val="24"/>
                <w:u w:val="wave"/>
                <w:lang w:bidi="ar"/>
              </w:rPr>
              <w:t>汽车尾气（G2）、装卸及堆场扬尘（G3）；</w:t>
            </w:r>
            <w:r>
              <w:rPr>
                <w:kern w:val="0"/>
                <w:sz w:val="24"/>
                <w:u w:val="wave"/>
                <w:lang w:val="zh-CN" w:bidi="ar"/>
              </w:rPr>
              <w:t>散装水泥、粉煤灰等罐车运至厂区后，借助罐车上的气化装置，以压缩空气为动力，将原料罐车的罐体与筒仓的管道相连，由蝶阀控制，利用罐内外压差排出送至筒仓储存；</w:t>
            </w:r>
            <w:r>
              <w:rPr>
                <w:kern w:val="0"/>
                <w:sz w:val="24"/>
                <w:u w:val="wave"/>
                <w:lang w:bidi="ar"/>
              </w:rPr>
              <w:t>在水泥及粉煤灰进</w:t>
            </w:r>
            <w:r>
              <w:rPr>
                <w:kern w:val="0"/>
                <w:sz w:val="24"/>
                <w:u w:val="wave"/>
                <w:lang w:val="zh-CN" w:bidi="ar"/>
              </w:rPr>
              <w:t>料过程</w:t>
            </w:r>
            <w:r>
              <w:rPr>
                <w:kern w:val="0"/>
                <w:sz w:val="24"/>
                <w:u w:val="wave"/>
                <w:lang w:bidi="ar"/>
              </w:rPr>
              <w:t>中筒仓</w:t>
            </w:r>
            <w:r>
              <w:rPr>
                <w:kern w:val="0"/>
                <w:sz w:val="24"/>
                <w:u w:val="wave"/>
                <w:lang w:val="zh-CN" w:bidi="ar"/>
              </w:rPr>
              <w:t>仓顶呼吸口会产生</w:t>
            </w:r>
            <w:r>
              <w:rPr>
                <w:kern w:val="0"/>
                <w:sz w:val="24"/>
                <w:u w:val="wave"/>
                <w:lang w:bidi="ar"/>
              </w:rPr>
              <w:t>呼吸</w:t>
            </w:r>
            <w:r>
              <w:rPr>
                <w:kern w:val="0"/>
                <w:sz w:val="24"/>
                <w:u w:val="wave"/>
                <w:lang w:val="zh-CN" w:bidi="ar"/>
              </w:rPr>
              <w:t>粉尘（</w:t>
            </w:r>
            <w:r>
              <w:rPr>
                <w:kern w:val="0"/>
                <w:sz w:val="24"/>
                <w:u w:val="wave"/>
                <w:lang w:bidi="ar"/>
              </w:rPr>
              <w:t>G4</w:t>
            </w:r>
            <w:r>
              <w:rPr>
                <w:kern w:val="0"/>
                <w:sz w:val="24"/>
                <w:u w:val="wave"/>
                <w:lang w:val="zh-CN" w:bidi="ar"/>
              </w:rPr>
              <w:t>）。</w:t>
            </w:r>
          </w:p>
          <w:p>
            <w:pPr>
              <w:pStyle w:val="35"/>
              <w:spacing w:after="0" w:line="360" w:lineRule="auto"/>
              <w:ind w:firstLine="480" w:firstLineChars="200"/>
              <w:jc w:val="both"/>
              <w:rPr>
                <w:rFonts w:ascii="Times New Roman" w:cs="Times New Roman"/>
                <w:u w:val="wave"/>
              </w:rPr>
            </w:pPr>
            <w:r>
              <w:rPr>
                <w:rFonts w:ascii="Times New Roman" w:cs="Times New Roman"/>
                <w:color w:val="auto"/>
                <w:u w:val="wave"/>
                <w:lang w:val="zh-CN" w:bidi="ar"/>
              </w:rPr>
              <w:t>（</w:t>
            </w:r>
            <w:r>
              <w:rPr>
                <w:rFonts w:ascii="Times New Roman" w:cs="Times New Roman"/>
                <w:color w:val="auto"/>
                <w:u w:val="wave"/>
                <w:lang w:bidi="ar"/>
              </w:rPr>
              <w:t>2</w:t>
            </w:r>
            <w:r>
              <w:rPr>
                <w:rFonts w:ascii="Times New Roman" w:cs="Times New Roman"/>
                <w:color w:val="auto"/>
                <w:u w:val="wave"/>
                <w:lang w:val="zh-CN" w:bidi="ar"/>
              </w:rPr>
              <w:t>）进料、计量</w:t>
            </w:r>
          </w:p>
          <w:p>
            <w:pPr>
              <w:adjustRightInd w:val="0"/>
              <w:snapToGrid w:val="0"/>
              <w:spacing w:after="0" w:line="360" w:lineRule="auto"/>
              <w:ind w:firstLine="480" w:firstLineChars="200"/>
              <w:rPr>
                <w:sz w:val="24"/>
                <w:u w:val="wave"/>
              </w:rPr>
            </w:pPr>
            <w:r>
              <w:rPr>
                <w:rFonts w:hint="eastAsia"/>
                <w:kern w:val="0"/>
                <w:sz w:val="24"/>
                <w:u w:val="wave"/>
                <w:lang w:bidi="ar"/>
              </w:rPr>
              <w:t>原料进场完毕后，骨料</w:t>
            </w:r>
            <w:r>
              <w:rPr>
                <w:sz w:val="24"/>
                <w:u w:val="wave"/>
                <w:lang w:bidi="ar"/>
              </w:rPr>
              <w:t>经铲车从原料堆场将其推至各个进料斗，骨料落入各电子控制料斗后按配比重量称重，</w:t>
            </w:r>
            <w:r>
              <w:rPr>
                <w:rFonts w:hint="eastAsia"/>
                <w:sz w:val="24"/>
                <w:u w:val="wave"/>
                <w:lang w:bidi="ar"/>
              </w:rPr>
              <w:t>称好的骨料再由控制料斗下方的皮带输送机输送至料仓，再经提升机输送至搅拌机内，输送过程为全密闭。在骨料输</w:t>
            </w:r>
            <w:r>
              <w:rPr>
                <w:sz w:val="24"/>
                <w:u w:val="wave"/>
                <w:lang w:bidi="ar"/>
              </w:rPr>
              <w:t>送、计量及进料过程中会产生</w:t>
            </w:r>
            <w:r>
              <w:rPr>
                <w:rFonts w:hint="eastAsia"/>
                <w:sz w:val="24"/>
                <w:u w:val="wave"/>
                <w:lang w:bidi="ar"/>
              </w:rPr>
              <w:t>下料粉尘（G</w:t>
            </w:r>
            <w:r>
              <w:rPr>
                <w:sz w:val="24"/>
                <w:u w:val="wave"/>
                <w:lang w:bidi="ar"/>
              </w:rPr>
              <w:t>5</w:t>
            </w:r>
            <w:r>
              <w:rPr>
                <w:rFonts w:hint="eastAsia"/>
                <w:sz w:val="24"/>
                <w:u w:val="wave"/>
                <w:lang w:bidi="ar"/>
              </w:rPr>
              <w:t>）、</w:t>
            </w:r>
            <w:r>
              <w:rPr>
                <w:sz w:val="24"/>
                <w:u w:val="wave"/>
                <w:lang w:bidi="ar"/>
              </w:rPr>
              <w:t>噪声（N）；水泥、粉煤灰等在筒仓内经</w:t>
            </w:r>
            <w:r>
              <w:rPr>
                <w:kern w:val="0"/>
                <w:sz w:val="24"/>
                <w:u w:val="wave"/>
                <w:lang w:val="zh-CN" w:bidi="ar"/>
              </w:rPr>
              <w:t>密闭螺旋输送机计量给料</w:t>
            </w:r>
            <w:r>
              <w:rPr>
                <w:sz w:val="24"/>
                <w:u w:val="wave"/>
                <w:lang w:bidi="ar"/>
              </w:rPr>
              <w:t>至搅拌机；外加剂由水泵从外加剂储罐内抽至称量箱称量，称好的外加剂经喷水器喷入搅拌机；水由水泵从搅拌机旁边的储水罐或三级沉淀池抽入水称量箱称量，称好的水由喷水器喷入搅拌；原料输送过程会产生噪声（N）。</w:t>
            </w:r>
          </w:p>
          <w:p>
            <w:pPr>
              <w:adjustRightInd w:val="0"/>
              <w:snapToGrid w:val="0"/>
              <w:spacing w:after="0" w:line="360" w:lineRule="auto"/>
              <w:ind w:firstLine="480" w:firstLineChars="200"/>
              <w:rPr>
                <w:sz w:val="24"/>
                <w:u w:val="wave"/>
              </w:rPr>
            </w:pPr>
            <w:r>
              <w:rPr>
                <w:sz w:val="24"/>
                <w:u w:val="wave"/>
                <w:lang w:bidi="ar"/>
              </w:rPr>
              <w:t>（3）搅拌</w:t>
            </w:r>
          </w:p>
          <w:p>
            <w:pPr>
              <w:adjustRightInd w:val="0"/>
              <w:snapToGrid w:val="0"/>
              <w:spacing w:after="0" w:line="360" w:lineRule="auto"/>
              <w:ind w:firstLine="480" w:firstLineChars="200"/>
            </w:pPr>
            <w:r>
              <w:rPr>
                <w:sz w:val="24"/>
                <w:u w:val="wave"/>
                <w:lang w:bidi="ar"/>
              </w:rPr>
              <w:t>已按一定比例配比好的机砂、碎石，水泥、粉煤灰、外加剂、水等在搅拌机中均匀混合后产出产品，搅拌过程中会产生噪声（N）、搅拌粉尘（G6）、搅拌机清洗废水（W1）；搅拌结束后由卸料斗进入混凝土运输车外运销售</w:t>
            </w:r>
            <w:r>
              <w:rPr>
                <w:sz w:val="24"/>
                <w:u w:val="wave"/>
              </w:rPr>
              <w:t>，汽车运输过程中会产生噪声（N）、道路扬尘（G7）及汽车尾气（G8）、罐车</w:t>
            </w:r>
            <w:r>
              <w:rPr>
                <w:sz w:val="24"/>
                <w:u w:val="wave"/>
                <w:lang w:bidi="ar"/>
              </w:rPr>
              <w:t>清洗废水（W2）；</w:t>
            </w:r>
            <w:r>
              <w:rPr>
                <w:rFonts w:hint="eastAsia"/>
                <w:sz w:val="24"/>
                <w:u w:val="wave"/>
                <w:lang w:bidi="ar"/>
              </w:rPr>
              <w:t>生产</w:t>
            </w:r>
            <w:r>
              <w:rPr>
                <w:sz w:val="24"/>
                <w:u w:val="wave"/>
                <w:lang w:bidi="ar"/>
              </w:rPr>
              <w:t>废水均经三级沉淀池沉淀处理后循环使用，不外排。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pStyle w:val="35"/>
              <w:spacing w:after="0" w:line="360" w:lineRule="auto"/>
              <w:rPr>
                <w:b/>
                <w:bCs/>
              </w:rPr>
            </w:pPr>
            <w:r>
              <w:rPr>
                <w:rFonts w:hint="eastAsia"/>
                <w:b/>
                <w:bCs/>
              </w:rPr>
              <w:t>主要污染源强分析</w:t>
            </w:r>
          </w:p>
          <w:p>
            <w:pPr>
              <w:autoSpaceDE w:val="0"/>
              <w:autoSpaceDN w:val="0"/>
              <w:adjustRightInd w:val="0"/>
              <w:spacing w:after="0" w:line="360" w:lineRule="auto"/>
              <w:rPr>
                <w:b/>
                <w:bCs/>
                <w:sz w:val="24"/>
                <w:szCs w:val="32"/>
              </w:rPr>
            </w:pPr>
            <w:r>
              <w:rPr>
                <w:b/>
                <w:bCs/>
                <w:sz w:val="24"/>
                <w:szCs w:val="32"/>
              </w:rPr>
              <w:t>一、施工期污染</w:t>
            </w:r>
            <w:r>
              <w:rPr>
                <w:rFonts w:hint="eastAsia"/>
                <w:b/>
                <w:bCs/>
                <w:sz w:val="24"/>
                <w:szCs w:val="32"/>
              </w:rPr>
              <w:t>源强分析</w:t>
            </w:r>
          </w:p>
          <w:p>
            <w:pPr>
              <w:autoSpaceDE w:val="0"/>
              <w:autoSpaceDN w:val="0"/>
              <w:adjustRightInd w:val="0"/>
              <w:spacing w:after="0" w:line="360" w:lineRule="auto"/>
              <w:ind w:firstLine="480" w:firstLineChars="200"/>
              <w:rPr>
                <w:sz w:val="24"/>
                <w:szCs w:val="32"/>
              </w:rPr>
            </w:pPr>
            <w:r>
              <w:rPr>
                <w:sz w:val="24"/>
                <w:szCs w:val="32"/>
              </w:rPr>
              <w:t>施工期主要污染物为扬尘、机械噪声、建筑垃圾、生活污水及生活垃圾，此外施工阶段对项目区域的生态环境也有一定的影响，此阶段影响至项目竣工时结束。</w:t>
            </w:r>
          </w:p>
          <w:p>
            <w:pPr>
              <w:autoSpaceDE w:val="0"/>
              <w:autoSpaceDN w:val="0"/>
              <w:adjustRightInd w:val="0"/>
              <w:spacing w:after="0" w:line="360" w:lineRule="auto"/>
              <w:ind w:firstLine="480" w:firstLineChars="200"/>
              <w:rPr>
                <w:sz w:val="24"/>
                <w:szCs w:val="32"/>
              </w:rPr>
            </w:pPr>
            <w:r>
              <w:rPr>
                <w:sz w:val="24"/>
                <w:szCs w:val="32"/>
              </w:rPr>
              <w:t>施工期员工20人，均来自附近居民，不在施工场所食宿，主要污染</w:t>
            </w:r>
            <w:r>
              <w:rPr>
                <w:rFonts w:hint="eastAsia"/>
                <w:sz w:val="24"/>
                <w:szCs w:val="32"/>
              </w:rPr>
              <w:t>源</w:t>
            </w:r>
            <w:r>
              <w:rPr>
                <w:sz w:val="24"/>
                <w:szCs w:val="32"/>
              </w:rPr>
              <w:t>如下：</w:t>
            </w:r>
          </w:p>
          <w:p>
            <w:pPr>
              <w:autoSpaceDE w:val="0"/>
              <w:autoSpaceDN w:val="0"/>
              <w:adjustRightInd w:val="0"/>
              <w:spacing w:after="0" w:line="360" w:lineRule="auto"/>
              <w:rPr>
                <w:sz w:val="24"/>
                <w:szCs w:val="32"/>
              </w:rPr>
            </w:pPr>
            <w:r>
              <w:rPr>
                <w:sz w:val="24"/>
                <w:szCs w:val="32"/>
              </w:rPr>
              <w:t>1、废气</w:t>
            </w:r>
          </w:p>
          <w:p>
            <w:pPr>
              <w:autoSpaceDE w:val="0"/>
              <w:autoSpaceDN w:val="0"/>
              <w:adjustRightInd w:val="0"/>
              <w:spacing w:after="0" w:line="360" w:lineRule="auto"/>
              <w:ind w:firstLine="480" w:firstLineChars="200"/>
              <w:rPr>
                <w:sz w:val="24"/>
                <w:szCs w:val="32"/>
              </w:rPr>
            </w:pPr>
            <w:r>
              <w:rPr>
                <w:sz w:val="24"/>
                <w:szCs w:val="32"/>
              </w:rPr>
              <w:t>施工期的大气污染源主要包括施工扬尘、施工车辆尾气等。</w:t>
            </w:r>
          </w:p>
          <w:p>
            <w:pPr>
              <w:autoSpaceDE w:val="0"/>
              <w:autoSpaceDN w:val="0"/>
              <w:adjustRightInd w:val="0"/>
              <w:spacing w:after="0" w:line="360" w:lineRule="auto"/>
              <w:ind w:firstLine="480" w:firstLineChars="200"/>
              <w:rPr>
                <w:sz w:val="24"/>
                <w:szCs w:val="32"/>
              </w:rPr>
            </w:pPr>
            <w:r>
              <w:rPr>
                <w:sz w:val="24"/>
                <w:szCs w:val="32"/>
              </w:rPr>
              <w:t>（1）施工扬尘</w:t>
            </w:r>
          </w:p>
          <w:p>
            <w:pPr>
              <w:autoSpaceDE w:val="0"/>
              <w:autoSpaceDN w:val="0"/>
              <w:adjustRightInd w:val="0"/>
              <w:spacing w:after="0" w:line="360" w:lineRule="auto"/>
              <w:ind w:firstLine="480" w:firstLineChars="200"/>
              <w:rPr>
                <w:sz w:val="24"/>
                <w:szCs w:val="32"/>
              </w:rPr>
            </w:pPr>
            <w:r>
              <w:rPr>
                <w:sz w:val="24"/>
                <w:szCs w:val="32"/>
              </w:rPr>
              <w:t>施工扬尘主要来自以下几个方面：清理场地阶段；土方的挖掘扬尘和现场堆放扬尘；建筑材料的现场搬运及堆放粉尘；施工垃圾的清运及堆放扬尘；人来车往所造成的现场道路扬尘；弃土场卸土扬尘。</w:t>
            </w:r>
          </w:p>
          <w:p>
            <w:pPr>
              <w:pStyle w:val="49"/>
              <w:spacing w:after="0" w:line="360" w:lineRule="auto"/>
              <w:ind w:firstLine="480"/>
            </w:pPr>
            <w:r>
              <w:t>据有关资料显示，施工扬尘的主要是</w:t>
            </w:r>
            <w:r>
              <w:rPr>
                <w:rFonts w:hint="eastAsia"/>
              </w:rPr>
              <w:t>施工</w:t>
            </w:r>
            <w:r>
              <w:t>车辆行驶而形成，约占扬尘总量的60%，扬尘量的大小与天气干燥程度、道路路况、车辆行驶速度、风速大小有关；类比同类施工场地，施工车辆运输行驶于泥土路面而扬起的灰土，其灰尘的浓度可达到1～3g/m</w:t>
            </w:r>
            <w:r>
              <w:rPr>
                <w:vertAlign w:val="superscript"/>
              </w:rPr>
              <w:t>3</w:t>
            </w:r>
            <w:r>
              <w:t>。另外由于在挖方过程中破坏了地表结构，造成地面扬尘污染环境，扬尘的大小因施工现场工作条件、施工季节、施工阶段、管理水平、机械化程度及土质、天气条件的不同而差异较大。一般情况下，在自然风</w:t>
            </w:r>
            <w:r>
              <w:rPr>
                <w:rFonts w:hint="eastAsia"/>
              </w:rPr>
              <w:t>的</w:t>
            </w:r>
            <w:r>
              <w:t>作用下，扬尘受重力、浮力和气流运动的</w:t>
            </w:r>
            <w:r>
              <w:rPr>
                <w:rFonts w:hint="eastAsia"/>
              </w:rPr>
              <w:t>影响</w:t>
            </w:r>
            <w:r>
              <w:t>，可以发生沉降、上升和扩散，扬尘影响范围在80m以内。在大风天气，扬尘量及影响范围将有所扩大。施工中的弃土、砂料、宕渣、石灰等，若堆放时盖覆不当或装卸运输时散落，也会造成施工扬尘，影响范围在50m左右。</w:t>
            </w:r>
          </w:p>
          <w:p>
            <w:pPr>
              <w:autoSpaceDE w:val="0"/>
              <w:autoSpaceDN w:val="0"/>
              <w:adjustRightInd w:val="0"/>
              <w:spacing w:after="0" w:line="360" w:lineRule="auto"/>
              <w:ind w:firstLine="480" w:firstLineChars="200"/>
              <w:rPr>
                <w:sz w:val="24"/>
                <w:szCs w:val="32"/>
              </w:rPr>
            </w:pPr>
            <w:r>
              <w:rPr>
                <w:sz w:val="24"/>
                <w:szCs w:val="32"/>
              </w:rPr>
              <w:t>（2）汽车尾气</w:t>
            </w:r>
          </w:p>
          <w:p>
            <w:pPr>
              <w:pStyle w:val="49"/>
              <w:spacing w:after="0" w:line="360" w:lineRule="auto"/>
              <w:ind w:firstLine="480"/>
            </w:pPr>
            <w:r>
              <w:t>项目施工期间，使用机动车运送原材料、设备和建筑机械设备，施工车辆的运行会排放一定量的CO、NOx以及未完全燃烧的</w:t>
            </w:r>
            <w:r>
              <w:rPr>
                <w:lang w:val="zh-CN"/>
              </w:rPr>
              <w:t>T</w:t>
            </w:r>
            <w:r>
              <w:t>HC等。一般来说，施工车辆因其使用较频繁，车况较差，汽车尾气排放比较严重。排放的尾气污染物主要有CO、NOx、THC、微粒物（包括碳烟、硫酸盐、铅氧化物等）和二氧化碳等。</w:t>
            </w:r>
            <w:r>
              <w:rPr>
                <w:lang w:val="zh-CN"/>
              </w:rPr>
              <w:t>工程施工</w:t>
            </w:r>
            <w:r>
              <w:rPr>
                <w:rFonts w:hint="eastAsia"/>
                <w:lang w:val="zh-CN"/>
              </w:rPr>
              <w:t>车辆</w:t>
            </w:r>
            <w:r>
              <w:rPr>
                <w:lang w:val="zh-CN"/>
              </w:rPr>
              <w:t>以20辆计，以每车1天耗油50L计算，则施工车辆每天排放的尾气中含CO94kg、NOx32kg、THC94kg</w:t>
            </w:r>
            <w:r>
              <w:rPr>
                <w:rFonts w:hint="eastAsia"/>
                <w:lang w:val="zh-CN"/>
              </w:rPr>
              <w:t>，</w:t>
            </w:r>
            <w:r>
              <w:rPr>
                <w:rFonts w:hint="eastAsia"/>
              </w:rPr>
              <w:t>施工</w:t>
            </w:r>
            <w:r>
              <w:t>车辆和机械设备应使用清洁</w:t>
            </w:r>
            <w:r>
              <w:rPr>
                <w:rFonts w:hint="eastAsia"/>
              </w:rPr>
              <w:t>燃油</w:t>
            </w:r>
            <w:r>
              <w:t>，不得使用劣质</w:t>
            </w:r>
            <w:r>
              <w:rPr>
                <w:rFonts w:hint="eastAsia"/>
              </w:rPr>
              <w:t>燃油</w:t>
            </w:r>
            <w:r>
              <w:t>。</w:t>
            </w:r>
          </w:p>
          <w:p>
            <w:pPr>
              <w:autoSpaceDE w:val="0"/>
              <w:autoSpaceDN w:val="0"/>
              <w:adjustRightInd w:val="0"/>
              <w:spacing w:after="0" w:line="360" w:lineRule="auto"/>
              <w:rPr>
                <w:sz w:val="24"/>
                <w:szCs w:val="32"/>
              </w:rPr>
            </w:pPr>
            <w:r>
              <w:rPr>
                <w:sz w:val="24"/>
                <w:szCs w:val="32"/>
              </w:rPr>
              <w:t>2、废水</w:t>
            </w:r>
          </w:p>
          <w:p>
            <w:pPr>
              <w:autoSpaceDE w:val="0"/>
              <w:autoSpaceDN w:val="0"/>
              <w:adjustRightInd w:val="0"/>
              <w:spacing w:after="0" w:line="360" w:lineRule="auto"/>
              <w:ind w:firstLine="480" w:firstLineChars="200"/>
              <w:rPr>
                <w:sz w:val="24"/>
                <w:szCs w:val="32"/>
              </w:rPr>
            </w:pPr>
            <w:r>
              <w:rPr>
                <w:sz w:val="24"/>
                <w:szCs w:val="32"/>
              </w:rPr>
              <w:t>施工期废水污染源主要包括厂房基础施工产生的施工废水、施工人员的生活污水。</w:t>
            </w:r>
          </w:p>
          <w:p>
            <w:pPr>
              <w:autoSpaceDE w:val="0"/>
              <w:autoSpaceDN w:val="0"/>
              <w:adjustRightInd w:val="0"/>
              <w:spacing w:after="0" w:line="360" w:lineRule="auto"/>
              <w:ind w:firstLine="480" w:firstLineChars="200"/>
              <w:rPr>
                <w:sz w:val="24"/>
                <w:szCs w:val="32"/>
              </w:rPr>
            </w:pPr>
            <w:r>
              <w:rPr>
                <w:sz w:val="24"/>
                <w:szCs w:val="32"/>
              </w:rPr>
              <w:t>（1）施工废水</w:t>
            </w:r>
          </w:p>
          <w:p>
            <w:pPr>
              <w:autoSpaceDE w:val="0"/>
              <w:autoSpaceDN w:val="0"/>
              <w:adjustRightInd w:val="0"/>
              <w:spacing w:after="0" w:line="360" w:lineRule="auto"/>
              <w:ind w:firstLine="480" w:firstLineChars="200"/>
              <w:rPr>
                <w:sz w:val="24"/>
                <w:szCs w:val="32"/>
              </w:rPr>
            </w:pPr>
            <w:r>
              <w:rPr>
                <w:sz w:val="24"/>
                <w:szCs w:val="32"/>
              </w:rPr>
              <w:t>项目部分施工设备在工作时需不断的补充冷却水，以保证设备的正常运行，冷却水循环使用；设备和车辆在清洁过程中会产生少量的清洗废水，清洗废水主要污染物为SS，浓度为500</w:t>
            </w:r>
            <w:r>
              <w:rPr>
                <w:rFonts w:hint="eastAsia"/>
                <w:sz w:val="24"/>
                <w:szCs w:val="32"/>
              </w:rPr>
              <w:t>~10</w:t>
            </w:r>
            <w:r>
              <w:rPr>
                <w:sz w:val="24"/>
                <w:szCs w:val="32"/>
              </w:rPr>
              <w:t>00mg/L</w:t>
            </w:r>
            <w:r>
              <w:rPr>
                <w:rFonts w:hint="eastAsia"/>
                <w:sz w:val="24"/>
                <w:szCs w:val="32"/>
              </w:rPr>
              <w:t>。</w:t>
            </w:r>
            <w:r>
              <w:rPr>
                <w:sz w:val="24"/>
                <w:szCs w:val="32"/>
              </w:rPr>
              <w:t>经沉淀处理后用于路面养护用水。</w:t>
            </w:r>
          </w:p>
          <w:p>
            <w:pPr>
              <w:autoSpaceDE w:val="0"/>
              <w:autoSpaceDN w:val="0"/>
              <w:adjustRightInd w:val="0"/>
              <w:spacing w:after="0" w:line="360" w:lineRule="auto"/>
              <w:ind w:firstLine="480" w:firstLineChars="200"/>
              <w:rPr>
                <w:sz w:val="24"/>
                <w:szCs w:val="32"/>
              </w:rPr>
            </w:pPr>
            <w:r>
              <w:rPr>
                <w:sz w:val="24"/>
                <w:szCs w:val="32"/>
              </w:rPr>
              <w:t>（2）施工人员生活污水</w:t>
            </w:r>
          </w:p>
          <w:p>
            <w:pPr>
              <w:autoSpaceDE w:val="0"/>
              <w:autoSpaceDN w:val="0"/>
              <w:adjustRightInd w:val="0"/>
              <w:spacing w:after="0" w:line="360" w:lineRule="auto"/>
              <w:ind w:firstLine="480" w:firstLineChars="200"/>
              <w:rPr>
                <w:sz w:val="24"/>
              </w:rPr>
            </w:pPr>
            <w:r>
              <w:rPr>
                <w:sz w:val="24"/>
                <w:szCs w:val="32"/>
              </w:rPr>
              <w:t>项目施工期员工20人，</w:t>
            </w:r>
            <w:r>
              <w:rPr>
                <w:sz w:val="24"/>
              </w:rPr>
              <w:t>根据《湖南省用水定额》（DB43</w:t>
            </w:r>
            <w:r>
              <w:rPr>
                <w:rFonts w:hint="eastAsia"/>
                <w:sz w:val="24"/>
              </w:rPr>
              <w:t>/</w:t>
            </w:r>
            <w:r>
              <w:rPr>
                <w:sz w:val="24"/>
              </w:rPr>
              <w:t>T388-2014）用水量按80L/人·天计算，故项目生活用水量为1.6m</w:t>
            </w:r>
            <w:r>
              <w:rPr>
                <w:sz w:val="24"/>
                <w:vertAlign w:val="superscript"/>
              </w:rPr>
              <w:t>3</w:t>
            </w:r>
            <w:r>
              <w:rPr>
                <w:sz w:val="24"/>
              </w:rPr>
              <w:t>/d，生活污水排放量按用水量的80%计，则施工期生活污水的排放量为1.28m</w:t>
            </w:r>
            <w:r>
              <w:rPr>
                <w:sz w:val="24"/>
                <w:vertAlign w:val="superscript"/>
              </w:rPr>
              <w:t>3</w:t>
            </w:r>
            <w:r>
              <w:rPr>
                <w:sz w:val="24"/>
              </w:rPr>
              <w:t>/d。</w:t>
            </w:r>
            <w:r>
              <w:rPr>
                <w:sz w:val="24"/>
                <w:szCs w:val="32"/>
              </w:rPr>
              <w:t>施工期生活污水的主要污染物为COD、BOD</w:t>
            </w:r>
            <w:r>
              <w:rPr>
                <w:sz w:val="24"/>
                <w:szCs w:val="32"/>
                <w:vertAlign w:val="subscript"/>
              </w:rPr>
              <w:t>5</w:t>
            </w:r>
            <w:r>
              <w:rPr>
                <w:sz w:val="24"/>
                <w:szCs w:val="32"/>
              </w:rPr>
              <w:t>、SS和氨氮等，经化粪池处理后用于周边</w:t>
            </w:r>
            <w:r>
              <w:rPr>
                <w:rFonts w:hint="eastAsia"/>
                <w:sz w:val="24"/>
                <w:szCs w:val="32"/>
              </w:rPr>
              <w:t>农田施肥</w:t>
            </w:r>
            <w:r>
              <w:rPr>
                <w:sz w:val="24"/>
                <w:szCs w:val="32"/>
              </w:rPr>
              <w:t>。</w:t>
            </w:r>
          </w:p>
          <w:p>
            <w:pPr>
              <w:autoSpaceDE w:val="0"/>
              <w:autoSpaceDN w:val="0"/>
              <w:adjustRightInd w:val="0"/>
              <w:spacing w:after="0" w:line="360" w:lineRule="auto"/>
              <w:rPr>
                <w:sz w:val="24"/>
              </w:rPr>
            </w:pPr>
            <w:r>
              <w:rPr>
                <w:sz w:val="24"/>
              </w:rPr>
              <w:t>3、噪声</w:t>
            </w:r>
          </w:p>
          <w:p>
            <w:pPr>
              <w:autoSpaceDE w:val="0"/>
              <w:autoSpaceDN w:val="0"/>
              <w:adjustRightInd w:val="0"/>
              <w:spacing w:after="0" w:line="360" w:lineRule="auto"/>
              <w:ind w:firstLine="480" w:firstLineChars="200"/>
              <w:rPr>
                <w:sz w:val="24"/>
              </w:rPr>
            </w:pPr>
            <w:r>
              <w:rPr>
                <w:sz w:val="24"/>
              </w:rPr>
              <w:t>在施工阶段，随着工程的进度和施工工序的更替，将会采用不同机械和施工方法，噪声源主要包括施工场地各类机械设备作业产生的噪声、运输车辆产生的交通噪声等。</w:t>
            </w:r>
          </w:p>
          <w:p>
            <w:pPr>
              <w:autoSpaceDE w:val="0"/>
              <w:autoSpaceDN w:val="0"/>
              <w:adjustRightInd w:val="0"/>
              <w:spacing w:after="0"/>
              <w:jc w:val="center"/>
              <w:rPr>
                <w:b/>
                <w:bCs/>
                <w:szCs w:val="21"/>
              </w:rPr>
            </w:pPr>
            <w:r>
              <w:rPr>
                <w:rFonts w:hint="eastAsia"/>
                <w:b/>
                <w:bCs/>
                <w:szCs w:val="21"/>
              </w:rPr>
              <w:t>表</w:t>
            </w:r>
            <w:r>
              <w:rPr>
                <w:b/>
                <w:bCs/>
                <w:szCs w:val="21"/>
              </w:rPr>
              <w:t>5-1 施工期主要机械设备噪声强度</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2"/>
              <w:gridCol w:w="2087"/>
              <w:gridCol w:w="2211"/>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8" w:type="pct"/>
                  <w:vAlign w:val="center"/>
                </w:tcPr>
                <w:p>
                  <w:pPr>
                    <w:autoSpaceDE w:val="0"/>
                    <w:autoSpaceDN w:val="0"/>
                    <w:adjustRightInd w:val="0"/>
                    <w:spacing w:after="0"/>
                    <w:jc w:val="center"/>
                    <w:rPr>
                      <w:szCs w:val="21"/>
                    </w:rPr>
                  </w:pPr>
                  <w:r>
                    <w:rPr>
                      <w:szCs w:val="21"/>
                    </w:rPr>
                    <w:t>施工阶段</w:t>
                  </w:r>
                </w:p>
              </w:tc>
              <w:tc>
                <w:tcPr>
                  <w:tcW w:w="1152" w:type="pct"/>
                  <w:vAlign w:val="center"/>
                </w:tcPr>
                <w:p>
                  <w:pPr>
                    <w:autoSpaceDE w:val="0"/>
                    <w:autoSpaceDN w:val="0"/>
                    <w:adjustRightInd w:val="0"/>
                    <w:spacing w:after="0"/>
                    <w:jc w:val="center"/>
                    <w:rPr>
                      <w:szCs w:val="21"/>
                    </w:rPr>
                  </w:pPr>
                  <w:r>
                    <w:rPr>
                      <w:szCs w:val="21"/>
                    </w:rPr>
                    <w:t>噪声特点</w:t>
                  </w:r>
                </w:p>
              </w:tc>
              <w:tc>
                <w:tcPr>
                  <w:tcW w:w="1220" w:type="pct"/>
                  <w:vAlign w:val="center"/>
                </w:tcPr>
                <w:p>
                  <w:pPr>
                    <w:autoSpaceDE w:val="0"/>
                    <w:autoSpaceDN w:val="0"/>
                    <w:adjustRightInd w:val="0"/>
                    <w:spacing w:after="0"/>
                    <w:jc w:val="center"/>
                    <w:rPr>
                      <w:szCs w:val="21"/>
                    </w:rPr>
                  </w:pPr>
                  <w:r>
                    <w:rPr>
                      <w:szCs w:val="21"/>
                    </w:rPr>
                    <w:t>主要噪声源</w:t>
                  </w:r>
                </w:p>
              </w:tc>
              <w:tc>
                <w:tcPr>
                  <w:tcW w:w="1700" w:type="pct"/>
                  <w:vAlign w:val="center"/>
                </w:tcPr>
                <w:p>
                  <w:pPr>
                    <w:autoSpaceDE w:val="0"/>
                    <w:autoSpaceDN w:val="0"/>
                    <w:adjustRightInd w:val="0"/>
                    <w:spacing w:after="0"/>
                    <w:jc w:val="center"/>
                    <w:rPr>
                      <w:szCs w:val="21"/>
                    </w:rPr>
                  </w:pPr>
                  <w:r>
                    <w:rPr>
                      <w:szCs w:val="21"/>
                    </w:rPr>
                    <w:t>距声源1m的声压级dB（A）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trPr>
              <w:tc>
                <w:tcPr>
                  <w:tcW w:w="928" w:type="pct"/>
                  <w:vMerge w:val="restart"/>
                  <w:vAlign w:val="center"/>
                </w:tcPr>
                <w:p>
                  <w:pPr>
                    <w:autoSpaceDE w:val="0"/>
                    <w:autoSpaceDN w:val="0"/>
                    <w:adjustRightInd w:val="0"/>
                    <w:spacing w:after="0"/>
                    <w:jc w:val="center"/>
                    <w:rPr>
                      <w:szCs w:val="21"/>
                    </w:rPr>
                  </w:pPr>
                  <w:r>
                    <w:rPr>
                      <w:szCs w:val="21"/>
                    </w:rPr>
                    <w:t>基础</w:t>
                  </w:r>
                  <w:r>
                    <w:rPr>
                      <w:rFonts w:hint="eastAsia"/>
                      <w:szCs w:val="21"/>
                    </w:rPr>
                    <w:t>工程</w:t>
                  </w:r>
                  <w:r>
                    <w:rPr>
                      <w:szCs w:val="21"/>
                    </w:rPr>
                    <w:t>施工阶段</w:t>
                  </w:r>
                </w:p>
              </w:tc>
              <w:tc>
                <w:tcPr>
                  <w:tcW w:w="1152" w:type="pct"/>
                  <w:vMerge w:val="restart"/>
                  <w:vAlign w:val="center"/>
                </w:tcPr>
                <w:p>
                  <w:pPr>
                    <w:autoSpaceDE w:val="0"/>
                    <w:autoSpaceDN w:val="0"/>
                    <w:adjustRightInd w:val="0"/>
                    <w:spacing w:after="0"/>
                    <w:jc w:val="center"/>
                    <w:rPr>
                      <w:szCs w:val="21"/>
                    </w:rPr>
                  </w:pPr>
                  <w:r>
                    <w:rPr>
                      <w:szCs w:val="21"/>
                    </w:rPr>
                    <w:t>移动式声源</w:t>
                  </w:r>
                </w:p>
                <w:p>
                  <w:pPr>
                    <w:autoSpaceDE w:val="0"/>
                    <w:autoSpaceDN w:val="0"/>
                    <w:adjustRightInd w:val="0"/>
                    <w:spacing w:after="0"/>
                    <w:jc w:val="center"/>
                    <w:rPr>
                      <w:szCs w:val="21"/>
                    </w:rPr>
                  </w:pPr>
                  <w:r>
                    <w:rPr>
                      <w:szCs w:val="21"/>
                    </w:rPr>
                    <w:t>无明显指向性</w:t>
                  </w:r>
                </w:p>
                <w:p>
                  <w:pPr>
                    <w:autoSpaceDE w:val="0"/>
                    <w:autoSpaceDN w:val="0"/>
                    <w:adjustRightInd w:val="0"/>
                    <w:spacing w:after="0"/>
                    <w:jc w:val="center"/>
                    <w:rPr>
                      <w:szCs w:val="21"/>
                    </w:rPr>
                  </w:pPr>
                  <w:r>
                    <w:rPr>
                      <w:szCs w:val="21"/>
                    </w:rPr>
                    <w:t>声功率级最高</w:t>
                  </w:r>
                </w:p>
              </w:tc>
              <w:tc>
                <w:tcPr>
                  <w:tcW w:w="1220" w:type="pct"/>
                  <w:vAlign w:val="center"/>
                </w:tcPr>
                <w:p>
                  <w:pPr>
                    <w:autoSpaceDE w:val="0"/>
                    <w:autoSpaceDN w:val="0"/>
                    <w:adjustRightInd w:val="0"/>
                    <w:spacing w:after="0"/>
                    <w:jc w:val="center"/>
                    <w:rPr>
                      <w:szCs w:val="21"/>
                    </w:rPr>
                  </w:pPr>
                  <w:r>
                    <w:rPr>
                      <w:szCs w:val="21"/>
                    </w:rPr>
                    <w:t>推土机</w:t>
                  </w:r>
                </w:p>
              </w:tc>
              <w:tc>
                <w:tcPr>
                  <w:tcW w:w="1700" w:type="pct"/>
                  <w:vAlign w:val="center"/>
                </w:tcPr>
                <w:p>
                  <w:pPr>
                    <w:autoSpaceDE w:val="0"/>
                    <w:autoSpaceDN w:val="0"/>
                    <w:adjustRightInd w:val="0"/>
                    <w:spacing w:after="0"/>
                    <w:jc w:val="center"/>
                    <w:rPr>
                      <w:szCs w:val="21"/>
                    </w:rPr>
                  </w:pPr>
                  <w:r>
                    <w:rPr>
                      <w:szCs w:val="21"/>
                    </w:rPr>
                    <w:t>83-88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trPr>
              <w:tc>
                <w:tcPr>
                  <w:tcW w:w="928" w:type="pct"/>
                  <w:vMerge w:val="continue"/>
                  <w:vAlign w:val="center"/>
                </w:tcPr>
                <w:p>
                  <w:pPr>
                    <w:autoSpaceDE w:val="0"/>
                    <w:autoSpaceDN w:val="0"/>
                    <w:adjustRightInd w:val="0"/>
                    <w:spacing w:after="0"/>
                    <w:jc w:val="center"/>
                    <w:rPr>
                      <w:sz w:val="24"/>
                    </w:rPr>
                  </w:pPr>
                </w:p>
              </w:tc>
              <w:tc>
                <w:tcPr>
                  <w:tcW w:w="1152" w:type="pct"/>
                  <w:vMerge w:val="continue"/>
                  <w:vAlign w:val="center"/>
                </w:tcPr>
                <w:p>
                  <w:pPr>
                    <w:autoSpaceDE w:val="0"/>
                    <w:autoSpaceDN w:val="0"/>
                    <w:adjustRightInd w:val="0"/>
                    <w:spacing w:after="0"/>
                    <w:jc w:val="center"/>
                    <w:rPr>
                      <w:sz w:val="24"/>
                    </w:rPr>
                  </w:pPr>
                </w:p>
              </w:tc>
              <w:tc>
                <w:tcPr>
                  <w:tcW w:w="1220" w:type="pct"/>
                  <w:vAlign w:val="center"/>
                </w:tcPr>
                <w:p>
                  <w:pPr>
                    <w:autoSpaceDE w:val="0"/>
                    <w:autoSpaceDN w:val="0"/>
                    <w:adjustRightInd w:val="0"/>
                    <w:spacing w:after="0"/>
                    <w:jc w:val="center"/>
                    <w:rPr>
                      <w:szCs w:val="21"/>
                    </w:rPr>
                  </w:pPr>
                  <w:r>
                    <w:rPr>
                      <w:szCs w:val="21"/>
                    </w:rPr>
                    <w:t>挖掘机</w:t>
                  </w:r>
                </w:p>
              </w:tc>
              <w:tc>
                <w:tcPr>
                  <w:tcW w:w="1700" w:type="pct"/>
                  <w:vAlign w:val="center"/>
                </w:tcPr>
                <w:p>
                  <w:pPr>
                    <w:autoSpaceDE w:val="0"/>
                    <w:autoSpaceDN w:val="0"/>
                    <w:adjustRightInd w:val="0"/>
                    <w:spacing w:after="0"/>
                    <w:jc w:val="center"/>
                    <w:rPr>
                      <w:szCs w:val="21"/>
                    </w:rPr>
                  </w:pPr>
                  <w:r>
                    <w:rPr>
                      <w:szCs w:val="21"/>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trPr>
              <w:tc>
                <w:tcPr>
                  <w:tcW w:w="928" w:type="pct"/>
                  <w:vMerge w:val="continue"/>
                  <w:vAlign w:val="center"/>
                </w:tcPr>
                <w:p>
                  <w:pPr>
                    <w:autoSpaceDE w:val="0"/>
                    <w:autoSpaceDN w:val="0"/>
                    <w:adjustRightInd w:val="0"/>
                    <w:spacing w:after="0"/>
                    <w:jc w:val="center"/>
                    <w:rPr>
                      <w:szCs w:val="21"/>
                    </w:rPr>
                  </w:pPr>
                </w:p>
              </w:tc>
              <w:tc>
                <w:tcPr>
                  <w:tcW w:w="1152" w:type="pct"/>
                  <w:vMerge w:val="continue"/>
                  <w:vAlign w:val="center"/>
                </w:tcPr>
                <w:p>
                  <w:pPr>
                    <w:autoSpaceDE w:val="0"/>
                    <w:autoSpaceDN w:val="0"/>
                    <w:adjustRightInd w:val="0"/>
                    <w:spacing w:after="0"/>
                    <w:jc w:val="center"/>
                    <w:rPr>
                      <w:szCs w:val="21"/>
                    </w:rPr>
                  </w:pPr>
                </w:p>
              </w:tc>
              <w:tc>
                <w:tcPr>
                  <w:tcW w:w="1220" w:type="pct"/>
                  <w:vAlign w:val="center"/>
                </w:tcPr>
                <w:p>
                  <w:pPr>
                    <w:autoSpaceDE w:val="0"/>
                    <w:autoSpaceDN w:val="0"/>
                    <w:adjustRightInd w:val="0"/>
                    <w:spacing w:after="0"/>
                    <w:jc w:val="center"/>
                    <w:rPr>
                      <w:szCs w:val="21"/>
                    </w:rPr>
                  </w:pPr>
                  <w:r>
                    <w:rPr>
                      <w:szCs w:val="21"/>
                    </w:rPr>
                    <w:t>运输车辆</w:t>
                  </w:r>
                </w:p>
              </w:tc>
              <w:tc>
                <w:tcPr>
                  <w:tcW w:w="1700" w:type="pct"/>
                  <w:vAlign w:val="center"/>
                </w:tcPr>
                <w:p>
                  <w:pPr>
                    <w:autoSpaceDE w:val="0"/>
                    <w:autoSpaceDN w:val="0"/>
                    <w:adjustRightInd w:val="0"/>
                    <w:spacing w:after="0"/>
                    <w:jc w:val="center"/>
                    <w:rPr>
                      <w:szCs w:val="21"/>
                    </w:rPr>
                  </w:pPr>
                  <w:r>
                    <w:rPr>
                      <w:szCs w:val="21"/>
                    </w:rPr>
                    <w:t>82-90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928" w:type="pct"/>
                  <w:vMerge w:val="continue"/>
                  <w:vAlign w:val="center"/>
                </w:tcPr>
                <w:p>
                  <w:pPr>
                    <w:autoSpaceDE w:val="0"/>
                    <w:autoSpaceDN w:val="0"/>
                    <w:adjustRightInd w:val="0"/>
                    <w:spacing w:after="0"/>
                    <w:jc w:val="center"/>
                    <w:rPr>
                      <w:szCs w:val="21"/>
                    </w:rPr>
                  </w:pPr>
                </w:p>
              </w:tc>
              <w:tc>
                <w:tcPr>
                  <w:tcW w:w="1152" w:type="pct"/>
                  <w:vMerge w:val="continue"/>
                  <w:vAlign w:val="center"/>
                </w:tcPr>
                <w:p>
                  <w:pPr>
                    <w:autoSpaceDE w:val="0"/>
                    <w:autoSpaceDN w:val="0"/>
                    <w:adjustRightInd w:val="0"/>
                    <w:spacing w:after="0"/>
                    <w:jc w:val="center"/>
                    <w:rPr>
                      <w:szCs w:val="21"/>
                    </w:rPr>
                  </w:pPr>
                </w:p>
              </w:tc>
              <w:tc>
                <w:tcPr>
                  <w:tcW w:w="1220" w:type="pct"/>
                  <w:vAlign w:val="center"/>
                </w:tcPr>
                <w:p>
                  <w:pPr>
                    <w:autoSpaceDE w:val="0"/>
                    <w:autoSpaceDN w:val="0"/>
                    <w:adjustRightInd w:val="0"/>
                    <w:spacing w:after="0"/>
                    <w:jc w:val="center"/>
                    <w:rPr>
                      <w:szCs w:val="21"/>
                    </w:rPr>
                  </w:pPr>
                  <w:r>
                    <w:rPr>
                      <w:szCs w:val="21"/>
                    </w:rPr>
                    <w:t>混凝土罐车</w:t>
                  </w:r>
                </w:p>
              </w:tc>
              <w:tc>
                <w:tcPr>
                  <w:tcW w:w="1700" w:type="pct"/>
                  <w:vAlign w:val="center"/>
                </w:tcPr>
                <w:p>
                  <w:pPr>
                    <w:autoSpaceDE w:val="0"/>
                    <w:autoSpaceDN w:val="0"/>
                    <w:adjustRightInd w:val="0"/>
                    <w:spacing w:after="0"/>
                    <w:jc w:val="center"/>
                    <w:rPr>
                      <w:szCs w:val="21"/>
                    </w:rPr>
                  </w:pPr>
                  <w:r>
                    <w:rPr>
                      <w:szCs w:val="21"/>
                    </w:rPr>
                    <w:t>85-90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928" w:type="pct"/>
                  <w:vMerge w:val="continue"/>
                  <w:vAlign w:val="center"/>
                </w:tcPr>
                <w:p>
                  <w:pPr>
                    <w:autoSpaceDE w:val="0"/>
                    <w:autoSpaceDN w:val="0"/>
                    <w:adjustRightInd w:val="0"/>
                    <w:spacing w:after="0"/>
                    <w:jc w:val="center"/>
                    <w:rPr>
                      <w:szCs w:val="21"/>
                    </w:rPr>
                  </w:pPr>
                </w:p>
              </w:tc>
              <w:tc>
                <w:tcPr>
                  <w:tcW w:w="1152" w:type="pct"/>
                  <w:vMerge w:val="continue"/>
                  <w:vAlign w:val="center"/>
                </w:tcPr>
                <w:p>
                  <w:pPr>
                    <w:autoSpaceDE w:val="0"/>
                    <w:autoSpaceDN w:val="0"/>
                    <w:adjustRightInd w:val="0"/>
                    <w:spacing w:after="0"/>
                    <w:jc w:val="center"/>
                    <w:rPr>
                      <w:szCs w:val="21"/>
                    </w:rPr>
                  </w:pPr>
                </w:p>
              </w:tc>
              <w:tc>
                <w:tcPr>
                  <w:tcW w:w="1220" w:type="pct"/>
                  <w:vAlign w:val="center"/>
                </w:tcPr>
                <w:p>
                  <w:pPr>
                    <w:autoSpaceDE w:val="0"/>
                    <w:autoSpaceDN w:val="0"/>
                    <w:adjustRightInd w:val="0"/>
                    <w:spacing w:after="0"/>
                    <w:jc w:val="center"/>
                    <w:rPr>
                      <w:szCs w:val="21"/>
                    </w:rPr>
                  </w:pPr>
                  <w:r>
                    <w:rPr>
                      <w:szCs w:val="21"/>
                    </w:rPr>
                    <w:t>其他施工噪声</w:t>
                  </w:r>
                </w:p>
              </w:tc>
              <w:tc>
                <w:tcPr>
                  <w:tcW w:w="1700" w:type="pct"/>
                  <w:vAlign w:val="center"/>
                </w:tcPr>
                <w:p>
                  <w:pPr>
                    <w:autoSpaceDE w:val="0"/>
                    <w:autoSpaceDN w:val="0"/>
                    <w:adjustRightInd w:val="0"/>
                    <w:spacing w:after="0"/>
                    <w:jc w:val="center"/>
                    <w:rPr>
                      <w:szCs w:val="21"/>
                    </w:rPr>
                  </w:pPr>
                  <w:r>
                    <w:rPr>
                      <w:szCs w:val="21"/>
                    </w:rPr>
                    <w:t>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928" w:type="pct"/>
                  <w:vMerge w:val="restart"/>
                  <w:vAlign w:val="center"/>
                </w:tcPr>
                <w:p>
                  <w:pPr>
                    <w:autoSpaceDE w:val="0"/>
                    <w:autoSpaceDN w:val="0"/>
                    <w:adjustRightInd w:val="0"/>
                    <w:spacing w:after="0"/>
                    <w:jc w:val="center"/>
                    <w:rPr>
                      <w:szCs w:val="21"/>
                    </w:rPr>
                  </w:pPr>
                  <w:r>
                    <w:rPr>
                      <w:rFonts w:hint="eastAsia"/>
                      <w:szCs w:val="21"/>
                    </w:rPr>
                    <w:t>主体工程</w:t>
                  </w:r>
                  <w:r>
                    <w:rPr>
                      <w:szCs w:val="21"/>
                    </w:rPr>
                    <w:t>施工阶段</w:t>
                  </w:r>
                </w:p>
              </w:tc>
              <w:tc>
                <w:tcPr>
                  <w:tcW w:w="1152" w:type="pct"/>
                  <w:vMerge w:val="restart"/>
                  <w:vAlign w:val="center"/>
                </w:tcPr>
                <w:p>
                  <w:pPr>
                    <w:autoSpaceDE w:val="0"/>
                    <w:autoSpaceDN w:val="0"/>
                    <w:adjustRightInd w:val="0"/>
                    <w:spacing w:after="0"/>
                    <w:jc w:val="center"/>
                    <w:rPr>
                      <w:szCs w:val="21"/>
                    </w:rPr>
                  </w:pPr>
                  <w:r>
                    <w:rPr>
                      <w:szCs w:val="21"/>
                    </w:rPr>
                    <w:t>施工期</w:t>
                  </w:r>
                  <w:r>
                    <w:rPr>
                      <w:rFonts w:hint="eastAsia"/>
                      <w:szCs w:val="21"/>
                    </w:rPr>
                    <w:t>长</w:t>
                  </w:r>
                </w:p>
                <w:p>
                  <w:pPr>
                    <w:autoSpaceDE w:val="0"/>
                    <w:autoSpaceDN w:val="0"/>
                    <w:adjustRightInd w:val="0"/>
                    <w:spacing w:after="0"/>
                    <w:jc w:val="center"/>
                    <w:rPr>
                      <w:szCs w:val="21"/>
                    </w:rPr>
                  </w:pPr>
                  <w:r>
                    <w:rPr>
                      <w:szCs w:val="21"/>
                    </w:rPr>
                    <w:t>工作时间长</w:t>
                  </w:r>
                </w:p>
                <w:p>
                  <w:pPr>
                    <w:autoSpaceDE w:val="0"/>
                    <w:autoSpaceDN w:val="0"/>
                    <w:adjustRightInd w:val="0"/>
                    <w:spacing w:after="0"/>
                    <w:jc w:val="center"/>
                    <w:rPr>
                      <w:szCs w:val="21"/>
                    </w:rPr>
                  </w:pPr>
                  <w:r>
                    <w:rPr>
                      <w:szCs w:val="21"/>
                    </w:rPr>
                    <w:t>影响面广</w:t>
                  </w:r>
                </w:p>
              </w:tc>
              <w:tc>
                <w:tcPr>
                  <w:tcW w:w="1220" w:type="pct"/>
                  <w:vAlign w:val="center"/>
                </w:tcPr>
                <w:p>
                  <w:pPr>
                    <w:autoSpaceDE w:val="0"/>
                    <w:autoSpaceDN w:val="0"/>
                    <w:adjustRightInd w:val="0"/>
                    <w:spacing w:after="0"/>
                    <w:jc w:val="center"/>
                    <w:rPr>
                      <w:szCs w:val="21"/>
                    </w:rPr>
                  </w:pPr>
                  <w:r>
                    <w:rPr>
                      <w:szCs w:val="21"/>
                    </w:rPr>
                    <w:t>运输车辆</w:t>
                  </w:r>
                </w:p>
              </w:tc>
              <w:tc>
                <w:tcPr>
                  <w:tcW w:w="1700" w:type="pct"/>
                  <w:vAlign w:val="center"/>
                </w:tcPr>
                <w:p>
                  <w:pPr>
                    <w:autoSpaceDE w:val="0"/>
                    <w:autoSpaceDN w:val="0"/>
                    <w:adjustRightInd w:val="0"/>
                    <w:spacing w:after="0"/>
                    <w:jc w:val="center"/>
                    <w:rPr>
                      <w:szCs w:val="21"/>
                    </w:rPr>
                  </w:pPr>
                  <w:r>
                    <w:rPr>
                      <w:szCs w:val="21"/>
                    </w:rPr>
                    <w:t>82-90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928" w:type="pct"/>
                  <w:vMerge w:val="continue"/>
                  <w:vAlign w:val="center"/>
                </w:tcPr>
                <w:p>
                  <w:pPr>
                    <w:autoSpaceDE w:val="0"/>
                    <w:autoSpaceDN w:val="0"/>
                    <w:adjustRightInd w:val="0"/>
                    <w:spacing w:after="0"/>
                    <w:jc w:val="center"/>
                    <w:rPr>
                      <w:sz w:val="24"/>
                    </w:rPr>
                  </w:pPr>
                </w:p>
              </w:tc>
              <w:tc>
                <w:tcPr>
                  <w:tcW w:w="1152" w:type="pct"/>
                  <w:vMerge w:val="continue"/>
                  <w:vAlign w:val="center"/>
                </w:tcPr>
                <w:p>
                  <w:pPr>
                    <w:autoSpaceDE w:val="0"/>
                    <w:autoSpaceDN w:val="0"/>
                    <w:adjustRightInd w:val="0"/>
                    <w:spacing w:after="0"/>
                    <w:jc w:val="center"/>
                    <w:rPr>
                      <w:sz w:val="24"/>
                    </w:rPr>
                  </w:pPr>
                </w:p>
              </w:tc>
              <w:tc>
                <w:tcPr>
                  <w:tcW w:w="1220" w:type="pct"/>
                  <w:vAlign w:val="center"/>
                </w:tcPr>
                <w:p>
                  <w:pPr>
                    <w:autoSpaceDE w:val="0"/>
                    <w:autoSpaceDN w:val="0"/>
                    <w:adjustRightInd w:val="0"/>
                    <w:spacing w:after="0"/>
                    <w:jc w:val="center"/>
                    <w:rPr>
                      <w:szCs w:val="21"/>
                    </w:rPr>
                  </w:pPr>
                  <w:r>
                    <w:rPr>
                      <w:szCs w:val="21"/>
                    </w:rPr>
                    <w:t>电钻</w:t>
                  </w:r>
                </w:p>
              </w:tc>
              <w:tc>
                <w:tcPr>
                  <w:tcW w:w="1700" w:type="pct"/>
                  <w:vAlign w:val="center"/>
                </w:tcPr>
                <w:p>
                  <w:pPr>
                    <w:autoSpaceDE w:val="0"/>
                    <w:autoSpaceDN w:val="0"/>
                    <w:adjustRightInd w:val="0"/>
                    <w:spacing w:after="0"/>
                    <w:jc w:val="center"/>
                    <w:rPr>
                      <w:szCs w:val="21"/>
                    </w:rPr>
                  </w:pPr>
                  <w:r>
                    <w:rPr>
                      <w:szCs w:val="21"/>
                    </w:rPr>
                    <w:t>90-95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928" w:type="pct"/>
                  <w:vMerge w:val="continue"/>
                  <w:vAlign w:val="center"/>
                </w:tcPr>
                <w:p>
                  <w:pPr>
                    <w:autoSpaceDE w:val="0"/>
                    <w:autoSpaceDN w:val="0"/>
                    <w:adjustRightInd w:val="0"/>
                    <w:spacing w:after="0"/>
                    <w:jc w:val="center"/>
                    <w:rPr>
                      <w:szCs w:val="21"/>
                    </w:rPr>
                  </w:pPr>
                </w:p>
              </w:tc>
              <w:tc>
                <w:tcPr>
                  <w:tcW w:w="1152" w:type="pct"/>
                  <w:vMerge w:val="continue"/>
                  <w:vAlign w:val="center"/>
                </w:tcPr>
                <w:p>
                  <w:pPr>
                    <w:autoSpaceDE w:val="0"/>
                    <w:autoSpaceDN w:val="0"/>
                    <w:adjustRightInd w:val="0"/>
                    <w:spacing w:after="0"/>
                    <w:jc w:val="center"/>
                    <w:rPr>
                      <w:szCs w:val="21"/>
                    </w:rPr>
                  </w:pPr>
                </w:p>
              </w:tc>
              <w:tc>
                <w:tcPr>
                  <w:tcW w:w="1220" w:type="pct"/>
                  <w:vAlign w:val="center"/>
                </w:tcPr>
                <w:p>
                  <w:pPr>
                    <w:autoSpaceDE w:val="0"/>
                    <w:autoSpaceDN w:val="0"/>
                    <w:adjustRightInd w:val="0"/>
                    <w:spacing w:after="0"/>
                    <w:jc w:val="center"/>
                    <w:rPr>
                      <w:szCs w:val="21"/>
                    </w:rPr>
                  </w:pPr>
                  <w:r>
                    <w:rPr>
                      <w:szCs w:val="21"/>
                    </w:rPr>
                    <w:t>其他施工噪声</w:t>
                  </w:r>
                </w:p>
              </w:tc>
              <w:tc>
                <w:tcPr>
                  <w:tcW w:w="1700" w:type="pct"/>
                  <w:vAlign w:val="center"/>
                </w:tcPr>
                <w:p>
                  <w:pPr>
                    <w:autoSpaceDE w:val="0"/>
                    <w:autoSpaceDN w:val="0"/>
                    <w:adjustRightInd w:val="0"/>
                    <w:spacing w:after="0"/>
                    <w:jc w:val="center"/>
                    <w:rPr>
                      <w:szCs w:val="21"/>
                    </w:rPr>
                  </w:pPr>
                  <w:r>
                    <w:rPr>
                      <w:szCs w:val="21"/>
                    </w:rPr>
                    <w:t>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928" w:type="pct"/>
                  <w:vMerge w:val="restart"/>
                  <w:vAlign w:val="center"/>
                </w:tcPr>
                <w:p>
                  <w:pPr>
                    <w:autoSpaceDE w:val="0"/>
                    <w:autoSpaceDN w:val="0"/>
                    <w:adjustRightInd w:val="0"/>
                    <w:spacing w:after="0"/>
                    <w:jc w:val="center"/>
                    <w:rPr>
                      <w:szCs w:val="21"/>
                    </w:rPr>
                  </w:pPr>
                  <w:r>
                    <w:rPr>
                      <w:rFonts w:hint="eastAsia"/>
                      <w:szCs w:val="21"/>
                    </w:rPr>
                    <w:t>设备安装</w:t>
                  </w:r>
                </w:p>
              </w:tc>
              <w:tc>
                <w:tcPr>
                  <w:tcW w:w="1152" w:type="pct"/>
                  <w:vMerge w:val="restart"/>
                  <w:vAlign w:val="center"/>
                </w:tcPr>
                <w:p>
                  <w:pPr>
                    <w:autoSpaceDE w:val="0"/>
                    <w:autoSpaceDN w:val="0"/>
                    <w:adjustRightInd w:val="0"/>
                    <w:spacing w:after="0"/>
                    <w:jc w:val="center"/>
                    <w:rPr>
                      <w:szCs w:val="21"/>
                    </w:rPr>
                  </w:pPr>
                  <w:r>
                    <w:rPr>
                      <w:szCs w:val="21"/>
                    </w:rPr>
                    <w:t>施工期</w:t>
                  </w:r>
                  <w:r>
                    <w:rPr>
                      <w:rFonts w:hint="eastAsia"/>
                      <w:szCs w:val="21"/>
                    </w:rPr>
                    <w:t>短</w:t>
                  </w:r>
                </w:p>
                <w:p>
                  <w:pPr>
                    <w:autoSpaceDE w:val="0"/>
                    <w:autoSpaceDN w:val="0"/>
                    <w:adjustRightInd w:val="0"/>
                    <w:spacing w:after="0"/>
                    <w:jc w:val="center"/>
                    <w:rPr>
                      <w:szCs w:val="21"/>
                    </w:rPr>
                  </w:pPr>
                  <w:r>
                    <w:rPr>
                      <w:szCs w:val="21"/>
                    </w:rPr>
                    <w:t>声源强度小</w:t>
                  </w:r>
                </w:p>
              </w:tc>
              <w:tc>
                <w:tcPr>
                  <w:tcW w:w="1220" w:type="pct"/>
                  <w:vAlign w:val="center"/>
                </w:tcPr>
                <w:p>
                  <w:pPr>
                    <w:autoSpaceDE w:val="0"/>
                    <w:autoSpaceDN w:val="0"/>
                    <w:adjustRightInd w:val="0"/>
                    <w:spacing w:after="0"/>
                    <w:jc w:val="center"/>
                    <w:rPr>
                      <w:szCs w:val="21"/>
                    </w:rPr>
                  </w:pPr>
                  <w:r>
                    <w:rPr>
                      <w:szCs w:val="21"/>
                    </w:rPr>
                    <w:t>运输车辆</w:t>
                  </w:r>
                </w:p>
              </w:tc>
              <w:tc>
                <w:tcPr>
                  <w:tcW w:w="1700" w:type="pct"/>
                  <w:vAlign w:val="center"/>
                </w:tcPr>
                <w:p>
                  <w:pPr>
                    <w:autoSpaceDE w:val="0"/>
                    <w:autoSpaceDN w:val="0"/>
                    <w:adjustRightInd w:val="0"/>
                    <w:spacing w:after="0"/>
                    <w:jc w:val="center"/>
                    <w:rPr>
                      <w:szCs w:val="21"/>
                    </w:rPr>
                  </w:pPr>
                  <w:r>
                    <w:rPr>
                      <w:szCs w:val="21"/>
                    </w:rPr>
                    <w:t>82-90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928" w:type="pct"/>
                  <w:vMerge w:val="continue"/>
                  <w:vAlign w:val="center"/>
                </w:tcPr>
                <w:p>
                  <w:pPr>
                    <w:autoSpaceDE w:val="0"/>
                    <w:autoSpaceDN w:val="0"/>
                    <w:adjustRightInd w:val="0"/>
                    <w:spacing w:after="0"/>
                    <w:jc w:val="center"/>
                    <w:rPr>
                      <w:sz w:val="24"/>
                    </w:rPr>
                  </w:pPr>
                </w:p>
              </w:tc>
              <w:tc>
                <w:tcPr>
                  <w:tcW w:w="1152" w:type="pct"/>
                  <w:vMerge w:val="continue"/>
                  <w:vAlign w:val="center"/>
                </w:tcPr>
                <w:p>
                  <w:pPr>
                    <w:autoSpaceDE w:val="0"/>
                    <w:autoSpaceDN w:val="0"/>
                    <w:adjustRightInd w:val="0"/>
                    <w:spacing w:after="0"/>
                    <w:jc w:val="center"/>
                    <w:rPr>
                      <w:sz w:val="24"/>
                    </w:rPr>
                  </w:pPr>
                </w:p>
              </w:tc>
              <w:tc>
                <w:tcPr>
                  <w:tcW w:w="1220" w:type="pct"/>
                  <w:vAlign w:val="center"/>
                </w:tcPr>
                <w:p>
                  <w:pPr>
                    <w:autoSpaceDE w:val="0"/>
                    <w:autoSpaceDN w:val="0"/>
                    <w:adjustRightInd w:val="0"/>
                    <w:spacing w:after="0"/>
                    <w:jc w:val="center"/>
                    <w:rPr>
                      <w:szCs w:val="21"/>
                    </w:rPr>
                  </w:pPr>
                  <w:r>
                    <w:rPr>
                      <w:szCs w:val="21"/>
                    </w:rPr>
                    <w:t>其他装修噪声</w:t>
                  </w:r>
                </w:p>
              </w:tc>
              <w:tc>
                <w:tcPr>
                  <w:tcW w:w="1700" w:type="pct"/>
                  <w:vAlign w:val="center"/>
                </w:tcPr>
                <w:p>
                  <w:pPr>
                    <w:autoSpaceDE w:val="0"/>
                    <w:autoSpaceDN w:val="0"/>
                    <w:adjustRightInd w:val="0"/>
                    <w:spacing w:after="0"/>
                    <w:jc w:val="center"/>
                    <w:rPr>
                      <w:szCs w:val="21"/>
                    </w:rPr>
                  </w:pPr>
                  <w:r>
                    <w:rPr>
                      <w:szCs w:val="21"/>
                    </w:rPr>
                    <w:t>80-88</w:t>
                  </w:r>
                </w:p>
              </w:tc>
            </w:tr>
          </w:tbl>
          <w:p>
            <w:pPr>
              <w:autoSpaceDE w:val="0"/>
              <w:autoSpaceDN w:val="0"/>
              <w:adjustRightInd w:val="0"/>
              <w:spacing w:after="0" w:line="360" w:lineRule="auto"/>
              <w:ind w:firstLine="480" w:firstLineChars="200"/>
              <w:rPr>
                <w:sz w:val="24"/>
              </w:rPr>
            </w:pPr>
            <w:r>
              <w:rPr>
                <w:sz w:val="24"/>
              </w:rPr>
              <w:t>4、固体废物</w:t>
            </w:r>
          </w:p>
          <w:p>
            <w:pPr>
              <w:autoSpaceDE w:val="0"/>
              <w:autoSpaceDN w:val="0"/>
              <w:adjustRightInd w:val="0"/>
              <w:spacing w:after="0" w:line="360" w:lineRule="auto"/>
              <w:ind w:firstLine="480" w:firstLineChars="200"/>
              <w:rPr>
                <w:sz w:val="24"/>
              </w:rPr>
            </w:pPr>
            <w:r>
              <w:rPr>
                <w:sz w:val="24"/>
              </w:rPr>
              <w:t>项目施工期产生的固体废物主要包括施工过程产生的开挖土方</w:t>
            </w:r>
            <w:r>
              <w:rPr>
                <w:rFonts w:hint="eastAsia"/>
                <w:sz w:val="24"/>
              </w:rPr>
              <w:t>、</w:t>
            </w:r>
            <w:r>
              <w:rPr>
                <w:sz w:val="24"/>
              </w:rPr>
              <w:t>建筑垃圾和施工人员产生的生活垃圾。</w:t>
            </w:r>
          </w:p>
          <w:p>
            <w:pPr>
              <w:autoSpaceDE w:val="0"/>
              <w:autoSpaceDN w:val="0"/>
              <w:adjustRightInd w:val="0"/>
              <w:spacing w:after="0" w:line="360" w:lineRule="auto"/>
              <w:ind w:firstLine="480" w:firstLineChars="200"/>
              <w:rPr>
                <w:sz w:val="24"/>
              </w:rPr>
            </w:pPr>
            <w:r>
              <w:rPr>
                <w:sz w:val="24"/>
              </w:rPr>
              <w:t>根据建设单位初步设计，开挖土方全部在场地内平衡，出现富余时，用作项目内道路路基填方。</w:t>
            </w:r>
          </w:p>
          <w:p>
            <w:pPr>
              <w:autoSpaceDE w:val="0"/>
              <w:autoSpaceDN w:val="0"/>
              <w:adjustRightInd w:val="0"/>
              <w:spacing w:after="0" w:line="360" w:lineRule="auto"/>
              <w:ind w:firstLine="480" w:firstLineChars="200"/>
              <w:rPr>
                <w:sz w:val="24"/>
              </w:rPr>
            </w:pPr>
            <w:r>
              <w:rPr>
                <w:sz w:val="24"/>
              </w:rPr>
              <w:t>项目施工人员20人，</w:t>
            </w:r>
            <w:r>
              <w:rPr>
                <w:rFonts w:hint="eastAsia"/>
                <w:sz w:val="24"/>
              </w:rPr>
              <w:t>生活</w:t>
            </w:r>
            <w:r>
              <w:rPr>
                <w:sz w:val="24"/>
              </w:rPr>
              <w:t>垃圾产生量按0.5kg/d</w:t>
            </w:r>
            <w:r>
              <w:rPr>
                <w:sz w:val="24"/>
                <w:vertAlign w:val="superscript"/>
              </w:rPr>
              <w:t>.</w:t>
            </w:r>
            <w:r>
              <w:rPr>
                <w:sz w:val="24"/>
              </w:rPr>
              <w:t>天计，则项目施工产生的生活垃圾量为10kg/d。生活垃圾通过</w:t>
            </w:r>
            <w:r>
              <w:rPr>
                <w:rFonts w:hint="eastAsia"/>
                <w:sz w:val="24"/>
              </w:rPr>
              <w:t>垃圾桶</w:t>
            </w:r>
            <w:r>
              <w:rPr>
                <w:sz w:val="24"/>
              </w:rPr>
              <w:t>收集，并转运至附近垃圾收集点，由环卫部门进行处理。</w:t>
            </w:r>
          </w:p>
          <w:p>
            <w:pPr>
              <w:pStyle w:val="49"/>
              <w:spacing w:after="0"/>
              <w:ind w:firstLine="480"/>
            </w:pPr>
            <w:r>
              <w:rPr>
                <w:rFonts w:hint="eastAsia"/>
              </w:rPr>
              <w:t>项目在施工</w:t>
            </w:r>
            <w:r>
              <w:t>过程</w:t>
            </w:r>
            <w:r>
              <w:rPr>
                <w:rFonts w:hint="eastAsia"/>
              </w:rPr>
              <w:t>会产生建筑垃圾，</w:t>
            </w:r>
            <w:r>
              <w:t>建筑垃圾产生量按每100m</w:t>
            </w:r>
            <w:r>
              <w:rPr>
                <w:vertAlign w:val="superscript"/>
              </w:rPr>
              <w:t>2</w:t>
            </w:r>
            <w:r>
              <w:t>建筑面积产生1.5t估算，施工期建筑垃圾产生量约为</w:t>
            </w:r>
            <w:r>
              <w:rPr>
                <w:rFonts w:hint="eastAsia"/>
              </w:rPr>
              <w:t>1</w:t>
            </w:r>
            <w:r>
              <w:t>20t。</w:t>
            </w:r>
            <w:r>
              <w:rPr>
                <w:rFonts w:hint="eastAsia"/>
              </w:rPr>
              <w:t xml:space="preserve">建筑垃圾经分类收集后，统一转运至附近垃圾收集点，由环卫部门处理。 </w:t>
            </w:r>
          </w:p>
          <w:p>
            <w:pPr>
              <w:autoSpaceDE w:val="0"/>
              <w:autoSpaceDN w:val="0"/>
              <w:adjustRightInd w:val="0"/>
              <w:spacing w:after="0" w:line="360" w:lineRule="auto"/>
              <w:rPr>
                <w:b/>
                <w:bCs/>
                <w:sz w:val="24"/>
                <w:szCs w:val="32"/>
              </w:rPr>
            </w:pPr>
            <w:r>
              <w:rPr>
                <w:b/>
                <w:bCs/>
                <w:sz w:val="24"/>
                <w:szCs w:val="32"/>
              </w:rPr>
              <w:t>二、营运期污染</w:t>
            </w:r>
            <w:r>
              <w:rPr>
                <w:rFonts w:hint="eastAsia"/>
                <w:b/>
                <w:bCs/>
                <w:sz w:val="24"/>
                <w:szCs w:val="32"/>
              </w:rPr>
              <w:t>源强分析</w:t>
            </w:r>
          </w:p>
          <w:p>
            <w:pPr>
              <w:pStyle w:val="35"/>
              <w:spacing w:after="0" w:line="360" w:lineRule="auto"/>
              <w:ind w:firstLine="480" w:firstLineChars="200"/>
              <w:jc w:val="both"/>
              <w:rPr>
                <w:rFonts w:ascii="Times New Roman" w:cs="Times New Roman"/>
                <w:u w:val="wave"/>
              </w:rPr>
            </w:pPr>
            <w:r>
              <w:rPr>
                <w:rFonts w:ascii="Times New Roman" w:cs="Times New Roman"/>
                <w:u w:val="wave"/>
              </w:rPr>
              <w:t>1、大气污染源</w:t>
            </w:r>
          </w:p>
          <w:p>
            <w:pPr>
              <w:pStyle w:val="35"/>
              <w:spacing w:after="0" w:line="360" w:lineRule="auto"/>
              <w:ind w:firstLine="480" w:firstLineChars="200"/>
              <w:jc w:val="both"/>
              <w:rPr>
                <w:rFonts w:ascii="Times New Roman" w:cs="Times New Roman"/>
                <w:u w:val="wave"/>
              </w:rPr>
            </w:pPr>
            <w:r>
              <w:rPr>
                <w:rFonts w:ascii="Times New Roman" w:cs="Times New Roman"/>
                <w:u w:val="wave"/>
              </w:rPr>
              <w:t>本项目营运期产生的废气主要来自</w:t>
            </w:r>
            <w:r>
              <w:rPr>
                <w:rFonts w:hint="eastAsia" w:ascii="Times New Roman" w:cs="Times New Roman"/>
                <w:u w:val="wave"/>
              </w:rPr>
              <w:t>原料进场时产生的装卸粉尘；原料入料斗的下料粉尘；水泥筒仓及粉煤灰筒仓</w:t>
            </w:r>
            <w:r>
              <w:rPr>
                <w:rFonts w:ascii="Times New Roman" w:cs="Times New Roman"/>
                <w:u w:val="wave"/>
              </w:rPr>
              <w:t>进料时大小呼吸口产生的呼吸粉尘；搅拌机进行搅拌时产生的搅拌粉尘；</w:t>
            </w:r>
            <w:r>
              <w:rPr>
                <w:rFonts w:ascii="Times New Roman" w:cs="Times New Roman"/>
                <w:color w:val="auto"/>
                <w:u w:val="wave"/>
              </w:rPr>
              <w:t>运</w:t>
            </w:r>
            <w:r>
              <w:rPr>
                <w:rFonts w:ascii="Times New Roman" w:cs="Times New Roman"/>
                <w:u w:val="wave"/>
              </w:rPr>
              <w:t>输扬尘及汽车尾气等。</w:t>
            </w:r>
            <w:r>
              <w:rPr>
                <w:rFonts w:hint="eastAsia" w:ascii="Times New Roman" w:cs="Times New Roman"/>
                <w:u w:val="wave"/>
              </w:rPr>
              <w:t>本项目输送过程中全密闭，不会产生粉尘。</w:t>
            </w:r>
          </w:p>
          <w:p>
            <w:pPr>
              <w:spacing w:after="0" w:line="360" w:lineRule="auto"/>
              <w:ind w:firstLine="480" w:firstLineChars="200"/>
              <w:rPr>
                <w:sz w:val="24"/>
                <w:u w:val="wave"/>
              </w:rPr>
            </w:pPr>
            <w:r>
              <w:rPr>
                <w:sz w:val="24"/>
                <w:u w:val="wave"/>
              </w:rPr>
              <w:t>（1）有组织废气：</w:t>
            </w:r>
          </w:p>
          <w:p>
            <w:pPr>
              <w:spacing w:after="0" w:line="360" w:lineRule="auto"/>
              <w:ind w:firstLine="480" w:firstLineChars="200"/>
              <w:rPr>
                <w:sz w:val="24"/>
                <w:u w:val="wave"/>
              </w:rPr>
            </w:pPr>
            <w:r>
              <w:rPr>
                <w:sz w:val="24"/>
                <w:u w:val="wave"/>
              </w:rPr>
              <w:t>1）水泥筒仓及粉煤灰筒仓进料时大小呼吸口产生的呼吸粉尘（G4）</w:t>
            </w:r>
          </w:p>
          <w:p>
            <w:pPr>
              <w:spacing w:after="0" w:line="360" w:lineRule="auto"/>
              <w:ind w:firstLine="480" w:firstLineChars="200"/>
              <w:rPr>
                <w:sz w:val="24"/>
                <w:u w:val="wave"/>
              </w:rPr>
            </w:pPr>
            <w:r>
              <w:rPr>
                <w:sz w:val="24"/>
                <w:u w:val="wave"/>
              </w:rPr>
              <w:t>9个水泥筒仓进料时大小呼吸口产生的呼吸粉尘经</w:t>
            </w:r>
            <w:r>
              <w:rPr>
                <w:rFonts w:hint="eastAsia"/>
                <w:sz w:val="24"/>
                <w:u w:val="wave"/>
              </w:rPr>
              <w:t>脉冲</w:t>
            </w:r>
            <w:r>
              <w:rPr>
                <w:sz w:val="24"/>
                <w:u w:val="wave"/>
              </w:rPr>
              <w:t>除尘器处理后分别由P1</w:t>
            </w:r>
            <w:r>
              <w:rPr>
                <w:rFonts w:hint="eastAsia"/>
                <w:sz w:val="24"/>
                <w:u w:val="wave"/>
              </w:rPr>
              <w:t>~</w:t>
            </w:r>
            <w:r>
              <w:rPr>
                <w:sz w:val="24"/>
                <w:u w:val="wave"/>
              </w:rPr>
              <w:t>P9排气筒排放；2个粉煤灰筒仓进料时大小呼吸口产生的呼吸粉尘经</w:t>
            </w:r>
            <w:r>
              <w:rPr>
                <w:rFonts w:hint="eastAsia"/>
                <w:sz w:val="24"/>
                <w:u w:val="wave"/>
              </w:rPr>
              <w:t>脉冲</w:t>
            </w:r>
            <w:r>
              <w:rPr>
                <w:sz w:val="24"/>
                <w:u w:val="wave"/>
              </w:rPr>
              <w:t>除尘器处理后分别由P10、P11排气筒排放。</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项目在水泥筒仓及粉煤灰筒仓进料时大小呼吸口会产生呼吸粉尘，</w:t>
            </w:r>
            <w:r>
              <w:rPr>
                <w:rFonts w:ascii="Times New Roman" w:cs="Times New Roman"/>
                <w:color w:val="auto"/>
                <w:u w:val="wave"/>
                <w:lang w:val="zh-CN" w:bidi="ar"/>
              </w:rPr>
              <w:t>项目</w:t>
            </w:r>
            <w:r>
              <w:rPr>
                <w:rFonts w:ascii="Times New Roman" w:cs="Times New Roman"/>
                <w:color w:val="auto"/>
                <w:u w:val="wave"/>
                <w:lang w:bidi="ar"/>
              </w:rPr>
              <w:t>水泥及粉煤灰</w:t>
            </w:r>
            <w:r>
              <w:rPr>
                <w:rFonts w:ascii="Times New Roman" w:cs="Times New Roman"/>
                <w:color w:val="auto"/>
                <w:u w:val="wave"/>
                <w:lang w:val="zh-CN" w:bidi="ar"/>
              </w:rPr>
              <w:t>均采用筒仓储存，厂区共有</w:t>
            </w:r>
            <w:r>
              <w:rPr>
                <w:rFonts w:hint="eastAsia" w:ascii="Times New Roman" w:cs="Times New Roman"/>
                <w:color w:val="auto"/>
                <w:u w:val="wave"/>
                <w:lang w:bidi="ar"/>
              </w:rPr>
              <w:t>1</w:t>
            </w:r>
            <w:r>
              <w:rPr>
                <w:rFonts w:ascii="Times New Roman" w:cs="Times New Roman"/>
                <w:color w:val="auto"/>
                <w:u w:val="wave"/>
                <w:lang w:bidi="ar"/>
              </w:rPr>
              <w:t>1</w:t>
            </w:r>
            <w:r>
              <w:rPr>
                <w:rFonts w:ascii="Times New Roman" w:cs="Times New Roman"/>
                <w:color w:val="auto"/>
                <w:u w:val="wave"/>
                <w:lang w:val="zh-CN" w:bidi="ar"/>
              </w:rPr>
              <w:t>个筒仓（包括</w:t>
            </w:r>
            <w:r>
              <w:rPr>
                <w:rFonts w:ascii="Times New Roman" w:cs="Times New Roman"/>
                <w:color w:val="auto"/>
                <w:u w:val="wave"/>
                <w:lang w:bidi="ar"/>
              </w:rPr>
              <w:t>9</w:t>
            </w:r>
            <w:r>
              <w:rPr>
                <w:rFonts w:ascii="Times New Roman" w:cs="Times New Roman"/>
                <w:color w:val="auto"/>
                <w:u w:val="wave"/>
                <w:lang w:val="zh-CN" w:bidi="ar"/>
              </w:rPr>
              <w:t>个水泥筒仓、</w:t>
            </w:r>
            <w:r>
              <w:rPr>
                <w:rFonts w:ascii="Times New Roman" w:cs="Times New Roman"/>
                <w:color w:val="auto"/>
                <w:u w:val="wave"/>
                <w:lang w:bidi="ar"/>
              </w:rPr>
              <w:t>2</w:t>
            </w:r>
            <w:r>
              <w:rPr>
                <w:rFonts w:ascii="Times New Roman" w:cs="Times New Roman"/>
                <w:color w:val="auto"/>
                <w:u w:val="wave"/>
                <w:lang w:val="zh-CN" w:bidi="ar"/>
              </w:rPr>
              <w:t>个粉煤灰筒仓，</w:t>
            </w:r>
            <w:r>
              <w:rPr>
                <w:rFonts w:hint="eastAsia" w:ascii="Times New Roman" w:cs="Times New Roman"/>
                <w:color w:val="auto"/>
                <w:u w:val="wave"/>
                <w:lang w:bidi="ar"/>
              </w:rPr>
              <w:t>其中有</w:t>
            </w:r>
            <w:r>
              <w:rPr>
                <w:rFonts w:ascii="Times New Roman" w:cs="Times New Roman"/>
                <w:color w:val="auto"/>
                <w:u w:val="wave"/>
                <w:lang w:bidi="ar"/>
              </w:rPr>
              <w:t>6</w:t>
            </w:r>
            <w:r>
              <w:rPr>
                <w:rFonts w:ascii="Times New Roman" w:cs="Times New Roman"/>
                <w:color w:val="auto"/>
                <w:u w:val="wave"/>
                <w:lang w:val="zh-CN" w:bidi="ar"/>
              </w:rPr>
              <w:t>个</w:t>
            </w:r>
            <w:r>
              <w:rPr>
                <w:rFonts w:hint="eastAsia" w:ascii="Times New Roman" w:cs="Times New Roman"/>
                <w:color w:val="auto"/>
                <w:u w:val="wave"/>
                <w:lang w:bidi="ar"/>
              </w:rPr>
              <w:t>水泥</w:t>
            </w:r>
            <w:r>
              <w:rPr>
                <w:rFonts w:ascii="Times New Roman" w:cs="Times New Roman"/>
                <w:color w:val="auto"/>
                <w:u w:val="wave"/>
                <w:lang w:val="zh-CN" w:bidi="ar"/>
              </w:rPr>
              <w:t>筒仓</w:t>
            </w:r>
            <w:r>
              <w:rPr>
                <w:rFonts w:hint="eastAsia" w:ascii="Times New Roman" w:cs="Times New Roman"/>
                <w:color w:val="auto"/>
                <w:u w:val="wave"/>
                <w:lang w:bidi="ar"/>
              </w:rPr>
              <w:t>和2个粉煤灰筒仓</w:t>
            </w:r>
            <w:r>
              <w:rPr>
                <w:rFonts w:ascii="Times New Roman" w:cs="Times New Roman"/>
                <w:color w:val="auto"/>
                <w:u w:val="wave"/>
                <w:lang w:val="zh-CN" w:bidi="ar"/>
              </w:rPr>
              <w:t>容量均为</w:t>
            </w:r>
            <w:r>
              <w:rPr>
                <w:rFonts w:hint="eastAsia" w:ascii="Times New Roman" w:cs="Times New Roman"/>
                <w:color w:val="auto"/>
                <w:u w:val="wave"/>
                <w:lang w:bidi="ar"/>
              </w:rPr>
              <w:t>2</w:t>
            </w:r>
            <w:r>
              <w:rPr>
                <w:rFonts w:ascii="Times New Roman" w:cs="Times New Roman"/>
                <w:color w:val="auto"/>
                <w:u w:val="wave"/>
                <w:lang w:val="zh-CN" w:bidi="ar"/>
              </w:rPr>
              <w:t>00t</w:t>
            </w:r>
            <w:r>
              <w:rPr>
                <w:rFonts w:hint="eastAsia" w:ascii="Times New Roman" w:cs="Times New Roman"/>
                <w:color w:val="auto"/>
                <w:u w:val="wave"/>
                <w:lang w:val="zh-CN" w:bidi="ar"/>
              </w:rPr>
              <w:t>，</w:t>
            </w:r>
            <w:r>
              <w:rPr>
                <w:rFonts w:hint="eastAsia" w:ascii="Times New Roman" w:cs="Times New Roman"/>
                <w:color w:val="auto"/>
                <w:u w:val="wave"/>
                <w:lang w:bidi="ar"/>
              </w:rPr>
              <w:t>有3个水泥筒仓容量为3000t</w:t>
            </w:r>
            <w:r>
              <w:rPr>
                <w:rFonts w:ascii="Times New Roman" w:hAnsi="Times New Roman" w:cs="Times New Roman"/>
                <w:color w:val="auto"/>
                <w:u w:val="wave"/>
                <w:lang w:val="zh-CN" w:bidi="ar"/>
              </w:rPr>
              <w:t>）。</w:t>
            </w:r>
            <w:r>
              <w:rPr>
                <w:rFonts w:hint="default" w:ascii="Times New Roman" w:hAnsi="Times New Roman" w:cs="Times New Roman"/>
                <w:bCs w:val="0"/>
                <w:color w:val="auto"/>
                <w:kern w:val="0"/>
                <w:u w:val="wave"/>
              </w:rPr>
              <w:t>根据《环境工程统计手册》中一般粒径范围的给料粉尘产生系数为0.0006</w:t>
            </w:r>
            <w:r>
              <w:rPr>
                <w:rFonts w:ascii="Times New Roman" w:hAnsi="Times New Roman" w:cs="Times New Roman"/>
                <w:color w:val="auto"/>
                <w:u w:val="wave"/>
                <w:lang w:bidi="ar"/>
              </w:rPr>
              <w:t>。</w:t>
            </w:r>
            <w:r>
              <w:rPr>
                <w:rFonts w:hint="eastAsia" w:ascii="Times New Roman"/>
                <w:color w:val="auto"/>
                <w:u w:val="wave"/>
                <w:lang w:bidi="ar"/>
              </w:rPr>
              <w:t>本项目年需水泥100000t/a、粉煤</w:t>
            </w:r>
            <w:r>
              <w:rPr>
                <w:rFonts w:ascii="Times New Roman" w:cs="Times New Roman"/>
                <w:color w:val="auto"/>
                <w:u w:val="wave"/>
                <w:lang w:bidi="ar"/>
              </w:rPr>
              <w:t>灰</w:t>
            </w:r>
            <w:r>
              <w:rPr>
                <w:rFonts w:hint="eastAsia" w:ascii="Times New Roman" w:cs="Times New Roman"/>
                <w:color w:val="auto"/>
                <w:u w:val="wave"/>
                <w:lang w:bidi="ar"/>
              </w:rPr>
              <w:t>4000</w:t>
            </w:r>
            <w:r>
              <w:rPr>
                <w:rFonts w:ascii="Times New Roman" w:cs="Times New Roman"/>
                <w:color w:val="auto"/>
                <w:u w:val="wave"/>
                <w:lang w:bidi="ar"/>
              </w:rPr>
              <w:t>t/a，</w:t>
            </w:r>
            <w:r>
              <w:rPr>
                <w:rFonts w:ascii="Times New Roman" w:cs="Times New Roman"/>
                <w:color w:val="auto"/>
                <w:u w:val="wave"/>
              </w:rPr>
              <w:t>水泥筒仓</w:t>
            </w:r>
            <w:r>
              <w:rPr>
                <w:rFonts w:hint="eastAsia" w:ascii="Times New Roman" w:cs="Times New Roman"/>
                <w:color w:val="auto"/>
                <w:u w:val="wave"/>
              </w:rPr>
              <w:t>总</w:t>
            </w:r>
            <w:r>
              <w:rPr>
                <w:rFonts w:ascii="Times New Roman" w:cs="Times New Roman"/>
                <w:color w:val="auto"/>
                <w:u w:val="wave"/>
              </w:rPr>
              <w:t>呼吸粉尘产生量为</w:t>
            </w:r>
            <w:r>
              <w:rPr>
                <w:rFonts w:hint="eastAsia" w:ascii="Times New Roman" w:cs="Times New Roman"/>
                <w:color w:val="auto"/>
                <w:u w:val="wave"/>
                <w:lang w:val="en-US" w:eastAsia="zh-CN"/>
              </w:rPr>
              <w:t>60</w:t>
            </w:r>
            <w:r>
              <w:rPr>
                <w:rFonts w:ascii="Times New Roman" w:cs="Times New Roman"/>
                <w:color w:val="auto"/>
                <w:u w:val="wave"/>
              </w:rPr>
              <w:t>t/a（</w:t>
            </w:r>
            <w:r>
              <w:rPr>
                <w:rFonts w:hint="eastAsia" w:ascii="Times New Roman" w:cs="Times New Roman"/>
                <w:color w:val="auto"/>
                <w:u w:val="wave"/>
                <w:lang w:val="en-US" w:eastAsia="zh-CN"/>
              </w:rPr>
              <w:t>25</w:t>
            </w:r>
            <w:r>
              <w:rPr>
                <w:rFonts w:ascii="Times New Roman" w:cs="Times New Roman"/>
                <w:color w:val="auto"/>
                <w:u w:val="wave"/>
              </w:rPr>
              <w:t>kg/h）</w:t>
            </w:r>
            <w:r>
              <w:rPr>
                <w:rFonts w:hint="eastAsia" w:ascii="Times New Roman" w:cs="Times New Roman"/>
                <w:color w:val="auto"/>
                <w:u w:val="wave"/>
              </w:rPr>
              <w:t>，</w:t>
            </w:r>
            <w:r>
              <w:rPr>
                <w:rFonts w:ascii="Times New Roman" w:cs="Times New Roman"/>
                <w:color w:val="auto"/>
                <w:u w:val="wave"/>
              </w:rPr>
              <w:t>粉煤灰筒仓</w:t>
            </w:r>
            <w:r>
              <w:rPr>
                <w:rFonts w:hint="eastAsia" w:ascii="Times New Roman" w:cs="Times New Roman"/>
                <w:color w:val="auto"/>
                <w:u w:val="wave"/>
              </w:rPr>
              <w:t>总</w:t>
            </w:r>
            <w:r>
              <w:rPr>
                <w:rFonts w:ascii="Times New Roman" w:cs="Times New Roman"/>
                <w:color w:val="auto"/>
                <w:u w:val="wave"/>
              </w:rPr>
              <w:t>呼吸粉尘产生量为</w:t>
            </w:r>
            <w:r>
              <w:rPr>
                <w:rFonts w:hint="eastAsia" w:ascii="Times New Roman" w:cs="Times New Roman"/>
                <w:color w:val="auto"/>
                <w:u w:val="wave"/>
                <w:lang w:val="en-US" w:eastAsia="zh-CN"/>
              </w:rPr>
              <w:t>2.4</w:t>
            </w:r>
            <w:r>
              <w:rPr>
                <w:rFonts w:ascii="Times New Roman" w:cs="Times New Roman"/>
                <w:color w:val="auto"/>
                <w:u w:val="wave"/>
              </w:rPr>
              <w:t>t/a（</w:t>
            </w:r>
            <w:r>
              <w:rPr>
                <w:rFonts w:hint="eastAsia" w:ascii="Times New Roman" w:cs="Times New Roman"/>
                <w:color w:val="auto"/>
                <w:u w:val="wave"/>
                <w:lang w:val="en-US" w:eastAsia="zh-CN"/>
              </w:rPr>
              <w:t>1.0</w:t>
            </w:r>
            <w:r>
              <w:rPr>
                <w:rFonts w:ascii="Times New Roman" w:cs="Times New Roman"/>
                <w:color w:val="auto"/>
                <w:u w:val="wave"/>
              </w:rPr>
              <w:t>kg/h）；本环评要求在</w:t>
            </w:r>
            <w:r>
              <w:rPr>
                <w:rFonts w:ascii="Times New Roman" w:cs="Times New Roman"/>
                <w:color w:val="auto"/>
                <w:u w:val="wave"/>
                <w:lang w:val="zh-CN" w:bidi="ar"/>
              </w:rPr>
              <w:t>每个筒仓顶部</w:t>
            </w:r>
            <w:r>
              <w:rPr>
                <w:rFonts w:ascii="Times New Roman" w:cs="Times New Roman"/>
                <w:color w:val="auto"/>
                <w:u w:val="wave"/>
                <w:lang w:bidi="ar"/>
              </w:rPr>
              <w:t>设置</w:t>
            </w:r>
            <w:r>
              <w:rPr>
                <w:rFonts w:ascii="Times New Roman" w:cs="Times New Roman"/>
                <w:color w:val="auto"/>
                <w:u w:val="wave"/>
                <w:lang w:val="zh-CN" w:bidi="ar"/>
              </w:rPr>
              <w:t>一套</w:t>
            </w:r>
            <w:r>
              <w:rPr>
                <w:rFonts w:hint="eastAsia" w:ascii="Times New Roman" w:cs="Times New Roman"/>
                <w:color w:val="auto"/>
                <w:u w:val="wave"/>
                <w:lang w:bidi="ar"/>
              </w:rPr>
              <w:t>脉冲</w:t>
            </w:r>
            <w:r>
              <w:rPr>
                <w:rFonts w:ascii="Times New Roman" w:cs="Times New Roman"/>
                <w:color w:val="auto"/>
                <w:u w:val="wave"/>
                <w:lang w:bidi="ar"/>
              </w:rPr>
              <w:t>除尘器</w:t>
            </w:r>
            <w:r>
              <w:rPr>
                <w:rFonts w:hint="eastAsia" w:ascii="Times New Roman" w:cs="Times New Roman"/>
                <w:color w:val="auto"/>
                <w:u w:val="wave"/>
                <w:lang w:val="zh-CN" w:bidi="ar"/>
              </w:rPr>
              <w:t>，</w:t>
            </w:r>
            <w:r>
              <w:rPr>
                <w:rFonts w:ascii="Times New Roman" w:cs="Times New Roman"/>
                <w:color w:val="auto"/>
                <w:u w:val="wave"/>
                <w:lang w:val="zh-CN" w:bidi="ar"/>
              </w:rPr>
              <w:t>除尘效率</w:t>
            </w:r>
            <w:r>
              <w:rPr>
                <w:rFonts w:ascii="Times New Roman" w:cs="Times New Roman"/>
                <w:color w:val="auto"/>
                <w:u w:val="wave"/>
                <w:lang w:bidi="ar"/>
              </w:rPr>
              <w:t>约</w:t>
            </w:r>
            <w:r>
              <w:rPr>
                <w:rFonts w:ascii="Times New Roman" w:cs="Times New Roman"/>
                <w:color w:val="auto"/>
                <w:u w:val="wave"/>
                <w:lang w:val="zh-CN" w:bidi="ar"/>
              </w:rPr>
              <w:t>达99.</w:t>
            </w:r>
            <w:r>
              <w:rPr>
                <w:rFonts w:hint="eastAsia" w:ascii="Times New Roman" w:cs="Times New Roman"/>
                <w:color w:val="auto"/>
                <w:u w:val="wave"/>
                <w:lang w:val="en-US" w:eastAsia="zh-CN" w:bidi="ar"/>
              </w:rPr>
              <w:t>5</w:t>
            </w:r>
            <w:r>
              <w:rPr>
                <w:rFonts w:ascii="Times New Roman" w:cs="Times New Roman"/>
                <w:color w:val="auto"/>
                <w:u w:val="wave"/>
                <w:lang w:val="zh-CN" w:bidi="ar"/>
              </w:rPr>
              <w:t>%，</w:t>
            </w:r>
            <w:r>
              <w:rPr>
                <w:rFonts w:ascii="Times New Roman" w:cs="Times New Roman"/>
                <w:color w:val="auto"/>
                <w:u w:val="wave"/>
              </w:rPr>
              <w:t>风机量为</w:t>
            </w:r>
            <w:r>
              <w:rPr>
                <w:rFonts w:hint="eastAsia" w:ascii="Times New Roman" w:cs="Times New Roman"/>
                <w:color w:val="auto"/>
                <w:u w:val="wave"/>
                <w:lang w:val="en-US" w:eastAsia="zh-CN"/>
              </w:rPr>
              <w:t>2</w:t>
            </w:r>
            <w:r>
              <w:rPr>
                <w:rFonts w:ascii="Times New Roman" w:cs="Times New Roman"/>
                <w:color w:val="auto"/>
                <w:u w:val="wave"/>
              </w:rPr>
              <w:t>000m</w:t>
            </w:r>
            <w:r>
              <w:rPr>
                <w:rFonts w:ascii="Times New Roman" w:cs="Times New Roman"/>
                <w:color w:val="auto"/>
                <w:u w:val="wave"/>
                <w:vertAlign w:val="superscript"/>
              </w:rPr>
              <w:t>3</w:t>
            </w:r>
            <w:r>
              <w:rPr>
                <w:rFonts w:ascii="Times New Roman" w:cs="Times New Roman"/>
                <w:color w:val="auto"/>
                <w:u w:val="wave"/>
              </w:rPr>
              <w:t>/h，</w:t>
            </w:r>
            <w:r>
              <w:rPr>
                <w:rFonts w:ascii="Times New Roman" w:cs="Times New Roman"/>
                <w:color w:val="auto"/>
                <w:u w:val="wave"/>
                <w:lang w:bidi="ar"/>
              </w:rPr>
              <w:t>则水泥筒仓</w:t>
            </w:r>
            <w:r>
              <w:rPr>
                <w:rFonts w:ascii="Times New Roman" w:cs="Times New Roman"/>
                <w:color w:val="auto"/>
                <w:u w:val="wave"/>
              </w:rPr>
              <w:t>有组织粉尘</w:t>
            </w:r>
            <w:r>
              <w:rPr>
                <w:rFonts w:hint="eastAsia" w:ascii="Times New Roman" w:cs="Times New Roman"/>
                <w:color w:val="auto"/>
                <w:u w:val="wave"/>
              </w:rPr>
              <w:t>总</w:t>
            </w:r>
            <w:r>
              <w:rPr>
                <w:rFonts w:ascii="Times New Roman" w:cs="Times New Roman"/>
                <w:color w:val="auto"/>
                <w:u w:val="wave"/>
              </w:rPr>
              <w:t>排放量为</w:t>
            </w:r>
            <w:r>
              <w:rPr>
                <w:rFonts w:hint="eastAsia" w:ascii="Times New Roman" w:cs="Times New Roman"/>
                <w:color w:val="auto"/>
                <w:u w:val="wave"/>
                <w:lang w:val="en-US" w:eastAsia="zh-CN"/>
              </w:rPr>
              <w:t>0.3</w:t>
            </w:r>
            <w:r>
              <w:rPr>
                <w:rFonts w:ascii="Times New Roman" w:cs="Times New Roman"/>
                <w:color w:val="auto"/>
                <w:u w:val="wave"/>
              </w:rPr>
              <w:t>t/a，排放速率为0.</w:t>
            </w:r>
            <w:r>
              <w:rPr>
                <w:rFonts w:hint="eastAsia" w:ascii="Times New Roman" w:cs="Times New Roman"/>
                <w:color w:val="auto"/>
                <w:u w:val="wave"/>
                <w:lang w:val="en-US" w:eastAsia="zh-CN"/>
              </w:rPr>
              <w:t>125</w:t>
            </w:r>
            <w:r>
              <w:rPr>
                <w:rFonts w:ascii="Times New Roman" w:cs="Times New Roman"/>
                <w:color w:val="auto"/>
                <w:u w:val="wave"/>
              </w:rPr>
              <w:t>kg/h，排放浓度为</w:t>
            </w:r>
            <w:r>
              <w:rPr>
                <w:rFonts w:hint="eastAsia" w:ascii="Times New Roman" w:cs="Times New Roman"/>
                <w:color w:val="auto"/>
                <w:u w:val="wave"/>
                <w:lang w:val="en-US" w:eastAsia="zh-CN"/>
              </w:rPr>
              <w:t>6.9</w:t>
            </w:r>
            <w:r>
              <w:rPr>
                <w:rFonts w:ascii="Times New Roman" w:cs="Times New Roman"/>
                <w:color w:val="auto"/>
                <w:u w:val="wave"/>
              </w:rPr>
              <w:t>mg/m</w:t>
            </w:r>
            <w:r>
              <w:rPr>
                <w:rFonts w:ascii="Times New Roman" w:cs="Times New Roman"/>
                <w:color w:val="auto"/>
                <w:u w:val="wave"/>
                <w:vertAlign w:val="superscript"/>
              </w:rPr>
              <w:t>3</w:t>
            </w:r>
            <w:r>
              <w:rPr>
                <w:rFonts w:ascii="Times New Roman" w:cs="Times New Roman"/>
                <w:color w:val="auto"/>
                <w:u w:val="wave"/>
              </w:rPr>
              <w:t>；</w:t>
            </w:r>
            <w:r>
              <w:rPr>
                <w:rFonts w:ascii="Times New Roman" w:cs="Times New Roman"/>
                <w:color w:val="auto"/>
                <w:u w:val="wave"/>
                <w:lang w:bidi="ar"/>
              </w:rPr>
              <w:t>粉煤灰筒仓</w:t>
            </w:r>
            <w:r>
              <w:rPr>
                <w:rFonts w:ascii="Times New Roman" w:cs="Times New Roman"/>
                <w:color w:val="auto"/>
                <w:u w:val="wave"/>
              </w:rPr>
              <w:t>有组织粉尘</w:t>
            </w:r>
            <w:r>
              <w:rPr>
                <w:rFonts w:hint="eastAsia" w:ascii="Times New Roman" w:cs="Times New Roman"/>
                <w:color w:val="auto"/>
                <w:u w:val="wave"/>
              </w:rPr>
              <w:t>总</w:t>
            </w:r>
            <w:r>
              <w:rPr>
                <w:rFonts w:ascii="Times New Roman" w:cs="Times New Roman"/>
                <w:color w:val="auto"/>
                <w:u w:val="wave"/>
              </w:rPr>
              <w:t>排放量为0.0</w:t>
            </w:r>
            <w:r>
              <w:rPr>
                <w:rFonts w:hint="eastAsia" w:ascii="Times New Roman" w:cs="Times New Roman"/>
                <w:color w:val="auto"/>
                <w:u w:val="wave"/>
                <w:lang w:val="en-US" w:eastAsia="zh-CN"/>
              </w:rPr>
              <w:t>12</w:t>
            </w:r>
            <w:r>
              <w:rPr>
                <w:rFonts w:ascii="Times New Roman" w:cs="Times New Roman"/>
                <w:color w:val="auto"/>
                <w:u w:val="wave"/>
              </w:rPr>
              <w:t>t/a，排放速率为0.0</w:t>
            </w:r>
            <w:r>
              <w:rPr>
                <w:rFonts w:hint="eastAsia" w:ascii="Times New Roman" w:cs="Times New Roman"/>
                <w:color w:val="auto"/>
                <w:u w:val="wave"/>
                <w:lang w:val="en-US" w:eastAsia="zh-CN"/>
              </w:rPr>
              <w:t>05</w:t>
            </w:r>
            <w:r>
              <w:rPr>
                <w:rFonts w:ascii="Times New Roman" w:cs="Times New Roman"/>
                <w:color w:val="auto"/>
                <w:u w:val="wave"/>
              </w:rPr>
              <w:t>kg/h，排放浓度为</w:t>
            </w:r>
            <w:r>
              <w:rPr>
                <w:rFonts w:hint="eastAsia" w:ascii="Times New Roman" w:cs="Times New Roman"/>
                <w:color w:val="auto"/>
                <w:u w:val="wave"/>
                <w:lang w:val="en-US" w:eastAsia="zh-CN"/>
              </w:rPr>
              <w:t>1.25</w:t>
            </w:r>
            <w:r>
              <w:rPr>
                <w:rFonts w:ascii="Times New Roman" w:cs="Times New Roman"/>
                <w:color w:val="auto"/>
                <w:u w:val="wave"/>
              </w:rPr>
              <w:t>mg/m</w:t>
            </w:r>
            <w:r>
              <w:rPr>
                <w:rFonts w:ascii="Times New Roman" w:cs="Times New Roman"/>
                <w:color w:val="auto"/>
                <w:u w:val="wave"/>
                <w:vertAlign w:val="superscript"/>
              </w:rPr>
              <w:t>3</w:t>
            </w:r>
            <w:r>
              <w:rPr>
                <w:rFonts w:ascii="Times New Roman" w:cs="Times New Roman"/>
                <w:color w:val="auto"/>
                <w:u w:val="wave"/>
              </w:rPr>
              <w:t>。</w:t>
            </w:r>
            <w:r>
              <w:rPr>
                <w:rFonts w:hint="eastAsia" w:ascii="Times New Roman" w:cs="Times New Roman"/>
                <w:color w:val="auto"/>
                <w:u w:val="wave"/>
                <w:lang w:val="en-US" w:eastAsia="zh-CN"/>
              </w:rPr>
              <w:t>不同规格水泥筒仓因使用频次不同，年装料量不同，根据建设单位提供的资料，200t筒仓总年装料量约为6万吨，3000t筒仓总年装料量为约4万吨。</w:t>
            </w:r>
            <w:r>
              <w:rPr>
                <w:rFonts w:hint="eastAsia" w:ascii="Times New Roman" w:cs="Times New Roman"/>
                <w:color w:val="auto"/>
                <w:u w:val="wave"/>
              </w:rPr>
              <w:t>不同筒仓的产尘量及排放量见下表。</w:t>
            </w:r>
          </w:p>
          <w:p>
            <w:pPr>
              <w:autoSpaceDE w:val="0"/>
              <w:autoSpaceDN w:val="0"/>
              <w:adjustRightInd w:val="0"/>
              <w:spacing w:after="0"/>
              <w:jc w:val="center"/>
              <w:rPr>
                <w:b/>
                <w:bCs/>
                <w:szCs w:val="21"/>
                <w:u w:val="wave"/>
              </w:rPr>
            </w:pPr>
            <w:r>
              <w:rPr>
                <w:rFonts w:hint="eastAsia"/>
                <w:b/>
                <w:bCs/>
                <w:szCs w:val="21"/>
                <w:u w:val="wave"/>
              </w:rPr>
              <w:t>表</w:t>
            </w:r>
            <w:r>
              <w:rPr>
                <w:b/>
                <w:bCs/>
                <w:szCs w:val="21"/>
                <w:u w:val="wave"/>
              </w:rPr>
              <w:t xml:space="preserve">5-2 </w:t>
            </w:r>
            <w:r>
              <w:rPr>
                <w:rFonts w:hint="eastAsia"/>
                <w:b/>
                <w:bCs/>
                <w:szCs w:val="21"/>
                <w:u w:val="wave"/>
              </w:rPr>
              <w:t>各筒仓粉尘排放量情况一览表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763"/>
              <w:gridCol w:w="936"/>
              <w:gridCol w:w="1300"/>
              <w:gridCol w:w="1918"/>
              <w:gridCol w:w="1254"/>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35"/>
                    <w:spacing w:after="0" w:line="240" w:lineRule="auto"/>
                    <w:jc w:val="center"/>
                    <w:rPr>
                      <w:rFonts w:ascii="Times New Roman" w:cs="Times New Roman"/>
                      <w:color w:val="auto"/>
                      <w:u w:val="wave"/>
                    </w:rPr>
                  </w:pPr>
                  <w:r>
                    <w:rPr>
                      <w:rFonts w:hint="eastAsia" w:ascii="Times New Roman" w:cs="Times New Roman"/>
                      <w:color w:val="auto"/>
                      <w:u w:val="wave"/>
                    </w:rPr>
                    <w:t>类型</w:t>
                  </w:r>
                </w:p>
              </w:tc>
              <w:tc>
                <w:tcPr>
                  <w:tcW w:w="696" w:type="dxa"/>
                  <w:vAlign w:val="center"/>
                </w:tcPr>
                <w:p>
                  <w:pPr>
                    <w:pStyle w:val="35"/>
                    <w:spacing w:after="0" w:line="240" w:lineRule="auto"/>
                    <w:jc w:val="center"/>
                    <w:rPr>
                      <w:rFonts w:ascii="Times New Roman" w:cs="Times New Roman"/>
                      <w:color w:val="auto"/>
                      <w:u w:val="wave"/>
                    </w:rPr>
                  </w:pPr>
                  <w:r>
                    <w:rPr>
                      <w:rFonts w:hint="eastAsia" w:ascii="Times New Roman" w:cs="Times New Roman"/>
                      <w:color w:val="auto"/>
                      <w:u w:val="wave"/>
                    </w:rPr>
                    <w:t>容积（t）</w:t>
                  </w:r>
                </w:p>
              </w:tc>
              <w:tc>
                <w:tcPr>
                  <w:tcW w:w="936" w:type="dxa"/>
                  <w:vAlign w:val="center"/>
                </w:tcPr>
                <w:p>
                  <w:pPr>
                    <w:pStyle w:val="35"/>
                    <w:spacing w:after="0" w:line="240" w:lineRule="auto"/>
                    <w:jc w:val="center"/>
                    <w:rPr>
                      <w:rFonts w:ascii="Times New Roman" w:cs="Times New Roman"/>
                      <w:color w:val="auto"/>
                      <w:u w:val="wave"/>
                    </w:rPr>
                  </w:pPr>
                  <w:r>
                    <w:rPr>
                      <w:rFonts w:hint="eastAsia" w:ascii="Times New Roman" w:cs="Times New Roman"/>
                      <w:color w:val="auto"/>
                      <w:u w:val="wave"/>
                    </w:rPr>
                    <w:t>数量（个）</w:t>
                  </w:r>
                </w:p>
              </w:tc>
              <w:tc>
                <w:tcPr>
                  <w:tcW w:w="1308" w:type="dxa"/>
                  <w:vAlign w:val="center"/>
                </w:tcPr>
                <w:p>
                  <w:pPr>
                    <w:pStyle w:val="35"/>
                    <w:spacing w:after="0" w:line="240" w:lineRule="auto"/>
                    <w:jc w:val="center"/>
                    <w:rPr>
                      <w:rFonts w:ascii="Times New Roman" w:cs="Times New Roman"/>
                      <w:color w:val="auto"/>
                      <w:u w:val="wave"/>
                    </w:rPr>
                  </w:pPr>
                  <w:r>
                    <w:rPr>
                      <w:rFonts w:hint="eastAsia" w:ascii="Times New Roman" w:cs="Times New Roman"/>
                      <w:color w:val="auto"/>
                      <w:u w:val="wave"/>
                    </w:rPr>
                    <w:t>总产</w:t>
                  </w:r>
                  <w:r>
                    <w:rPr>
                      <w:rFonts w:hint="eastAsia" w:ascii="Times New Roman" w:cs="Times New Roman"/>
                      <w:color w:val="auto"/>
                      <w:u w:val="wave"/>
                      <w:lang w:val="en-US" w:eastAsia="zh-CN"/>
                    </w:rPr>
                    <w:t>尘</w:t>
                  </w:r>
                  <w:r>
                    <w:rPr>
                      <w:rFonts w:hint="eastAsia" w:ascii="Times New Roman" w:cs="Times New Roman"/>
                      <w:color w:val="auto"/>
                      <w:u w:val="wave"/>
                    </w:rPr>
                    <w:t>量（t</w:t>
                  </w:r>
                  <w:r>
                    <w:rPr>
                      <w:rFonts w:ascii="Times New Roman" w:cs="Times New Roman"/>
                      <w:color w:val="auto"/>
                      <w:u w:val="wave"/>
                    </w:rPr>
                    <w:t>/a</w:t>
                  </w:r>
                  <w:r>
                    <w:rPr>
                      <w:rFonts w:hint="eastAsia" w:ascii="Times New Roman" w:cs="Times New Roman"/>
                      <w:color w:val="auto"/>
                      <w:u w:val="wave"/>
                    </w:rPr>
                    <w:t>）</w:t>
                  </w:r>
                </w:p>
              </w:tc>
              <w:tc>
                <w:tcPr>
                  <w:tcW w:w="1939" w:type="dxa"/>
                  <w:vAlign w:val="center"/>
                </w:tcPr>
                <w:p>
                  <w:pPr>
                    <w:pStyle w:val="35"/>
                    <w:spacing w:after="0" w:line="240" w:lineRule="auto"/>
                    <w:jc w:val="center"/>
                    <w:rPr>
                      <w:rFonts w:ascii="Times New Roman" w:cs="Times New Roman"/>
                      <w:color w:val="auto"/>
                      <w:u w:val="wave"/>
                    </w:rPr>
                  </w:pPr>
                  <w:r>
                    <w:rPr>
                      <w:rFonts w:hint="eastAsia" w:ascii="Times New Roman" w:cs="Times New Roman"/>
                      <w:color w:val="auto"/>
                      <w:u w:val="wave"/>
                    </w:rPr>
                    <w:t>单个筒仓产</w:t>
                  </w:r>
                  <w:r>
                    <w:rPr>
                      <w:rFonts w:hint="eastAsia" w:ascii="Times New Roman" w:cs="Times New Roman"/>
                      <w:color w:val="auto"/>
                      <w:u w:val="wave"/>
                      <w:lang w:val="en-US" w:eastAsia="zh-CN"/>
                    </w:rPr>
                    <w:t>尘</w:t>
                  </w:r>
                  <w:r>
                    <w:rPr>
                      <w:rFonts w:hint="eastAsia" w:ascii="Times New Roman" w:cs="Times New Roman"/>
                      <w:color w:val="auto"/>
                      <w:u w:val="wave"/>
                    </w:rPr>
                    <w:t>量（t</w:t>
                  </w:r>
                  <w:r>
                    <w:rPr>
                      <w:rFonts w:ascii="Times New Roman" w:cs="Times New Roman"/>
                      <w:color w:val="auto"/>
                      <w:u w:val="wave"/>
                    </w:rPr>
                    <w:t>/a</w:t>
                  </w:r>
                  <w:r>
                    <w:rPr>
                      <w:rFonts w:hint="eastAsia" w:ascii="Times New Roman" w:cs="Times New Roman"/>
                      <w:color w:val="auto"/>
                      <w:u w:val="wave"/>
                    </w:rPr>
                    <w:t>）</w:t>
                  </w:r>
                </w:p>
              </w:tc>
              <w:tc>
                <w:tcPr>
                  <w:tcW w:w="1261" w:type="dxa"/>
                  <w:vAlign w:val="center"/>
                </w:tcPr>
                <w:p>
                  <w:pPr>
                    <w:pStyle w:val="35"/>
                    <w:spacing w:after="0" w:line="240" w:lineRule="auto"/>
                    <w:jc w:val="center"/>
                    <w:rPr>
                      <w:rFonts w:ascii="Times New Roman" w:cs="Times New Roman"/>
                      <w:color w:val="auto"/>
                      <w:u w:val="wave"/>
                    </w:rPr>
                  </w:pPr>
                  <w:r>
                    <w:rPr>
                      <w:rFonts w:hint="eastAsia" w:ascii="Times New Roman" w:cs="Times New Roman"/>
                      <w:color w:val="auto"/>
                      <w:u w:val="wave"/>
                    </w:rPr>
                    <w:t>总排放量（t</w:t>
                  </w:r>
                  <w:r>
                    <w:rPr>
                      <w:rFonts w:ascii="Times New Roman" w:cs="Times New Roman"/>
                      <w:color w:val="auto"/>
                      <w:u w:val="wave"/>
                    </w:rPr>
                    <w:t>/a</w:t>
                  </w:r>
                  <w:r>
                    <w:rPr>
                      <w:rFonts w:hint="eastAsia" w:ascii="Times New Roman" w:cs="Times New Roman"/>
                      <w:color w:val="auto"/>
                      <w:u w:val="wave"/>
                    </w:rPr>
                    <w:t>）</w:t>
                  </w:r>
                </w:p>
              </w:tc>
              <w:tc>
                <w:tcPr>
                  <w:tcW w:w="1934" w:type="dxa"/>
                  <w:vAlign w:val="center"/>
                </w:tcPr>
                <w:p>
                  <w:pPr>
                    <w:pStyle w:val="35"/>
                    <w:spacing w:after="0" w:line="240" w:lineRule="auto"/>
                    <w:jc w:val="center"/>
                    <w:rPr>
                      <w:rFonts w:ascii="Times New Roman" w:cs="Times New Roman"/>
                      <w:color w:val="auto"/>
                      <w:u w:val="wave"/>
                    </w:rPr>
                  </w:pPr>
                  <w:r>
                    <w:rPr>
                      <w:rFonts w:hint="eastAsia" w:ascii="Times New Roman" w:cs="Times New Roman"/>
                      <w:color w:val="auto"/>
                      <w:u w:val="wave"/>
                    </w:rPr>
                    <w:t>单个筒仓排放量（t</w:t>
                  </w:r>
                  <w:r>
                    <w:rPr>
                      <w:rFonts w:ascii="Times New Roman" w:cs="Times New Roman"/>
                      <w:color w:val="auto"/>
                      <w:u w:val="wave"/>
                    </w:rPr>
                    <w:t>/a</w:t>
                  </w:r>
                  <w:r>
                    <w:rPr>
                      <w:rFonts w:hint="eastAsia" w:ascii="Times New Roman" w:cs="Times New Roman"/>
                      <w:color w:val="auto"/>
                      <w:u w:val="wav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35"/>
                    <w:spacing w:after="0" w:line="240" w:lineRule="auto"/>
                    <w:jc w:val="center"/>
                    <w:rPr>
                      <w:rFonts w:ascii="Times New Roman" w:cs="Times New Roman"/>
                      <w:color w:val="auto"/>
                      <w:u w:val="wave"/>
                    </w:rPr>
                  </w:pPr>
                  <w:r>
                    <w:rPr>
                      <w:rFonts w:hint="eastAsia" w:ascii="Times New Roman" w:cs="Times New Roman"/>
                      <w:color w:val="auto"/>
                      <w:u w:val="wave"/>
                    </w:rPr>
                    <w:t>水泥筒仓</w:t>
                  </w:r>
                </w:p>
              </w:tc>
              <w:tc>
                <w:tcPr>
                  <w:tcW w:w="696" w:type="dxa"/>
                  <w:vAlign w:val="center"/>
                </w:tcPr>
                <w:p>
                  <w:pPr>
                    <w:pStyle w:val="35"/>
                    <w:spacing w:after="0" w:line="240" w:lineRule="auto"/>
                    <w:jc w:val="center"/>
                    <w:rPr>
                      <w:rFonts w:ascii="Times New Roman" w:cs="Times New Roman"/>
                      <w:color w:val="auto"/>
                      <w:u w:val="wave"/>
                    </w:rPr>
                  </w:pPr>
                  <w:r>
                    <w:rPr>
                      <w:rFonts w:ascii="Times New Roman" w:cs="Times New Roman"/>
                      <w:color w:val="auto"/>
                      <w:u w:val="wave"/>
                    </w:rPr>
                    <w:t>200</w:t>
                  </w:r>
                </w:p>
              </w:tc>
              <w:tc>
                <w:tcPr>
                  <w:tcW w:w="936" w:type="dxa"/>
                  <w:vAlign w:val="center"/>
                </w:tcPr>
                <w:p>
                  <w:pPr>
                    <w:pStyle w:val="35"/>
                    <w:spacing w:after="0" w:line="240" w:lineRule="auto"/>
                    <w:jc w:val="center"/>
                    <w:rPr>
                      <w:rFonts w:ascii="Times New Roman" w:cs="Times New Roman"/>
                      <w:color w:val="auto"/>
                      <w:u w:val="wave"/>
                    </w:rPr>
                  </w:pPr>
                  <w:r>
                    <w:rPr>
                      <w:rFonts w:ascii="Times New Roman" w:cs="Times New Roman"/>
                      <w:color w:val="auto"/>
                      <w:u w:val="wave"/>
                    </w:rPr>
                    <w:t>6</w:t>
                  </w:r>
                </w:p>
              </w:tc>
              <w:tc>
                <w:tcPr>
                  <w:tcW w:w="1308" w:type="dxa"/>
                  <w:vAlign w:val="center"/>
                </w:tcPr>
                <w:p>
                  <w:pPr>
                    <w:pStyle w:val="35"/>
                    <w:spacing w:after="0" w:line="240" w:lineRule="auto"/>
                    <w:jc w:val="center"/>
                    <w:rPr>
                      <w:rFonts w:hint="default" w:ascii="Times New Roman" w:eastAsia="宋体" w:cs="Times New Roman"/>
                      <w:color w:val="auto"/>
                      <w:u w:val="wave"/>
                      <w:lang w:val="en-US" w:eastAsia="zh-CN"/>
                    </w:rPr>
                  </w:pPr>
                  <w:r>
                    <w:rPr>
                      <w:rFonts w:hint="eastAsia" w:ascii="Times New Roman" w:cs="Times New Roman"/>
                      <w:color w:val="auto"/>
                      <w:u w:val="wave"/>
                      <w:lang w:val="en-US" w:eastAsia="zh-CN"/>
                    </w:rPr>
                    <w:t>36</w:t>
                  </w:r>
                </w:p>
              </w:tc>
              <w:tc>
                <w:tcPr>
                  <w:tcW w:w="1939" w:type="dxa"/>
                  <w:vAlign w:val="center"/>
                </w:tcPr>
                <w:p>
                  <w:pPr>
                    <w:pStyle w:val="35"/>
                    <w:spacing w:after="0" w:line="240" w:lineRule="auto"/>
                    <w:jc w:val="center"/>
                    <w:rPr>
                      <w:rFonts w:hint="eastAsia" w:ascii="Times New Roman" w:cs="Times New Roman"/>
                      <w:color w:val="auto"/>
                      <w:highlight w:val="none"/>
                      <w:u w:val="wave"/>
                    </w:rPr>
                  </w:pPr>
                  <w:r>
                    <w:rPr>
                      <w:rFonts w:hint="eastAsia" w:ascii="Times New Roman" w:cs="Times New Roman"/>
                      <w:color w:val="auto"/>
                      <w:highlight w:val="none"/>
                      <w:u w:val="wave"/>
                      <w:lang w:val="en-US" w:eastAsia="zh-CN"/>
                    </w:rPr>
                    <w:t>6</w:t>
                  </w:r>
                </w:p>
              </w:tc>
              <w:tc>
                <w:tcPr>
                  <w:tcW w:w="1261" w:type="dxa"/>
                  <w:vAlign w:val="center"/>
                </w:tcPr>
                <w:p>
                  <w:pPr>
                    <w:pStyle w:val="35"/>
                    <w:spacing w:after="0" w:line="240" w:lineRule="auto"/>
                    <w:jc w:val="center"/>
                    <w:rPr>
                      <w:rFonts w:hint="default" w:ascii="Times New Roman" w:eastAsia="宋体" w:cs="Times New Roman"/>
                      <w:color w:val="auto"/>
                      <w:u w:val="wave"/>
                      <w:lang w:val="en-US" w:eastAsia="zh-CN"/>
                    </w:rPr>
                  </w:pPr>
                  <w:r>
                    <w:rPr>
                      <w:rFonts w:hint="eastAsia" w:ascii="Times New Roman" w:cs="Times New Roman"/>
                      <w:color w:val="auto"/>
                      <w:u w:val="wave"/>
                      <w:lang w:val="en-US" w:eastAsia="zh-CN"/>
                    </w:rPr>
                    <w:t>0.18</w:t>
                  </w:r>
                </w:p>
              </w:tc>
              <w:tc>
                <w:tcPr>
                  <w:tcW w:w="1934" w:type="dxa"/>
                  <w:vAlign w:val="center"/>
                </w:tcPr>
                <w:p>
                  <w:pPr>
                    <w:pStyle w:val="35"/>
                    <w:spacing w:after="0" w:line="240" w:lineRule="auto"/>
                    <w:jc w:val="center"/>
                    <w:rPr>
                      <w:rFonts w:hint="default" w:ascii="Times New Roman" w:eastAsia="宋体" w:cs="Times New Roman"/>
                      <w:color w:val="auto"/>
                      <w:u w:val="wave"/>
                      <w:lang w:val="en-US" w:eastAsia="zh-CN"/>
                    </w:rPr>
                  </w:pPr>
                  <w:r>
                    <w:rPr>
                      <w:rFonts w:hint="eastAsia" w:ascii="Times New Roman" w:cs="Times New Roman"/>
                      <w:color w:val="auto"/>
                      <w:u w:val="wave"/>
                      <w:lang w:val="en-US" w:eastAsia="zh-CN"/>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Merge w:val="continue"/>
                  <w:vAlign w:val="center"/>
                </w:tcPr>
                <w:p>
                  <w:pPr>
                    <w:pStyle w:val="35"/>
                    <w:spacing w:after="0" w:line="240" w:lineRule="auto"/>
                    <w:jc w:val="center"/>
                    <w:rPr>
                      <w:rFonts w:ascii="Times New Roman" w:cs="Times New Roman"/>
                      <w:color w:val="auto"/>
                      <w:u w:val="wave"/>
                    </w:rPr>
                  </w:pPr>
                </w:p>
              </w:tc>
              <w:tc>
                <w:tcPr>
                  <w:tcW w:w="696" w:type="dxa"/>
                  <w:vAlign w:val="center"/>
                </w:tcPr>
                <w:p>
                  <w:pPr>
                    <w:pStyle w:val="35"/>
                    <w:spacing w:after="0" w:line="240" w:lineRule="auto"/>
                    <w:jc w:val="center"/>
                    <w:rPr>
                      <w:rFonts w:ascii="Times New Roman" w:cs="Times New Roman"/>
                      <w:color w:val="auto"/>
                      <w:u w:val="wave"/>
                    </w:rPr>
                  </w:pPr>
                  <w:r>
                    <w:rPr>
                      <w:rFonts w:ascii="Times New Roman" w:cs="Times New Roman"/>
                      <w:color w:val="auto"/>
                      <w:u w:val="wave"/>
                    </w:rPr>
                    <w:t>3000</w:t>
                  </w:r>
                </w:p>
              </w:tc>
              <w:tc>
                <w:tcPr>
                  <w:tcW w:w="936" w:type="dxa"/>
                  <w:vAlign w:val="center"/>
                </w:tcPr>
                <w:p>
                  <w:pPr>
                    <w:pStyle w:val="35"/>
                    <w:spacing w:after="0" w:line="240" w:lineRule="auto"/>
                    <w:jc w:val="center"/>
                    <w:rPr>
                      <w:rFonts w:ascii="Times New Roman" w:cs="Times New Roman"/>
                      <w:color w:val="auto"/>
                      <w:u w:val="wave"/>
                    </w:rPr>
                  </w:pPr>
                  <w:r>
                    <w:rPr>
                      <w:rFonts w:ascii="Times New Roman" w:cs="Times New Roman"/>
                      <w:color w:val="auto"/>
                      <w:u w:val="wave"/>
                    </w:rPr>
                    <w:t>3</w:t>
                  </w:r>
                </w:p>
              </w:tc>
              <w:tc>
                <w:tcPr>
                  <w:tcW w:w="1308" w:type="dxa"/>
                  <w:vAlign w:val="center"/>
                </w:tcPr>
                <w:p>
                  <w:pPr>
                    <w:pStyle w:val="35"/>
                    <w:spacing w:after="0" w:line="240" w:lineRule="auto"/>
                    <w:jc w:val="center"/>
                    <w:rPr>
                      <w:rFonts w:hint="default" w:ascii="Times New Roman" w:eastAsia="宋体" w:cs="Times New Roman"/>
                      <w:color w:val="auto"/>
                      <w:u w:val="wave"/>
                      <w:lang w:val="en-US" w:eastAsia="zh-CN"/>
                    </w:rPr>
                  </w:pPr>
                  <w:r>
                    <w:rPr>
                      <w:rFonts w:hint="eastAsia" w:ascii="Times New Roman" w:cs="Times New Roman"/>
                      <w:color w:val="auto"/>
                      <w:u w:val="wave"/>
                      <w:lang w:val="en-US" w:eastAsia="zh-CN"/>
                    </w:rPr>
                    <w:t>24</w:t>
                  </w:r>
                </w:p>
              </w:tc>
              <w:tc>
                <w:tcPr>
                  <w:tcW w:w="1939" w:type="dxa"/>
                  <w:vAlign w:val="center"/>
                </w:tcPr>
                <w:p>
                  <w:pPr>
                    <w:pStyle w:val="35"/>
                    <w:spacing w:after="0" w:line="240" w:lineRule="auto"/>
                    <w:jc w:val="center"/>
                    <w:rPr>
                      <w:rFonts w:hint="eastAsia" w:ascii="Times New Roman" w:cs="Times New Roman"/>
                      <w:color w:val="auto"/>
                      <w:highlight w:val="none"/>
                      <w:u w:val="wave"/>
                    </w:rPr>
                  </w:pPr>
                  <w:r>
                    <w:rPr>
                      <w:rFonts w:hint="eastAsia" w:ascii="Times New Roman" w:cs="Times New Roman"/>
                      <w:color w:val="auto"/>
                      <w:highlight w:val="none"/>
                      <w:u w:val="wave"/>
                      <w:lang w:val="en-US" w:eastAsia="zh-CN"/>
                    </w:rPr>
                    <w:t>8</w:t>
                  </w:r>
                </w:p>
              </w:tc>
              <w:tc>
                <w:tcPr>
                  <w:tcW w:w="1261" w:type="dxa"/>
                  <w:vAlign w:val="center"/>
                </w:tcPr>
                <w:p>
                  <w:pPr>
                    <w:pStyle w:val="35"/>
                    <w:spacing w:after="0" w:line="240" w:lineRule="auto"/>
                    <w:jc w:val="center"/>
                    <w:rPr>
                      <w:rFonts w:hint="default" w:ascii="Times New Roman" w:eastAsia="宋体" w:cs="Times New Roman"/>
                      <w:color w:val="auto"/>
                      <w:u w:val="wave"/>
                      <w:lang w:val="en-US" w:eastAsia="zh-CN"/>
                    </w:rPr>
                  </w:pPr>
                  <w:r>
                    <w:rPr>
                      <w:rFonts w:hint="eastAsia" w:ascii="Times New Roman" w:cs="Times New Roman"/>
                      <w:color w:val="auto"/>
                      <w:u w:val="wave"/>
                      <w:lang w:val="en-US" w:eastAsia="zh-CN"/>
                    </w:rPr>
                    <w:t>0.12</w:t>
                  </w:r>
                </w:p>
              </w:tc>
              <w:tc>
                <w:tcPr>
                  <w:tcW w:w="1934" w:type="dxa"/>
                  <w:vAlign w:val="center"/>
                </w:tcPr>
                <w:p>
                  <w:pPr>
                    <w:pStyle w:val="35"/>
                    <w:spacing w:after="0" w:line="240" w:lineRule="auto"/>
                    <w:jc w:val="center"/>
                    <w:rPr>
                      <w:rFonts w:hint="default" w:ascii="Times New Roman" w:eastAsia="宋体" w:cs="Times New Roman"/>
                      <w:color w:val="auto"/>
                      <w:u w:val="wave"/>
                      <w:lang w:val="en-US" w:eastAsia="zh-CN"/>
                    </w:rPr>
                  </w:pPr>
                  <w:r>
                    <w:rPr>
                      <w:rFonts w:hint="eastAsia" w:ascii="Times New Roman" w:cs="Times New Roman"/>
                      <w:color w:val="auto"/>
                      <w:u w:val="wave"/>
                      <w:lang w:val="en-US" w:eastAsia="zh-CN"/>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35"/>
                    <w:spacing w:after="0" w:line="240" w:lineRule="auto"/>
                    <w:jc w:val="center"/>
                    <w:rPr>
                      <w:rFonts w:ascii="Times New Roman" w:cs="Times New Roman"/>
                      <w:color w:val="auto"/>
                      <w:u w:val="wave"/>
                    </w:rPr>
                  </w:pPr>
                  <w:r>
                    <w:rPr>
                      <w:rFonts w:hint="eastAsia" w:ascii="Times New Roman" w:cs="Times New Roman"/>
                      <w:color w:val="auto"/>
                      <w:u w:val="wave"/>
                    </w:rPr>
                    <w:t>粉煤灰筒仓</w:t>
                  </w:r>
                </w:p>
              </w:tc>
              <w:tc>
                <w:tcPr>
                  <w:tcW w:w="696" w:type="dxa"/>
                  <w:vAlign w:val="center"/>
                </w:tcPr>
                <w:p>
                  <w:pPr>
                    <w:pStyle w:val="35"/>
                    <w:spacing w:after="0" w:line="240" w:lineRule="auto"/>
                    <w:jc w:val="center"/>
                    <w:rPr>
                      <w:rFonts w:ascii="Times New Roman" w:cs="Times New Roman"/>
                      <w:color w:val="auto"/>
                      <w:u w:val="wave"/>
                    </w:rPr>
                  </w:pPr>
                  <w:r>
                    <w:rPr>
                      <w:rFonts w:ascii="Times New Roman" w:cs="Times New Roman"/>
                      <w:color w:val="auto"/>
                      <w:u w:val="wave"/>
                    </w:rPr>
                    <w:t>200</w:t>
                  </w:r>
                </w:p>
              </w:tc>
              <w:tc>
                <w:tcPr>
                  <w:tcW w:w="936" w:type="dxa"/>
                  <w:vAlign w:val="center"/>
                </w:tcPr>
                <w:p>
                  <w:pPr>
                    <w:pStyle w:val="35"/>
                    <w:spacing w:after="0" w:line="240" w:lineRule="auto"/>
                    <w:jc w:val="center"/>
                    <w:rPr>
                      <w:rFonts w:ascii="Times New Roman" w:cs="Times New Roman"/>
                      <w:color w:val="auto"/>
                      <w:u w:val="wave"/>
                    </w:rPr>
                  </w:pPr>
                  <w:r>
                    <w:rPr>
                      <w:rFonts w:ascii="Times New Roman" w:cs="Times New Roman"/>
                      <w:color w:val="auto"/>
                      <w:u w:val="wave"/>
                    </w:rPr>
                    <w:t>2</w:t>
                  </w:r>
                </w:p>
              </w:tc>
              <w:tc>
                <w:tcPr>
                  <w:tcW w:w="1308" w:type="dxa"/>
                  <w:vAlign w:val="center"/>
                </w:tcPr>
                <w:p>
                  <w:pPr>
                    <w:pStyle w:val="35"/>
                    <w:spacing w:after="0" w:line="240" w:lineRule="auto"/>
                    <w:jc w:val="center"/>
                    <w:rPr>
                      <w:rFonts w:hint="default" w:ascii="Times New Roman" w:eastAsia="宋体" w:cs="Times New Roman"/>
                      <w:color w:val="auto"/>
                      <w:u w:val="wave"/>
                      <w:lang w:val="en-US" w:eastAsia="zh-CN"/>
                    </w:rPr>
                  </w:pPr>
                  <w:r>
                    <w:rPr>
                      <w:rFonts w:hint="eastAsia" w:ascii="Times New Roman" w:cs="Times New Roman"/>
                      <w:color w:val="auto"/>
                      <w:u w:val="wave"/>
                      <w:lang w:val="en-US" w:eastAsia="zh-CN"/>
                    </w:rPr>
                    <w:t>2.4</w:t>
                  </w:r>
                </w:p>
              </w:tc>
              <w:tc>
                <w:tcPr>
                  <w:tcW w:w="1939" w:type="dxa"/>
                  <w:vAlign w:val="center"/>
                </w:tcPr>
                <w:p>
                  <w:pPr>
                    <w:pStyle w:val="35"/>
                    <w:spacing w:after="0" w:line="240" w:lineRule="auto"/>
                    <w:jc w:val="center"/>
                    <w:rPr>
                      <w:rFonts w:hint="default" w:ascii="Times New Roman" w:eastAsia="宋体" w:cs="Times New Roman"/>
                      <w:color w:val="auto"/>
                      <w:u w:val="wave"/>
                      <w:lang w:val="en-US" w:eastAsia="zh-CN"/>
                    </w:rPr>
                  </w:pPr>
                  <w:r>
                    <w:rPr>
                      <w:rFonts w:hint="eastAsia" w:ascii="Times New Roman" w:cs="Times New Roman"/>
                      <w:color w:val="auto"/>
                      <w:u w:val="wave"/>
                      <w:lang w:val="en-US" w:eastAsia="zh-CN"/>
                    </w:rPr>
                    <w:t>1.2</w:t>
                  </w:r>
                </w:p>
              </w:tc>
              <w:tc>
                <w:tcPr>
                  <w:tcW w:w="1261" w:type="dxa"/>
                  <w:vAlign w:val="center"/>
                </w:tcPr>
                <w:p>
                  <w:pPr>
                    <w:pStyle w:val="35"/>
                    <w:spacing w:after="0" w:line="240" w:lineRule="auto"/>
                    <w:jc w:val="center"/>
                    <w:rPr>
                      <w:rFonts w:hint="default" w:ascii="Times New Roman" w:eastAsia="宋体" w:cs="Times New Roman"/>
                      <w:color w:val="auto"/>
                      <w:u w:val="wave"/>
                      <w:lang w:val="en-US" w:eastAsia="zh-CN"/>
                    </w:rPr>
                  </w:pPr>
                  <w:r>
                    <w:rPr>
                      <w:rFonts w:hint="eastAsia" w:ascii="Times New Roman" w:cs="Times New Roman"/>
                      <w:color w:val="auto"/>
                      <w:u w:val="wave"/>
                      <w:lang w:val="en-US" w:eastAsia="zh-CN"/>
                    </w:rPr>
                    <w:t>0.012</w:t>
                  </w:r>
                </w:p>
              </w:tc>
              <w:tc>
                <w:tcPr>
                  <w:tcW w:w="1934" w:type="dxa"/>
                  <w:vAlign w:val="center"/>
                </w:tcPr>
                <w:p>
                  <w:pPr>
                    <w:pStyle w:val="35"/>
                    <w:spacing w:after="0" w:line="240" w:lineRule="auto"/>
                    <w:jc w:val="center"/>
                    <w:rPr>
                      <w:rFonts w:hint="default" w:ascii="Times New Roman" w:eastAsia="宋体" w:cs="Times New Roman"/>
                      <w:color w:val="auto"/>
                      <w:u w:val="wave"/>
                      <w:lang w:val="en-US" w:eastAsia="zh-CN"/>
                    </w:rPr>
                  </w:pPr>
                  <w:r>
                    <w:rPr>
                      <w:rFonts w:hint="eastAsia" w:ascii="Times New Roman" w:cs="Times New Roman"/>
                      <w:color w:val="auto"/>
                      <w:u w:val="wave"/>
                      <w:lang w:val="en-US" w:eastAsia="zh-CN"/>
                    </w:rPr>
                    <w:t>0.006</w:t>
                  </w:r>
                </w:p>
              </w:tc>
            </w:tr>
          </w:tbl>
          <w:p>
            <w:pPr>
              <w:adjustRightInd w:val="0"/>
              <w:snapToGrid w:val="0"/>
              <w:spacing w:after="0" w:line="360" w:lineRule="auto"/>
              <w:ind w:firstLine="480" w:firstLineChars="200"/>
              <w:rPr>
                <w:kern w:val="0"/>
                <w:sz w:val="24"/>
                <w:u w:val="wave"/>
              </w:rPr>
            </w:pPr>
            <w:r>
              <w:rPr>
                <w:kern w:val="0"/>
                <w:sz w:val="24"/>
                <w:u w:val="wave"/>
              </w:rPr>
              <w:t>2）</w:t>
            </w:r>
            <w:r>
              <w:rPr>
                <w:sz w:val="24"/>
                <w:u w:val="wave"/>
              </w:rPr>
              <w:t>搅拌</w:t>
            </w:r>
            <w:r>
              <w:rPr>
                <w:rFonts w:hint="eastAsia"/>
                <w:sz w:val="24"/>
                <w:u w:val="wave"/>
              </w:rPr>
              <w:t>工序</w:t>
            </w:r>
            <w:r>
              <w:rPr>
                <w:sz w:val="24"/>
                <w:u w:val="wave"/>
              </w:rPr>
              <w:t>产生的搅拌粉尘（G6）</w:t>
            </w:r>
          </w:p>
          <w:p>
            <w:pPr>
              <w:adjustRightInd w:val="0"/>
              <w:snapToGrid w:val="0"/>
              <w:spacing w:after="0" w:line="360" w:lineRule="auto"/>
              <w:ind w:firstLine="480" w:firstLineChars="200"/>
              <w:rPr>
                <w:color w:val="000000"/>
                <w:kern w:val="0"/>
                <w:sz w:val="24"/>
                <w:u w:val="wave"/>
              </w:rPr>
            </w:pPr>
            <w:r>
              <w:rPr>
                <w:rFonts w:hint="eastAsia"/>
                <w:color w:val="000000"/>
                <w:kern w:val="0"/>
                <w:sz w:val="24"/>
                <w:u w:val="wave"/>
              </w:rPr>
              <w:t>本项目搅拌机为全密闭，</w:t>
            </w:r>
            <w:r>
              <w:rPr>
                <w:color w:val="000000"/>
                <w:kern w:val="0"/>
                <w:sz w:val="24"/>
                <w:u w:val="wave"/>
              </w:rPr>
              <w:t>搅拌</w:t>
            </w:r>
            <w:r>
              <w:rPr>
                <w:rFonts w:hint="eastAsia"/>
                <w:color w:val="000000"/>
                <w:kern w:val="0"/>
                <w:sz w:val="24"/>
                <w:u w:val="wave"/>
              </w:rPr>
              <w:t>工序产生</w:t>
            </w:r>
            <w:r>
              <w:rPr>
                <w:color w:val="000000"/>
                <w:kern w:val="0"/>
                <w:sz w:val="24"/>
                <w:u w:val="wave"/>
              </w:rPr>
              <w:t>的搅拌粉尘经</w:t>
            </w:r>
            <w:r>
              <w:rPr>
                <w:rFonts w:hint="eastAsia"/>
                <w:color w:val="000000"/>
                <w:kern w:val="0"/>
                <w:sz w:val="24"/>
                <w:u w:val="wave"/>
              </w:rPr>
              <w:t>脉冲</w:t>
            </w:r>
            <w:r>
              <w:rPr>
                <w:color w:val="000000"/>
                <w:kern w:val="0"/>
                <w:sz w:val="24"/>
                <w:u w:val="wave"/>
              </w:rPr>
              <w:t>除尘器处理后由P12</w:t>
            </w:r>
            <w:r>
              <w:rPr>
                <w:rFonts w:hint="eastAsia"/>
                <w:color w:val="000000"/>
                <w:kern w:val="0"/>
                <w:sz w:val="24"/>
                <w:u w:val="wave"/>
              </w:rPr>
              <w:t>~P</w:t>
            </w:r>
            <w:r>
              <w:rPr>
                <w:color w:val="000000"/>
                <w:kern w:val="0"/>
                <w:sz w:val="24"/>
                <w:u w:val="wave"/>
              </w:rPr>
              <w:t>14排气筒排放。</w:t>
            </w:r>
          </w:p>
          <w:p>
            <w:pPr>
              <w:pStyle w:val="35"/>
              <w:spacing w:after="0" w:line="360" w:lineRule="auto"/>
              <w:ind w:firstLine="480" w:firstLineChars="200"/>
              <w:jc w:val="both"/>
              <w:rPr>
                <w:rFonts w:ascii="Times New Roman" w:cs="Times New Roman"/>
                <w:color w:val="auto"/>
                <w:u w:val="wave"/>
                <w:lang w:bidi="ar"/>
              </w:rPr>
            </w:pPr>
            <w:r>
              <w:rPr>
                <w:rFonts w:hint="eastAsia" w:ascii="Times New Roman" w:cs="Times New Roman"/>
                <w:u w:val="wave"/>
              </w:rPr>
              <w:t>搅拌机在搅拌过程中需加水搅拌，基本不产生粉尘，所以搅拌工序产生的粉尘主要为骨料送入搅拌主机时产生的粉尘。</w:t>
            </w:r>
            <w:r>
              <w:rPr>
                <w:rFonts w:ascii="Times New Roman" w:cs="Times New Roman"/>
                <w:u w:val="wave"/>
                <w:lang w:bidi="ar"/>
              </w:rPr>
              <w:t>根据建设单位提供的资料及参考《</w:t>
            </w:r>
            <w:r>
              <w:rPr>
                <w:rFonts w:hint="eastAsia" w:ascii="Times New Roman" w:cs="Times New Roman"/>
                <w:u w:val="wave"/>
                <w:lang w:bidi="ar"/>
              </w:rPr>
              <w:t>逸散性粉尘控制技术</w:t>
            </w:r>
            <w:r>
              <w:rPr>
                <w:rFonts w:ascii="Times New Roman" w:cs="Times New Roman"/>
                <w:u w:val="wave"/>
                <w:lang w:bidi="ar"/>
              </w:rPr>
              <w:t>》中</w:t>
            </w:r>
            <w:r>
              <w:rPr>
                <w:rFonts w:hint="eastAsia" w:ascii="Times New Roman" w:cs="Times New Roman"/>
                <w:u w:val="wave"/>
                <w:lang w:bidi="ar"/>
              </w:rPr>
              <w:t>“表22-1混凝土分批搅拌厂的散逸尘排放因子”中“装水泥、粒料入搅拌机”产污系数0.02kg/t</w:t>
            </w:r>
            <w:r>
              <w:rPr>
                <w:rFonts w:ascii="Times New Roman" w:cs="Times New Roman"/>
                <w:u w:val="wave"/>
                <w:lang w:bidi="ar"/>
              </w:rPr>
              <w:t>。</w:t>
            </w:r>
            <w:r>
              <w:rPr>
                <w:rFonts w:ascii="Times New Roman" w:cs="Times New Roman"/>
                <w:color w:val="auto"/>
                <w:u w:val="wave"/>
                <w:lang w:bidi="ar"/>
              </w:rPr>
              <w:t>本项目</w:t>
            </w:r>
            <w:r>
              <w:rPr>
                <w:rFonts w:hint="eastAsia" w:ascii="Times New Roman" w:cs="Times New Roman"/>
                <w:color w:val="auto"/>
                <w:u w:val="wave"/>
                <w:lang w:bidi="ar"/>
              </w:rPr>
              <w:t>搅拌主机总有3台，正常情况下只使用2台，其中润天9</w:t>
            </w:r>
            <w:r>
              <w:rPr>
                <w:rFonts w:ascii="Times New Roman" w:cs="Times New Roman"/>
                <w:color w:val="auto"/>
                <w:u w:val="wave"/>
                <w:lang w:bidi="ar"/>
              </w:rPr>
              <w:t>0</w:t>
            </w:r>
            <w:r>
              <w:rPr>
                <w:rFonts w:hint="eastAsia" w:ascii="Times New Roman" w:cs="Times New Roman"/>
                <w:color w:val="auto"/>
                <w:u w:val="wave"/>
                <w:lang w:bidi="ar"/>
              </w:rPr>
              <w:t>线备用，当中联1</w:t>
            </w:r>
            <w:r>
              <w:rPr>
                <w:rFonts w:ascii="Times New Roman" w:cs="Times New Roman"/>
                <w:color w:val="auto"/>
                <w:u w:val="wave"/>
                <w:lang w:bidi="ar"/>
              </w:rPr>
              <w:t>80</w:t>
            </w:r>
            <w:r>
              <w:rPr>
                <w:rFonts w:hint="eastAsia" w:ascii="Times New Roman" w:cs="Times New Roman"/>
                <w:color w:val="auto"/>
                <w:u w:val="wave"/>
                <w:lang w:bidi="ar"/>
              </w:rPr>
              <w:t>线出故障时才使用。</w:t>
            </w:r>
          </w:p>
          <w:p>
            <w:pPr>
              <w:pStyle w:val="35"/>
              <w:spacing w:after="0" w:line="360" w:lineRule="auto"/>
              <w:ind w:firstLine="480" w:firstLineChars="200"/>
              <w:jc w:val="both"/>
              <w:rPr>
                <w:rFonts w:ascii="Times New Roman" w:cs="Times New Roman"/>
                <w:u w:val="wave"/>
              </w:rPr>
            </w:pPr>
            <w:r>
              <w:rPr>
                <w:rFonts w:hint="eastAsia" w:ascii="Times New Roman" w:cs="Times New Roman"/>
                <w:color w:val="auto"/>
                <w:u w:val="wave"/>
                <w:lang w:bidi="ar"/>
              </w:rPr>
              <w:t>中联1</w:t>
            </w:r>
            <w:r>
              <w:rPr>
                <w:rFonts w:ascii="Times New Roman" w:cs="Times New Roman"/>
                <w:color w:val="auto"/>
                <w:u w:val="wave"/>
                <w:lang w:bidi="ar"/>
              </w:rPr>
              <w:t>80</w:t>
            </w:r>
            <w:r>
              <w:rPr>
                <w:rFonts w:hint="eastAsia" w:ascii="Times New Roman" w:cs="Times New Roman"/>
                <w:color w:val="auto"/>
                <w:u w:val="wave"/>
                <w:lang w:bidi="ar"/>
              </w:rPr>
              <w:t>线</w:t>
            </w:r>
            <w:r>
              <w:rPr>
                <w:rFonts w:ascii="Times New Roman" w:cs="Times New Roman"/>
                <w:color w:val="auto"/>
                <w:u w:val="wave"/>
                <w:lang w:bidi="ar"/>
              </w:rPr>
              <w:t>年需水泥</w:t>
            </w:r>
            <w:r>
              <w:rPr>
                <w:rFonts w:hint="eastAsia" w:ascii="Times New Roman" w:cs="Times New Roman"/>
                <w:color w:val="auto"/>
                <w:u w:val="wave"/>
                <w:lang w:bidi="ar"/>
              </w:rPr>
              <w:t>7</w:t>
            </w:r>
            <w:r>
              <w:rPr>
                <w:rFonts w:ascii="Times New Roman" w:cs="Times New Roman"/>
                <w:color w:val="auto"/>
                <w:u w:val="wave"/>
                <w:lang w:bidi="ar"/>
              </w:rPr>
              <w:t>45</w:t>
            </w:r>
            <w:r>
              <w:rPr>
                <w:rFonts w:hint="eastAsia" w:ascii="Times New Roman" w:cs="Times New Roman"/>
                <w:color w:val="auto"/>
                <w:u w:val="wave"/>
                <w:lang w:bidi="ar"/>
              </w:rPr>
              <w:t>00</w:t>
            </w:r>
            <w:r>
              <w:rPr>
                <w:rFonts w:ascii="Times New Roman" w:cs="Times New Roman"/>
                <w:color w:val="auto"/>
                <w:u w:val="wave"/>
                <w:lang w:bidi="ar"/>
              </w:rPr>
              <w:t>t/a、机制砂138</w:t>
            </w:r>
            <w:r>
              <w:rPr>
                <w:rFonts w:hint="eastAsia" w:ascii="Times New Roman" w:cs="Times New Roman"/>
                <w:color w:val="auto"/>
                <w:u w:val="wave"/>
                <w:lang w:bidi="ar"/>
              </w:rPr>
              <w:t>0</w:t>
            </w:r>
            <w:r>
              <w:rPr>
                <w:rFonts w:ascii="Times New Roman" w:cs="Times New Roman"/>
                <w:color w:val="auto"/>
                <w:u w:val="wave"/>
                <w:lang w:bidi="ar"/>
              </w:rPr>
              <w:t>00t/a、碎石170</w:t>
            </w:r>
            <w:r>
              <w:rPr>
                <w:rFonts w:hint="eastAsia" w:ascii="Times New Roman" w:cs="Times New Roman"/>
                <w:color w:val="auto"/>
                <w:u w:val="wave"/>
                <w:lang w:bidi="ar"/>
              </w:rPr>
              <w:t>0</w:t>
            </w:r>
            <w:r>
              <w:rPr>
                <w:rFonts w:ascii="Times New Roman" w:cs="Times New Roman"/>
                <w:color w:val="auto"/>
                <w:u w:val="wave"/>
                <w:lang w:bidi="ar"/>
              </w:rPr>
              <w:t>00t/a、粉煤灰</w:t>
            </w:r>
            <w:r>
              <w:rPr>
                <w:rFonts w:hint="eastAsia" w:ascii="Times New Roman" w:cs="Times New Roman"/>
                <w:color w:val="auto"/>
                <w:u w:val="wave"/>
                <w:lang w:bidi="ar"/>
              </w:rPr>
              <w:t>4000</w:t>
            </w:r>
            <w:r>
              <w:rPr>
                <w:rFonts w:ascii="Times New Roman" w:cs="Times New Roman"/>
                <w:color w:val="auto"/>
                <w:u w:val="wave"/>
                <w:lang w:bidi="ar"/>
              </w:rPr>
              <w:t>t/a，共</w:t>
            </w:r>
            <w:r>
              <w:rPr>
                <w:rFonts w:hint="eastAsia" w:ascii="Times New Roman" w:cs="Times New Roman"/>
                <w:color w:val="auto"/>
                <w:u w:val="wave"/>
                <w:lang w:bidi="ar"/>
              </w:rPr>
              <w:t>3</w:t>
            </w:r>
            <w:r>
              <w:rPr>
                <w:rFonts w:ascii="Times New Roman" w:cs="Times New Roman"/>
                <w:color w:val="auto"/>
                <w:u w:val="wave"/>
                <w:lang w:bidi="ar"/>
              </w:rPr>
              <w:t>865</w:t>
            </w:r>
            <w:r>
              <w:rPr>
                <w:rFonts w:hint="eastAsia" w:ascii="Times New Roman" w:cs="Times New Roman"/>
                <w:color w:val="auto"/>
                <w:u w:val="wave"/>
                <w:lang w:bidi="ar"/>
              </w:rPr>
              <w:t>00</w:t>
            </w:r>
            <w:r>
              <w:rPr>
                <w:rFonts w:ascii="Times New Roman" w:cs="Times New Roman"/>
                <w:color w:val="auto"/>
                <w:u w:val="wave"/>
                <w:lang w:bidi="ar"/>
              </w:rPr>
              <w:t>t/a，</w:t>
            </w:r>
            <w:r>
              <w:rPr>
                <w:rFonts w:ascii="Times New Roman" w:cs="Times New Roman"/>
                <w:u w:val="wave"/>
              </w:rPr>
              <w:t>年</w:t>
            </w:r>
            <w:r>
              <w:rPr>
                <w:rFonts w:ascii="Times New Roman" w:cs="Times New Roman"/>
                <w:color w:val="auto"/>
                <w:u w:val="wave"/>
                <w:lang w:bidi="ar"/>
              </w:rPr>
              <w:t>工作2400小时</w:t>
            </w:r>
            <w:r>
              <w:rPr>
                <w:rFonts w:ascii="Times New Roman" w:cs="Times New Roman"/>
                <w:u w:val="wave"/>
              </w:rPr>
              <w:t>，则搅拌粉尘产生量为7.73t/a（</w:t>
            </w:r>
            <w:r>
              <w:rPr>
                <w:rFonts w:hint="eastAsia" w:ascii="Times New Roman" w:cs="Times New Roman"/>
                <w:u w:val="wave"/>
              </w:rPr>
              <w:t>3</w:t>
            </w:r>
            <w:r>
              <w:rPr>
                <w:rFonts w:ascii="Times New Roman" w:cs="Times New Roman"/>
                <w:u w:val="wave"/>
              </w:rPr>
              <w:t>.22kg/h），</w:t>
            </w:r>
            <w:r>
              <w:rPr>
                <w:rFonts w:ascii="Times New Roman" w:cs="Times New Roman"/>
                <w:color w:val="auto"/>
                <w:u w:val="wave"/>
              </w:rPr>
              <w:t>项目在</w:t>
            </w:r>
            <w:r>
              <w:rPr>
                <w:rFonts w:ascii="Times New Roman" w:cs="Times New Roman"/>
                <w:color w:val="auto"/>
                <w:u w:val="wave"/>
                <w:lang w:bidi="ar"/>
              </w:rPr>
              <w:t>搅拌机</w:t>
            </w:r>
            <w:r>
              <w:rPr>
                <w:rFonts w:ascii="Times New Roman" w:cs="Times New Roman"/>
                <w:color w:val="auto"/>
                <w:u w:val="wave"/>
                <w:lang w:val="zh-CN" w:bidi="ar"/>
              </w:rPr>
              <w:t>顶部</w:t>
            </w:r>
            <w:r>
              <w:rPr>
                <w:rFonts w:ascii="Times New Roman" w:cs="Times New Roman"/>
                <w:color w:val="auto"/>
                <w:u w:val="wave"/>
                <w:lang w:bidi="ar"/>
              </w:rPr>
              <w:t>设置</w:t>
            </w:r>
            <w:r>
              <w:rPr>
                <w:rFonts w:ascii="Times New Roman" w:cs="Times New Roman"/>
                <w:color w:val="auto"/>
                <w:u w:val="wave"/>
                <w:lang w:val="zh-CN" w:bidi="ar"/>
              </w:rPr>
              <w:t>一套</w:t>
            </w:r>
            <w:r>
              <w:rPr>
                <w:rFonts w:hint="eastAsia" w:ascii="Times New Roman" w:cs="Times New Roman"/>
                <w:color w:val="auto"/>
                <w:u w:val="wave"/>
                <w:lang w:bidi="ar"/>
              </w:rPr>
              <w:t>脉冲</w:t>
            </w:r>
            <w:r>
              <w:rPr>
                <w:rFonts w:ascii="Times New Roman" w:cs="Times New Roman"/>
                <w:color w:val="auto"/>
                <w:u w:val="wave"/>
                <w:lang w:bidi="ar"/>
              </w:rPr>
              <w:t>除尘器</w:t>
            </w:r>
            <w:r>
              <w:rPr>
                <w:rFonts w:ascii="Times New Roman" w:cs="Times New Roman"/>
                <w:color w:val="auto"/>
                <w:u w:val="wave"/>
                <w:lang w:val="zh-CN" w:bidi="ar"/>
              </w:rPr>
              <w:t>，除尘效率</w:t>
            </w:r>
            <w:r>
              <w:rPr>
                <w:rFonts w:ascii="Times New Roman" w:cs="Times New Roman"/>
                <w:color w:val="auto"/>
                <w:u w:val="wave"/>
                <w:lang w:bidi="ar"/>
              </w:rPr>
              <w:t>约</w:t>
            </w:r>
            <w:r>
              <w:rPr>
                <w:rFonts w:ascii="Times New Roman" w:cs="Times New Roman"/>
                <w:color w:val="auto"/>
                <w:u w:val="wave"/>
                <w:lang w:val="zh-CN" w:bidi="ar"/>
              </w:rPr>
              <w:t>达99</w:t>
            </w:r>
            <w:r>
              <w:rPr>
                <w:rFonts w:ascii="Times New Roman" w:cs="Times New Roman"/>
                <w:color w:val="auto"/>
                <w:u w:val="wave"/>
                <w:lang w:bidi="ar"/>
              </w:rPr>
              <w:t>.</w:t>
            </w:r>
            <w:r>
              <w:rPr>
                <w:rFonts w:hint="eastAsia" w:ascii="Times New Roman" w:cs="Times New Roman"/>
                <w:color w:val="auto"/>
                <w:u w:val="wave"/>
                <w:lang w:val="en-US" w:eastAsia="zh-CN" w:bidi="ar"/>
              </w:rPr>
              <w:t>5</w:t>
            </w:r>
            <w:r>
              <w:rPr>
                <w:rFonts w:ascii="Times New Roman" w:cs="Times New Roman"/>
                <w:color w:val="auto"/>
                <w:u w:val="wave"/>
                <w:lang w:val="zh-CN" w:bidi="ar"/>
              </w:rPr>
              <w:t>%，</w:t>
            </w:r>
            <w:r>
              <w:rPr>
                <w:rFonts w:ascii="Times New Roman" w:cs="Times New Roman"/>
                <w:u w:val="wave"/>
              </w:rPr>
              <w:t>风机量为</w:t>
            </w:r>
            <w:r>
              <w:rPr>
                <w:rFonts w:hint="eastAsia" w:ascii="Times New Roman" w:cs="Times New Roman"/>
                <w:u w:val="wave"/>
              </w:rPr>
              <w:t>20</w:t>
            </w:r>
            <w:r>
              <w:rPr>
                <w:rFonts w:ascii="Times New Roman" w:cs="Times New Roman"/>
                <w:u w:val="wave"/>
              </w:rPr>
              <w:t>000m</w:t>
            </w:r>
            <w:r>
              <w:rPr>
                <w:rFonts w:ascii="Times New Roman" w:cs="Times New Roman"/>
                <w:u w:val="wave"/>
                <w:vertAlign w:val="superscript"/>
              </w:rPr>
              <w:t>3</w:t>
            </w:r>
            <w:r>
              <w:rPr>
                <w:rFonts w:ascii="Times New Roman" w:cs="Times New Roman"/>
                <w:u w:val="wave"/>
              </w:rPr>
              <w:t>/h</w:t>
            </w:r>
            <w:r>
              <w:rPr>
                <w:rFonts w:hint="eastAsia" w:ascii="Times New Roman" w:cs="Times New Roman"/>
                <w:u w:val="wave"/>
              </w:rPr>
              <w:t>。</w:t>
            </w:r>
            <w:r>
              <w:rPr>
                <w:rFonts w:ascii="Times New Roman" w:cs="Times New Roman"/>
                <w:color w:val="auto"/>
                <w:u w:val="wave"/>
                <w:lang w:bidi="ar"/>
              </w:rPr>
              <w:t>则</w:t>
            </w:r>
            <w:r>
              <w:rPr>
                <w:rFonts w:ascii="Times New Roman" w:cs="Times New Roman"/>
                <w:u w:val="wave"/>
              </w:rPr>
              <w:t>有组织粉尘排放量为</w:t>
            </w:r>
            <w:r>
              <w:rPr>
                <w:rFonts w:hint="eastAsia" w:ascii="Times New Roman" w:cs="Times New Roman"/>
                <w:u w:val="wave"/>
              </w:rPr>
              <w:t>0.0</w:t>
            </w:r>
            <w:r>
              <w:rPr>
                <w:rFonts w:hint="eastAsia" w:ascii="Times New Roman" w:cs="Times New Roman"/>
                <w:u w:val="wave"/>
                <w:lang w:val="en-US" w:eastAsia="zh-CN"/>
              </w:rPr>
              <w:t>3865</w:t>
            </w:r>
            <w:r>
              <w:rPr>
                <w:rFonts w:ascii="Times New Roman" w:cs="Times New Roman"/>
                <w:u w:val="wave"/>
              </w:rPr>
              <w:t>t/a，排放速率为</w:t>
            </w:r>
            <w:r>
              <w:rPr>
                <w:rFonts w:hint="eastAsia" w:ascii="Times New Roman" w:cs="Times New Roman"/>
                <w:u w:val="wave"/>
              </w:rPr>
              <w:t>0.0</w:t>
            </w:r>
            <w:r>
              <w:rPr>
                <w:rFonts w:hint="eastAsia" w:ascii="Times New Roman" w:cs="Times New Roman"/>
                <w:u w:val="wave"/>
                <w:lang w:val="en-US" w:eastAsia="zh-CN"/>
              </w:rPr>
              <w:t>161</w:t>
            </w:r>
            <w:r>
              <w:rPr>
                <w:rFonts w:ascii="Times New Roman" w:cs="Times New Roman"/>
                <w:u w:val="wave"/>
              </w:rPr>
              <w:t>kg/h，排放浓度为</w:t>
            </w:r>
            <w:r>
              <w:rPr>
                <w:rFonts w:hint="eastAsia" w:ascii="Times New Roman" w:cs="Times New Roman"/>
                <w:color w:val="auto"/>
                <w:u w:val="wave"/>
              </w:rPr>
              <w:t>0.</w:t>
            </w:r>
            <w:r>
              <w:rPr>
                <w:rFonts w:hint="eastAsia" w:ascii="Times New Roman" w:cs="Times New Roman"/>
                <w:color w:val="auto"/>
                <w:u w:val="wave"/>
                <w:lang w:val="en-US" w:eastAsia="zh-CN"/>
              </w:rPr>
              <w:t>81</w:t>
            </w:r>
            <w:r>
              <w:rPr>
                <w:rFonts w:ascii="Times New Roman" w:cs="Times New Roman"/>
                <w:u w:val="wave"/>
              </w:rPr>
              <w:t>mg/m</w:t>
            </w:r>
            <w:r>
              <w:rPr>
                <w:rFonts w:ascii="Times New Roman" w:cs="Times New Roman"/>
                <w:u w:val="wave"/>
                <w:vertAlign w:val="superscript"/>
              </w:rPr>
              <w:t>3</w:t>
            </w:r>
            <w:r>
              <w:rPr>
                <w:rFonts w:ascii="Times New Roman" w:cs="Times New Roman"/>
                <w:u w:val="wave"/>
              </w:rPr>
              <w:t>。</w:t>
            </w:r>
          </w:p>
          <w:p>
            <w:pPr>
              <w:pStyle w:val="35"/>
              <w:spacing w:after="0" w:line="360" w:lineRule="auto"/>
              <w:ind w:firstLine="480" w:firstLineChars="200"/>
              <w:jc w:val="both"/>
              <w:rPr>
                <w:rFonts w:ascii="Times New Roman" w:cs="Times New Roman"/>
                <w:u w:val="wave"/>
              </w:rPr>
            </w:pPr>
            <w:r>
              <w:rPr>
                <w:rFonts w:hint="eastAsia" w:ascii="Times New Roman" w:cs="Times New Roman"/>
                <w:color w:val="auto"/>
                <w:u w:val="wave"/>
                <w:lang w:bidi="ar"/>
              </w:rPr>
              <w:t>柳城6</w:t>
            </w:r>
            <w:r>
              <w:rPr>
                <w:rFonts w:ascii="Times New Roman" w:cs="Times New Roman"/>
                <w:color w:val="auto"/>
                <w:u w:val="wave"/>
                <w:lang w:bidi="ar"/>
              </w:rPr>
              <w:t>00</w:t>
            </w:r>
            <w:r>
              <w:rPr>
                <w:rFonts w:hint="eastAsia" w:ascii="Times New Roman" w:cs="Times New Roman"/>
                <w:color w:val="auto"/>
                <w:u w:val="wave"/>
                <w:lang w:bidi="ar"/>
              </w:rPr>
              <w:t>线</w:t>
            </w:r>
            <w:r>
              <w:rPr>
                <w:rFonts w:ascii="Times New Roman" w:cs="Times New Roman"/>
                <w:color w:val="auto"/>
                <w:u w:val="wave"/>
                <w:lang w:bidi="ar"/>
              </w:rPr>
              <w:t>年需水泥255</w:t>
            </w:r>
            <w:r>
              <w:rPr>
                <w:rFonts w:hint="eastAsia" w:ascii="Times New Roman" w:cs="Times New Roman"/>
                <w:color w:val="auto"/>
                <w:u w:val="wave"/>
                <w:lang w:bidi="ar"/>
              </w:rPr>
              <w:t>00</w:t>
            </w:r>
            <w:r>
              <w:rPr>
                <w:rFonts w:ascii="Times New Roman" w:cs="Times New Roman"/>
                <w:color w:val="auto"/>
                <w:u w:val="wave"/>
                <w:lang w:bidi="ar"/>
              </w:rPr>
              <w:t>t/a、机制砂</w:t>
            </w:r>
            <w:r>
              <w:rPr>
                <w:rFonts w:hint="eastAsia" w:ascii="Times New Roman" w:cs="Times New Roman"/>
                <w:color w:val="auto"/>
                <w:u w:val="wave"/>
                <w:lang w:bidi="ar"/>
              </w:rPr>
              <w:t>4</w:t>
            </w:r>
            <w:r>
              <w:rPr>
                <w:rFonts w:ascii="Times New Roman" w:cs="Times New Roman"/>
                <w:color w:val="auto"/>
                <w:u w:val="wave"/>
                <w:lang w:bidi="ar"/>
              </w:rPr>
              <w:t>2</w:t>
            </w:r>
            <w:r>
              <w:rPr>
                <w:rFonts w:hint="eastAsia" w:ascii="Times New Roman" w:cs="Times New Roman"/>
                <w:color w:val="auto"/>
                <w:u w:val="wave"/>
                <w:lang w:bidi="ar"/>
              </w:rPr>
              <w:t>0</w:t>
            </w:r>
            <w:r>
              <w:rPr>
                <w:rFonts w:ascii="Times New Roman" w:cs="Times New Roman"/>
                <w:color w:val="auto"/>
                <w:u w:val="wave"/>
                <w:lang w:bidi="ar"/>
              </w:rPr>
              <w:t>00t/a、碎石43</w:t>
            </w:r>
            <w:r>
              <w:rPr>
                <w:rFonts w:hint="eastAsia" w:ascii="Times New Roman" w:cs="Times New Roman"/>
                <w:color w:val="auto"/>
                <w:u w:val="wave"/>
                <w:lang w:bidi="ar"/>
              </w:rPr>
              <w:t>0</w:t>
            </w:r>
            <w:r>
              <w:rPr>
                <w:rFonts w:ascii="Times New Roman" w:cs="Times New Roman"/>
                <w:color w:val="auto"/>
                <w:u w:val="wave"/>
                <w:lang w:bidi="ar"/>
              </w:rPr>
              <w:t>00t/a，共</w:t>
            </w:r>
            <w:r>
              <w:rPr>
                <w:rFonts w:hint="eastAsia" w:ascii="Times New Roman" w:cs="Times New Roman"/>
                <w:color w:val="auto"/>
                <w:u w:val="wave"/>
                <w:lang w:bidi="ar"/>
              </w:rPr>
              <w:t>1</w:t>
            </w:r>
            <w:r>
              <w:rPr>
                <w:rFonts w:ascii="Times New Roman" w:cs="Times New Roman"/>
                <w:color w:val="auto"/>
                <w:u w:val="wave"/>
                <w:lang w:bidi="ar"/>
              </w:rPr>
              <w:t>10</w:t>
            </w:r>
            <w:r>
              <w:rPr>
                <w:rFonts w:hint="eastAsia" w:ascii="Times New Roman" w:cs="Times New Roman"/>
                <w:color w:val="auto"/>
                <w:u w:val="wave"/>
                <w:lang w:bidi="ar"/>
              </w:rPr>
              <w:t>500</w:t>
            </w:r>
            <w:r>
              <w:rPr>
                <w:rFonts w:ascii="Times New Roman" w:cs="Times New Roman"/>
                <w:color w:val="auto"/>
                <w:u w:val="wave"/>
                <w:lang w:bidi="ar"/>
              </w:rPr>
              <w:t>t/a，</w:t>
            </w:r>
            <w:r>
              <w:rPr>
                <w:rFonts w:ascii="Times New Roman" w:cs="Times New Roman"/>
                <w:u w:val="wave"/>
              </w:rPr>
              <w:t>年</w:t>
            </w:r>
            <w:r>
              <w:rPr>
                <w:rFonts w:ascii="Times New Roman" w:cs="Times New Roman"/>
                <w:color w:val="auto"/>
                <w:u w:val="wave"/>
                <w:lang w:bidi="ar"/>
              </w:rPr>
              <w:t>工作2400小时</w:t>
            </w:r>
            <w:r>
              <w:rPr>
                <w:rFonts w:ascii="Times New Roman" w:cs="Times New Roman"/>
                <w:u w:val="wave"/>
              </w:rPr>
              <w:t>，则搅拌粉尘产生量为</w:t>
            </w:r>
            <w:r>
              <w:rPr>
                <w:rFonts w:hint="eastAsia" w:ascii="Times New Roman" w:cs="Times New Roman"/>
                <w:u w:val="wave"/>
              </w:rPr>
              <w:t>2</w:t>
            </w:r>
            <w:r>
              <w:rPr>
                <w:rFonts w:ascii="Times New Roman" w:cs="Times New Roman"/>
                <w:u w:val="wave"/>
              </w:rPr>
              <w:t>.21t/a（</w:t>
            </w:r>
            <w:r>
              <w:rPr>
                <w:rFonts w:hint="eastAsia" w:ascii="Times New Roman" w:cs="Times New Roman"/>
                <w:u w:val="wave"/>
              </w:rPr>
              <w:t>0</w:t>
            </w:r>
            <w:r>
              <w:rPr>
                <w:rFonts w:ascii="Times New Roman" w:cs="Times New Roman"/>
                <w:u w:val="wave"/>
              </w:rPr>
              <w:t>.92kg/h），</w:t>
            </w:r>
            <w:r>
              <w:rPr>
                <w:rFonts w:ascii="Times New Roman" w:cs="Times New Roman"/>
                <w:color w:val="auto"/>
                <w:u w:val="wave"/>
              </w:rPr>
              <w:t>项目在</w:t>
            </w:r>
            <w:r>
              <w:rPr>
                <w:rFonts w:ascii="Times New Roman" w:cs="Times New Roman"/>
                <w:color w:val="auto"/>
                <w:u w:val="wave"/>
                <w:lang w:bidi="ar"/>
              </w:rPr>
              <w:t>搅拌机</w:t>
            </w:r>
            <w:r>
              <w:rPr>
                <w:rFonts w:ascii="Times New Roman" w:cs="Times New Roman"/>
                <w:color w:val="auto"/>
                <w:u w:val="wave"/>
                <w:lang w:val="zh-CN" w:bidi="ar"/>
              </w:rPr>
              <w:t>顶部</w:t>
            </w:r>
            <w:r>
              <w:rPr>
                <w:rFonts w:ascii="Times New Roman" w:cs="Times New Roman"/>
                <w:color w:val="auto"/>
                <w:u w:val="wave"/>
                <w:lang w:bidi="ar"/>
              </w:rPr>
              <w:t>设置</w:t>
            </w:r>
            <w:r>
              <w:rPr>
                <w:rFonts w:ascii="Times New Roman" w:cs="Times New Roman"/>
                <w:color w:val="auto"/>
                <w:u w:val="wave"/>
                <w:lang w:val="zh-CN" w:bidi="ar"/>
              </w:rPr>
              <w:t>一套</w:t>
            </w:r>
            <w:r>
              <w:rPr>
                <w:rFonts w:hint="eastAsia" w:ascii="Times New Roman" w:cs="Times New Roman"/>
                <w:color w:val="auto"/>
                <w:u w:val="wave"/>
                <w:lang w:bidi="ar"/>
              </w:rPr>
              <w:t>脉冲</w:t>
            </w:r>
            <w:r>
              <w:rPr>
                <w:rFonts w:ascii="Times New Roman" w:cs="Times New Roman"/>
                <w:color w:val="auto"/>
                <w:u w:val="wave"/>
                <w:lang w:bidi="ar"/>
              </w:rPr>
              <w:t>除尘器</w:t>
            </w:r>
            <w:r>
              <w:rPr>
                <w:rFonts w:ascii="Times New Roman" w:cs="Times New Roman"/>
                <w:color w:val="auto"/>
                <w:u w:val="wave"/>
                <w:lang w:val="zh-CN" w:bidi="ar"/>
              </w:rPr>
              <w:t>，除尘效率</w:t>
            </w:r>
            <w:r>
              <w:rPr>
                <w:rFonts w:ascii="Times New Roman" w:cs="Times New Roman"/>
                <w:color w:val="auto"/>
                <w:u w:val="wave"/>
                <w:lang w:bidi="ar"/>
              </w:rPr>
              <w:t>约</w:t>
            </w:r>
            <w:r>
              <w:rPr>
                <w:rFonts w:ascii="Times New Roman" w:cs="Times New Roman"/>
                <w:color w:val="auto"/>
                <w:u w:val="wave"/>
                <w:lang w:val="zh-CN" w:bidi="ar"/>
              </w:rPr>
              <w:t>达99</w:t>
            </w:r>
            <w:r>
              <w:rPr>
                <w:rFonts w:ascii="Times New Roman" w:cs="Times New Roman"/>
                <w:color w:val="auto"/>
                <w:u w:val="wave"/>
                <w:lang w:bidi="ar"/>
              </w:rPr>
              <w:t>.</w:t>
            </w:r>
            <w:r>
              <w:rPr>
                <w:rFonts w:hint="eastAsia" w:ascii="Times New Roman" w:cs="Times New Roman"/>
                <w:color w:val="auto"/>
                <w:u w:val="wave"/>
                <w:lang w:val="en-US" w:eastAsia="zh-CN" w:bidi="ar"/>
              </w:rPr>
              <w:t>5</w:t>
            </w:r>
            <w:r>
              <w:rPr>
                <w:rFonts w:ascii="Times New Roman" w:cs="Times New Roman"/>
                <w:color w:val="auto"/>
                <w:u w:val="wave"/>
                <w:lang w:val="zh-CN" w:bidi="ar"/>
              </w:rPr>
              <w:t>%，</w:t>
            </w:r>
            <w:r>
              <w:rPr>
                <w:rFonts w:ascii="Times New Roman" w:cs="Times New Roman"/>
                <w:u w:val="wave"/>
              </w:rPr>
              <w:t>风机量为</w:t>
            </w:r>
            <w:r>
              <w:rPr>
                <w:rFonts w:hint="eastAsia" w:ascii="Times New Roman" w:cs="Times New Roman"/>
                <w:u w:val="wave"/>
              </w:rPr>
              <w:t>20</w:t>
            </w:r>
            <w:r>
              <w:rPr>
                <w:rFonts w:ascii="Times New Roman" w:cs="Times New Roman"/>
                <w:u w:val="wave"/>
              </w:rPr>
              <w:t>000m</w:t>
            </w:r>
            <w:r>
              <w:rPr>
                <w:rFonts w:ascii="Times New Roman" w:cs="Times New Roman"/>
                <w:u w:val="wave"/>
                <w:vertAlign w:val="superscript"/>
              </w:rPr>
              <w:t>3</w:t>
            </w:r>
            <w:r>
              <w:rPr>
                <w:rFonts w:ascii="Times New Roman" w:cs="Times New Roman"/>
                <w:u w:val="wave"/>
              </w:rPr>
              <w:t>/h</w:t>
            </w:r>
            <w:r>
              <w:rPr>
                <w:rFonts w:hint="eastAsia" w:ascii="Times New Roman" w:cs="Times New Roman"/>
                <w:u w:val="wave"/>
              </w:rPr>
              <w:t>。</w:t>
            </w:r>
            <w:r>
              <w:rPr>
                <w:rFonts w:ascii="Times New Roman" w:cs="Times New Roman"/>
                <w:color w:val="auto"/>
                <w:u w:val="wave"/>
                <w:lang w:bidi="ar"/>
              </w:rPr>
              <w:t>则</w:t>
            </w:r>
            <w:r>
              <w:rPr>
                <w:rFonts w:ascii="Times New Roman" w:cs="Times New Roman"/>
                <w:u w:val="wave"/>
              </w:rPr>
              <w:t>有组织粉尘排放量为</w:t>
            </w:r>
            <w:r>
              <w:rPr>
                <w:rFonts w:hint="eastAsia" w:ascii="Times New Roman" w:cs="Times New Roman"/>
                <w:u w:val="wave"/>
              </w:rPr>
              <w:t>0.0</w:t>
            </w:r>
            <w:r>
              <w:rPr>
                <w:rFonts w:hint="eastAsia" w:ascii="Times New Roman" w:cs="Times New Roman"/>
                <w:u w:val="wave"/>
                <w:lang w:val="en-US" w:eastAsia="zh-CN"/>
              </w:rPr>
              <w:t>11</w:t>
            </w:r>
            <w:r>
              <w:rPr>
                <w:rFonts w:ascii="Times New Roman" w:cs="Times New Roman"/>
                <w:u w:val="wave"/>
              </w:rPr>
              <w:t>t/a，排放速率为</w:t>
            </w:r>
            <w:r>
              <w:rPr>
                <w:rFonts w:hint="eastAsia" w:ascii="Times New Roman" w:cs="Times New Roman"/>
                <w:u w:val="wave"/>
              </w:rPr>
              <w:t>0.00</w:t>
            </w:r>
            <w:r>
              <w:rPr>
                <w:rFonts w:hint="eastAsia" w:ascii="Times New Roman" w:cs="Times New Roman"/>
                <w:u w:val="wave"/>
                <w:lang w:val="en-US" w:eastAsia="zh-CN"/>
              </w:rPr>
              <w:t>46</w:t>
            </w:r>
            <w:r>
              <w:rPr>
                <w:rFonts w:ascii="Times New Roman" w:cs="Times New Roman"/>
                <w:u w:val="wave"/>
              </w:rPr>
              <w:t>kg/h，排放浓度为</w:t>
            </w:r>
            <w:r>
              <w:rPr>
                <w:rFonts w:hint="eastAsia" w:ascii="Times New Roman" w:cs="Times New Roman"/>
                <w:color w:val="auto"/>
                <w:u w:val="wave"/>
              </w:rPr>
              <w:t>0.</w:t>
            </w:r>
            <w:r>
              <w:rPr>
                <w:rFonts w:hint="eastAsia" w:ascii="Times New Roman" w:cs="Times New Roman"/>
                <w:color w:val="auto"/>
                <w:u w:val="wave"/>
                <w:lang w:val="en-US" w:eastAsia="zh-CN"/>
              </w:rPr>
              <w:t>23</w:t>
            </w:r>
            <w:r>
              <w:rPr>
                <w:rFonts w:ascii="Times New Roman" w:cs="Times New Roman"/>
                <w:u w:val="wave"/>
              </w:rPr>
              <w:t>mg/m</w:t>
            </w:r>
            <w:r>
              <w:rPr>
                <w:rFonts w:ascii="Times New Roman" w:cs="Times New Roman"/>
                <w:u w:val="wave"/>
                <w:vertAlign w:val="superscript"/>
              </w:rPr>
              <w:t>3</w:t>
            </w:r>
            <w:r>
              <w:rPr>
                <w:rFonts w:ascii="Times New Roman" w:cs="Times New Roman"/>
                <w:u w:val="wave"/>
              </w:rPr>
              <w:t>。</w:t>
            </w:r>
          </w:p>
          <w:p>
            <w:pPr>
              <w:pStyle w:val="35"/>
              <w:spacing w:after="0" w:line="360" w:lineRule="auto"/>
              <w:ind w:firstLine="480" w:firstLineChars="200"/>
              <w:jc w:val="both"/>
              <w:rPr>
                <w:rFonts w:ascii="Times New Roman" w:cs="Times New Roman"/>
                <w:u w:val="wave"/>
              </w:rPr>
            </w:pPr>
            <w:r>
              <w:rPr>
                <w:rFonts w:ascii="Times New Roman" w:cs="Times New Roman"/>
                <w:u w:val="wave"/>
              </w:rPr>
              <w:t>（2）无组织</w:t>
            </w:r>
            <w:r>
              <w:rPr>
                <w:rFonts w:hint="eastAsia" w:ascii="Times New Roman" w:cs="Times New Roman"/>
                <w:u w:val="wave"/>
              </w:rPr>
              <w:t>废气</w:t>
            </w:r>
          </w:p>
          <w:p>
            <w:pPr>
              <w:spacing w:after="0" w:line="360" w:lineRule="auto"/>
              <w:ind w:firstLine="480" w:firstLineChars="200"/>
              <w:rPr>
                <w:sz w:val="24"/>
                <w:u w:val="wave"/>
              </w:rPr>
            </w:pPr>
            <w:r>
              <w:rPr>
                <w:kern w:val="0"/>
                <w:sz w:val="24"/>
                <w:u w:val="wave"/>
              </w:rPr>
              <w:t>1）</w:t>
            </w:r>
            <w:r>
              <w:rPr>
                <w:rFonts w:hint="eastAsia"/>
                <w:sz w:val="24"/>
                <w:u w:val="wave"/>
              </w:rPr>
              <w:t>卸料</w:t>
            </w:r>
            <w:r>
              <w:rPr>
                <w:sz w:val="24"/>
                <w:u w:val="wave"/>
              </w:rPr>
              <w:t>粉尘</w:t>
            </w:r>
          </w:p>
          <w:p>
            <w:pPr>
              <w:spacing w:after="0" w:line="360" w:lineRule="auto"/>
              <w:ind w:firstLine="480" w:firstLineChars="200"/>
              <w:rPr>
                <w:sz w:val="24"/>
                <w:u w:val="wave"/>
              </w:rPr>
            </w:pPr>
            <w:r>
              <w:rPr>
                <w:rFonts w:hint="eastAsia"/>
                <w:sz w:val="24"/>
                <w:u w:val="wave"/>
              </w:rPr>
              <w:t>①</w:t>
            </w:r>
            <w:r>
              <w:rPr>
                <w:sz w:val="24"/>
                <w:u w:val="wave"/>
              </w:rPr>
              <w:t>原料进场时产生的</w:t>
            </w:r>
            <w:r>
              <w:rPr>
                <w:rFonts w:hint="eastAsia"/>
                <w:sz w:val="24"/>
                <w:u w:val="wave"/>
              </w:rPr>
              <w:t>卸料</w:t>
            </w:r>
            <w:r>
              <w:rPr>
                <w:sz w:val="24"/>
                <w:u w:val="wave"/>
              </w:rPr>
              <w:t>粉尘（G3）</w:t>
            </w:r>
          </w:p>
          <w:p>
            <w:pPr>
              <w:spacing w:after="0" w:line="360" w:lineRule="auto"/>
              <w:ind w:firstLine="480" w:firstLineChars="200"/>
              <w:rPr>
                <w:sz w:val="24"/>
                <w:u w:val="wave"/>
              </w:rPr>
            </w:pPr>
            <w:r>
              <w:rPr>
                <w:sz w:val="24"/>
                <w:u w:val="wave"/>
              </w:rPr>
              <w:t>项目原料机制砂在进场时会产生</w:t>
            </w:r>
            <w:r>
              <w:rPr>
                <w:rFonts w:hint="eastAsia"/>
                <w:sz w:val="24"/>
                <w:u w:val="wave"/>
              </w:rPr>
              <w:t>卸料粉尘</w:t>
            </w:r>
            <w:r>
              <w:rPr>
                <w:sz w:val="24"/>
                <w:u w:val="wave"/>
              </w:rPr>
              <w:t>，</w:t>
            </w:r>
            <w:r>
              <w:rPr>
                <w:kern w:val="0"/>
                <w:sz w:val="24"/>
                <w:u w:val="wave"/>
                <w:lang w:bidi="ar"/>
              </w:rPr>
              <w:t>本项目年需机制砂1</w:t>
            </w:r>
            <w:r>
              <w:rPr>
                <w:rFonts w:hint="eastAsia"/>
                <w:kern w:val="0"/>
                <w:sz w:val="24"/>
                <w:u w:val="wave"/>
                <w:lang w:bidi="ar"/>
              </w:rPr>
              <w:t>80000</w:t>
            </w:r>
            <w:r>
              <w:rPr>
                <w:kern w:val="0"/>
                <w:sz w:val="24"/>
                <w:u w:val="wave"/>
                <w:lang w:bidi="ar"/>
              </w:rPr>
              <w:t>t/a。</w:t>
            </w:r>
            <w:r>
              <w:rPr>
                <w:sz w:val="24"/>
                <w:u w:val="wave"/>
              </w:rPr>
              <w:t>装卸粉尘起尘量主要与原料中可起尘部分的粒径分布及堆存场所在地的风速大小有关，本项目机制砂有一定含水率（约10%），且颗粒比重较大，易沉降</w:t>
            </w:r>
            <w:r>
              <w:rPr>
                <w:rFonts w:hint="eastAsia"/>
                <w:sz w:val="24"/>
                <w:u w:val="wave"/>
              </w:rPr>
              <w:t>。本环评选取</w:t>
            </w:r>
            <w:r>
              <w:rPr>
                <w:sz w:val="24"/>
                <w:u w:val="wave"/>
              </w:rPr>
              <w:t>交通部水运研究所和武汉工程学院提出的装卸起尘量的经验公式进行装</w:t>
            </w:r>
            <w:r>
              <w:rPr>
                <w:rFonts w:hint="eastAsia"/>
                <w:sz w:val="24"/>
                <w:u w:val="wave"/>
              </w:rPr>
              <w:t>卸料</w:t>
            </w:r>
            <w:r>
              <w:rPr>
                <w:sz w:val="24"/>
                <w:u w:val="wave"/>
              </w:rPr>
              <w:t>车</w:t>
            </w:r>
            <w:r>
              <w:rPr>
                <w:rFonts w:hint="eastAsia"/>
                <w:sz w:val="24"/>
                <w:u w:val="wave"/>
              </w:rPr>
              <w:t>起尘量</w:t>
            </w:r>
            <w:r>
              <w:rPr>
                <w:sz w:val="24"/>
                <w:u w:val="wave"/>
              </w:rPr>
              <w:t>估算，具体</w:t>
            </w:r>
            <w:r>
              <w:rPr>
                <w:rFonts w:hint="eastAsia"/>
                <w:sz w:val="24"/>
                <w:u w:val="wave"/>
              </w:rPr>
              <w:t>如式</w:t>
            </w:r>
            <w:r>
              <w:rPr>
                <w:sz w:val="24"/>
                <w:u w:val="wave"/>
              </w:rPr>
              <w:t>：</w:t>
            </w:r>
          </w:p>
          <w:p>
            <w:pPr>
              <w:spacing w:after="0" w:line="360" w:lineRule="auto"/>
              <w:ind w:firstLine="480" w:firstLineChars="200"/>
              <w:rPr>
                <w:color w:val="000000"/>
                <w:sz w:val="24"/>
                <w:u w:val="wave"/>
              </w:rPr>
            </w:pPr>
            <w:r>
              <w:rPr>
                <w:sz w:val="24"/>
                <w:u w:val="wave"/>
              </w:rPr>
              <w:drawing>
                <wp:anchor distT="0" distB="0" distL="114300" distR="114300" simplePos="0" relativeHeight="251703296" behindDoc="0" locked="0" layoutInCell="1" allowOverlap="1">
                  <wp:simplePos x="0" y="0"/>
                  <wp:positionH relativeFrom="column">
                    <wp:posOffset>1014095</wp:posOffset>
                  </wp:positionH>
                  <wp:positionV relativeFrom="paragraph">
                    <wp:posOffset>81915</wp:posOffset>
                  </wp:positionV>
                  <wp:extent cx="3752215" cy="400050"/>
                  <wp:effectExtent l="0" t="0" r="635" b="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3752215" cy="400050"/>
                          </a:xfrm>
                          <a:prstGeom prst="rect">
                            <a:avLst/>
                          </a:prstGeom>
                          <a:noFill/>
                          <a:ln>
                            <a:noFill/>
                          </a:ln>
                        </pic:spPr>
                      </pic:pic>
                    </a:graphicData>
                  </a:graphic>
                </wp:anchor>
              </w:drawing>
            </w:r>
            <w:r>
              <w:rPr>
                <w:color w:val="000000"/>
                <w:sz w:val="24"/>
                <w:u w:val="wave"/>
              </w:rPr>
              <w:t>式1中：Q——物料装车时机械落差起尘量；</w:t>
            </w:r>
          </w:p>
          <w:p>
            <w:pPr>
              <w:spacing w:after="0" w:line="360" w:lineRule="auto"/>
              <w:ind w:firstLine="480" w:firstLineChars="200"/>
              <w:rPr>
                <w:color w:val="000000"/>
                <w:sz w:val="24"/>
                <w:u w:val="wave"/>
              </w:rPr>
            </w:pPr>
            <w:r>
              <w:rPr>
                <w:color w:val="000000"/>
                <w:sz w:val="24"/>
                <w:u w:val="wave"/>
              </w:rPr>
              <w:t>V——平均风速（m/s）；</w:t>
            </w:r>
            <w:r>
              <w:rPr>
                <w:rFonts w:hint="eastAsia"/>
                <w:color w:val="000000"/>
                <w:sz w:val="24"/>
                <w:u w:val="wave"/>
              </w:rPr>
              <w:t>因在厂房内装卸故风速取1.0m/s.</w:t>
            </w:r>
          </w:p>
          <w:p>
            <w:pPr>
              <w:spacing w:after="0" w:line="360" w:lineRule="auto"/>
              <w:ind w:firstLine="480" w:firstLineChars="200"/>
              <w:rPr>
                <w:color w:val="000000"/>
                <w:sz w:val="24"/>
                <w:u w:val="wave"/>
              </w:rPr>
            </w:pPr>
            <w:r>
              <w:rPr>
                <w:color w:val="000000"/>
                <w:sz w:val="24"/>
                <w:u w:val="wave"/>
              </w:rPr>
              <w:t>H——物料落差（m）；</w:t>
            </w:r>
            <w:r>
              <w:rPr>
                <w:rFonts w:hint="eastAsia"/>
                <w:color w:val="000000"/>
                <w:sz w:val="24"/>
                <w:u w:val="wave"/>
              </w:rPr>
              <w:t>运输车车厢与地面之间的高度，为1.5m</w:t>
            </w:r>
          </w:p>
          <w:p>
            <w:pPr>
              <w:spacing w:after="0" w:line="360" w:lineRule="auto"/>
              <w:ind w:firstLine="480" w:firstLineChars="200"/>
              <w:rPr>
                <w:rFonts w:cs="宋体"/>
                <w:color w:val="000000"/>
                <w:sz w:val="24"/>
                <w:szCs w:val="20"/>
                <w:u w:val="wave"/>
              </w:rPr>
            </w:pPr>
            <w:r>
              <w:rPr>
                <w:color w:val="000000"/>
                <w:sz w:val="24"/>
                <w:u w:val="wave"/>
              </w:rPr>
              <w:t>W——物料含水率（%），根据相关文献及同类型的项目可知，物料含水率为</w:t>
            </w:r>
            <w:r>
              <w:rPr>
                <w:rFonts w:hint="eastAsia"/>
                <w:color w:val="000000"/>
                <w:sz w:val="24"/>
                <w:u w:val="wave"/>
              </w:rPr>
              <w:t>10</w:t>
            </w:r>
            <w:r>
              <w:rPr>
                <w:color w:val="000000"/>
                <w:sz w:val="24"/>
                <w:u w:val="wave"/>
              </w:rPr>
              <w:t>%；</w:t>
            </w:r>
          </w:p>
          <w:p>
            <w:pPr>
              <w:pStyle w:val="35"/>
              <w:spacing w:after="0" w:line="360" w:lineRule="auto"/>
              <w:ind w:firstLine="480" w:firstLineChars="200"/>
              <w:jc w:val="both"/>
              <w:rPr>
                <w:rFonts w:ascii="Times New Roman" w:cs="Times New Roman"/>
                <w:u w:val="wave"/>
              </w:rPr>
            </w:pPr>
            <w:r>
              <w:rPr>
                <w:rFonts w:hint="eastAsia" w:ascii="Times New Roman"/>
                <w:kern w:val="2"/>
                <w:szCs w:val="20"/>
                <w:u w:val="wave"/>
              </w:rPr>
              <w:t>经计算</w:t>
            </w:r>
            <w:r>
              <w:rPr>
                <w:u w:val="wave"/>
              </w:rPr>
              <w:t>卸料粉尘产生量</w:t>
            </w:r>
            <w:r>
              <w:rPr>
                <w:rFonts w:hint="eastAsia"/>
                <w:u w:val="wave"/>
              </w:rPr>
              <w:t>系数为</w:t>
            </w:r>
            <w:r>
              <w:rPr>
                <w:rFonts w:ascii="Times New Roman" w:cs="Times New Roman"/>
                <w:u w:val="wave"/>
              </w:rPr>
              <w:t>0.0</w:t>
            </w:r>
            <w:r>
              <w:rPr>
                <w:rFonts w:hint="eastAsia" w:ascii="Times New Roman" w:cs="Times New Roman"/>
                <w:u w:val="wave"/>
              </w:rPr>
              <w:t>03</w:t>
            </w:r>
            <w:r>
              <w:rPr>
                <w:rFonts w:ascii="Times New Roman" w:cs="Times New Roman"/>
                <w:u w:val="wave"/>
              </w:rPr>
              <w:t>k</w:t>
            </w:r>
            <w:r>
              <w:rPr>
                <w:rFonts w:hint="eastAsia" w:ascii="Times New Roman"/>
                <w:u w:val="wave"/>
              </w:rPr>
              <w:t>g/t，则卸料粉尘产生量为</w:t>
            </w:r>
            <w:r>
              <w:rPr>
                <w:rFonts w:hint="eastAsia" w:ascii="Times New Roman"/>
                <w:kern w:val="2"/>
                <w:szCs w:val="20"/>
                <w:u w:val="wave"/>
              </w:rPr>
              <w:t>0.541t/a。</w:t>
            </w:r>
            <w:r>
              <w:rPr>
                <w:rFonts w:ascii="Times New Roman" w:cs="Times New Roman"/>
                <w:u w:val="wave"/>
              </w:rPr>
              <w:t>本环评要求建设单位需将</w:t>
            </w:r>
            <w:r>
              <w:rPr>
                <w:rFonts w:ascii="Times New Roman" w:cs="Times New Roman"/>
                <w:color w:val="auto"/>
                <w:u w:val="wave"/>
                <w:lang w:bidi="ar"/>
              </w:rPr>
              <w:t>地面硬化，设置</w:t>
            </w:r>
            <w:r>
              <w:rPr>
                <w:rFonts w:ascii="Times New Roman" w:cs="Times New Roman"/>
                <w:u w:val="wave"/>
              </w:rPr>
              <w:t>喷水雾化器</w:t>
            </w:r>
            <w:r>
              <w:rPr>
                <w:rFonts w:ascii="Times New Roman" w:cs="Times New Roman"/>
                <w:color w:val="auto"/>
                <w:u w:val="wave"/>
                <w:lang w:bidi="ar"/>
              </w:rPr>
              <w:t>，并在进出物料口处两侧加强布设喷淋洒水设施，保证喷头洒水面积覆盖整个堆场，降尘</w:t>
            </w:r>
            <w:r>
              <w:rPr>
                <w:rFonts w:ascii="Times New Roman" w:cs="Times New Roman"/>
                <w:color w:val="auto"/>
                <w:u w:val="wave"/>
                <w:lang w:val="zh-CN" w:bidi="ar"/>
              </w:rPr>
              <w:t>效率</w:t>
            </w:r>
            <w:r>
              <w:rPr>
                <w:rFonts w:ascii="Times New Roman" w:cs="Times New Roman"/>
                <w:color w:val="auto"/>
                <w:u w:val="wave"/>
                <w:lang w:bidi="ar"/>
              </w:rPr>
              <w:t>约</w:t>
            </w:r>
            <w:r>
              <w:rPr>
                <w:rFonts w:ascii="Times New Roman" w:cs="Times New Roman"/>
                <w:color w:val="auto"/>
                <w:u w:val="wave"/>
                <w:lang w:val="zh-CN" w:bidi="ar"/>
              </w:rPr>
              <w:t>达</w:t>
            </w:r>
            <w:r>
              <w:rPr>
                <w:rFonts w:ascii="Times New Roman" w:cs="Times New Roman"/>
                <w:color w:val="auto"/>
                <w:u w:val="wave"/>
                <w:lang w:bidi="ar"/>
              </w:rPr>
              <w:t>70</w:t>
            </w:r>
            <w:r>
              <w:rPr>
                <w:rFonts w:ascii="Times New Roman" w:cs="Times New Roman"/>
                <w:color w:val="auto"/>
                <w:u w:val="wave"/>
                <w:lang w:val="zh-CN" w:bidi="ar"/>
              </w:rPr>
              <w:t>%，</w:t>
            </w:r>
            <w:r>
              <w:rPr>
                <w:rFonts w:ascii="Times New Roman" w:cs="Times New Roman"/>
                <w:color w:val="auto"/>
                <w:u w:val="wave"/>
                <w:lang w:bidi="ar"/>
              </w:rPr>
              <w:t>则</w:t>
            </w:r>
            <w:r>
              <w:rPr>
                <w:rFonts w:ascii="Times New Roman" w:cs="Times New Roman"/>
                <w:u w:val="wave"/>
              </w:rPr>
              <w:t>粉尘排放量为0.</w:t>
            </w:r>
            <w:r>
              <w:rPr>
                <w:rFonts w:hint="eastAsia" w:ascii="Times New Roman" w:cs="Times New Roman"/>
                <w:u w:val="wave"/>
              </w:rPr>
              <w:t>162</w:t>
            </w:r>
            <w:r>
              <w:rPr>
                <w:rFonts w:ascii="Times New Roman" w:cs="Times New Roman"/>
                <w:u w:val="wave"/>
              </w:rPr>
              <w:t>t/a，年工作2400小时，排放速率为0.</w:t>
            </w:r>
            <w:r>
              <w:rPr>
                <w:rFonts w:hint="eastAsia" w:ascii="Times New Roman" w:cs="Times New Roman"/>
                <w:u w:val="wave"/>
              </w:rPr>
              <w:t>0675</w:t>
            </w:r>
            <w:r>
              <w:rPr>
                <w:rFonts w:ascii="Times New Roman" w:cs="Times New Roman"/>
                <w:u w:val="wave"/>
              </w:rPr>
              <w:t>kg/h。</w:t>
            </w:r>
          </w:p>
          <w:p>
            <w:pPr>
              <w:pStyle w:val="35"/>
              <w:spacing w:after="0" w:line="360" w:lineRule="auto"/>
              <w:ind w:firstLine="480" w:firstLineChars="200"/>
              <w:jc w:val="both"/>
              <w:rPr>
                <w:rFonts w:ascii="Times New Roman" w:cs="Times New Roman"/>
                <w:u w:val="wave"/>
              </w:rPr>
            </w:pPr>
            <w:r>
              <w:rPr>
                <w:rFonts w:hint="eastAsia" w:ascii="Times New Roman" w:cs="Times New Roman"/>
                <w:u w:val="wave"/>
              </w:rPr>
              <w:t>②原料被推入料斗的下料粉尘（G5）</w:t>
            </w:r>
          </w:p>
          <w:p>
            <w:pPr>
              <w:pStyle w:val="35"/>
              <w:spacing w:after="0" w:line="360" w:lineRule="auto"/>
              <w:ind w:firstLine="480" w:firstLineChars="200"/>
              <w:jc w:val="both"/>
              <w:rPr>
                <w:rFonts w:ascii="Times New Roman" w:cs="Times New Roman"/>
                <w:u w:val="wave"/>
              </w:rPr>
            </w:pPr>
            <w:r>
              <w:rPr>
                <w:rFonts w:hint="eastAsia" w:ascii="Times New Roman" w:cs="Times New Roman"/>
                <w:u w:val="wave"/>
              </w:rPr>
              <w:t>项目原料机制砂被推入料斗时会产生下料粉尘，计算公式同上，其中料斗高度为1m。经计算卸料粉尘产生量系数为</w:t>
            </w:r>
            <w:r>
              <w:rPr>
                <w:rFonts w:ascii="Times New Roman" w:cs="Times New Roman"/>
                <w:u w:val="wave"/>
              </w:rPr>
              <w:t>0.0</w:t>
            </w:r>
            <w:r>
              <w:rPr>
                <w:rFonts w:hint="eastAsia" w:ascii="Times New Roman" w:cs="Times New Roman"/>
                <w:u w:val="wave"/>
              </w:rPr>
              <w:t>02</w:t>
            </w:r>
            <w:r>
              <w:rPr>
                <w:rFonts w:ascii="Times New Roman" w:cs="Times New Roman"/>
                <w:u w:val="wave"/>
              </w:rPr>
              <w:t>k</w:t>
            </w:r>
            <w:r>
              <w:rPr>
                <w:rFonts w:hint="eastAsia" w:ascii="Times New Roman" w:cs="Times New Roman"/>
                <w:u w:val="wave"/>
              </w:rPr>
              <w:t>g/t，则卸料粉尘产生量为</w:t>
            </w:r>
            <w:r>
              <w:rPr>
                <w:rFonts w:hint="eastAsia" w:ascii="Times New Roman" w:cs="Times New Roman"/>
                <w:kern w:val="2"/>
                <w:szCs w:val="20"/>
                <w:u w:val="wave"/>
              </w:rPr>
              <w:t>0.360t/a，本项目料斗设在地下，仅有一个出入口，经三面围挡及自然沉降后，降尘效率约为70%，则粉尘排放量为</w:t>
            </w:r>
            <w:r>
              <w:rPr>
                <w:rFonts w:ascii="Times New Roman" w:cs="Times New Roman"/>
                <w:u w:val="wave"/>
              </w:rPr>
              <w:t>0.</w:t>
            </w:r>
            <w:r>
              <w:rPr>
                <w:rFonts w:hint="eastAsia" w:ascii="Times New Roman" w:cs="Times New Roman"/>
                <w:u w:val="wave"/>
              </w:rPr>
              <w:t>108</w:t>
            </w:r>
            <w:r>
              <w:rPr>
                <w:rFonts w:ascii="Times New Roman" w:cs="Times New Roman"/>
                <w:u w:val="wave"/>
              </w:rPr>
              <w:t>t/a，年工作2400小时，排放速率为0.</w:t>
            </w:r>
            <w:r>
              <w:rPr>
                <w:rFonts w:hint="eastAsia" w:ascii="Times New Roman" w:cs="Times New Roman"/>
                <w:u w:val="wave"/>
              </w:rPr>
              <w:t>045</w:t>
            </w:r>
            <w:r>
              <w:rPr>
                <w:rFonts w:ascii="Times New Roman" w:cs="Times New Roman"/>
                <w:u w:val="wave"/>
              </w:rPr>
              <w:t>kg/h。</w:t>
            </w:r>
          </w:p>
          <w:p>
            <w:pPr>
              <w:pStyle w:val="35"/>
              <w:spacing w:after="0" w:line="360" w:lineRule="auto"/>
              <w:ind w:firstLine="480" w:firstLineChars="200"/>
              <w:jc w:val="both"/>
              <w:rPr>
                <w:rFonts w:ascii="Times New Roman" w:cs="Times New Roman"/>
                <w:u w:val="wave"/>
              </w:rPr>
            </w:pPr>
            <w:r>
              <w:rPr>
                <w:rFonts w:ascii="Times New Roman" w:cs="Times New Roman"/>
                <w:u w:val="wave"/>
              </w:rPr>
              <w:t>2）堆场扬尘</w:t>
            </w:r>
          </w:p>
          <w:p>
            <w:pPr>
              <w:pStyle w:val="35"/>
              <w:spacing w:after="0" w:line="360" w:lineRule="auto"/>
              <w:ind w:firstLine="480" w:firstLineChars="200"/>
              <w:rPr>
                <w:rFonts w:ascii="Times New Roman" w:cs="Times New Roman"/>
                <w:u w:val="wave"/>
              </w:rPr>
            </w:pPr>
            <w:r>
              <w:rPr>
                <w:rFonts w:ascii="Times New Roman" w:cs="Times New Roman"/>
                <w:u w:val="wave"/>
              </w:rPr>
              <w:t>根据相关调研资料分析，砂、石类堆场主要的大气环境问题为粒径较小的颗粒在风力作用下起动输送，会对下风向大气环境造成污染。本</w:t>
            </w:r>
            <w:r>
              <w:rPr>
                <w:rFonts w:hint="eastAsia" w:ascii="Times New Roman" w:cs="Times New Roman"/>
                <w:u w:val="wave"/>
              </w:rPr>
              <w:t>环评</w:t>
            </w:r>
            <w:r>
              <w:rPr>
                <w:rFonts w:ascii="Times New Roman" w:cs="Times New Roman"/>
                <w:u w:val="wave"/>
              </w:rPr>
              <w:t>采用西安冶金建筑学院干堆扬尘公式计算砂石堆场堆放风力起尘量，公式如下：</w:t>
            </w:r>
          </w:p>
          <w:p>
            <w:pPr>
              <w:spacing w:after="0" w:line="360" w:lineRule="auto"/>
              <w:jc w:val="center"/>
              <w:rPr>
                <w:color w:val="000000"/>
                <w:u w:val="wave"/>
              </w:rPr>
            </w:pPr>
            <w:r>
              <w:rPr>
                <w:color w:val="000000"/>
                <w:position w:val="-10"/>
                <w:u w:val="wave"/>
              </w:rPr>
              <w:object>
                <v:shape id="_x0000_i1025" o:spt="75" type="#_x0000_t75" style="height:22.45pt;width:166.45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p>
          <w:p>
            <w:pPr>
              <w:spacing w:after="0" w:line="360" w:lineRule="auto"/>
              <w:ind w:firstLine="480" w:firstLineChars="200"/>
              <w:rPr>
                <w:rFonts w:cs="宋体"/>
                <w:color w:val="000000"/>
                <w:sz w:val="24"/>
                <w:szCs w:val="20"/>
                <w:u w:val="wave"/>
              </w:rPr>
            </w:pPr>
            <w:r>
              <w:rPr>
                <w:rFonts w:cs="宋体"/>
                <w:color w:val="000000"/>
                <w:sz w:val="24"/>
                <w:szCs w:val="20"/>
                <w:u w:val="wave"/>
              </w:rPr>
              <w:t>式中：Q</w:t>
            </w:r>
            <w:r>
              <w:rPr>
                <w:rFonts w:hint="eastAsia" w:cs="宋体"/>
                <w:color w:val="000000"/>
                <w:sz w:val="24"/>
                <w:szCs w:val="20"/>
                <w:u w:val="wave"/>
              </w:rPr>
              <w:t>：</w:t>
            </w:r>
            <w:r>
              <w:rPr>
                <w:rFonts w:cs="宋体"/>
                <w:color w:val="000000"/>
                <w:sz w:val="24"/>
                <w:szCs w:val="20"/>
                <w:u w:val="wave"/>
              </w:rPr>
              <w:t>起尘量，mg/s；</w:t>
            </w:r>
          </w:p>
          <w:p>
            <w:pPr>
              <w:spacing w:after="0" w:line="360" w:lineRule="auto"/>
              <w:ind w:firstLine="480" w:firstLineChars="200"/>
              <w:rPr>
                <w:rFonts w:cs="宋体"/>
                <w:color w:val="000000"/>
                <w:sz w:val="24"/>
                <w:szCs w:val="20"/>
                <w:u w:val="wave"/>
              </w:rPr>
            </w:pPr>
            <w:r>
              <w:rPr>
                <w:rFonts w:hint="eastAsia" w:cs="宋体"/>
                <w:color w:val="000000"/>
                <w:sz w:val="24"/>
                <w:szCs w:val="20"/>
                <w:u w:val="wave"/>
              </w:rPr>
              <w:t xml:space="preserve">      U：</w:t>
            </w:r>
            <w:r>
              <w:rPr>
                <w:rFonts w:cs="宋体"/>
                <w:color w:val="000000"/>
                <w:sz w:val="24"/>
                <w:szCs w:val="20"/>
                <w:u w:val="wave"/>
              </w:rPr>
              <w:t>起尘风速，</w:t>
            </w:r>
            <w:r>
              <w:rPr>
                <w:rFonts w:hint="eastAsia"/>
                <w:color w:val="000000"/>
                <w:sz w:val="24"/>
                <w:u w:val="wave"/>
              </w:rPr>
              <w:t>因在厂房内装卸故风速取1.0m/s</w:t>
            </w:r>
            <w:r>
              <w:rPr>
                <w:rFonts w:cs="宋体"/>
                <w:color w:val="000000"/>
                <w:sz w:val="24"/>
                <w:szCs w:val="20"/>
                <w:u w:val="wave"/>
              </w:rPr>
              <w:t>；</w:t>
            </w:r>
          </w:p>
          <w:p>
            <w:pPr>
              <w:spacing w:after="0" w:line="360" w:lineRule="auto"/>
              <w:ind w:firstLine="480" w:firstLineChars="200"/>
              <w:rPr>
                <w:rFonts w:cs="宋体"/>
                <w:color w:val="000000"/>
                <w:sz w:val="24"/>
                <w:szCs w:val="20"/>
                <w:u w:val="wave"/>
              </w:rPr>
            </w:pPr>
            <w:r>
              <w:rPr>
                <w:rFonts w:hint="eastAsia" w:cs="宋体"/>
                <w:color w:val="000000"/>
                <w:sz w:val="24"/>
                <w:szCs w:val="20"/>
                <w:u w:val="wave"/>
              </w:rPr>
              <w:t xml:space="preserve">      </w:t>
            </w:r>
            <w:r>
              <w:rPr>
                <w:rFonts w:cs="宋体"/>
                <w:color w:val="000000"/>
                <w:sz w:val="24"/>
                <w:szCs w:val="20"/>
                <w:u w:val="wave"/>
              </w:rPr>
              <w:t>Ap</w:t>
            </w:r>
            <w:r>
              <w:rPr>
                <w:rFonts w:hint="eastAsia" w:cs="宋体"/>
                <w:color w:val="000000"/>
                <w:sz w:val="24"/>
                <w:szCs w:val="20"/>
                <w:u w:val="wave"/>
              </w:rPr>
              <w:t>：</w:t>
            </w:r>
            <w:r>
              <w:rPr>
                <w:rFonts w:cs="宋体"/>
                <w:color w:val="000000"/>
                <w:sz w:val="24"/>
                <w:szCs w:val="20"/>
                <w:u w:val="wave"/>
              </w:rPr>
              <w:t>砂石料堆场的面积，m</w:t>
            </w:r>
            <w:r>
              <w:rPr>
                <w:rFonts w:cs="宋体"/>
                <w:color w:val="000000"/>
                <w:sz w:val="24"/>
                <w:szCs w:val="20"/>
                <w:u w:val="wave"/>
                <w:vertAlign w:val="superscript"/>
              </w:rPr>
              <w:t>2</w:t>
            </w:r>
            <w:r>
              <w:rPr>
                <w:rFonts w:cs="宋体"/>
                <w:color w:val="000000"/>
                <w:sz w:val="24"/>
                <w:szCs w:val="20"/>
                <w:u w:val="wave"/>
              </w:rPr>
              <w:t>，</w:t>
            </w:r>
            <w:r>
              <w:rPr>
                <w:rFonts w:hint="eastAsia" w:cs="宋体"/>
                <w:color w:val="000000"/>
                <w:sz w:val="24"/>
                <w:szCs w:val="20"/>
                <w:u w:val="wave"/>
              </w:rPr>
              <w:t>本</w:t>
            </w:r>
            <w:r>
              <w:rPr>
                <w:rFonts w:cs="宋体"/>
                <w:color w:val="000000"/>
                <w:sz w:val="24"/>
                <w:szCs w:val="20"/>
                <w:u w:val="wave"/>
              </w:rPr>
              <w:t>项目砂石堆场面积为</w:t>
            </w:r>
            <w:r>
              <w:rPr>
                <w:rFonts w:hint="eastAsia" w:cs="宋体"/>
                <w:color w:val="000000"/>
                <w:sz w:val="24"/>
                <w:szCs w:val="20"/>
                <w:u w:val="wave"/>
              </w:rPr>
              <w:t>2016</w:t>
            </w:r>
            <w:r>
              <w:rPr>
                <w:rFonts w:cs="宋体"/>
                <w:color w:val="000000"/>
                <w:sz w:val="24"/>
                <w:szCs w:val="20"/>
                <w:u w:val="wave"/>
              </w:rPr>
              <w:t>m</w:t>
            </w:r>
            <w:r>
              <w:rPr>
                <w:rFonts w:cs="宋体"/>
                <w:color w:val="000000"/>
                <w:sz w:val="24"/>
                <w:szCs w:val="20"/>
                <w:u w:val="wave"/>
                <w:vertAlign w:val="superscript"/>
              </w:rPr>
              <w:t>2</w:t>
            </w:r>
          </w:p>
          <w:p>
            <w:pPr>
              <w:pStyle w:val="35"/>
              <w:spacing w:after="0" w:line="360" w:lineRule="auto"/>
              <w:ind w:firstLine="480" w:firstLineChars="200"/>
              <w:jc w:val="both"/>
              <w:rPr>
                <w:rFonts w:ascii="Times New Roman" w:cs="Times New Roman"/>
                <w:u w:val="wave"/>
              </w:rPr>
            </w:pPr>
            <w:r>
              <w:rPr>
                <w:rFonts w:hint="eastAsia" w:ascii="Times New Roman"/>
                <w:kern w:val="2"/>
                <w:szCs w:val="20"/>
                <w:u w:val="wave"/>
              </w:rPr>
              <w:t>经</w:t>
            </w:r>
            <w:r>
              <w:rPr>
                <w:rFonts w:ascii="Times New Roman"/>
                <w:kern w:val="2"/>
                <w:szCs w:val="20"/>
                <w:u w:val="wave"/>
              </w:rPr>
              <w:t>计算</w:t>
            </w:r>
            <w:r>
              <w:rPr>
                <w:rFonts w:hint="eastAsia" w:ascii="Times New Roman"/>
                <w:kern w:val="2"/>
                <w:szCs w:val="20"/>
                <w:u w:val="wave"/>
              </w:rPr>
              <w:t>，本</w:t>
            </w:r>
            <w:r>
              <w:rPr>
                <w:rFonts w:ascii="Times New Roman"/>
                <w:kern w:val="2"/>
                <w:szCs w:val="20"/>
                <w:u w:val="wave"/>
              </w:rPr>
              <w:t>项目砂石堆场</w:t>
            </w:r>
            <w:r>
              <w:rPr>
                <w:rFonts w:hint="eastAsia" w:ascii="Times New Roman"/>
                <w:kern w:val="2"/>
                <w:szCs w:val="20"/>
                <w:u w:val="wave"/>
              </w:rPr>
              <w:t>风力扬尘</w:t>
            </w:r>
            <w:r>
              <w:rPr>
                <w:rFonts w:ascii="Times New Roman"/>
                <w:kern w:val="2"/>
                <w:szCs w:val="20"/>
                <w:u w:val="wave"/>
              </w:rPr>
              <w:t>产生量为</w:t>
            </w:r>
            <w:r>
              <w:rPr>
                <w:rFonts w:hint="eastAsia" w:ascii="Times New Roman"/>
                <w:kern w:val="2"/>
                <w:szCs w:val="20"/>
                <w:u w:val="wave"/>
              </w:rPr>
              <w:t>0.85mg/s，0.007t</w:t>
            </w:r>
            <w:r>
              <w:rPr>
                <w:rFonts w:ascii="Times New Roman"/>
                <w:kern w:val="2"/>
                <w:szCs w:val="20"/>
                <w:u w:val="wave"/>
              </w:rPr>
              <w:t>/</w:t>
            </w:r>
            <w:r>
              <w:rPr>
                <w:rFonts w:hint="eastAsia" w:ascii="Times New Roman"/>
                <w:kern w:val="2"/>
                <w:szCs w:val="20"/>
                <w:u w:val="wave"/>
              </w:rPr>
              <w:t>a。原料堆场布设喷淋洒水设施，能保证喷头洒水面积覆盖整个堆场，</w:t>
            </w:r>
            <w:r>
              <w:rPr>
                <w:rFonts w:ascii="Times New Roman" w:cs="Times New Roman"/>
                <w:color w:val="auto"/>
                <w:u w:val="wave"/>
                <w:lang w:bidi="ar"/>
              </w:rPr>
              <w:t>降尘</w:t>
            </w:r>
            <w:r>
              <w:rPr>
                <w:rFonts w:ascii="Times New Roman" w:cs="Times New Roman"/>
                <w:color w:val="auto"/>
                <w:u w:val="wave"/>
                <w:lang w:val="zh-CN" w:bidi="ar"/>
              </w:rPr>
              <w:t>效率</w:t>
            </w:r>
            <w:r>
              <w:rPr>
                <w:rFonts w:ascii="Times New Roman" w:cs="Times New Roman"/>
                <w:color w:val="auto"/>
                <w:u w:val="wave"/>
                <w:lang w:bidi="ar"/>
              </w:rPr>
              <w:t>约</w:t>
            </w:r>
            <w:r>
              <w:rPr>
                <w:rFonts w:ascii="Times New Roman" w:cs="Times New Roman"/>
                <w:color w:val="auto"/>
                <w:u w:val="wave"/>
                <w:lang w:val="zh-CN" w:bidi="ar"/>
              </w:rPr>
              <w:t>达</w:t>
            </w:r>
            <w:r>
              <w:rPr>
                <w:rFonts w:ascii="Times New Roman" w:cs="Times New Roman"/>
                <w:color w:val="auto"/>
                <w:u w:val="wave"/>
                <w:lang w:bidi="ar"/>
              </w:rPr>
              <w:t>70</w:t>
            </w:r>
            <w:r>
              <w:rPr>
                <w:rFonts w:ascii="Times New Roman" w:cs="Times New Roman"/>
                <w:color w:val="auto"/>
                <w:u w:val="wave"/>
                <w:lang w:val="zh-CN" w:bidi="ar"/>
              </w:rPr>
              <w:t>%，</w:t>
            </w:r>
            <w:r>
              <w:rPr>
                <w:rFonts w:ascii="Times New Roman" w:cs="Times New Roman"/>
                <w:color w:val="auto"/>
                <w:u w:val="wave"/>
                <w:lang w:bidi="ar"/>
              </w:rPr>
              <w:t>则</w:t>
            </w:r>
            <w:r>
              <w:rPr>
                <w:rFonts w:ascii="Times New Roman" w:cs="Times New Roman"/>
                <w:u w:val="wave"/>
              </w:rPr>
              <w:t>粉尘排放量为0.</w:t>
            </w:r>
            <w:r>
              <w:rPr>
                <w:rFonts w:hint="eastAsia" w:ascii="Times New Roman" w:cs="Times New Roman"/>
                <w:u w:val="wave"/>
              </w:rPr>
              <w:t>002</w:t>
            </w:r>
            <w:r>
              <w:rPr>
                <w:rFonts w:ascii="Times New Roman" w:cs="Times New Roman"/>
                <w:u w:val="wave"/>
              </w:rPr>
              <w:t>t/a，年工作2400小时，排放速率为0.</w:t>
            </w:r>
            <w:r>
              <w:rPr>
                <w:rFonts w:hint="eastAsia" w:ascii="Times New Roman" w:cs="Times New Roman"/>
                <w:u w:val="wave"/>
              </w:rPr>
              <w:t>0008</w:t>
            </w:r>
            <w:r>
              <w:rPr>
                <w:rFonts w:ascii="Times New Roman" w:cs="Times New Roman"/>
                <w:u w:val="wave"/>
              </w:rPr>
              <w:t>kg/h。</w:t>
            </w:r>
          </w:p>
          <w:p>
            <w:pPr>
              <w:pStyle w:val="35"/>
              <w:spacing w:after="0" w:line="360" w:lineRule="auto"/>
              <w:ind w:firstLine="480" w:firstLineChars="200"/>
              <w:jc w:val="both"/>
              <w:rPr>
                <w:rFonts w:ascii="Times New Roman" w:cs="Times New Roman"/>
                <w:u w:val="wave"/>
              </w:rPr>
            </w:pPr>
            <w:r>
              <w:rPr>
                <w:rFonts w:hint="eastAsia" w:ascii="Times New Roman" w:cs="Times New Roman"/>
                <w:u w:val="wave"/>
              </w:rPr>
              <w:t>3</w:t>
            </w:r>
            <w:r>
              <w:rPr>
                <w:rFonts w:ascii="Times New Roman" w:cs="Times New Roman"/>
                <w:u w:val="wave"/>
              </w:rPr>
              <w:t>）运输扬尘及汽车尾气（G7、G8）</w:t>
            </w:r>
          </w:p>
          <w:p>
            <w:pPr>
              <w:spacing w:after="0" w:line="360" w:lineRule="auto"/>
              <w:ind w:firstLine="480" w:firstLineChars="200"/>
              <w:rPr>
                <w:sz w:val="24"/>
                <w:u w:val="wave"/>
              </w:rPr>
            </w:pPr>
            <w:r>
              <w:rPr>
                <w:sz w:val="24"/>
                <w:u w:val="wave"/>
              </w:rPr>
              <w:t>本项目汽车运输时会产生车辆尾气，主要污染物为CO、SO</w:t>
            </w:r>
            <w:r>
              <w:rPr>
                <w:sz w:val="24"/>
                <w:u w:val="wave"/>
                <w:vertAlign w:val="subscript"/>
              </w:rPr>
              <w:t>2</w:t>
            </w:r>
            <w:r>
              <w:rPr>
                <w:sz w:val="24"/>
                <w:u w:val="wave"/>
              </w:rPr>
              <w:t>、NOx，项目运输车辆尾气排放量较少，且经大气稀释、扩散以及周边植物吸收后，对区域大气环境影响极小，故不做定量分析。</w:t>
            </w:r>
          </w:p>
          <w:p>
            <w:pPr>
              <w:pStyle w:val="49"/>
              <w:spacing w:after="0" w:line="360" w:lineRule="auto"/>
              <w:ind w:firstLine="480"/>
              <w:rPr>
                <w:rFonts w:cs="宋体"/>
                <w:u w:val="wave"/>
              </w:rPr>
            </w:pPr>
            <w:r>
              <w:rPr>
                <w:rFonts w:hint="eastAsia" w:cs="宋体"/>
                <w:u w:val="wave"/>
              </w:rPr>
              <w:t>本项目在汽车运输过程中会产生扬尘，</w:t>
            </w:r>
            <w:r>
              <w:rPr>
                <w:rFonts w:cs="宋体"/>
                <w:u w:val="wave"/>
              </w:rPr>
              <w:t>在道路完全干燥的情况下，车辆行驶产生的扬尘可按下列经验公式计算：</w:t>
            </w:r>
          </w:p>
          <w:p>
            <w:pPr>
              <w:pStyle w:val="50"/>
              <w:spacing w:after="0" w:line="360" w:lineRule="auto"/>
              <w:rPr>
                <w:u w:val="wave"/>
              </w:rPr>
            </w:pPr>
            <w:r>
              <w:rPr>
                <w:u w:val="wave"/>
              </w:rPr>
              <w:drawing>
                <wp:inline distT="0" distB="0" distL="114300" distR="114300">
                  <wp:extent cx="1951990" cy="414655"/>
                  <wp:effectExtent l="0" t="0" r="0" b="444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1"/>
                          <a:stretch>
                            <a:fillRect/>
                          </a:stretch>
                        </pic:blipFill>
                        <pic:spPr>
                          <a:xfrm>
                            <a:off x="0" y="0"/>
                            <a:ext cx="1951990" cy="414655"/>
                          </a:xfrm>
                          <a:prstGeom prst="rect">
                            <a:avLst/>
                          </a:prstGeom>
                          <a:noFill/>
                          <a:ln>
                            <a:noFill/>
                          </a:ln>
                        </pic:spPr>
                      </pic:pic>
                    </a:graphicData>
                  </a:graphic>
                </wp:inline>
              </w:drawing>
            </w:r>
          </w:p>
          <w:p>
            <w:pPr>
              <w:pStyle w:val="49"/>
              <w:spacing w:after="0" w:line="360" w:lineRule="auto"/>
              <w:ind w:firstLine="480"/>
              <w:rPr>
                <w:rFonts w:cs="宋体"/>
                <w:u w:val="wave"/>
              </w:rPr>
            </w:pPr>
            <w:r>
              <w:rPr>
                <w:rFonts w:cs="宋体"/>
                <w:u w:val="wave"/>
              </w:rPr>
              <w:t>式中：Q：汽车行驶时的扬尘，kg/km</w:t>
            </w:r>
            <w:r>
              <w:rPr>
                <w:rFonts w:hint="eastAsia" w:cs="宋体"/>
                <w:u w:val="wave"/>
              </w:rPr>
              <w:t>·</w:t>
            </w:r>
            <w:r>
              <w:rPr>
                <w:rFonts w:cs="宋体"/>
                <w:u w:val="wave"/>
              </w:rPr>
              <w:t>辆；</w:t>
            </w:r>
          </w:p>
          <w:p>
            <w:pPr>
              <w:pStyle w:val="49"/>
              <w:spacing w:after="0" w:line="360" w:lineRule="auto"/>
              <w:ind w:firstLine="480"/>
              <w:rPr>
                <w:rFonts w:cs="宋体"/>
                <w:u w:val="wave"/>
              </w:rPr>
            </w:pPr>
            <w:r>
              <w:rPr>
                <w:rFonts w:cs="宋体"/>
                <w:u w:val="wave"/>
              </w:rPr>
              <w:t xml:space="preserve">      V：汽车速度，km/h；</w:t>
            </w:r>
          </w:p>
          <w:p>
            <w:pPr>
              <w:pStyle w:val="49"/>
              <w:spacing w:after="0" w:line="360" w:lineRule="auto"/>
              <w:ind w:firstLine="480"/>
              <w:rPr>
                <w:rFonts w:cs="宋体"/>
                <w:u w:val="wave"/>
              </w:rPr>
            </w:pPr>
            <w:r>
              <w:rPr>
                <w:rFonts w:cs="宋体"/>
                <w:u w:val="wave"/>
              </w:rPr>
              <w:t xml:space="preserve">      W：汽车载重量，t；</w:t>
            </w:r>
          </w:p>
          <w:p>
            <w:pPr>
              <w:pStyle w:val="49"/>
              <w:spacing w:after="0" w:line="360" w:lineRule="auto"/>
              <w:ind w:firstLine="480"/>
              <w:rPr>
                <w:rFonts w:cs="宋体"/>
                <w:u w:val="wave"/>
              </w:rPr>
            </w:pPr>
            <w:r>
              <w:rPr>
                <w:rFonts w:cs="宋体"/>
                <w:u w:val="wave"/>
              </w:rPr>
              <w:t xml:space="preserve">      P：道路表面粉尘量，k</w:t>
            </w:r>
            <w:r>
              <w:rPr>
                <w:rFonts w:hint="eastAsia" w:cs="宋体"/>
                <w:u w:val="wave"/>
              </w:rPr>
              <w:t>g</w:t>
            </w:r>
            <w:r>
              <w:rPr>
                <w:rFonts w:cs="宋体"/>
                <w:u w:val="wave"/>
              </w:rPr>
              <w:t>/m</w:t>
            </w:r>
            <w:r>
              <w:rPr>
                <w:rFonts w:cs="宋体"/>
                <w:u w:val="wave"/>
                <w:vertAlign w:val="superscript"/>
              </w:rPr>
              <w:t>2</w:t>
            </w:r>
            <w:r>
              <w:rPr>
                <w:rFonts w:cs="宋体"/>
                <w:u w:val="wave"/>
              </w:rPr>
              <w:t>。</w:t>
            </w:r>
          </w:p>
          <w:p>
            <w:pPr>
              <w:pStyle w:val="49"/>
              <w:spacing w:after="0"/>
              <w:ind w:firstLine="480"/>
              <w:rPr>
                <w:rFonts w:cs="宋体"/>
                <w:u w:val="wave"/>
              </w:rPr>
            </w:pPr>
            <w:r>
              <w:rPr>
                <w:rFonts w:hint="eastAsia" w:cs="宋体"/>
                <w:u w:val="wave"/>
              </w:rPr>
              <w:t>在本项目区域内行驶的车辆主要为原料运输车和产品运输车，原料运输车</w:t>
            </w:r>
            <w:r>
              <w:rPr>
                <w:rFonts w:cs="宋体"/>
                <w:u w:val="wave"/>
              </w:rPr>
              <w:t>平均每天发车</w:t>
            </w:r>
            <w:r>
              <w:rPr>
                <w:rFonts w:hint="eastAsia" w:cs="宋体"/>
                <w:u w:val="wave"/>
              </w:rPr>
              <w:t>60</w:t>
            </w:r>
            <w:r>
              <w:rPr>
                <w:rFonts w:cs="宋体"/>
                <w:u w:val="wave"/>
              </w:rPr>
              <w:t>辆</w:t>
            </w:r>
            <w:r>
              <w:rPr>
                <w:rFonts w:hint="eastAsia" w:cs="宋体"/>
                <w:u w:val="wave"/>
              </w:rPr>
              <w:t>，载重约4</w:t>
            </w:r>
            <w:r>
              <w:rPr>
                <w:rFonts w:cs="宋体"/>
                <w:u w:val="wave"/>
              </w:rPr>
              <w:t>0t，在厂区内行驶距离</w:t>
            </w:r>
            <w:r>
              <w:rPr>
                <w:rFonts w:hint="eastAsia" w:cs="宋体"/>
                <w:u w:val="wave"/>
              </w:rPr>
              <w:t>为150</w:t>
            </w:r>
            <w:r>
              <w:rPr>
                <w:rFonts w:cs="宋体"/>
                <w:u w:val="wave"/>
              </w:rPr>
              <w:t>m</w:t>
            </w:r>
            <w:r>
              <w:rPr>
                <w:rFonts w:hint="eastAsia" w:cs="宋体"/>
                <w:u w:val="wave"/>
              </w:rPr>
              <w:t>；产品运输车</w:t>
            </w:r>
            <w:r>
              <w:rPr>
                <w:rFonts w:cs="宋体"/>
                <w:u w:val="wave"/>
              </w:rPr>
              <w:t>平均每天发车</w:t>
            </w:r>
            <w:r>
              <w:rPr>
                <w:rFonts w:hint="eastAsia" w:cs="宋体"/>
                <w:u w:val="wave"/>
              </w:rPr>
              <w:t>160</w:t>
            </w:r>
            <w:r>
              <w:rPr>
                <w:rFonts w:cs="宋体"/>
                <w:u w:val="wave"/>
              </w:rPr>
              <w:t>辆</w:t>
            </w:r>
            <w:r>
              <w:rPr>
                <w:rFonts w:hint="eastAsia" w:cs="宋体"/>
                <w:u w:val="wave"/>
              </w:rPr>
              <w:t>，载重</w:t>
            </w:r>
            <w:r>
              <w:rPr>
                <w:rFonts w:cs="宋体"/>
                <w:u w:val="wave"/>
              </w:rPr>
              <w:t>约30t，在厂区内行驶距离</w:t>
            </w:r>
            <w:r>
              <w:rPr>
                <w:rFonts w:hint="eastAsia" w:cs="宋体"/>
                <w:u w:val="wave"/>
              </w:rPr>
              <w:t>为15</w:t>
            </w:r>
            <w:r>
              <w:rPr>
                <w:rFonts w:cs="宋体"/>
                <w:u w:val="wave"/>
              </w:rPr>
              <w:t>0m</w:t>
            </w:r>
            <w:r>
              <w:rPr>
                <w:rFonts w:hint="eastAsia" w:cs="宋体"/>
                <w:u w:val="wave"/>
              </w:rPr>
              <w:t>。</w:t>
            </w:r>
            <w:r>
              <w:rPr>
                <w:rFonts w:cs="宋体"/>
                <w:u w:val="wave"/>
              </w:rPr>
              <w:t>道路表面粉尘量</w:t>
            </w:r>
            <w:r>
              <w:rPr>
                <w:rFonts w:hint="eastAsia" w:cs="宋体"/>
                <w:u w:val="wave"/>
              </w:rPr>
              <w:t>为0.1kg/m</w:t>
            </w:r>
            <w:r>
              <w:rPr>
                <w:rFonts w:hint="eastAsia" w:cs="宋体"/>
                <w:u w:val="wave"/>
                <w:vertAlign w:val="superscript"/>
              </w:rPr>
              <w:t>2</w:t>
            </w:r>
            <w:r>
              <w:rPr>
                <w:rFonts w:hint="eastAsia" w:cs="宋体"/>
                <w:u w:val="wave"/>
              </w:rPr>
              <w:t>，车辆行驶速度均为20</w:t>
            </w:r>
            <w:r>
              <w:rPr>
                <w:rFonts w:cs="宋体"/>
                <w:u w:val="wave"/>
              </w:rPr>
              <w:t>km/h</w:t>
            </w:r>
            <w:r>
              <w:rPr>
                <w:rFonts w:hint="eastAsia" w:cs="宋体"/>
                <w:u w:val="wave"/>
              </w:rPr>
              <w:t>。</w:t>
            </w:r>
          </w:p>
          <w:p>
            <w:pPr>
              <w:pStyle w:val="49"/>
              <w:spacing w:after="0" w:line="360" w:lineRule="auto"/>
              <w:ind w:firstLine="480"/>
              <w:rPr>
                <w:rFonts w:cs="宋体"/>
                <w:u w:val="wave"/>
              </w:rPr>
            </w:pPr>
            <w:r>
              <w:rPr>
                <w:rFonts w:hint="eastAsia" w:cs="宋体"/>
                <w:u w:val="wave"/>
              </w:rPr>
              <w:t>经计算，在</w:t>
            </w:r>
            <w:r>
              <w:rPr>
                <w:rFonts w:cs="宋体"/>
                <w:u w:val="wave"/>
              </w:rPr>
              <w:t>道路表面粉尘量</w:t>
            </w:r>
            <w:r>
              <w:rPr>
                <w:rFonts w:hint="eastAsia" w:cs="宋体"/>
                <w:u w:val="wave"/>
              </w:rPr>
              <w:t>为0.1kg/m</w:t>
            </w:r>
            <w:r>
              <w:rPr>
                <w:rFonts w:hint="eastAsia" w:cs="宋体"/>
                <w:u w:val="wave"/>
                <w:vertAlign w:val="superscript"/>
              </w:rPr>
              <w:t>2</w:t>
            </w:r>
            <w:r>
              <w:rPr>
                <w:rFonts w:hint="eastAsia" w:cs="宋体"/>
                <w:u w:val="wave"/>
              </w:rPr>
              <w:t>情况下，</w:t>
            </w:r>
            <w:r>
              <w:rPr>
                <w:rFonts w:cs="宋体"/>
                <w:u w:val="wave"/>
              </w:rPr>
              <w:t>本项目场内车辆扬尘</w:t>
            </w:r>
            <w:r>
              <w:rPr>
                <w:rFonts w:hint="eastAsia" w:cs="宋体"/>
                <w:u w:val="wave"/>
              </w:rPr>
              <w:t>产生</w:t>
            </w:r>
            <w:r>
              <w:rPr>
                <w:rFonts w:cs="宋体"/>
                <w:u w:val="wave"/>
              </w:rPr>
              <w:t>量约</w:t>
            </w:r>
            <w:r>
              <w:rPr>
                <w:rFonts w:hint="eastAsia" w:cs="宋体"/>
                <w:u w:val="wave"/>
              </w:rPr>
              <w:t>9.11</w:t>
            </w:r>
            <w:r>
              <w:rPr>
                <w:rFonts w:cs="宋体"/>
                <w:u w:val="wave"/>
              </w:rPr>
              <w:t>t/a。</w:t>
            </w:r>
            <w:r>
              <w:rPr>
                <w:rFonts w:hint="eastAsia" w:cs="宋体"/>
                <w:u w:val="wave"/>
              </w:rPr>
              <w:t>本评价要求建设单位加强</w:t>
            </w:r>
            <w:r>
              <w:rPr>
                <w:rFonts w:cs="宋体"/>
                <w:u w:val="wave"/>
              </w:rPr>
              <w:t>对车辆</w:t>
            </w:r>
            <w:r>
              <w:rPr>
                <w:rFonts w:hint="eastAsia" w:cs="宋体"/>
                <w:u w:val="wave"/>
              </w:rPr>
              <w:t>的管理和调度，要求车辆减速慢行；每天对</w:t>
            </w:r>
            <w:r>
              <w:rPr>
                <w:rFonts w:cs="宋体"/>
                <w:u w:val="wave"/>
              </w:rPr>
              <w:t>路面洒水抑尘4~5次</w:t>
            </w:r>
            <w:r>
              <w:rPr>
                <w:rFonts w:hint="eastAsia" w:cs="宋体"/>
                <w:u w:val="wave"/>
              </w:rPr>
              <w:t>，并依据扬尘产生情况增加洒水次数；加强绿化建设，在厂区和厂界设置绿化带，种植常绿、阔叶的树木。在采取以上措施的情况下，可降低</w:t>
            </w:r>
            <w:r>
              <w:rPr>
                <w:rFonts w:cs="宋体"/>
                <w:u w:val="wave"/>
              </w:rPr>
              <w:t>道路表面粉尘量</w:t>
            </w:r>
            <w:r>
              <w:rPr>
                <w:rFonts w:hint="eastAsia" w:cs="宋体"/>
                <w:u w:val="wave"/>
              </w:rPr>
              <w:t>，</w:t>
            </w:r>
            <w:r>
              <w:rPr>
                <w:rFonts w:cs="宋体"/>
                <w:u w:val="wave"/>
              </w:rPr>
              <w:t>使</w:t>
            </w:r>
            <w:r>
              <w:rPr>
                <w:rFonts w:hint="eastAsia" w:cs="宋体"/>
                <w:u w:val="wave"/>
              </w:rPr>
              <w:t>车辆</w:t>
            </w:r>
            <w:r>
              <w:rPr>
                <w:rFonts w:cs="宋体"/>
                <w:u w:val="wave"/>
              </w:rPr>
              <w:t>扬尘减少</w:t>
            </w:r>
            <w:r>
              <w:rPr>
                <w:rFonts w:hint="eastAsia" w:cs="宋体"/>
                <w:u w:val="wave"/>
              </w:rPr>
              <w:t>8</w:t>
            </w:r>
            <w:r>
              <w:rPr>
                <w:rFonts w:cs="宋体"/>
                <w:u w:val="wave"/>
              </w:rPr>
              <w:t>0%，</w:t>
            </w:r>
            <w:r>
              <w:rPr>
                <w:rFonts w:hint="eastAsia" w:cs="宋体"/>
                <w:u w:val="wave"/>
              </w:rPr>
              <w:t>则</w:t>
            </w:r>
            <w:r>
              <w:rPr>
                <w:rFonts w:cs="宋体"/>
                <w:u w:val="wave"/>
              </w:rPr>
              <w:t>车辆扬尘排放量约</w:t>
            </w:r>
            <w:r>
              <w:rPr>
                <w:rFonts w:hint="eastAsia" w:cs="宋体"/>
                <w:u w:val="wave"/>
              </w:rPr>
              <w:t>1.82</w:t>
            </w:r>
            <w:r>
              <w:rPr>
                <w:rFonts w:cs="宋体"/>
                <w:u w:val="wave"/>
              </w:rPr>
              <w:t>t/a</w:t>
            </w:r>
            <w:r>
              <w:rPr>
                <w:rFonts w:hint="eastAsia" w:cs="宋体"/>
                <w:u w:val="wave"/>
              </w:rPr>
              <w:t>（0.76kg/h）</w:t>
            </w:r>
            <w:r>
              <w:rPr>
                <w:rFonts w:cs="宋体"/>
                <w:u w:val="wave"/>
              </w:rPr>
              <w:t>。</w:t>
            </w:r>
          </w:p>
          <w:p>
            <w:pPr>
              <w:pStyle w:val="35"/>
              <w:spacing w:after="0" w:line="360" w:lineRule="auto"/>
              <w:ind w:firstLine="480" w:firstLineChars="200"/>
              <w:jc w:val="both"/>
              <w:rPr>
                <w:rFonts w:ascii="Times New Roman" w:cs="Times New Roman"/>
              </w:rPr>
            </w:pPr>
            <w:r>
              <w:rPr>
                <w:rFonts w:hint="eastAsia" w:ascii="Times New Roman" w:cs="Times New Roman"/>
              </w:rPr>
              <w:t>4</w:t>
            </w:r>
            <w:r>
              <w:rPr>
                <w:rFonts w:ascii="Times New Roman" w:cs="Times New Roman"/>
              </w:rPr>
              <w:t>）柴油发电机废气</w:t>
            </w:r>
          </w:p>
          <w:p>
            <w:pPr>
              <w:pStyle w:val="35"/>
              <w:spacing w:after="0" w:line="360" w:lineRule="auto"/>
              <w:ind w:firstLine="480" w:firstLineChars="200"/>
              <w:jc w:val="both"/>
              <w:rPr>
                <w:rFonts w:ascii="Times New Roman" w:cs="Times New Roman"/>
              </w:rPr>
            </w:pPr>
            <w:r>
              <w:rPr>
                <w:rFonts w:ascii="Times New Roman" w:cs="Times New Roman"/>
              </w:rPr>
              <w:t>本项目备用电源为柴油发电机，年使用量及使用时间较少，故不进行定量分析。</w:t>
            </w:r>
          </w:p>
          <w:p>
            <w:pPr>
              <w:pStyle w:val="16"/>
              <w:spacing w:after="0" w:line="360" w:lineRule="auto"/>
              <w:rPr>
                <w:sz w:val="24"/>
              </w:rPr>
            </w:pPr>
            <w:r>
              <w:rPr>
                <w:rFonts w:hint="eastAsia"/>
                <w:sz w:val="24"/>
              </w:rPr>
              <w:t>5）柴油储罐</w:t>
            </w:r>
          </w:p>
          <w:p>
            <w:pPr>
              <w:widowControl/>
              <w:spacing w:after="0" w:line="360" w:lineRule="auto"/>
              <w:ind w:firstLine="480" w:firstLineChars="200"/>
              <w:jc w:val="left"/>
              <w:rPr>
                <w:sz w:val="24"/>
              </w:rPr>
            </w:pPr>
            <w:r>
              <w:rPr>
                <w:rFonts w:hint="eastAsia"/>
                <w:sz w:val="24"/>
              </w:rPr>
              <w:t>本项目设有一个柴油储罐，用于车辆加油，年使用量为100t/a。车辆在加油过程中会产生少量NMHC，年使用量较少，</w:t>
            </w:r>
            <w:r>
              <w:rPr>
                <w:sz w:val="24"/>
              </w:rPr>
              <w:t>经大气稀释、扩散以及周边植物吸收后，对区域大气环境影响</w:t>
            </w:r>
            <w:r>
              <w:rPr>
                <w:rFonts w:hint="eastAsia"/>
                <w:sz w:val="24"/>
              </w:rPr>
              <w:t>较</w:t>
            </w:r>
            <w:r>
              <w:rPr>
                <w:sz w:val="24"/>
              </w:rPr>
              <w:t>小</w:t>
            </w:r>
            <w:r>
              <w:rPr>
                <w:rFonts w:hint="eastAsia"/>
                <w:sz w:val="24"/>
              </w:rPr>
              <w:t>，故不进行定量分析。</w:t>
            </w:r>
          </w:p>
          <w:p>
            <w:pPr>
              <w:pStyle w:val="49"/>
              <w:spacing w:after="0" w:line="360" w:lineRule="auto"/>
              <w:ind w:firstLine="480"/>
            </w:pPr>
            <w:r>
              <w:rPr>
                <w:rFonts w:hint="eastAsia"/>
              </w:rPr>
              <w:t>（3）食堂油烟</w:t>
            </w:r>
          </w:p>
          <w:p>
            <w:pPr>
              <w:pStyle w:val="49"/>
              <w:spacing w:after="0" w:line="360" w:lineRule="auto"/>
              <w:ind w:firstLine="480"/>
              <w:rPr>
                <w:rFonts w:cs="宋体"/>
              </w:rPr>
            </w:pPr>
            <w:r>
              <w:rPr>
                <w:rFonts w:hint="eastAsia" w:cs="宋体"/>
              </w:rPr>
              <w:t>项目员工定员约28人，</w:t>
            </w:r>
            <w:r>
              <w:rPr>
                <w:rFonts w:cs="宋体"/>
              </w:rPr>
              <w:t>一日供应两餐，设有一个食堂，</w:t>
            </w:r>
            <w:r>
              <w:rPr>
                <w:rFonts w:hint="eastAsia" w:cs="宋体"/>
              </w:rPr>
              <w:t>2</w:t>
            </w:r>
            <w:r>
              <w:rPr>
                <w:rFonts w:cs="宋体"/>
              </w:rPr>
              <w:t>个灶台，使用时间为3h/d，使用液化石油气作燃料。根据建设单位提供的资料及类比同类型项目，人均日使用食用油约30g/cap.d，一般油烟挥发量占使用量的2.5%，则项目油烟产生总量约为</w:t>
            </w:r>
            <w:r>
              <w:rPr>
                <w:rFonts w:hint="eastAsia" w:cs="宋体"/>
              </w:rPr>
              <w:t>21</w:t>
            </w:r>
            <w:r>
              <w:rPr>
                <w:rFonts w:cs="宋体"/>
              </w:rPr>
              <w:t>g/d，</w:t>
            </w:r>
            <w:r>
              <w:rPr>
                <w:rFonts w:hint="eastAsia" w:cs="宋体"/>
              </w:rPr>
              <w:t>6.3</w:t>
            </w:r>
            <w:r>
              <w:rPr>
                <w:rFonts w:cs="宋体"/>
              </w:rPr>
              <w:t>kg/a。拟在员工食堂安装油烟净化器，油烟净化器总排风量为</w:t>
            </w:r>
            <w:r>
              <w:rPr>
                <w:rFonts w:hint="eastAsia" w:cs="宋体"/>
              </w:rPr>
              <w:t>4</w:t>
            </w:r>
            <w:r>
              <w:rPr>
                <w:rFonts w:cs="宋体"/>
              </w:rPr>
              <w:t>000m³/h，油烟净化率为60%，则油烟废气排放量为</w:t>
            </w:r>
            <w:r>
              <w:rPr>
                <w:rFonts w:hint="eastAsia" w:cs="宋体"/>
              </w:rPr>
              <w:t>3.78</w:t>
            </w:r>
            <w:r>
              <w:rPr>
                <w:rFonts w:cs="宋体"/>
              </w:rPr>
              <w:t>kg/a，排放浓度为0</w:t>
            </w:r>
            <w:r>
              <w:rPr>
                <w:rFonts w:hint="eastAsia" w:cs="宋体"/>
              </w:rPr>
              <w:t>.39</w:t>
            </w:r>
            <w:r>
              <w:rPr>
                <w:rFonts w:cs="宋体"/>
              </w:rPr>
              <w:t>mg/m³。</w:t>
            </w:r>
          </w:p>
          <w:p>
            <w:pPr>
              <w:pStyle w:val="49"/>
              <w:spacing w:after="0" w:line="360" w:lineRule="auto"/>
              <w:ind w:firstLine="480"/>
              <w:rPr>
                <w:u w:val="wave"/>
              </w:rPr>
            </w:pPr>
            <w:r>
              <w:rPr>
                <w:rFonts w:hint="eastAsia"/>
                <w:u w:val="wave"/>
              </w:rPr>
              <w:t>（4）物料平衡</w:t>
            </w:r>
          </w:p>
          <w:p>
            <w:pPr>
              <w:pStyle w:val="49"/>
              <w:spacing w:after="0" w:line="360" w:lineRule="auto"/>
              <w:ind w:firstLine="480"/>
              <w:rPr>
                <w:u w:val="wave"/>
              </w:rPr>
            </w:pPr>
            <w:r>
              <w:rPr>
                <w:u w:val="wave"/>
              </w:rPr>
              <w:t>项目</w:t>
            </w:r>
            <w:r>
              <w:rPr>
                <w:rFonts w:hint="eastAsia"/>
                <w:u w:val="wave"/>
              </w:rPr>
              <w:t>物料平衡</w:t>
            </w:r>
            <w:r>
              <w:rPr>
                <w:u w:val="wave"/>
              </w:rPr>
              <w:t>情况见下表。</w:t>
            </w:r>
          </w:p>
          <w:p>
            <w:pPr>
              <w:snapToGrid w:val="0"/>
              <w:spacing w:after="0" w:line="240" w:lineRule="auto"/>
              <w:contextualSpacing/>
              <w:jc w:val="center"/>
              <w:rPr>
                <w:b/>
                <w:sz w:val="24"/>
                <w:szCs w:val="20"/>
                <w:u w:val="wave"/>
              </w:rPr>
            </w:pPr>
            <w:r>
              <w:rPr>
                <w:b/>
                <w:sz w:val="24"/>
                <w:szCs w:val="20"/>
                <w:u w:val="wave"/>
              </w:rPr>
              <w:t>表5-</w:t>
            </w:r>
            <w:r>
              <w:rPr>
                <w:rFonts w:hint="eastAsia"/>
                <w:b/>
                <w:sz w:val="24"/>
                <w:szCs w:val="20"/>
                <w:u w:val="wave"/>
              </w:rPr>
              <w:t>3</w:t>
            </w:r>
            <w:r>
              <w:rPr>
                <w:b/>
                <w:sz w:val="24"/>
                <w:szCs w:val="20"/>
                <w:u w:val="wave"/>
              </w:rPr>
              <w:t xml:space="preserve">   项目物料平衡一览表</w:t>
            </w:r>
            <w:r>
              <w:rPr>
                <w:rFonts w:hint="eastAsia"/>
                <w:b/>
                <w:sz w:val="24"/>
                <w:szCs w:val="20"/>
                <w:u w:val="wave"/>
              </w:rPr>
              <w:t xml:space="preserve">  单位：t</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6"/>
              <w:gridCol w:w="1536"/>
              <w:gridCol w:w="1372"/>
              <w:gridCol w:w="1265"/>
              <w:gridCol w:w="2373"/>
              <w:gridCol w:w="129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2276" w:type="pct"/>
                  <w:gridSpan w:val="3"/>
                  <w:vAlign w:val="center"/>
                </w:tcPr>
                <w:p>
                  <w:pPr>
                    <w:widowControl/>
                    <w:adjustRightInd w:val="0"/>
                    <w:snapToGrid w:val="0"/>
                    <w:spacing w:after="0" w:line="240" w:lineRule="auto"/>
                    <w:jc w:val="center"/>
                    <w:rPr>
                      <w:b/>
                      <w:bCs/>
                      <w:color w:val="000000"/>
                      <w:kern w:val="0"/>
                      <w:szCs w:val="21"/>
                      <w:u w:val="wave"/>
                    </w:rPr>
                  </w:pPr>
                  <w:r>
                    <w:rPr>
                      <w:b/>
                      <w:bCs/>
                      <w:color w:val="000000"/>
                      <w:kern w:val="0"/>
                      <w:szCs w:val="21"/>
                      <w:u w:val="wave"/>
                    </w:rPr>
                    <w:t>投入</w:t>
                  </w:r>
                </w:p>
              </w:tc>
              <w:tc>
                <w:tcPr>
                  <w:tcW w:w="2723" w:type="pct"/>
                  <w:gridSpan w:val="3"/>
                  <w:vAlign w:val="center"/>
                </w:tcPr>
                <w:p>
                  <w:pPr>
                    <w:widowControl/>
                    <w:adjustRightInd w:val="0"/>
                    <w:snapToGrid w:val="0"/>
                    <w:spacing w:after="0" w:line="240" w:lineRule="auto"/>
                    <w:jc w:val="center"/>
                    <w:rPr>
                      <w:b/>
                      <w:bCs/>
                      <w:color w:val="000000"/>
                      <w:kern w:val="0"/>
                      <w:szCs w:val="21"/>
                      <w:u w:val="wave"/>
                    </w:rPr>
                  </w:pPr>
                  <w:r>
                    <w:rPr>
                      <w:b/>
                      <w:bCs/>
                      <w:color w:val="000000"/>
                      <w:kern w:val="0"/>
                      <w:szCs w:val="21"/>
                      <w:u w:val="wave"/>
                    </w:rPr>
                    <w:t>产出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30" w:hRule="atLeast"/>
                <w:jc w:val="center"/>
              </w:trPr>
              <w:tc>
                <w:tcPr>
                  <w:tcW w:w="671" w:type="pct"/>
                  <w:vAlign w:val="center"/>
                </w:tcPr>
                <w:p>
                  <w:pPr>
                    <w:widowControl/>
                    <w:adjustRightInd w:val="0"/>
                    <w:snapToGrid w:val="0"/>
                    <w:spacing w:after="0" w:line="240" w:lineRule="auto"/>
                    <w:jc w:val="center"/>
                    <w:rPr>
                      <w:b/>
                      <w:bCs/>
                      <w:color w:val="000000"/>
                      <w:kern w:val="0"/>
                      <w:szCs w:val="21"/>
                      <w:u w:val="wave"/>
                    </w:rPr>
                  </w:pPr>
                  <w:r>
                    <w:rPr>
                      <w:b/>
                      <w:bCs/>
                      <w:color w:val="000000"/>
                      <w:kern w:val="0"/>
                      <w:szCs w:val="21"/>
                      <w:u w:val="wave"/>
                    </w:rPr>
                    <w:t>来源</w:t>
                  </w:r>
                </w:p>
              </w:tc>
              <w:tc>
                <w:tcPr>
                  <w:tcW w:w="847" w:type="pct"/>
                  <w:vAlign w:val="center"/>
                </w:tcPr>
                <w:p>
                  <w:pPr>
                    <w:widowControl/>
                    <w:adjustRightInd w:val="0"/>
                    <w:snapToGrid w:val="0"/>
                    <w:spacing w:after="0" w:line="240" w:lineRule="auto"/>
                    <w:jc w:val="center"/>
                    <w:rPr>
                      <w:b/>
                      <w:bCs/>
                      <w:color w:val="000000"/>
                      <w:kern w:val="0"/>
                      <w:szCs w:val="21"/>
                      <w:u w:val="wave"/>
                    </w:rPr>
                  </w:pPr>
                  <w:r>
                    <w:rPr>
                      <w:b/>
                      <w:bCs/>
                      <w:color w:val="000000"/>
                      <w:kern w:val="0"/>
                      <w:szCs w:val="21"/>
                      <w:u w:val="wave"/>
                    </w:rPr>
                    <w:t>名称</w:t>
                  </w:r>
                </w:p>
              </w:tc>
              <w:tc>
                <w:tcPr>
                  <w:tcW w:w="757" w:type="pct"/>
                  <w:tcBorders>
                    <w:bottom w:val="single" w:color="auto" w:sz="4" w:space="0"/>
                  </w:tcBorders>
                  <w:vAlign w:val="center"/>
                </w:tcPr>
                <w:p>
                  <w:pPr>
                    <w:widowControl/>
                    <w:adjustRightInd w:val="0"/>
                    <w:snapToGrid w:val="0"/>
                    <w:spacing w:after="0" w:line="240" w:lineRule="auto"/>
                    <w:jc w:val="center"/>
                    <w:rPr>
                      <w:b/>
                      <w:bCs/>
                      <w:color w:val="000000"/>
                      <w:kern w:val="0"/>
                      <w:szCs w:val="21"/>
                      <w:u w:val="wave"/>
                    </w:rPr>
                  </w:pPr>
                  <w:r>
                    <w:rPr>
                      <w:b/>
                      <w:bCs/>
                      <w:color w:val="000000"/>
                      <w:kern w:val="0"/>
                      <w:szCs w:val="21"/>
                      <w:u w:val="wave"/>
                    </w:rPr>
                    <w:t>数量</w:t>
                  </w:r>
                </w:p>
              </w:tc>
              <w:tc>
                <w:tcPr>
                  <w:tcW w:w="698" w:type="pct"/>
                  <w:tcBorders>
                    <w:bottom w:val="single" w:color="auto" w:sz="4" w:space="0"/>
                  </w:tcBorders>
                  <w:vAlign w:val="center"/>
                </w:tcPr>
                <w:p>
                  <w:pPr>
                    <w:widowControl/>
                    <w:adjustRightInd w:val="0"/>
                    <w:snapToGrid w:val="0"/>
                    <w:spacing w:after="0" w:line="240" w:lineRule="auto"/>
                    <w:jc w:val="center"/>
                    <w:rPr>
                      <w:b/>
                      <w:bCs/>
                      <w:color w:val="000000"/>
                      <w:kern w:val="0"/>
                      <w:szCs w:val="21"/>
                      <w:u w:val="wave"/>
                    </w:rPr>
                  </w:pPr>
                  <w:r>
                    <w:rPr>
                      <w:b/>
                      <w:bCs/>
                      <w:color w:val="000000"/>
                      <w:kern w:val="0"/>
                      <w:szCs w:val="21"/>
                      <w:u w:val="wave"/>
                    </w:rPr>
                    <w:t>去向</w:t>
                  </w:r>
                </w:p>
              </w:tc>
              <w:tc>
                <w:tcPr>
                  <w:tcW w:w="1309" w:type="pct"/>
                  <w:tcBorders>
                    <w:bottom w:val="single" w:color="auto" w:sz="4" w:space="0"/>
                  </w:tcBorders>
                  <w:vAlign w:val="center"/>
                </w:tcPr>
                <w:p>
                  <w:pPr>
                    <w:widowControl/>
                    <w:adjustRightInd w:val="0"/>
                    <w:snapToGrid w:val="0"/>
                    <w:spacing w:after="0" w:line="240" w:lineRule="auto"/>
                    <w:jc w:val="center"/>
                    <w:rPr>
                      <w:b/>
                      <w:bCs/>
                      <w:color w:val="000000"/>
                      <w:kern w:val="0"/>
                      <w:szCs w:val="21"/>
                      <w:u w:val="wave"/>
                    </w:rPr>
                  </w:pPr>
                  <w:r>
                    <w:rPr>
                      <w:b/>
                      <w:bCs/>
                      <w:color w:val="000000"/>
                      <w:kern w:val="0"/>
                      <w:szCs w:val="21"/>
                      <w:u w:val="wave"/>
                    </w:rPr>
                    <w:t>名称</w:t>
                  </w:r>
                </w:p>
              </w:tc>
              <w:tc>
                <w:tcPr>
                  <w:tcW w:w="714" w:type="pct"/>
                  <w:tcBorders>
                    <w:bottom w:val="single" w:color="auto" w:sz="4" w:space="0"/>
                  </w:tcBorders>
                  <w:vAlign w:val="center"/>
                </w:tcPr>
                <w:p>
                  <w:pPr>
                    <w:widowControl/>
                    <w:adjustRightInd w:val="0"/>
                    <w:snapToGrid w:val="0"/>
                    <w:spacing w:after="0" w:line="240" w:lineRule="auto"/>
                    <w:jc w:val="center"/>
                    <w:rPr>
                      <w:b/>
                      <w:bCs/>
                      <w:color w:val="000000"/>
                      <w:kern w:val="0"/>
                      <w:szCs w:val="21"/>
                      <w:u w:val="wave"/>
                    </w:rPr>
                  </w:pPr>
                  <w:r>
                    <w:rPr>
                      <w:b/>
                      <w:bCs/>
                      <w:color w:val="000000"/>
                      <w:kern w:val="0"/>
                      <w:szCs w:val="21"/>
                      <w:u w:val="wave"/>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671" w:type="pct"/>
                  <w:vMerge w:val="restart"/>
                  <w:vAlign w:val="center"/>
                </w:tcPr>
                <w:p>
                  <w:pPr>
                    <w:widowControl/>
                    <w:adjustRightInd w:val="0"/>
                    <w:snapToGrid w:val="0"/>
                    <w:spacing w:after="0" w:line="240" w:lineRule="auto"/>
                    <w:jc w:val="center"/>
                    <w:rPr>
                      <w:color w:val="000000"/>
                      <w:kern w:val="0"/>
                      <w:szCs w:val="21"/>
                      <w:u w:val="wave"/>
                    </w:rPr>
                  </w:pPr>
                  <w:r>
                    <w:rPr>
                      <w:color w:val="000000"/>
                      <w:kern w:val="0"/>
                      <w:szCs w:val="21"/>
                      <w:u w:val="wave"/>
                    </w:rPr>
                    <w:t>原辅材料</w:t>
                  </w:r>
                </w:p>
              </w:tc>
              <w:tc>
                <w:tcPr>
                  <w:tcW w:w="847" w:type="pct"/>
                  <w:vAlign w:val="center"/>
                </w:tcPr>
                <w:p>
                  <w:pPr>
                    <w:autoSpaceDE w:val="0"/>
                    <w:autoSpaceDN w:val="0"/>
                    <w:adjustRightInd w:val="0"/>
                    <w:spacing w:after="0"/>
                    <w:jc w:val="center"/>
                    <w:rPr>
                      <w:szCs w:val="21"/>
                      <w:u w:val="wave"/>
                    </w:rPr>
                  </w:pPr>
                  <w:r>
                    <w:rPr>
                      <w:rFonts w:hint="eastAsia"/>
                      <w:szCs w:val="21"/>
                      <w:u w:val="wave"/>
                    </w:rPr>
                    <w:t>水泥</w:t>
                  </w:r>
                </w:p>
              </w:tc>
              <w:tc>
                <w:tcPr>
                  <w:tcW w:w="757" w:type="pct"/>
                  <w:vAlign w:val="center"/>
                </w:tcPr>
                <w:p>
                  <w:pPr>
                    <w:autoSpaceDE w:val="0"/>
                    <w:autoSpaceDN w:val="0"/>
                    <w:adjustRightInd w:val="0"/>
                    <w:spacing w:after="0"/>
                    <w:jc w:val="center"/>
                    <w:rPr>
                      <w:szCs w:val="21"/>
                      <w:u w:val="wave"/>
                    </w:rPr>
                  </w:pPr>
                  <w:r>
                    <w:rPr>
                      <w:rFonts w:hint="eastAsia"/>
                      <w:szCs w:val="21"/>
                      <w:u w:val="wave"/>
                    </w:rPr>
                    <w:t>100000</w:t>
                  </w:r>
                </w:p>
              </w:tc>
              <w:tc>
                <w:tcPr>
                  <w:tcW w:w="698" w:type="pct"/>
                  <w:vAlign w:val="center"/>
                </w:tcPr>
                <w:p>
                  <w:pPr>
                    <w:adjustRightInd w:val="0"/>
                    <w:snapToGrid w:val="0"/>
                    <w:spacing w:after="0" w:line="240" w:lineRule="auto"/>
                    <w:jc w:val="center"/>
                    <w:rPr>
                      <w:color w:val="000000"/>
                      <w:kern w:val="0"/>
                      <w:szCs w:val="21"/>
                      <w:u w:val="wave"/>
                    </w:rPr>
                  </w:pPr>
                  <w:r>
                    <w:rPr>
                      <w:color w:val="000000"/>
                      <w:kern w:val="0"/>
                      <w:szCs w:val="21"/>
                      <w:u w:val="wave"/>
                    </w:rPr>
                    <w:t>产</w:t>
                  </w:r>
                  <w:r>
                    <w:rPr>
                      <w:rFonts w:hint="eastAsia"/>
                      <w:color w:val="000000"/>
                      <w:kern w:val="0"/>
                      <w:szCs w:val="21"/>
                      <w:u w:val="wave"/>
                    </w:rPr>
                    <w:t>品</w:t>
                  </w:r>
                </w:p>
              </w:tc>
              <w:tc>
                <w:tcPr>
                  <w:tcW w:w="1309" w:type="pct"/>
                  <w:vAlign w:val="center"/>
                </w:tcPr>
                <w:p>
                  <w:pPr>
                    <w:adjustRightInd w:val="0"/>
                    <w:snapToGrid w:val="0"/>
                    <w:spacing w:after="0" w:line="240" w:lineRule="auto"/>
                    <w:jc w:val="center"/>
                    <w:rPr>
                      <w:color w:val="000000"/>
                      <w:kern w:val="0"/>
                      <w:szCs w:val="21"/>
                      <w:u w:val="wave"/>
                    </w:rPr>
                  </w:pPr>
                  <w:r>
                    <w:rPr>
                      <w:rFonts w:hint="eastAsia"/>
                      <w:color w:val="000000"/>
                      <w:kern w:val="0"/>
                      <w:szCs w:val="21"/>
                      <w:u w:val="wave"/>
                    </w:rPr>
                    <w:t>混凝土</w:t>
                  </w:r>
                </w:p>
              </w:tc>
              <w:tc>
                <w:tcPr>
                  <w:tcW w:w="714" w:type="pct"/>
                  <w:vAlign w:val="center"/>
                </w:tcPr>
                <w:p>
                  <w:pPr>
                    <w:spacing w:after="0" w:line="240" w:lineRule="auto"/>
                    <w:jc w:val="center"/>
                    <w:rPr>
                      <w:color w:val="000000"/>
                      <w:szCs w:val="20"/>
                      <w:u w:val="wave"/>
                    </w:rPr>
                  </w:pPr>
                  <w:r>
                    <w:rPr>
                      <w:rFonts w:hint="eastAsia"/>
                      <w:color w:val="000000"/>
                      <w:szCs w:val="20"/>
                      <w:u w:val="wave"/>
                    </w:rPr>
                    <w:t>500000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671" w:type="pct"/>
                  <w:vMerge w:val="continue"/>
                  <w:vAlign w:val="center"/>
                </w:tcPr>
                <w:p>
                  <w:pPr>
                    <w:adjustRightInd w:val="0"/>
                    <w:snapToGrid w:val="0"/>
                    <w:spacing w:after="0" w:line="240" w:lineRule="auto"/>
                    <w:jc w:val="center"/>
                    <w:rPr>
                      <w:color w:val="000000"/>
                      <w:kern w:val="0"/>
                      <w:szCs w:val="21"/>
                      <w:u w:val="wave"/>
                    </w:rPr>
                  </w:pPr>
                </w:p>
              </w:tc>
              <w:tc>
                <w:tcPr>
                  <w:tcW w:w="847" w:type="pct"/>
                  <w:vAlign w:val="center"/>
                </w:tcPr>
                <w:p>
                  <w:pPr>
                    <w:autoSpaceDE w:val="0"/>
                    <w:autoSpaceDN w:val="0"/>
                    <w:adjustRightInd w:val="0"/>
                    <w:spacing w:after="0"/>
                    <w:jc w:val="center"/>
                    <w:rPr>
                      <w:szCs w:val="21"/>
                      <w:u w:val="wave"/>
                    </w:rPr>
                  </w:pPr>
                  <w:r>
                    <w:rPr>
                      <w:rFonts w:hint="eastAsia"/>
                      <w:szCs w:val="21"/>
                      <w:u w:val="wave"/>
                    </w:rPr>
                    <w:t>机制砂</w:t>
                  </w:r>
                </w:p>
              </w:tc>
              <w:tc>
                <w:tcPr>
                  <w:tcW w:w="757" w:type="pct"/>
                  <w:vAlign w:val="center"/>
                </w:tcPr>
                <w:p>
                  <w:pPr>
                    <w:autoSpaceDE w:val="0"/>
                    <w:autoSpaceDN w:val="0"/>
                    <w:adjustRightInd w:val="0"/>
                    <w:spacing w:after="0"/>
                    <w:jc w:val="center"/>
                    <w:rPr>
                      <w:szCs w:val="21"/>
                      <w:u w:val="wave"/>
                    </w:rPr>
                  </w:pPr>
                  <w:r>
                    <w:rPr>
                      <w:rFonts w:hint="eastAsia"/>
                      <w:szCs w:val="21"/>
                      <w:u w:val="wave"/>
                    </w:rPr>
                    <w:t>180000</w:t>
                  </w:r>
                </w:p>
              </w:tc>
              <w:tc>
                <w:tcPr>
                  <w:tcW w:w="698" w:type="pct"/>
                  <w:vAlign w:val="center"/>
                </w:tcPr>
                <w:p>
                  <w:pPr>
                    <w:widowControl/>
                    <w:adjustRightInd w:val="0"/>
                    <w:snapToGrid w:val="0"/>
                    <w:spacing w:after="0" w:line="240" w:lineRule="auto"/>
                    <w:jc w:val="center"/>
                    <w:rPr>
                      <w:color w:val="000000"/>
                      <w:kern w:val="0"/>
                      <w:szCs w:val="21"/>
                      <w:u w:val="wave"/>
                    </w:rPr>
                  </w:pPr>
                  <w:r>
                    <w:rPr>
                      <w:rFonts w:hint="eastAsia"/>
                      <w:color w:val="000000"/>
                      <w:kern w:val="0"/>
                      <w:szCs w:val="21"/>
                      <w:u w:val="wave"/>
                    </w:rPr>
                    <w:t>固废</w:t>
                  </w:r>
                </w:p>
              </w:tc>
              <w:tc>
                <w:tcPr>
                  <w:tcW w:w="1309" w:type="pct"/>
                  <w:vAlign w:val="center"/>
                </w:tcPr>
                <w:p>
                  <w:pPr>
                    <w:widowControl/>
                    <w:adjustRightInd w:val="0"/>
                    <w:snapToGrid w:val="0"/>
                    <w:spacing w:after="0" w:line="240" w:lineRule="auto"/>
                    <w:jc w:val="center"/>
                    <w:rPr>
                      <w:color w:val="000000"/>
                      <w:kern w:val="0"/>
                      <w:szCs w:val="21"/>
                      <w:u w:val="wave"/>
                    </w:rPr>
                  </w:pPr>
                  <w:r>
                    <w:rPr>
                      <w:rFonts w:hint="eastAsia"/>
                      <w:color w:val="000000"/>
                      <w:kern w:val="0"/>
                      <w:szCs w:val="21"/>
                      <w:u w:val="wave"/>
                    </w:rPr>
                    <w:t>试验废料</w:t>
                  </w:r>
                </w:p>
              </w:tc>
              <w:tc>
                <w:tcPr>
                  <w:tcW w:w="714" w:type="pct"/>
                  <w:vAlign w:val="center"/>
                </w:tcPr>
                <w:p>
                  <w:pPr>
                    <w:spacing w:after="0" w:line="240" w:lineRule="auto"/>
                    <w:jc w:val="center"/>
                    <w:rPr>
                      <w:color w:val="000000"/>
                      <w:szCs w:val="20"/>
                      <w:u w:val="wave"/>
                    </w:rPr>
                  </w:pPr>
                  <w:r>
                    <w:rPr>
                      <w:rFonts w:hint="eastAsia"/>
                      <w:color w:val="000000"/>
                      <w:szCs w:val="20"/>
                      <w:u w:val="wave"/>
                    </w:rPr>
                    <w:t>150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671" w:type="pct"/>
                  <w:vMerge w:val="continue"/>
                  <w:vAlign w:val="center"/>
                </w:tcPr>
                <w:p>
                  <w:pPr>
                    <w:adjustRightInd w:val="0"/>
                    <w:snapToGrid w:val="0"/>
                    <w:spacing w:after="0" w:line="240" w:lineRule="auto"/>
                    <w:jc w:val="center"/>
                    <w:rPr>
                      <w:color w:val="000000"/>
                      <w:kern w:val="0"/>
                      <w:szCs w:val="21"/>
                      <w:u w:val="wave"/>
                    </w:rPr>
                  </w:pPr>
                </w:p>
              </w:tc>
              <w:tc>
                <w:tcPr>
                  <w:tcW w:w="847" w:type="pct"/>
                  <w:vAlign w:val="center"/>
                </w:tcPr>
                <w:p>
                  <w:pPr>
                    <w:autoSpaceDE w:val="0"/>
                    <w:autoSpaceDN w:val="0"/>
                    <w:adjustRightInd w:val="0"/>
                    <w:spacing w:after="0"/>
                    <w:jc w:val="center"/>
                    <w:rPr>
                      <w:szCs w:val="21"/>
                      <w:u w:val="wave"/>
                    </w:rPr>
                  </w:pPr>
                  <w:r>
                    <w:rPr>
                      <w:rFonts w:hint="eastAsia"/>
                      <w:szCs w:val="21"/>
                      <w:u w:val="wave"/>
                    </w:rPr>
                    <w:t>碎石</w:t>
                  </w:r>
                </w:p>
              </w:tc>
              <w:tc>
                <w:tcPr>
                  <w:tcW w:w="757" w:type="pct"/>
                  <w:vAlign w:val="center"/>
                </w:tcPr>
                <w:p>
                  <w:pPr>
                    <w:autoSpaceDE w:val="0"/>
                    <w:autoSpaceDN w:val="0"/>
                    <w:adjustRightInd w:val="0"/>
                    <w:spacing w:after="0"/>
                    <w:jc w:val="center"/>
                    <w:rPr>
                      <w:szCs w:val="21"/>
                      <w:u w:val="wave"/>
                    </w:rPr>
                  </w:pPr>
                  <w:r>
                    <w:rPr>
                      <w:rFonts w:hint="eastAsia"/>
                      <w:szCs w:val="21"/>
                      <w:u w:val="wave"/>
                    </w:rPr>
                    <w:t>2</w:t>
                  </w:r>
                  <w:r>
                    <w:rPr>
                      <w:szCs w:val="21"/>
                      <w:u w:val="wave"/>
                    </w:rPr>
                    <w:t>13</w:t>
                  </w:r>
                  <w:r>
                    <w:rPr>
                      <w:rFonts w:hint="eastAsia"/>
                      <w:szCs w:val="21"/>
                      <w:u w:val="wave"/>
                    </w:rPr>
                    <w:t>000</w:t>
                  </w:r>
                </w:p>
              </w:tc>
              <w:tc>
                <w:tcPr>
                  <w:tcW w:w="698" w:type="pct"/>
                  <w:vMerge w:val="restart"/>
                  <w:vAlign w:val="center"/>
                </w:tcPr>
                <w:p>
                  <w:pPr>
                    <w:adjustRightInd w:val="0"/>
                    <w:snapToGrid w:val="0"/>
                    <w:spacing w:after="0" w:line="240" w:lineRule="auto"/>
                    <w:jc w:val="center"/>
                    <w:rPr>
                      <w:color w:val="000000"/>
                      <w:kern w:val="0"/>
                      <w:szCs w:val="21"/>
                      <w:u w:val="wave"/>
                    </w:rPr>
                  </w:pPr>
                  <w:r>
                    <w:rPr>
                      <w:kern w:val="0"/>
                      <w:szCs w:val="21"/>
                      <w:u w:val="wave"/>
                    </w:rPr>
                    <w:t>废气</w:t>
                  </w:r>
                </w:p>
              </w:tc>
              <w:tc>
                <w:tcPr>
                  <w:tcW w:w="1309" w:type="pct"/>
                  <w:tcBorders>
                    <w:bottom w:val="single" w:color="auto" w:sz="4" w:space="0"/>
                  </w:tcBorders>
                  <w:vAlign w:val="center"/>
                </w:tcPr>
                <w:p>
                  <w:pPr>
                    <w:adjustRightInd w:val="0"/>
                    <w:snapToGrid w:val="0"/>
                    <w:spacing w:after="0" w:line="240" w:lineRule="auto"/>
                    <w:jc w:val="center"/>
                    <w:rPr>
                      <w:color w:val="000000"/>
                      <w:kern w:val="0"/>
                      <w:szCs w:val="21"/>
                      <w:u w:val="wave"/>
                    </w:rPr>
                  </w:pPr>
                  <w:r>
                    <w:rPr>
                      <w:rFonts w:hint="eastAsia"/>
                      <w:color w:val="000000"/>
                      <w:kern w:val="0"/>
                      <w:szCs w:val="21"/>
                      <w:u w:val="wave"/>
                    </w:rPr>
                    <w:t>水泥筒仓产生的粉尘量</w:t>
                  </w:r>
                </w:p>
              </w:tc>
              <w:tc>
                <w:tcPr>
                  <w:tcW w:w="714" w:type="pct"/>
                  <w:tcBorders>
                    <w:bottom w:val="single" w:color="auto" w:sz="4" w:space="0"/>
                  </w:tcBorders>
                  <w:vAlign w:val="center"/>
                </w:tcPr>
                <w:p>
                  <w:pPr>
                    <w:spacing w:after="0" w:line="240" w:lineRule="auto"/>
                    <w:jc w:val="center"/>
                    <w:rPr>
                      <w:rFonts w:hint="default" w:eastAsia="宋体"/>
                      <w:color w:val="000000"/>
                      <w:szCs w:val="20"/>
                      <w:u w:val="wave"/>
                      <w:lang w:val="en-US" w:eastAsia="zh-CN"/>
                    </w:rPr>
                  </w:pPr>
                  <w:r>
                    <w:rPr>
                      <w:rFonts w:hint="eastAsia"/>
                      <w:color w:val="000000"/>
                      <w:szCs w:val="20"/>
                      <w:u w:val="wav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 w:hRule="atLeast"/>
                <w:jc w:val="center"/>
              </w:trPr>
              <w:tc>
                <w:tcPr>
                  <w:tcW w:w="671" w:type="pct"/>
                  <w:vMerge w:val="continue"/>
                  <w:vAlign w:val="center"/>
                </w:tcPr>
                <w:p>
                  <w:pPr>
                    <w:adjustRightInd w:val="0"/>
                    <w:snapToGrid w:val="0"/>
                    <w:spacing w:after="0" w:line="240" w:lineRule="auto"/>
                    <w:jc w:val="center"/>
                    <w:rPr>
                      <w:color w:val="000000"/>
                      <w:kern w:val="0"/>
                      <w:szCs w:val="21"/>
                      <w:u w:val="wave"/>
                    </w:rPr>
                  </w:pPr>
                </w:p>
              </w:tc>
              <w:tc>
                <w:tcPr>
                  <w:tcW w:w="847" w:type="pct"/>
                  <w:vAlign w:val="center"/>
                </w:tcPr>
                <w:p>
                  <w:pPr>
                    <w:autoSpaceDE w:val="0"/>
                    <w:autoSpaceDN w:val="0"/>
                    <w:adjustRightInd w:val="0"/>
                    <w:spacing w:after="0"/>
                    <w:jc w:val="center"/>
                    <w:rPr>
                      <w:szCs w:val="21"/>
                      <w:u w:val="wave"/>
                    </w:rPr>
                  </w:pPr>
                  <w:r>
                    <w:rPr>
                      <w:rFonts w:hint="eastAsia"/>
                      <w:szCs w:val="21"/>
                      <w:u w:val="wave"/>
                    </w:rPr>
                    <w:t>粉煤灰</w:t>
                  </w:r>
                </w:p>
              </w:tc>
              <w:tc>
                <w:tcPr>
                  <w:tcW w:w="757" w:type="pct"/>
                  <w:vAlign w:val="center"/>
                </w:tcPr>
                <w:p>
                  <w:pPr>
                    <w:autoSpaceDE w:val="0"/>
                    <w:autoSpaceDN w:val="0"/>
                    <w:adjustRightInd w:val="0"/>
                    <w:spacing w:after="0"/>
                    <w:jc w:val="center"/>
                    <w:rPr>
                      <w:szCs w:val="21"/>
                      <w:u w:val="wave"/>
                    </w:rPr>
                  </w:pPr>
                  <w:r>
                    <w:rPr>
                      <w:rFonts w:hint="eastAsia"/>
                      <w:szCs w:val="21"/>
                      <w:u w:val="wave"/>
                    </w:rPr>
                    <w:t>4000</w:t>
                  </w:r>
                </w:p>
              </w:tc>
              <w:tc>
                <w:tcPr>
                  <w:tcW w:w="698" w:type="pct"/>
                  <w:vMerge w:val="continue"/>
                  <w:vAlign w:val="center"/>
                </w:tcPr>
                <w:p>
                  <w:pPr>
                    <w:adjustRightInd w:val="0"/>
                    <w:snapToGrid w:val="0"/>
                    <w:spacing w:after="0" w:line="240" w:lineRule="auto"/>
                    <w:jc w:val="center"/>
                    <w:rPr>
                      <w:color w:val="000000"/>
                      <w:kern w:val="0"/>
                      <w:szCs w:val="21"/>
                      <w:u w:val="wave"/>
                    </w:rPr>
                  </w:pPr>
                </w:p>
              </w:tc>
              <w:tc>
                <w:tcPr>
                  <w:tcW w:w="1309" w:type="pct"/>
                  <w:tcBorders>
                    <w:top w:val="single" w:color="auto" w:sz="4" w:space="0"/>
                  </w:tcBorders>
                  <w:vAlign w:val="center"/>
                </w:tcPr>
                <w:p>
                  <w:pPr>
                    <w:widowControl/>
                    <w:adjustRightInd w:val="0"/>
                    <w:snapToGrid w:val="0"/>
                    <w:spacing w:after="0" w:line="240" w:lineRule="auto"/>
                    <w:jc w:val="center"/>
                    <w:rPr>
                      <w:kern w:val="0"/>
                      <w:szCs w:val="21"/>
                      <w:u w:val="wave"/>
                    </w:rPr>
                  </w:pPr>
                  <w:r>
                    <w:rPr>
                      <w:rFonts w:hint="eastAsia"/>
                      <w:color w:val="000000"/>
                      <w:kern w:val="0"/>
                      <w:szCs w:val="21"/>
                      <w:u w:val="wave"/>
                    </w:rPr>
                    <w:t>粉煤灰筒仓产生的粉尘量</w:t>
                  </w:r>
                </w:p>
              </w:tc>
              <w:tc>
                <w:tcPr>
                  <w:tcW w:w="714" w:type="pct"/>
                  <w:tcBorders>
                    <w:top w:val="single" w:color="auto" w:sz="4" w:space="0"/>
                  </w:tcBorders>
                  <w:vAlign w:val="center"/>
                </w:tcPr>
                <w:p>
                  <w:pPr>
                    <w:spacing w:after="0" w:line="240" w:lineRule="auto"/>
                    <w:jc w:val="center"/>
                    <w:rPr>
                      <w:rFonts w:hint="default" w:eastAsia="宋体"/>
                      <w:color w:val="000000"/>
                      <w:szCs w:val="20"/>
                      <w:u w:val="wave"/>
                      <w:lang w:val="en-US" w:eastAsia="zh-CN"/>
                    </w:rPr>
                  </w:pPr>
                  <w:r>
                    <w:rPr>
                      <w:rFonts w:hint="eastAsia"/>
                      <w:color w:val="000000"/>
                      <w:szCs w:val="20"/>
                      <w:u w:val="wav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671" w:type="pct"/>
                  <w:vMerge w:val="continue"/>
                  <w:vAlign w:val="center"/>
                </w:tcPr>
                <w:p>
                  <w:pPr>
                    <w:widowControl/>
                    <w:adjustRightInd w:val="0"/>
                    <w:snapToGrid w:val="0"/>
                    <w:spacing w:after="0" w:line="240" w:lineRule="auto"/>
                    <w:jc w:val="center"/>
                    <w:rPr>
                      <w:color w:val="000000"/>
                      <w:kern w:val="0"/>
                      <w:szCs w:val="21"/>
                      <w:u w:val="wave"/>
                    </w:rPr>
                  </w:pPr>
                </w:p>
              </w:tc>
              <w:tc>
                <w:tcPr>
                  <w:tcW w:w="847" w:type="pct"/>
                  <w:vAlign w:val="center"/>
                </w:tcPr>
                <w:p>
                  <w:pPr>
                    <w:autoSpaceDE w:val="0"/>
                    <w:autoSpaceDN w:val="0"/>
                    <w:adjustRightInd w:val="0"/>
                    <w:spacing w:after="0"/>
                    <w:jc w:val="center"/>
                    <w:rPr>
                      <w:szCs w:val="21"/>
                      <w:u w:val="wave"/>
                    </w:rPr>
                  </w:pPr>
                  <w:r>
                    <w:rPr>
                      <w:rFonts w:hint="eastAsia"/>
                      <w:szCs w:val="21"/>
                      <w:u w:val="wave"/>
                    </w:rPr>
                    <w:t>外加剂</w:t>
                  </w:r>
                </w:p>
              </w:tc>
              <w:tc>
                <w:tcPr>
                  <w:tcW w:w="757" w:type="pct"/>
                  <w:vAlign w:val="center"/>
                </w:tcPr>
                <w:p>
                  <w:pPr>
                    <w:autoSpaceDE w:val="0"/>
                    <w:autoSpaceDN w:val="0"/>
                    <w:adjustRightInd w:val="0"/>
                    <w:spacing w:after="0"/>
                    <w:jc w:val="center"/>
                    <w:rPr>
                      <w:rFonts w:hint="default" w:eastAsia="宋体"/>
                      <w:szCs w:val="21"/>
                      <w:u w:val="wave"/>
                      <w:lang w:val="en-US" w:eastAsia="zh-CN"/>
                    </w:rPr>
                  </w:pPr>
                  <w:r>
                    <w:rPr>
                      <w:rFonts w:hint="eastAsia"/>
                      <w:szCs w:val="21"/>
                      <w:u w:val="wave"/>
                      <w:lang w:val="en-US" w:eastAsia="zh-CN"/>
                    </w:rPr>
                    <w:t>1302.34</w:t>
                  </w:r>
                </w:p>
              </w:tc>
              <w:tc>
                <w:tcPr>
                  <w:tcW w:w="698" w:type="pct"/>
                  <w:vMerge w:val="continue"/>
                  <w:vAlign w:val="center"/>
                </w:tcPr>
                <w:p>
                  <w:pPr>
                    <w:widowControl/>
                    <w:adjustRightInd w:val="0"/>
                    <w:snapToGrid w:val="0"/>
                    <w:spacing w:after="0" w:line="240" w:lineRule="auto"/>
                    <w:jc w:val="center"/>
                    <w:rPr>
                      <w:kern w:val="0"/>
                      <w:szCs w:val="21"/>
                      <w:u w:val="wave"/>
                    </w:rPr>
                  </w:pPr>
                </w:p>
              </w:tc>
              <w:tc>
                <w:tcPr>
                  <w:tcW w:w="1309" w:type="pct"/>
                  <w:vAlign w:val="center"/>
                </w:tcPr>
                <w:p>
                  <w:pPr>
                    <w:widowControl/>
                    <w:adjustRightInd w:val="0"/>
                    <w:snapToGrid w:val="0"/>
                    <w:spacing w:after="0" w:line="240" w:lineRule="auto"/>
                    <w:jc w:val="center"/>
                    <w:rPr>
                      <w:kern w:val="0"/>
                      <w:szCs w:val="21"/>
                      <w:u w:val="wave"/>
                    </w:rPr>
                  </w:pPr>
                  <w:r>
                    <w:rPr>
                      <w:rFonts w:hint="eastAsia"/>
                      <w:kern w:val="0"/>
                      <w:szCs w:val="21"/>
                      <w:u w:val="wave"/>
                    </w:rPr>
                    <w:t>中联180线排气筒产生的粉尘量</w:t>
                  </w:r>
                </w:p>
              </w:tc>
              <w:tc>
                <w:tcPr>
                  <w:tcW w:w="714" w:type="pct"/>
                  <w:vAlign w:val="center"/>
                </w:tcPr>
                <w:p>
                  <w:pPr>
                    <w:spacing w:after="0" w:line="240" w:lineRule="auto"/>
                    <w:jc w:val="center"/>
                    <w:rPr>
                      <w:rFonts w:hint="default" w:eastAsia="宋体"/>
                      <w:szCs w:val="20"/>
                      <w:u w:val="wave"/>
                      <w:lang w:val="en-US" w:eastAsia="zh-CN"/>
                    </w:rPr>
                  </w:pPr>
                  <w:r>
                    <w:rPr>
                      <w:rFonts w:hint="eastAsia"/>
                      <w:szCs w:val="20"/>
                      <w:u w:val="wave"/>
                      <w:lang w:val="en-US" w:eastAsia="zh-CN"/>
                    </w:rPr>
                    <w:t>7.73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671" w:type="pct"/>
                  <w:vMerge w:val="continue"/>
                  <w:vAlign w:val="center"/>
                </w:tcPr>
                <w:p>
                  <w:pPr>
                    <w:widowControl/>
                    <w:adjustRightInd w:val="0"/>
                    <w:snapToGrid w:val="0"/>
                    <w:spacing w:after="0" w:line="240" w:lineRule="auto"/>
                    <w:jc w:val="center"/>
                    <w:rPr>
                      <w:color w:val="000000"/>
                      <w:kern w:val="0"/>
                      <w:szCs w:val="21"/>
                      <w:u w:val="wave"/>
                    </w:rPr>
                  </w:pPr>
                </w:p>
              </w:tc>
              <w:tc>
                <w:tcPr>
                  <w:tcW w:w="847" w:type="pct"/>
                  <w:vAlign w:val="center"/>
                </w:tcPr>
                <w:p>
                  <w:pPr>
                    <w:autoSpaceDE w:val="0"/>
                    <w:autoSpaceDN w:val="0"/>
                    <w:adjustRightInd w:val="0"/>
                    <w:spacing w:after="0"/>
                    <w:jc w:val="center"/>
                    <w:rPr>
                      <w:szCs w:val="21"/>
                      <w:u w:val="wave"/>
                    </w:rPr>
                  </w:pPr>
                  <w:r>
                    <w:rPr>
                      <w:szCs w:val="21"/>
                      <w:u w:val="wave"/>
                    </w:rPr>
                    <w:t>水</w:t>
                  </w:r>
                </w:p>
              </w:tc>
              <w:tc>
                <w:tcPr>
                  <w:tcW w:w="757" w:type="pct"/>
                  <w:vAlign w:val="center"/>
                </w:tcPr>
                <w:p>
                  <w:pPr>
                    <w:autoSpaceDE w:val="0"/>
                    <w:autoSpaceDN w:val="0"/>
                    <w:adjustRightInd w:val="0"/>
                    <w:spacing w:after="0"/>
                    <w:jc w:val="center"/>
                    <w:rPr>
                      <w:szCs w:val="21"/>
                      <w:u w:val="wave"/>
                    </w:rPr>
                  </w:pPr>
                  <w:r>
                    <w:rPr>
                      <w:rFonts w:hint="eastAsia"/>
                      <w:szCs w:val="21"/>
                      <w:u w:val="wave"/>
                    </w:rPr>
                    <w:t>1920</w:t>
                  </w:r>
                </w:p>
              </w:tc>
              <w:tc>
                <w:tcPr>
                  <w:tcW w:w="698" w:type="pct"/>
                  <w:vMerge w:val="continue"/>
                  <w:vAlign w:val="center"/>
                </w:tcPr>
                <w:p>
                  <w:pPr>
                    <w:widowControl/>
                    <w:adjustRightInd w:val="0"/>
                    <w:snapToGrid w:val="0"/>
                    <w:spacing w:after="0" w:line="240" w:lineRule="auto"/>
                    <w:jc w:val="center"/>
                    <w:rPr>
                      <w:color w:val="000000"/>
                      <w:kern w:val="0"/>
                      <w:szCs w:val="21"/>
                      <w:u w:val="wave"/>
                    </w:rPr>
                  </w:pPr>
                </w:p>
              </w:tc>
              <w:tc>
                <w:tcPr>
                  <w:tcW w:w="1309" w:type="pct"/>
                  <w:vAlign w:val="center"/>
                </w:tcPr>
                <w:p>
                  <w:pPr>
                    <w:widowControl/>
                    <w:adjustRightInd w:val="0"/>
                    <w:snapToGrid w:val="0"/>
                    <w:spacing w:after="0" w:line="240" w:lineRule="auto"/>
                    <w:jc w:val="center"/>
                    <w:rPr>
                      <w:color w:val="000000"/>
                      <w:kern w:val="0"/>
                      <w:szCs w:val="21"/>
                      <w:u w:val="wave"/>
                    </w:rPr>
                  </w:pPr>
                  <w:r>
                    <w:rPr>
                      <w:rFonts w:hint="eastAsia"/>
                      <w:color w:val="000000"/>
                      <w:kern w:val="0"/>
                      <w:szCs w:val="21"/>
                      <w:u w:val="wave"/>
                    </w:rPr>
                    <w:t>柳城600线</w:t>
                  </w:r>
                  <w:r>
                    <w:rPr>
                      <w:rFonts w:hint="eastAsia"/>
                      <w:kern w:val="0"/>
                      <w:szCs w:val="21"/>
                      <w:u w:val="wave"/>
                    </w:rPr>
                    <w:t>排气筒产生的粉尘量</w:t>
                  </w:r>
                </w:p>
              </w:tc>
              <w:tc>
                <w:tcPr>
                  <w:tcW w:w="714" w:type="pct"/>
                  <w:vAlign w:val="center"/>
                </w:tcPr>
                <w:p>
                  <w:pPr>
                    <w:spacing w:after="0" w:line="240" w:lineRule="auto"/>
                    <w:jc w:val="center"/>
                    <w:rPr>
                      <w:rFonts w:hint="default" w:eastAsia="宋体"/>
                      <w:color w:val="000000"/>
                      <w:szCs w:val="20"/>
                      <w:u w:val="wave"/>
                      <w:lang w:val="en-US" w:eastAsia="zh-CN"/>
                    </w:rPr>
                  </w:pPr>
                  <w:r>
                    <w:rPr>
                      <w:rFonts w:hint="eastAsia"/>
                      <w:color w:val="000000"/>
                      <w:szCs w:val="20"/>
                      <w:u w:val="wave"/>
                      <w:lang w:val="en-US" w:eastAsia="zh-CN"/>
                    </w:rPr>
                    <w:t>2.21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1519" w:type="pct"/>
                  <w:gridSpan w:val="2"/>
                  <w:vAlign w:val="center"/>
                </w:tcPr>
                <w:p>
                  <w:pPr>
                    <w:widowControl/>
                    <w:adjustRightInd w:val="0"/>
                    <w:snapToGrid w:val="0"/>
                    <w:spacing w:after="0" w:line="240" w:lineRule="auto"/>
                    <w:jc w:val="center"/>
                    <w:rPr>
                      <w:color w:val="000000"/>
                      <w:kern w:val="0"/>
                      <w:szCs w:val="21"/>
                      <w:u w:val="wave"/>
                    </w:rPr>
                  </w:pPr>
                  <w:r>
                    <w:rPr>
                      <w:color w:val="000000"/>
                      <w:kern w:val="0"/>
                      <w:szCs w:val="21"/>
                      <w:u w:val="wave"/>
                    </w:rPr>
                    <w:t>小计</w:t>
                  </w:r>
                </w:p>
              </w:tc>
              <w:tc>
                <w:tcPr>
                  <w:tcW w:w="757" w:type="pct"/>
                  <w:vAlign w:val="center"/>
                </w:tcPr>
                <w:p>
                  <w:pPr>
                    <w:widowControl/>
                    <w:adjustRightInd w:val="0"/>
                    <w:snapToGrid w:val="0"/>
                    <w:spacing w:after="0" w:line="240" w:lineRule="auto"/>
                    <w:jc w:val="center"/>
                    <w:rPr>
                      <w:color w:val="000000"/>
                      <w:kern w:val="0"/>
                      <w:szCs w:val="21"/>
                      <w:u w:val="wave"/>
                    </w:rPr>
                  </w:pPr>
                  <w:r>
                    <w:rPr>
                      <w:rFonts w:hint="eastAsia" w:ascii="Times New Roman" w:eastAsia="宋体"/>
                      <w:color w:val="000000"/>
                      <w:kern w:val="0"/>
                      <w:szCs w:val="21"/>
                      <w:u w:val="wave"/>
                      <w:lang w:val="en-US" w:eastAsia="zh-CN"/>
                    </w:rPr>
                    <w:t>500222.34</w:t>
                  </w:r>
                </w:p>
              </w:tc>
              <w:tc>
                <w:tcPr>
                  <w:tcW w:w="2008" w:type="pct"/>
                  <w:gridSpan w:val="2"/>
                  <w:vAlign w:val="center"/>
                </w:tcPr>
                <w:p>
                  <w:pPr>
                    <w:widowControl/>
                    <w:adjustRightInd w:val="0"/>
                    <w:snapToGrid w:val="0"/>
                    <w:spacing w:after="0" w:line="240" w:lineRule="auto"/>
                    <w:jc w:val="center"/>
                    <w:rPr>
                      <w:color w:val="000000"/>
                      <w:kern w:val="0"/>
                      <w:szCs w:val="21"/>
                      <w:u w:val="wave"/>
                    </w:rPr>
                  </w:pPr>
                  <w:r>
                    <w:rPr>
                      <w:rFonts w:hint="eastAsia"/>
                      <w:color w:val="000000"/>
                      <w:szCs w:val="21"/>
                      <w:u w:val="wave"/>
                    </w:rPr>
                    <w:t>小计</w:t>
                  </w:r>
                </w:p>
              </w:tc>
              <w:tc>
                <w:tcPr>
                  <w:tcW w:w="714" w:type="pct"/>
                  <w:vAlign w:val="center"/>
                </w:tcPr>
                <w:p>
                  <w:pPr>
                    <w:widowControl/>
                    <w:adjustRightInd w:val="0"/>
                    <w:snapToGrid w:val="0"/>
                    <w:spacing w:after="0" w:line="240" w:lineRule="auto"/>
                    <w:jc w:val="center"/>
                    <w:rPr>
                      <w:rFonts w:hint="default" w:eastAsia="宋体"/>
                      <w:color w:val="000000"/>
                      <w:kern w:val="0"/>
                      <w:szCs w:val="21"/>
                      <w:u w:val="wave"/>
                      <w:lang w:val="en-US" w:eastAsia="zh-CN"/>
                    </w:rPr>
                  </w:pPr>
                  <w:r>
                    <w:rPr>
                      <w:rFonts w:hint="eastAsia"/>
                      <w:color w:val="000000"/>
                      <w:kern w:val="0"/>
                      <w:szCs w:val="21"/>
                      <w:u w:val="wave"/>
                      <w:lang w:val="en-US" w:eastAsia="zh-CN"/>
                    </w:rPr>
                    <w:t>500222.34</w:t>
                  </w:r>
                </w:p>
              </w:tc>
            </w:tr>
          </w:tbl>
          <w:p>
            <w:pPr>
              <w:pStyle w:val="35"/>
              <w:spacing w:after="0" w:line="360" w:lineRule="auto"/>
              <w:ind w:firstLine="480" w:firstLineChars="200"/>
              <w:jc w:val="both"/>
              <w:rPr>
                <w:rFonts w:ascii="Times New Roman" w:cs="Times New Roman"/>
                <w:color w:val="auto"/>
              </w:rPr>
            </w:pPr>
            <w:r>
              <w:rPr>
                <w:rFonts w:ascii="Times New Roman" w:cs="Times New Roman"/>
                <w:color w:val="auto"/>
              </w:rPr>
              <w:t>2、废水污染源</w:t>
            </w:r>
          </w:p>
          <w:p>
            <w:pPr>
              <w:adjustRightInd w:val="0"/>
              <w:snapToGrid w:val="0"/>
              <w:spacing w:after="0" w:line="360" w:lineRule="auto"/>
              <w:ind w:firstLine="460" w:firstLineChars="192"/>
              <w:rPr>
                <w:sz w:val="24"/>
              </w:rPr>
            </w:pPr>
            <w:r>
              <w:rPr>
                <w:sz w:val="24"/>
              </w:rPr>
              <w:t>本项目</w:t>
            </w:r>
            <w:r>
              <w:rPr>
                <w:rFonts w:hint="eastAsia"/>
                <w:sz w:val="24"/>
              </w:rPr>
              <w:t>废水</w:t>
            </w:r>
            <w:r>
              <w:rPr>
                <w:sz w:val="24"/>
              </w:rPr>
              <w:t>主要为生产废水</w:t>
            </w:r>
            <w:r>
              <w:rPr>
                <w:rFonts w:hint="eastAsia"/>
                <w:sz w:val="24"/>
              </w:rPr>
              <w:t>和生活废水</w:t>
            </w:r>
            <w:r>
              <w:rPr>
                <w:sz w:val="24"/>
              </w:rPr>
              <w:t>。</w:t>
            </w:r>
            <w:r>
              <w:rPr>
                <w:sz w:val="24"/>
                <w:lang w:bidi="ar"/>
              </w:rPr>
              <w:t>生产废水包括搅拌机清洗水、混凝土运输车辆罐体清洗用水、混凝土运输车辆外部清洗用水、地面冲洗水及道路运输洒水</w:t>
            </w:r>
            <w:r>
              <w:rPr>
                <w:rFonts w:hint="eastAsia"/>
                <w:sz w:val="24"/>
                <w:lang w:bidi="ar"/>
              </w:rPr>
              <w:t>、初期雨水</w:t>
            </w:r>
            <w:r>
              <w:rPr>
                <w:sz w:val="24"/>
                <w:lang w:bidi="ar"/>
              </w:rPr>
              <w:t>等。</w:t>
            </w:r>
          </w:p>
          <w:p>
            <w:pPr>
              <w:adjustRightInd w:val="0"/>
              <w:snapToGrid w:val="0"/>
              <w:spacing w:after="0" w:line="360" w:lineRule="auto"/>
              <w:ind w:firstLine="480" w:firstLineChars="200"/>
              <w:rPr>
                <w:kern w:val="0"/>
                <w:sz w:val="24"/>
                <w:lang w:val="zh-CN"/>
              </w:rPr>
            </w:pPr>
            <w:r>
              <w:rPr>
                <w:rFonts w:hint="eastAsia"/>
                <w:kern w:val="0"/>
                <w:sz w:val="24"/>
                <w:lang w:val="zh-CN" w:bidi="ar"/>
              </w:rPr>
              <w:t>（1）</w:t>
            </w:r>
            <w:r>
              <w:rPr>
                <w:kern w:val="0"/>
                <w:sz w:val="24"/>
                <w:lang w:val="zh-CN" w:bidi="ar"/>
              </w:rPr>
              <w:t>搅拌机清洗废水</w:t>
            </w:r>
          </w:p>
          <w:p>
            <w:pPr>
              <w:adjustRightInd w:val="0"/>
              <w:snapToGrid w:val="0"/>
              <w:spacing w:after="0" w:line="360" w:lineRule="auto"/>
              <w:ind w:firstLine="480" w:firstLineChars="200"/>
              <w:rPr>
                <w:kern w:val="0"/>
                <w:sz w:val="24"/>
                <w:lang w:val="zh-CN"/>
              </w:rPr>
            </w:pPr>
            <w:r>
              <w:rPr>
                <w:kern w:val="0"/>
                <w:sz w:val="24"/>
                <w:lang w:val="zh-CN" w:bidi="ar"/>
              </w:rPr>
              <w:t>搅拌机为本项目的主要生产设备，其在暂时停止生产时必须冲洗干净。停止生产原因有生产节奏的问题及设备检修问题。</w:t>
            </w:r>
            <w:r>
              <w:rPr>
                <w:rFonts w:hint="eastAsia"/>
                <w:kern w:val="0"/>
                <w:sz w:val="24"/>
                <w:lang w:bidi="ar"/>
              </w:rPr>
              <w:t>3</w:t>
            </w:r>
            <w:r>
              <w:rPr>
                <w:kern w:val="0"/>
                <w:sz w:val="24"/>
                <w:lang w:bidi="ar"/>
              </w:rPr>
              <w:t>台</w:t>
            </w:r>
            <w:r>
              <w:rPr>
                <w:kern w:val="0"/>
                <w:sz w:val="24"/>
                <w:lang w:val="zh-CN" w:bidi="ar"/>
              </w:rPr>
              <w:t>搅拌机主机每天冲洗1次，每次冲洗用水量以2m</w:t>
            </w:r>
            <w:r>
              <w:rPr>
                <w:kern w:val="0"/>
                <w:sz w:val="24"/>
                <w:vertAlign w:val="superscript"/>
                <w:lang w:val="zh-CN" w:bidi="ar"/>
              </w:rPr>
              <w:t>3</w:t>
            </w:r>
            <w:r>
              <w:rPr>
                <w:kern w:val="0"/>
                <w:sz w:val="24"/>
                <w:lang w:val="zh-CN" w:bidi="ar"/>
              </w:rPr>
              <w:t>计，则</w:t>
            </w:r>
            <w:r>
              <w:rPr>
                <w:kern w:val="0"/>
                <w:sz w:val="24"/>
                <w:lang w:bidi="ar"/>
              </w:rPr>
              <w:t>搅拌机清洗</w:t>
            </w:r>
            <w:r>
              <w:rPr>
                <w:kern w:val="0"/>
                <w:sz w:val="24"/>
                <w:lang w:val="zh-CN" w:bidi="ar"/>
              </w:rPr>
              <w:t>用水量为</w:t>
            </w:r>
            <w:r>
              <w:rPr>
                <w:rFonts w:hint="eastAsia"/>
                <w:kern w:val="0"/>
                <w:sz w:val="24"/>
                <w:lang w:bidi="ar"/>
              </w:rPr>
              <w:t>6</w:t>
            </w:r>
            <w:r>
              <w:rPr>
                <w:kern w:val="0"/>
                <w:sz w:val="24"/>
                <w:lang w:val="zh-CN" w:bidi="ar"/>
              </w:rPr>
              <w:t>m</w:t>
            </w:r>
            <w:r>
              <w:rPr>
                <w:kern w:val="0"/>
                <w:sz w:val="24"/>
                <w:vertAlign w:val="superscript"/>
                <w:lang w:val="zh-CN" w:bidi="ar"/>
              </w:rPr>
              <w:t>3</w:t>
            </w:r>
            <w:r>
              <w:rPr>
                <w:kern w:val="0"/>
                <w:sz w:val="24"/>
                <w:lang w:val="zh-CN" w:bidi="ar"/>
              </w:rPr>
              <w:t>/d（</w:t>
            </w:r>
            <w:r>
              <w:rPr>
                <w:kern w:val="0"/>
                <w:sz w:val="24"/>
                <w:lang w:bidi="ar"/>
              </w:rPr>
              <w:t>1</w:t>
            </w:r>
            <w:r>
              <w:rPr>
                <w:rFonts w:hint="eastAsia"/>
                <w:kern w:val="0"/>
                <w:sz w:val="24"/>
                <w:lang w:bidi="ar"/>
              </w:rPr>
              <w:t>8</w:t>
            </w:r>
            <w:r>
              <w:rPr>
                <w:kern w:val="0"/>
                <w:sz w:val="24"/>
                <w:lang w:bidi="ar"/>
              </w:rPr>
              <w:t>00</w:t>
            </w:r>
            <w:r>
              <w:rPr>
                <w:kern w:val="0"/>
                <w:sz w:val="24"/>
                <w:lang w:val="zh-CN" w:bidi="ar"/>
              </w:rPr>
              <w:t>m</w:t>
            </w:r>
            <w:r>
              <w:rPr>
                <w:kern w:val="0"/>
                <w:sz w:val="24"/>
                <w:vertAlign w:val="superscript"/>
                <w:lang w:val="zh-CN" w:bidi="ar"/>
              </w:rPr>
              <w:t>3</w:t>
            </w:r>
            <w:r>
              <w:rPr>
                <w:kern w:val="0"/>
                <w:sz w:val="24"/>
                <w:lang w:val="zh-CN" w:bidi="ar"/>
              </w:rPr>
              <w:t>/</w:t>
            </w:r>
            <w:r>
              <w:rPr>
                <w:kern w:val="0"/>
                <w:sz w:val="24"/>
                <w:lang w:bidi="ar"/>
              </w:rPr>
              <w:t>a</w:t>
            </w:r>
            <w:r>
              <w:rPr>
                <w:kern w:val="0"/>
                <w:sz w:val="24"/>
                <w:lang w:val="zh-CN" w:bidi="ar"/>
              </w:rPr>
              <w:t>），产污系数为0.</w:t>
            </w:r>
            <w:r>
              <w:rPr>
                <w:kern w:val="0"/>
                <w:sz w:val="24"/>
                <w:lang w:bidi="ar"/>
              </w:rPr>
              <w:t>8</w:t>
            </w:r>
            <w:r>
              <w:rPr>
                <w:kern w:val="0"/>
                <w:sz w:val="24"/>
                <w:lang w:val="zh-CN" w:bidi="ar"/>
              </w:rPr>
              <w:t>，则搅拌机冲洗废水产生量为</w:t>
            </w:r>
            <w:r>
              <w:rPr>
                <w:rFonts w:hint="eastAsia"/>
                <w:kern w:val="0"/>
                <w:sz w:val="24"/>
                <w:lang w:bidi="ar"/>
              </w:rPr>
              <w:t>4.8</w:t>
            </w:r>
            <w:r>
              <w:rPr>
                <w:kern w:val="0"/>
                <w:sz w:val="24"/>
                <w:lang w:val="zh-CN" w:bidi="ar"/>
              </w:rPr>
              <w:t>m</w:t>
            </w:r>
            <w:r>
              <w:rPr>
                <w:kern w:val="0"/>
                <w:sz w:val="24"/>
                <w:vertAlign w:val="superscript"/>
                <w:lang w:val="zh-CN" w:bidi="ar"/>
              </w:rPr>
              <w:t>3</w:t>
            </w:r>
            <w:r>
              <w:rPr>
                <w:kern w:val="0"/>
                <w:sz w:val="24"/>
                <w:lang w:val="zh-CN" w:bidi="ar"/>
              </w:rPr>
              <w:t>/d（</w:t>
            </w:r>
            <w:r>
              <w:rPr>
                <w:rFonts w:hint="eastAsia"/>
                <w:kern w:val="0"/>
                <w:sz w:val="24"/>
                <w:lang w:bidi="ar"/>
              </w:rPr>
              <w:t>1440</w:t>
            </w:r>
            <w:r>
              <w:rPr>
                <w:kern w:val="0"/>
                <w:sz w:val="24"/>
                <w:lang w:val="zh-CN" w:bidi="ar"/>
              </w:rPr>
              <w:t>m</w:t>
            </w:r>
            <w:r>
              <w:rPr>
                <w:kern w:val="0"/>
                <w:sz w:val="24"/>
                <w:vertAlign w:val="superscript"/>
                <w:lang w:val="zh-CN" w:bidi="ar"/>
              </w:rPr>
              <w:t>3</w:t>
            </w:r>
            <w:r>
              <w:rPr>
                <w:kern w:val="0"/>
                <w:sz w:val="24"/>
                <w:lang w:val="zh-CN" w:bidi="ar"/>
              </w:rPr>
              <w:t>/</w:t>
            </w:r>
            <w:r>
              <w:rPr>
                <w:kern w:val="0"/>
                <w:sz w:val="24"/>
                <w:lang w:bidi="ar"/>
              </w:rPr>
              <w:t>a</w:t>
            </w:r>
            <w:r>
              <w:rPr>
                <w:kern w:val="0"/>
                <w:sz w:val="24"/>
                <w:lang w:val="zh-CN" w:bidi="ar"/>
              </w:rPr>
              <w:t>），该废水</w:t>
            </w:r>
            <w:r>
              <w:rPr>
                <w:kern w:val="0"/>
                <w:sz w:val="24"/>
                <w:lang w:bidi="ar"/>
              </w:rPr>
              <w:t>经沉淀池沉淀处理后循环使用不外排</w:t>
            </w:r>
            <w:r>
              <w:rPr>
                <w:kern w:val="0"/>
                <w:sz w:val="24"/>
                <w:lang w:val="zh-CN" w:bidi="ar"/>
              </w:rPr>
              <w:t>。</w:t>
            </w:r>
          </w:p>
          <w:p>
            <w:pPr>
              <w:adjustRightInd w:val="0"/>
              <w:snapToGrid w:val="0"/>
              <w:spacing w:after="0" w:line="360" w:lineRule="auto"/>
              <w:ind w:firstLine="480" w:firstLineChars="200"/>
              <w:rPr>
                <w:kern w:val="0"/>
                <w:sz w:val="24"/>
                <w:lang w:val="zh-CN"/>
              </w:rPr>
            </w:pPr>
            <w:r>
              <w:rPr>
                <w:rFonts w:hint="eastAsia"/>
                <w:kern w:val="0"/>
                <w:sz w:val="24"/>
                <w:lang w:val="zh-CN" w:bidi="ar"/>
              </w:rPr>
              <w:t>（2）</w:t>
            </w:r>
            <w:r>
              <w:rPr>
                <w:kern w:val="0"/>
                <w:sz w:val="24"/>
                <w:lang w:val="zh-CN" w:bidi="ar"/>
              </w:rPr>
              <w:t>混凝土运输罐车罐体清洗废水</w:t>
            </w:r>
          </w:p>
          <w:p>
            <w:pPr>
              <w:adjustRightInd w:val="0"/>
              <w:snapToGrid w:val="0"/>
              <w:spacing w:after="0" w:line="360" w:lineRule="auto"/>
              <w:ind w:firstLine="480" w:firstLineChars="200"/>
              <w:rPr>
                <w:kern w:val="0"/>
                <w:sz w:val="24"/>
                <w:lang w:val="zh-CN" w:bidi="ar"/>
              </w:rPr>
            </w:pPr>
            <w:r>
              <w:rPr>
                <w:kern w:val="0"/>
                <w:sz w:val="24"/>
                <w:lang w:val="zh-CN" w:bidi="ar"/>
              </w:rPr>
              <w:t>车辆待混凝土出料完毕后，注入罐内，在返回途中让搅拌桶慢速转动，以清洗内壁，避免残余料渣附在桶壁和搅拌叶上，并再装料前将这些水排出。</w:t>
            </w:r>
            <w:r>
              <w:rPr>
                <w:sz w:val="24"/>
                <w:lang w:val="zh-CN" w:bidi="ar"/>
              </w:rPr>
              <w:t>根据建设单位</w:t>
            </w:r>
            <w:r>
              <w:rPr>
                <w:sz w:val="24"/>
                <w:lang w:bidi="ar"/>
              </w:rPr>
              <w:t>提供的资料及类比同类型项目可知</w:t>
            </w:r>
            <w:r>
              <w:rPr>
                <w:sz w:val="24"/>
                <w:lang w:val="zh-CN" w:bidi="ar"/>
              </w:rPr>
              <w:t>，</w:t>
            </w:r>
            <w:r>
              <w:rPr>
                <w:kern w:val="0"/>
                <w:sz w:val="24"/>
                <w:lang w:val="zh-CN" w:bidi="ar"/>
              </w:rPr>
              <w:t>本项目</w:t>
            </w:r>
            <w:r>
              <w:rPr>
                <w:kern w:val="0"/>
                <w:sz w:val="24"/>
                <w:lang w:bidi="ar"/>
              </w:rPr>
              <w:t>运输车辆约为</w:t>
            </w:r>
            <w:r>
              <w:rPr>
                <w:rFonts w:hint="eastAsia"/>
                <w:kern w:val="0"/>
                <w:sz w:val="24"/>
                <w:lang w:bidi="ar"/>
              </w:rPr>
              <w:t>10</w:t>
            </w:r>
            <w:r>
              <w:rPr>
                <w:kern w:val="0"/>
                <w:sz w:val="24"/>
                <w:lang w:bidi="ar"/>
              </w:rPr>
              <w:t>辆，</w:t>
            </w:r>
            <w:r>
              <w:rPr>
                <w:kern w:val="0"/>
                <w:sz w:val="24"/>
                <w:lang w:val="zh-CN" w:bidi="ar"/>
              </w:rPr>
              <w:t>其每辆车平均用水量为0.2m</w:t>
            </w:r>
            <w:r>
              <w:rPr>
                <w:kern w:val="0"/>
                <w:sz w:val="24"/>
                <w:vertAlign w:val="superscript"/>
                <w:lang w:val="zh-CN" w:bidi="ar"/>
              </w:rPr>
              <w:t>3</w:t>
            </w:r>
            <w:r>
              <w:rPr>
                <w:kern w:val="0"/>
                <w:sz w:val="24"/>
                <w:lang w:val="zh-CN" w:bidi="ar"/>
              </w:rPr>
              <w:t>/（d﹒辆），则厂区混凝土运输罐车罐体清洗用水量为</w:t>
            </w:r>
            <w:r>
              <w:rPr>
                <w:rFonts w:hint="eastAsia"/>
                <w:kern w:val="0"/>
                <w:sz w:val="24"/>
                <w:lang w:bidi="ar"/>
              </w:rPr>
              <w:t>2</w:t>
            </w:r>
            <w:r>
              <w:rPr>
                <w:kern w:val="0"/>
                <w:sz w:val="24"/>
                <w:lang w:val="zh-CN" w:bidi="ar"/>
              </w:rPr>
              <w:t>m</w:t>
            </w:r>
            <w:r>
              <w:rPr>
                <w:kern w:val="0"/>
                <w:sz w:val="24"/>
                <w:vertAlign w:val="superscript"/>
                <w:lang w:val="zh-CN" w:bidi="ar"/>
              </w:rPr>
              <w:t>3</w:t>
            </w:r>
            <w:r>
              <w:rPr>
                <w:kern w:val="0"/>
                <w:sz w:val="24"/>
                <w:lang w:val="zh-CN" w:bidi="ar"/>
              </w:rPr>
              <w:t>/d（</w:t>
            </w:r>
            <w:r>
              <w:rPr>
                <w:rFonts w:hint="eastAsia"/>
                <w:kern w:val="0"/>
                <w:sz w:val="24"/>
                <w:lang w:bidi="ar"/>
              </w:rPr>
              <w:t>600</w:t>
            </w:r>
            <w:r>
              <w:rPr>
                <w:kern w:val="0"/>
                <w:sz w:val="24"/>
                <w:lang w:val="zh-CN" w:bidi="ar"/>
              </w:rPr>
              <w:t>m</w:t>
            </w:r>
            <w:r>
              <w:rPr>
                <w:kern w:val="0"/>
                <w:sz w:val="24"/>
                <w:vertAlign w:val="superscript"/>
                <w:lang w:val="zh-CN" w:bidi="ar"/>
              </w:rPr>
              <w:t>3</w:t>
            </w:r>
            <w:r>
              <w:rPr>
                <w:kern w:val="0"/>
                <w:sz w:val="24"/>
                <w:lang w:val="zh-CN" w:bidi="ar"/>
              </w:rPr>
              <w:t>/</w:t>
            </w:r>
            <w:r>
              <w:rPr>
                <w:kern w:val="0"/>
                <w:sz w:val="24"/>
                <w:lang w:bidi="ar"/>
              </w:rPr>
              <w:t>a</w:t>
            </w:r>
            <w:r>
              <w:rPr>
                <w:kern w:val="0"/>
                <w:sz w:val="24"/>
                <w:lang w:val="zh-CN" w:bidi="ar"/>
              </w:rPr>
              <w:t>），产污系数为0.</w:t>
            </w:r>
            <w:r>
              <w:rPr>
                <w:kern w:val="0"/>
                <w:sz w:val="24"/>
                <w:lang w:bidi="ar"/>
              </w:rPr>
              <w:t>8</w:t>
            </w:r>
            <w:r>
              <w:rPr>
                <w:kern w:val="0"/>
                <w:sz w:val="24"/>
                <w:lang w:val="zh-CN" w:bidi="ar"/>
              </w:rPr>
              <w:t>，则混凝土运输罐车罐体清洗废水产生量为</w:t>
            </w:r>
            <w:r>
              <w:rPr>
                <w:kern w:val="0"/>
                <w:sz w:val="24"/>
                <w:lang w:bidi="ar"/>
              </w:rPr>
              <w:t>1.</w:t>
            </w:r>
            <w:r>
              <w:rPr>
                <w:rFonts w:hint="eastAsia"/>
                <w:kern w:val="0"/>
                <w:sz w:val="24"/>
                <w:lang w:bidi="ar"/>
              </w:rPr>
              <w:t>6</w:t>
            </w:r>
            <w:r>
              <w:rPr>
                <w:kern w:val="0"/>
                <w:sz w:val="24"/>
                <w:lang w:val="zh-CN" w:bidi="ar"/>
              </w:rPr>
              <w:t>m</w:t>
            </w:r>
            <w:r>
              <w:rPr>
                <w:kern w:val="0"/>
                <w:sz w:val="24"/>
                <w:vertAlign w:val="superscript"/>
                <w:lang w:val="zh-CN" w:bidi="ar"/>
              </w:rPr>
              <w:t>3</w:t>
            </w:r>
            <w:r>
              <w:rPr>
                <w:kern w:val="0"/>
                <w:sz w:val="24"/>
                <w:lang w:val="zh-CN" w:bidi="ar"/>
              </w:rPr>
              <w:t>/d（</w:t>
            </w:r>
            <w:r>
              <w:rPr>
                <w:rFonts w:hint="eastAsia"/>
                <w:kern w:val="0"/>
                <w:sz w:val="24"/>
                <w:lang w:bidi="ar"/>
              </w:rPr>
              <w:t>480</w:t>
            </w:r>
            <w:r>
              <w:rPr>
                <w:kern w:val="0"/>
                <w:sz w:val="24"/>
                <w:lang w:val="zh-CN" w:bidi="ar"/>
              </w:rPr>
              <w:t>m</w:t>
            </w:r>
            <w:r>
              <w:rPr>
                <w:kern w:val="0"/>
                <w:sz w:val="24"/>
                <w:vertAlign w:val="superscript"/>
                <w:lang w:val="zh-CN" w:bidi="ar"/>
              </w:rPr>
              <w:t>3</w:t>
            </w:r>
            <w:r>
              <w:rPr>
                <w:kern w:val="0"/>
                <w:sz w:val="24"/>
                <w:lang w:val="zh-CN" w:bidi="ar"/>
              </w:rPr>
              <w:t>/a），该废水</w:t>
            </w:r>
            <w:r>
              <w:rPr>
                <w:kern w:val="0"/>
                <w:sz w:val="24"/>
                <w:lang w:bidi="ar"/>
              </w:rPr>
              <w:t>经</w:t>
            </w:r>
            <w:r>
              <w:rPr>
                <w:rFonts w:hint="eastAsia"/>
                <w:kern w:val="0"/>
                <w:sz w:val="24"/>
                <w:lang w:bidi="ar"/>
              </w:rPr>
              <w:t>砂石分离机及</w:t>
            </w:r>
            <w:r>
              <w:rPr>
                <w:kern w:val="0"/>
                <w:sz w:val="24"/>
                <w:lang w:bidi="ar"/>
              </w:rPr>
              <w:t>沉淀池沉淀处理后循环使用不外排</w:t>
            </w:r>
            <w:r>
              <w:rPr>
                <w:kern w:val="0"/>
                <w:sz w:val="24"/>
                <w:lang w:val="zh-CN" w:bidi="ar"/>
              </w:rPr>
              <w:t>。</w:t>
            </w:r>
          </w:p>
          <w:p>
            <w:pPr>
              <w:adjustRightInd w:val="0"/>
              <w:snapToGrid w:val="0"/>
              <w:spacing w:after="0" w:line="360" w:lineRule="auto"/>
              <w:ind w:firstLine="480" w:firstLineChars="200"/>
              <w:rPr>
                <w:kern w:val="0"/>
                <w:sz w:val="24"/>
                <w:lang w:val="zh-CN"/>
              </w:rPr>
            </w:pPr>
            <w:r>
              <w:rPr>
                <w:rFonts w:hint="eastAsia"/>
                <w:kern w:val="0"/>
                <w:sz w:val="24"/>
                <w:lang w:val="zh-CN" w:bidi="ar"/>
              </w:rPr>
              <w:t>（3）</w:t>
            </w:r>
            <w:r>
              <w:rPr>
                <w:kern w:val="0"/>
                <w:sz w:val="24"/>
                <w:lang w:val="zh-CN" w:bidi="ar"/>
              </w:rPr>
              <w:t>混凝土运输车辆外部清洗废水</w:t>
            </w:r>
          </w:p>
          <w:p>
            <w:pPr>
              <w:adjustRightInd w:val="0"/>
              <w:snapToGrid w:val="0"/>
              <w:spacing w:after="0" w:line="360" w:lineRule="auto"/>
              <w:ind w:firstLine="480" w:firstLineChars="200"/>
            </w:pPr>
            <w:r>
              <w:rPr>
                <w:sz w:val="24"/>
                <w:lang w:val="zh-CN" w:bidi="ar"/>
              </w:rPr>
              <w:t>混凝土运输车辆每次装料后需要对其表面进行冲洗，避免装料过程逸散出来的料渣附在外部，根据建设单位</w:t>
            </w:r>
            <w:r>
              <w:rPr>
                <w:sz w:val="24"/>
                <w:lang w:bidi="ar"/>
              </w:rPr>
              <w:t>提供的资料及类比同类型项目可知</w:t>
            </w:r>
            <w:r>
              <w:rPr>
                <w:sz w:val="24"/>
                <w:lang w:val="zh-CN" w:bidi="ar"/>
              </w:rPr>
              <w:t>，混凝土运输车辆外部清洗用水量约</w:t>
            </w:r>
            <w:r>
              <w:rPr>
                <w:sz w:val="24"/>
                <w:lang w:bidi="ar"/>
              </w:rPr>
              <w:t>1</w:t>
            </w:r>
            <w:r>
              <w:rPr>
                <w:sz w:val="24"/>
                <w:lang w:val="zh-CN" w:bidi="ar"/>
              </w:rPr>
              <w:t>m</w:t>
            </w:r>
            <w:r>
              <w:rPr>
                <w:sz w:val="24"/>
                <w:vertAlign w:val="superscript"/>
                <w:lang w:val="zh-CN" w:bidi="ar"/>
              </w:rPr>
              <w:t>3</w:t>
            </w:r>
            <w:r>
              <w:rPr>
                <w:sz w:val="24"/>
                <w:lang w:val="zh-CN" w:bidi="ar"/>
              </w:rPr>
              <w:t>/d（</w:t>
            </w:r>
            <w:r>
              <w:rPr>
                <w:sz w:val="24"/>
                <w:lang w:bidi="ar"/>
              </w:rPr>
              <w:t>300</w:t>
            </w:r>
            <w:r>
              <w:rPr>
                <w:sz w:val="24"/>
                <w:lang w:val="zh-CN" w:bidi="ar"/>
              </w:rPr>
              <w:t>m</w:t>
            </w:r>
            <w:r>
              <w:rPr>
                <w:sz w:val="24"/>
                <w:vertAlign w:val="superscript"/>
                <w:lang w:val="zh-CN" w:bidi="ar"/>
              </w:rPr>
              <w:t>3</w:t>
            </w:r>
            <w:r>
              <w:rPr>
                <w:sz w:val="24"/>
                <w:lang w:val="zh-CN" w:bidi="ar"/>
              </w:rPr>
              <w:t>/a），产污系数为0.</w:t>
            </w:r>
            <w:r>
              <w:rPr>
                <w:sz w:val="24"/>
                <w:lang w:bidi="ar"/>
              </w:rPr>
              <w:t>8</w:t>
            </w:r>
            <w:r>
              <w:rPr>
                <w:sz w:val="24"/>
                <w:lang w:val="zh-CN" w:bidi="ar"/>
              </w:rPr>
              <w:t>，则混凝土运输车辆外部清洗废水产生量为</w:t>
            </w:r>
            <w:r>
              <w:rPr>
                <w:sz w:val="24"/>
                <w:lang w:bidi="ar"/>
              </w:rPr>
              <w:t>0.8</w:t>
            </w:r>
            <w:r>
              <w:rPr>
                <w:sz w:val="24"/>
                <w:lang w:val="zh-CN" w:bidi="ar"/>
              </w:rPr>
              <w:t>m</w:t>
            </w:r>
            <w:r>
              <w:rPr>
                <w:sz w:val="24"/>
                <w:vertAlign w:val="superscript"/>
                <w:lang w:val="zh-CN" w:bidi="ar"/>
              </w:rPr>
              <w:t>3</w:t>
            </w:r>
            <w:r>
              <w:rPr>
                <w:sz w:val="24"/>
                <w:lang w:val="zh-CN" w:bidi="ar"/>
              </w:rPr>
              <w:t>/d（</w:t>
            </w:r>
            <w:r>
              <w:rPr>
                <w:sz w:val="24"/>
                <w:lang w:bidi="ar"/>
              </w:rPr>
              <w:t>240</w:t>
            </w:r>
            <w:r>
              <w:rPr>
                <w:sz w:val="24"/>
                <w:lang w:val="zh-CN" w:bidi="ar"/>
              </w:rPr>
              <w:t>m</w:t>
            </w:r>
            <w:r>
              <w:rPr>
                <w:sz w:val="24"/>
                <w:vertAlign w:val="superscript"/>
                <w:lang w:val="zh-CN" w:bidi="ar"/>
              </w:rPr>
              <w:t>3</w:t>
            </w:r>
            <w:r>
              <w:rPr>
                <w:sz w:val="24"/>
                <w:lang w:val="zh-CN" w:bidi="ar"/>
              </w:rPr>
              <w:t>/a），</w:t>
            </w:r>
            <w:r>
              <w:rPr>
                <w:kern w:val="0"/>
                <w:sz w:val="24"/>
                <w:lang w:val="zh-CN" w:bidi="ar"/>
              </w:rPr>
              <w:t>该废水</w:t>
            </w:r>
            <w:r>
              <w:rPr>
                <w:kern w:val="0"/>
                <w:sz w:val="24"/>
                <w:lang w:bidi="ar"/>
              </w:rPr>
              <w:t>经沉淀池沉淀处理后循环使用不外排</w:t>
            </w:r>
            <w:r>
              <w:rPr>
                <w:kern w:val="0"/>
                <w:sz w:val="24"/>
                <w:lang w:val="zh-CN" w:bidi="ar"/>
              </w:rPr>
              <w:t>。</w:t>
            </w:r>
          </w:p>
          <w:p>
            <w:pPr>
              <w:adjustRightInd w:val="0"/>
              <w:snapToGrid w:val="0"/>
              <w:spacing w:after="0" w:line="360" w:lineRule="auto"/>
              <w:ind w:firstLine="480" w:firstLineChars="200"/>
              <w:rPr>
                <w:kern w:val="0"/>
                <w:sz w:val="24"/>
                <w:lang w:val="zh-CN"/>
              </w:rPr>
            </w:pPr>
            <w:r>
              <w:rPr>
                <w:rFonts w:hint="eastAsia"/>
                <w:kern w:val="0"/>
                <w:sz w:val="24"/>
                <w:lang w:val="zh-CN" w:bidi="ar"/>
              </w:rPr>
              <w:t>（4）</w:t>
            </w:r>
            <w:r>
              <w:rPr>
                <w:kern w:val="0"/>
                <w:sz w:val="24"/>
                <w:lang w:val="zh-CN" w:bidi="ar"/>
              </w:rPr>
              <w:t>地面</w:t>
            </w:r>
            <w:r>
              <w:rPr>
                <w:rFonts w:hint="eastAsia"/>
                <w:kern w:val="0"/>
                <w:sz w:val="24"/>
                <w:lang w:bidi="ar"/>
              </w:rPr>
              <w:t>及道路</w:t>
            </w:r>
            <w:r>
              <w:rPr>
                <w:kern w:val="0"/>
                <w:sz w:val="24"/>
                <w:lang w:val="zh-CN" w:bidi="ar"/>
              </w:rPr>
              <w:t>冲洗废水</w:t>
            </w:r>
          </w:p>
          <w:p>
            <w:pPr>
              <w:adjustRightInd w:val="0"/>
              <w:snapToGrid w:val="0"/>
              <w:spacing w:after="0" w:line="360" w:lineRule="auto"/>
              <w:ind w:firstLine="480" w:firstLineChars="200"/>
              <w:rPr>
                <w:kern w:val="0"/>
                <w:sz w:val="24"/>
                <w:lang w:bidi="ar"/>
              </w:rPr>
            </w:pPr>
            <w:r>
              <w:rPr>
                <w:kern w:val="0"/>
                <w:sz w:val="24"/>
                <w:lang w:val="zh-CN" w:bidi="ar"/>
              </w:rPr>
              <w:t>由于厂区内来往车辆较多，且运输物料部分为粉料、混凝土，因此，每天对厂区硬化地面</w:t>
            </w:r>
            <w:r>
              <w:rPr>
                <w:rFonts w:hint="eastAsia"/>
                <w:kern w:val="0"/>
                <w:sz w:val="24"/>
                <w:lang w:bidi="ar"/>
              </w:rPr>
              <w:t>及道路</w:t>
            </w:r>
            <w:r>
              <w:rPr>
                <w:kern w:val="0"/>
                <w:sz w:val="24"/>
                <w:lang w:val="zh-CN" w:bidi="ar"/>
              </w:rPr>
              <w:t>冲洗1次，防止掉落的混凝土结块、同时防止扬尘。本项目厂区硬化地面约为</w:t>
            </w:r>
            <w:r>
              <w:rPr>
                <w:rFonts w:hint="eastAsia"/>
                <w:kern w:val="0"/>
                <w:sz w:val="24"/>
                <w:lang w:bidi="ar"/>
              </w:rPr>
              <w:t>4000</w:t>
            </w:r>
            <w:r>
              <w:rPr>
                <w:kern w:val="0"/>
                <w:sz w:val="24"/>
                <w:lang w:val="zh-CN" w:bidi="ar"/>
              </w:rPr>
              <w:t>m</w:t>
            </w:r>
            <w:r>
              <w:rPr>
                <w:kern w:val="0"/>
                <w:sz w:val="24"/>
                <w:vertAlign w:val="superscript"/>
                <w:lang w:val="zh-CN" w:bidi="ar"/>
              </w:rPr>
              <w:t>2</w:t>
            </w:r>
            <w:r>
              <w:rPr>
                <w:kern w:val="0"/>
                <w:sz w:val="24"/>
                <w:lang w:val="zh-CN" w:bidi="ar"/>
              </w:rPr>
              <w:t>，其冲洗水量按1m</w:t>
            </w:r>
            <w:r>
              <w:rPr>
                <w:kern w:val="0"/>
                <w:sz w:val="24"/>
                <w:vertAlign w:val="superscript"/>
                <w:lang w:val="zh-CN" w:bidi="ar"/>
              </w:rPr>
              <w:t>3</w:t>
            </w:r>
            <w:r>
              <w:rPr>
                <w:kern w:val="0"/>
                <w:sz w:val="24"/>
                <w:lang w:val="zh-CN" w:bidi="ar"/>
              </w:rPr>
              <w:t>/100m</w:t>
            </w:r>
            <w:r>
              <w:rPr>
                <w:kern w:val="0"/>
                <w:sz w:val="24"/>
                <w:vertAlign w:val="superscript"/>
                <w:lang w:val="zh-CN" w:bidi="ar"/>
              </w:rPr>
              <w:t>2</w:t>
            </w:r>
            <w:r>
              <w:rPr>
                <w:kern w:val="0"/>
                <w:sz w:val="24"/>
                <w:lang w:bidi="ar"/>
              </w:rPr>
              <w:t>·</w:t>
            </w:r>
            <w:r>
              <w:rPr>
                <w:kern w:val="0"/>
                <w:sz w:val="24"/>
                <w:lang w:val="zh-CN" w:bidi="ar"/>
              </w:rPr>
              <w:t>d计，硬化地面冲洗用水量为</w:t>
            </w:r>
            <w:r>
              <w:rPr>
                <w:rFonts w:hint="eastAsia"/>
                <w:kern w:val="0"/>
                <w:sz w:val="24"/>
                <w:lang w:bidi="ar"/>
              </w:rPr>
              <w:t>40</w:t>
            </w:r>
            <w:r>
              <w:rPr>
                <w:kern w:val="0"/>
                <w:sz w:val="24"/>
                <w:lang w:val="zh-CN" w:bidi="ar"/>
              </w:rPr>
              <w:t>m</w:t>
            </w:r>
            <w:r>
              <w:rPr>
                <w:kern w:val="0"/>
                <w:sz w:val="24"/>
                <w:vertAlign w:val="superscript"/>
                <w:lang w:val="zh-CN" w:bidi="ar"/>
              </w:rPr>
              <w:t>3</w:t>
            </w:r>
            <w:r>
              <w:rPr>
                <w:kern w:val="0"/>
                <w:sz w:val="24"/>
                <w:lang w:val="zh-CN" w:bidi="ar"/>
              </w:rPr>
              <w:t>/d（</w:t>
            </w:r>
            <w:r>
              <w:rPr>
                <w:rFonts w:hint="eastAsia"/>
                <w:kern w:val="0"/>
                <w:sz w:val="24"/>
                <w:lang w:bidi="ar"/>
              </w:rPr>
              <w:t>12</w:t>
            </w:r>
            <w:r>
              <w:rPr>
                <w:kern w:val="0"/>
                <w:sz w:val="24"/>
                <w:lang w:bidi="ar"/>
              </w:rPr>
              <w:t>000</w:t>
            </w:r>
            <w:r>
              <w:rPr>
                <w:kern w:val="0"/>
                <w:sz w:val="24"/>
                <w:lang w:val="zh-CN" w:bidi="ar"/>
              </w:rPr>
              <w:t>m</w:t>
            </w:r>
            <w:r>
              <w:rPr>
                <w:kern w:val="0"/>
                <w:sz w:val="24"/>
                <w:vertAlign w:val="superscript"/>
                <w:lang w:val="zh-CN" w:bidi="ar"/>
              </w:rPr>
              <w:t>3</w:t>
            </w:r>
            <w:r>
              <w:rPr>
                <w:kern w:val="0"/>
                <w:sz w:val="24"/>
                <w:lang w:val="zh-CN" w:bidi="ar"/>
              </w:rPr>
              <w:t>/a），产污系数为0.8，则冲洗废水产生量为</w:t>
            </w:r>
            <w:r>
              <w:rPr>
                <w:rFonts w:hint="eastAsia"/>
                <w:kern w:val="0"/>
                <w:sz w:val="24"/>
                <w:lang w:bidi="ar"/>
              </w:rPr>
              <w:t>32</w:t>
            </w:r>
            <w:r>
              <w:rPr>
                <w:kern w:val="0"/>
                <w:sz w:val="24"/>
                <w:lang w:val="zh-CN" w:bidi="ar"/>
              </w:rPr>
              <w:t>m</w:t>
            </w:r>
            <w:r>
              <w:rPr>
                <w:kern w:val="0"/>
                <w:sz w:val="24"/>
                <w:vertAlign w:val="superscript"/>
                <w:lang w:val="zh-CN" w:bidi="ar"/>
              </w:rPr>
              <w:t>3</w:t>
            </w:r>
            <w:r>
              <w:rPr>
                <w:kern w:val="0"/>
                <w:sz w:val="24"/>
                <w:lang w:val="zh-CN" w:bidi="ar"/>
              </w:rPr>
              <w:t>/d（</w:t>
            </w:r>
            <w:r>
              <w:rPr>
                <w:rFonts w:hint="eastAsia"/>
                <w:kern w:val="0"/>
                <w:sz w:val="24"/>
                <w:lang w:bidi="ar"/>
              </w:rPr>
              <w:t>96</w:t>
            </w:r>
            <w:r>
              <w:rPr>
                <w:kern w:val="0"/>
                <w:sz w:val="24"/>
                <w:lang w:bidi="ar"/>
              </w:rPr>
              <w:t>00</w:t>
            </w:r>
            <w:r>
              <w:rPr>
                <w:kern w:val="0"/>
                <w:sz w:val="24"/>
                <w:lang w:val="zh-CN" w:bidi="ar"/>
              </w:rPr>
              <w:t>m</w:t>
            </w:r>
            <w:r>
              <w:rPr>
                <w:kern w:val="0"/>
                <w:sz w:val="24"/>
                <w:vertAlign w:val="superscript"/>
                <w:lang w:val="zh-CN" w:bidi="ar"/>
              </w:rPr>
              <w:t>3</w:t>
            </w:r>
            <w:r>
              <w:rPr>
                <w:kern w:val="0"/>
                <w:sz w:val="24"/>
                <w:lang w:val="zh-CN" w:bidi="ar"/>
              </w:rPr>
              <w:t>/a），该废水</w:t>
            </w:r>
            <w:r>
              <w:rPr>
                <w:kern w:val="0"/>
                <w:sz w:val="24"/>
                <w:lang w:bidi="ar"/>
              </w:rPr>
              <w:t>经沉淀池沉淀处理后循环使用不外排。</w:t>
            </w:r>
          </w:p>
          <w:p>
            <w:pPr>
              <w:adjustRightInd w:val="0"/>
              <w:snapToGrid w:val="0"/>
              <w:spacing w:after="0" w:line="360" w:lineRule="auto"/>
              <w:ind w:firstLine="480" w:firstLineChars="200"/>
              <w:rPr>
                <w:kern w:val="0"/>
                <w:sz w:val="24"/>
                <w:lang w:bidi="ar"/>
              </w:rPr>
            </w:pPr>
            <w:r>
              <w:rPr>
                <w:rFonts w:hint="eastAsia"/>
                <w:kern w:val="0"/>
                <w:sz w:val="24"/>
                <w:lang w:bidi="ar"/>
              </w:rPr>
              <w:t>（5）初期雨水</w:t>
            </w:r>
          </w:p>
          <w:p>
            <w:pPr>
              <w:pStyle w:val="49"/>
              <w:spacing w:after="0" w:line="360" w:lineRule="auto"/>
              <w:ind w:firstLine="480"/>
              <w:rPr>
                <w:rFonts w:cs="宋体"/>
              </w:rPr>
            </w:pPr>
            <w:r>
              <w:rPr>
                <w:rFonts w:hint="eastAsia"/>
                <w:lang w:val="zh-CN" w:bidi="ar"/>
              </w:rPr>
              <w:t>本项目设有两个雨水收集</w:t>
            </w:r>
            <w:r>
              <w:rPr>
                <w:lang w:val="zh-CN" w:bidi="ar"/>
              </w:rPr>
              <w:t>池（</w:t>
            </w:r>
            <w:r>
              <w:rPr>
                <w:rFonts w:hint="eastAsia"/>
                <w:lang w:bidi="ar"/>
              </w:rPr>
              <w:t>各</w:t>
            </w:r>
            <w:r>
              <w:rPr>
                <w:lang w:val="zh-CN" w:bidi="ar"/>
              </w:rPr>
              <w:t>200m</w:t>
            </w:r>
            <w:r>
              <w:rPr>
                <w:vertAlign w:val="superscript"/>
                <w:lang w:val="zh-CN" w:bidi="ar"/>
              </w:rPr>
              <w:t>3</w:t>
            </w:r>
            <w:r>
              <w:rPr>
                <w:lang w:val="zh-CN" w:bidi="ar"/>
              </w:rPr>
              <w:t>）</w:t>
            </w:r>
            <w:r>
              <w:rPr>
                <w:rFonts w:hint="eastAsia"/>
                <w:lang w:val="zh-CN" w:bidi="ar"/>
              </w:rPr>
              <w:t>，用以收集初期雨水。</w:t>
            </w:r>
            <w:r>
              <w:rPr>
                <w:rFonts w:hint="eastAsia" w:cs="宋体"/>
              </w:rPr>
              <w:t>雨水收集池容量依据</w:t>
            </w:r>
            <w:r>
              <w:rPr>
                <w:rFonts w:cs="宋体"/>
              </w:rPr>
              <w:t>暴雨降雨</w:t>
            </w:r>
            <w:r>
              <w:rPr>
                <w:rFonts w:hint="eastAsia" w:cs="宋体"/>
              </w:rPr>
              <w:t>初期（前</w:t>
            </w:r>
            <w:r>
              <w:rPr>
                <w:rFonts w:cs="宋体"/>
              </w:rPr>
              <w:t>15min</w:t>
            </w:r>
            <w:r>
              <w:rPr>
                <w:rFonts w:hint="eastAsia" w:cs="宋体"/>
              </w:rPr>
              <w:t>）雨水量设计，</w:t>
            </w:r>
            <w:r>
              <w:rPr>
                <w:rFonts w:cs="宋体"/>
              </w:rPr>
              <w:t>根据《给水排水设计手册》（中国建筑工业出版社第五册</w:t>
            </w:r>
            <w:r>
              <w:rPr>
                <w:rFonts w:hint="eastAsia" w:cs="宋体"/>
              </w:rPr>
              <w:t>“</w:t>
            </w:r>
            <w:r>
              <w:rPr>
                <w:rFonts w:cs="宋体"/>
              </w:rPr>
              <w:t>城市排水</w:t>
            </w:r>
            <w:r>
              <w:rPr>
                <w:rFonts w:hint="eastAsia" w:cs="宋体"/>
              </w:rPr>
              <w:t>”</w:t>
            </w:r>
            <w:r>
              <w:rPr>
                <w:rFonts w:cs="宋体"/>
              </w:rPr>
              <w:t>部分），本项目采用</w:t>
            </w:r>
            <w:r>
              <w:rPr>
                <w:rFonts w:hint="eastAsia" w:cs="宋体"/>
              </w:rPr>
              <w:t>益阳</w:t>
            </w:r>
            <w:r>
              <w:rPr>
                <w:rFonts w:cs="宋体"/>
              </w:rPr>
              <w:t>地区暴雨强度计算公式</w:t>
            </w:r>
            <w:r>
              <w:rPr>
                <w:rFonts w:hint="eastAsia" w:cs="宋体"/>
              </w:rPr>
              <w:t>：</w:t>
            </w:r>
            <w:r>
              <w:rPr>
                <w:rFonts w:cs="宋体"/>
              </w:rPr>
              <w:t xml:space="preserve"> </w:t>
            </w:r>
          </w:p>
          <w:p>
            <w:pPr>
              <w:spacing w:after="0" w:line="360" w:lineRule="auto"/>
              <w:jc w:val="center"/>
              <w:rPr>
                <w:color w:val="000000"/>
              </w:rPr>
            </w:pPr>
            <w:r>
              <w:rPr>
                <w:color w:val="000000"/>
                <w:position w:val="-24"/>
              </w:rPr>
              <w:object>
                <v:shape id="_x0000_i1026" o:spt="75" type="#_x0000_t75" style="height:34.6pt;width:125.3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spacing w:after="0" w:line="360" w:lineRule="auto"/>
              <w:ind w:firstLine="480" w:firstLineChars="200"/>
              <w:rPr>
                <w:rFonts w:cs="宋体"/>
                <w:color w:val="000000"/>
                <w:sz w:val="24"/>
                <w:szCs w:val="20"/>
              </w:rPr>
            </w:pPr>
            <w:r>
              <w:rPr>
                <w:rFonts w:cs="宋体"/>
                <w:color w:val="000000"/>
                <w:sz w:val="24"/>
                <w:szCs w:val="20"/>
              </w:rPr>
              <w:t>式中</w:t>
            </w:r>
            <w:r>
              <w:rPr>
                <w:rFonts w:hint="eastAsia" w:cs="宋体"/>
                <w:color w:val="000000"/>
                <w:sz w:val="24"/>
                <w:szCs w:val="20"/>
              </w:rPr>
              <w:t>：</w:t>
            </w:r>
            <w:r>
              <w:rPr>
                <w:rFonts w:cs="宋体"/>
                <w:color w:val="000000"/>
                <w:sz w:val="24"/>
                <w:szCs w:val="20"/>
              </w:rPr>
              <w:t>q</w:t>
            </w:r>
            <w:r>
              <w:rPr>
                <w:rFonts w:hint="eastAsia" w:cs="宋体"/>
                <w:color w:val="000000"/>
                <w:sz w:val="24"/>
                <w:szCs w:val="20"/>
              </w:rPr>
              <w:t xml:space="preserve"> </w:t>
            </w:r>
            <w:r>
              <w:rPr>
                <w:rFonts w:cs="宋体"/>
                <w:color w:val="000000"/>
                <w:sz w:val="24"/>
                <w:szCs w:val="20"/>
              </w:rPr>
              <w:t>—</w:t>
            </w:r>
            <w:r>
              <w:rPr>
                <w:rFonts w:hint="eastAsia" w:cs="宋体"/>
                <w:color w:val="000000"/>
                <w:sz w:val="24"/>
                <w:szCs w:val="20"/>
              </w:rPr>
              <w:t xml:space="preserve"> </w:t>
            </w:r>
            <w:r>
              <w:rPr>
                <w:rFonts w:cs="宋体"/>
                <w:color w:val="000000"/>
                <w:sz w:val="24"/>
                <w:szCs w:val="20"/>
              </w:rPr>
              <w:t>设计暴雨强度</w:t>
            </w:r>
            <w:r>
              <w:rPr>
                <w:rFonts w:hint="eastAsia" w:cs="宋体"/>
                <w:color w:val="000000"/>
                <w:sz w:val="24"/>
                <w:szCs w:val="20"/>
              </w:rPr>
              <w:t>，</w:t>
            </w:r>
            <w:r>
              <w:rPr>
                <w:rFonts w:cs="宋体"/>
                <w:color w:val="000000"/>
                <w:sz w:val="24"/>
                <w:szCs w:val="20"/>
              </w:rPr>
              <w:t>L/ha.s</w:t>
            </w:r>
            <w:r>
              <w:rPr>
                <w:rFonts w:hint="eastAsia" w:cs="宋体"/>
                <w:color w:val="000000"/>
                <w:sz w:val="24"/>
                <w:szCs w:val="20"/>
              </w:rPr>
              <w:t>；</w:t>
            </w:r>
          </w:p>
          <w:p>
            <w:pPr>
              <w:spacing w:after="0" w:line="360" w:lineRule="auto"/>
              <w:ind w:firstLine="480" w:firstLineChars="200"/>
              <w:rPr>
                <w:rFonts w:cs="宋体"/>
                <w:color w:val="000000"/>
                <w:sz w:val="24"/>
                <w:szCs w:val="20"/>
              </w:rPr>
            </w:pPr>
            <w:r>
              <w:rPr>
                <w:rFonts w:hint="eastAsia" w:cs="宋体"/>
                <w:color w:val="000000"/>
                <w:sz w:val="24"/>
                <w:szCs w:val="20"/>
              </w:rPr>
              <w:t xml:space="preserve">      </w:t>
            </w:r>
            <w:r>
              <w:rPr>
                <w:rFonts w:cs="宋体"/>
                <w:color w:val="000000"/>
                <w:sz w:val="24"/>
                <w:szCs w:val="20"/>
              </w:rPr>
              <w:t>t</w:t>
            </w:r>
            <w:r>
              <w:rPr>
                <w:rFonts w:hint="eastAsia" w:cs="宋体"/>
                <w:color w:val="000000"/>
                <w:sz w:val="24"/>
                <w:szCs w:val="20"/>
              </w:rPr>
              <w:t xml:space="preserve"> </w:t>
            </w:r>
            <w:r>
              <w:rPr>
                <w:rFonts w:cs="宋体"/>
                <w:color w:val="000000"/>
                <w:sz w:val="24"/>
                <w:szCs w:val="20"/>
              </w:rPr>
              <w:t>—</w:t>
            </w:r>
            <w:r>
              <w:rPr>
                <w:rFonts w:hint="eastAsia" w:cs="宋体"/>
                <w:color w:val="000000"/>
                <w:sz w:val="24"/>
                <w:szCs w:val="20"/>
              </w:rPr>
              <w:t xml:space="preserve"> </w:t>
            </w:r>
            <w:r>
              <w:rPr>
                <w:rFonts w:cs="宋体"/>
                <w:color w:val="000000"/>
                <w:sz w:val="24"/>
                <w:szCs w:val="20"/>
              </w:rPr>
              <w:t>降雨历时(min)，本</w:t>
            </w:r>
            <w:r>
              <w:rPr>
                <w:rFonts w:hint="eastAsia" w:cs="宋体"/>
                <w:color w:val="000000"/>
                <w:sz w:val="24"/>
                <w:szCs w:val="20"/>
              </w:rPr>
              <w:t>项目</w:t>
            </w:r>
            <w:r>
              <w:rPr>
                <w:rFonts w:cs="宋体"/>
                <w:color w:val="000000"/>
                <w:sz w:val="24"/>
                <w:szCs w:val="20"/>
              </w:rPr>
              <w:t>取t=</w:t>
            </w:r>
            <w:r>
              <w:rPr>
                <w:rFonts w:hint="eastAsia" w:cs="宋体"/>
                <w:color w:val="000000"/>
                <w:sz w:val="24"/>
                <w:szCs w:val="20"/>
              </w:rPr>
              <w:t>15</w:t>
            </w:r>
            <w:r>
              <w:rPr>
                <w:rFonts w:cs="宋体"/>
                <w:color w:val="000000"/>
                <w:sz w:val="24"/>
                <w:szCs w:val="20"/>
              </w:rPr>
              <w:t>min；</w:t>
            </w:r>
          </w:p>
          <w:p>
            <w:pPr>
              <w:spacing w:after="0" w:line="360" w:lineRule="auto"/>
              <w:ind w:firstLine="480" w:firstLineChars="200"/>
              <w:rPr>
                <w:rFonts w:cs="宋体"/>
                <w:color w:val="000000"/>
                <w:sz w:val="24"/>
                <w:szCs w:val="20"/>
              </w:rPr>
            </w:pPr>
            <w:r>
              <w:rPr>
                <w:rFonts w:hint="eastAsia" w:cs="宋体"/>
                <w:color w:val="000000"/>
                <w:sz w:val="24"/>
                <w:szCs w:val="20"/>
              </w:rPr>
              <w:t xml:space="preserve">      </w:t>
            </w:r>
            <w:r>
              <w:rPr>
                <w:rFonts w:cs="宋体"/>
                <w:color w:val="000000"/>
                <w:sz w:val="24"/>
                <w:szCs w:val="20"/>
              </w:rPr>
              <w:t>P</w:t>
            </w:r>
            <w:r>
              <w:rPr>
                <w:rFonts w:hint="eastAsia" w:cs="宋体"/>
                <w:color w:val="000000"/>
                <w:sz w:val="24"/>
                <w:szCs w:val="20"/>
              </w:rPr>
              <w:t xml:space="preserve"> </w:t>
            </w:r>
            <w:r>
              <w:rPr>
                <w:rFonts w:cs="宋体"/>
                <w:color w:val="000000"/>
                <w:sz w:val="24"/>
                <w:szCs w:val="20"/>
              </w:rPr>
              <w:t>—</w:t>
            </w:r>
            <w:r>
              <w:rPr>
                <w:rFonts w:hint="eastAsia" w:cs="宋体"/>
                <w:color w:val="000000"/>
                <w:sz w:val="24"/>
                <w:szCs w:val="20"/>
              </w:rPr>
              <w:t xml:space="preserve"> </w:t>
            </w:r>
            <w:r>
              <w:rPr>
                <w:rFonts w:cs="宋体"/>
                <w:color w:val="000000"/>
                <w:sz w:val="24"/>
                <w:szCs w:val="20"/>
              </w:rPr>
              <w:t>重现期(a)，本</w:t>
            </w:r>
            <w:r>
              <w:rPr>
                <w:rFonts w:hint="eastAsia" w:cs="宋体"/>
                <w:color w:val="000000"/>
                <w:sz w:val="24"/>
                <w:szCs w:val="20"/>
              </w:rPr>
              <w:t>项目</w:t>
            </w:r>
            <w:r>
              <w:rPr>
                <w:rFonts w:cs="宋体"/>
                <w:color w:val="000000"/>
                <w:sz w:val="24"/>
                <w:szCs w:val="20"/>
              </w:rPr>
              <w:t>取P=</w:t>
            </w:r>
            <w:r>
              <w:rPr>
                <w:rFonts w:hint="eastAsia" w:cs="宋体"/>
                <w:color w:val="000000"/>
                <w:sz w:val="24"/>
                <w:szCs w:val="20"/>
              </w:rPr>
              <w:t>2</w:t>
            </w:r>
            <w:r>
              <w:rPr>
                <w:rFonts w:cs="宋体"/>
                <w:color w:val="000000"/>
                <w:sz w:val="24"/>
                <w:szCs w:val="20"/>
              </w:rPr>
              <w:t>年。</w:t>
            </w:r>
          </w:p>
          <w:p>
            <w:pPr>
              <w:spacing w:after="0" w:line="360" w:lineRule="auto"/>
              <w:ind w:firstLine="480" w:firstLineChars="200"/>
              <w:rPr>
                <w:rFonts w:cs="宋体"/>
                <w:color w:val="000000"/>
                <w:sz w:val="24"/>
                <w:szCs w:val="20"/>
              </w:rPr>
            </w:pPr>
            <w:r>
              <w:rPr>
                <w:rFonts w:cs="宋体"/>
                <w:color w:val="000000"/>
                <w:sz w:val="24"/>
                <w:szCs w:val="20"/>
              </w:rPr>
              <w:t>经计算，</w:t>
            </w:r>
            <w:r>
              <w:rPr>
                <w:rFonts w:hint="eastAsia" w:cs="宋体"/>
                <w:color w:val="000000"/>
                <w:sz w:val="24"/>
                <w:szCs w:val="20"/>
              </w:rPr>
              <w:t>本项目区域2</w:t>
            </w:r>
            <w:r>
              <w:rPr>
                <w:rFonts w:cs="宋体"/>
                <w:color w:val="000000"/>
                <w:sz w:val="24"/>
                <w:szCs w:val="20"/>
              </w:rPr>
              <w:t>年内重现期历时</w:t>
            </w:r>
            <w:r>
              <w:rPr>
                <w:rFonts w:hint="eastAsia" w:cs="宋体"/>
                <w:color w:val="000000"/>
                <w:sz w:val="24"/>
                <w:szCs w:val="20"/>
              </w:rPr>
              <w:t>15</w:t>
            </w:r>
            <w:r>
              <w:rPr>
                <w:rFonts w:cs="宋体"/>
                <w:color w:val="000000"/>
                <w:sz w:val="24"/>
                <w:szCs w:val="20"/>
              </w:rPr>
              <w:t>min的降雨强度为</w:t>
            </w:r>
            <w:r>
              <w:rPr>
                <w:rFonts w:hint="eastAsia" w:cs="宋体"/>
                <w:color w:val="000000"/>
                <w:sz w:val="24"/>
                <w:szCs w:val="20"/>
              </w:rPr>
              <w:t>237.9</w:t>
            </w:r>
            <w:r>
              <w:rPr>
                <w:rFonts w:cs="宋体"/>
                <w:color w:val="000000"/>
                <w:sz w:val="24"/>
                <w:szCs w:val="20"/>
              </w:rPr>
              <w:t>L/ha.s。</w:t>
            </w:r>
          </w:p>
          <w:p>
            <w:pPr>
              <w:spacing w:after="0" w:line="360" w:lineRule="auto"/>
              <w:ind w:firstLine="480" w:firstLineChars="200"/>
              <w:rPr>
                <w:rFonts w:cs="宋体"/>
                <w:color w:val="000000"/>
                <w:sz w:val="24"/>
                <w:szCs w:val="20"/>
              </w:rPr>
            </w:pPr>
            <w:r>
              <w:rPr>
                <w:rFonts w:cs="宋体"/>
                <w:color w:val="000000"/>
                <w:sz w:val="24"/>
                <w:szCs w:val="20"/>
              </w:rPr>
              <w:t>根据《室外排水工程规范》（中国建筑工业出版社），雨水设计流量按下列公式计算：</w:t>
            </w:r>
          </w:p>
          <w:p>
            <w:pPr>
              <w:spacing w:after="0" w:line="360" w:lineRule="auto"/>
              <w:jc w:val="center"/>
              <w:rPr>
                <w:color w:val="000000"/>
              </w:rPr>
            </w:pPr>
            <w:r>
              <w:rPr>
                <w:color w:val="000000"/>
                <w:position w:val="-10"/>
              </w:rPr>
              <w:object>
                <v:shape id="_x0000_i1027" o:spt="75" type="#_x0000_t75" style="height:18.7pt;width:53.3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4">
                  <o:LockedField>false</o:LockedField>
                </o:OLEObject>
              </w:object>
            </w:r>
          </w:p>
          <w:p>
            <w:pPr>
              <w:spacing w:after="0" w:line="360" w:lineRule="auto"/>
              <w:ind w:firstLine="480" w:firstLineChars="200"/>
              <w:rPr>
                <w:rFonts w:cs="宋体"/>
                <w:color w:val="000000"/>
                <w:sz w:val="24"/>
                <w:szCs w:val="20"/>
              </w:rPr>
            </w:pPr>
            <w:r>
              <w:rPr>
                <w:rFonts w:cs="宋体"/>
                <w:color w:val="000000"/>
                <w:sz w:val="24"/>
                <w:szCs w:val="20"/>
              </w:rPr>
              <w:t>式中：Q</w:t>
            </w:r>
            <w:r>
              <w:rPr>
                <w:rFonts w:hint="eastAsia" w:cs="宋体"/>
                <w:color w:val="000000"/>
                <w:sz w:val="24"/>
                <w:szCs w:val="20"/>
              </w:rPr>
              <w:t xml:space="preserve"> </w:t>
            </w:r>
            <w:r>
              <w:rPr>
                <w:rFonts w:cs="宋体"/>
                <w:color w:val="000000"/>
                <w:sz w:val="24"/>
                <w:szCs w:val="20"/>
              </w:rPr>
              <w:t>—</w:t>
            </w:r>
            <w:r>
              <w:rPr>
                <w:rFonts w:hint="eastAsia" w:cs="宋体"/>
                <w:color w:val="000000"/>
                <w:sz w:val="24"/>
                <w:szCs w:val="20"/>
              </w:rPr>
              <w:t xml:space="preserve"> </w:t>
            </w:r>
            <w:r>
              <w:rPr>
                <w:rFonts w:cs="宋体"/>
                <w:color w:val="000000"/>
                <w:sz w:val="24"/>
                <w:szCs w:val="20"/>
              </w:rPr>
              <w:t>雨水设计流量（L/s）</w:t>
            </w:r>
          </w:p>
          <w:p>
            <w:pPr>
              <w:spacing w:after="0" w:line="360" w:lineRule="auto"/>
              <w:ind w:firstLine="480" w:firstLineChars="200"/>
              <w:rPr>
                <w:rFonts w:cs="宋体"/>
                <w:color w:val="000000"/>
                <w:sz w:val="24"/>
                <w:szCs w:val="20"/>
              </w:rPr>
            </w:pPr>
            <w:r>
              <w:rPr>
                <w:rFonts w:cs="宋体"/>
                <w:color w:val="000000"/>
                <w:sz w:val="24"/>
                <w:szCs w:val="20"/>
              </w:rPr>
              <w:t xml:space="preserve">      q</w:t>
            </w:r>
            <w:r>
              <w:rPr>
                <w:rFonts w:hint="eastAsia" w:cs="宋体"/>
                <w:color w:val="000000"/>
                <w:sz w:val="24"/>
                <w:szCs w:val="20"/>
              </w:rPr>
              <w:t xml:space="preserve"> </w:t>
            </w:r>
            <w:r>
              <w:rPr>
                <w:rFonts w:cs="宋体"/>
                <w:color w:val="000000"/>
                <w:sz w:val="24"/>
                <w:szCs w:val="20"/>
              </w:rPr>
              <w:t>—</w:t>
            </w:r>
            <w:r>
              <w:rPr>
                <w:rFonts w:hint="eastAsia" w:cs="宋体"/>
                <w:color w:val="000000"/>
                <w:sz w:val="24"/>
                <w:szCs w:val="20"/>
              </w:rPr>
              <w:t xml:space="preserve"> </w:t>
            </w:r>
            <w:r>
              <w:rPr>
                <w:rFonts w:cs="宋体"/>
                <w:color w:val="000000"/>
                <w:sz w:val="24"/>
                <w:szCs w:val="20"/>
              </w:rPr>
              <w:t>降雨强度（L/s·ha）</w:t>
            </w:r>
          </w:p>
          <w:p>
            <w:pPr>
              <w:spacing w:after="0" w:line="360" w:lineRule="auto"/>
              <w:ind w:firstLine="480" w:firstLineChars="200"/>
              <w:rPr>
                <w:rFonts w:cs="宋体"/>
                <w:color w:val="000000"/>
                <w:sz w:val="24"/>
                <w:szCs w:val="20"/>
              </w:rPr>
            </w:pPr>
            <w:r>
              <w:rPr>
                <w:rFonts w:cs="宋体"/>
                <w:color w:val="000000"/>
                <w:sz w:val="24"/>
                <w:szCs w:val="20"/>
              </w:rPr>
              <w:t xml:space="preserve">      ψ</w:t>
            </w:r>
            <w:r>
              <w:rPr>
                <w:rFonts w:hint="eastAsia" w:cs="宋体"/>
                <w:color w:val="000000"/>
                <w:sz w:val="24"/>
                <w:szCs w:val="20"/>
              </w:rPr>
              <w:t xml:space="preserve"> </w:t>
            </w:r>
            <w:r>
              <w:rPr>
                <w:rFonts w:cs="宋体"/>
                <w:color w:val="000000"/>
                <w:sz w:val="24"/>
                <w:szCs w:val="20"/>
              </w:rPr>
              <w:t>—</w:t>
            </w:r>
            <w:r>
              <w:rPr>
                <w:rFonts w:hint="eastAsia" w:cs="宋体"/>
                <w:color w:val="000000"/>
                <w:sz w:val="24"/>
                <w:szCs w:val="20"/>
              </w:rPr>
              <w:t xml:space="preserve"> </w:t>
            </w:r>
            <w:r>
              <w:rPr>
                <w:rFonts w:cs="宋体"/>
                <w:color w:val="000000"/>
                <w:sz w:val="24"/>
                <w:szCs w:val="20"/>
              </w:rPr>
              <w:t>径流系数，本</w:t>
            </w:r>
            <w:r>
              <w:rPr>
                <w:rFonts w:hint="eastAsia" w:cs="宋体"/>
                <w:color w:val="000000"/>
                <w:sz w:val="24"/>
                <w:szCs w:val="20"/>
              </w:rPr>
              <w:t>项目</w:t>
            </w:r>
            <w:r>
              <w:rPr>
                <w:rFonts w:cs="宋体"/>
                <w:color w:val="000000"/>
                <w:sz w:val="24"/>
                <w:szCs w:val="20"/>
              </w:rPr>
              <w:t>取0.</w:t>
            </w:r>
            <w:r>
              <w:rPr>
                <w:rFonts w:hint="eastAsia" w:cs="宋体"/>
                <w:color w:val="000000"/>
                <w:sz w:val="24"/>
                <w:szCs w:val="20"/>
              </w:rPr>
              <w:t>85</w:t>
            </w:r>
            <w:r>
              <w:rPr>
                <w:rFonts w:cs="宋体"/>
                <w:color w:val="000000"/>
                <w:sz w:val="24"/>
                <w:szCs w:val="20"/>
              </w:rPr>
              <w:t>。</w:t>
            </w:r>
          </w:p>
          <w:p>
            <w:pPr>
              <w:spacing w:after="0" w:line="360" w:lineRule="auto"/>
              <w:ind w:firstLine="480" w:firstLineChars="200"/>
              <w:rPr>
                <w:rFonts w:cs="宋体"/>
                <w:color w:val="000000"/>
                <w:sz w:val="24"/>
                <w:szCs w:val="20"/>
              </w:rPr>
            </w:pPr>
            <w:r>
              <w:rPr>
                <w:rFonts w:cs="宋体"/>
                <w:color w:val="000000"/>
                <w:sz w:val="24"/>
                <w:szCs w:val="20"/>
              </w:rPr>
              <w:t xml:space="preserve">      A</w:t>
            </w:r>
            <w:r>
              <w:rPr>
                <w:rFonts w:hint="eastAsia" w:cs="宋体"/>
                <w:color w:val="000000"/>
                <w:sz w:val="24"/>
                <w:szCs w:val="20"/>
              </w:rPr>
              <w:t xml:space="preserve"> </w:t>
            </w:r>
            <w:r>
              <w:rPr>
                <w:rFonts w:cs="宋体"/>
                <w:color w:val="000000"/>
                <w:sz w:val="24"/>
                <w:szCs w:val="20"/>
              </w:rPr>
              <w:t>—</w:t>
            </w:r>
            <w:r>
              <w:rPr>
                <w:rFonts w:hint="eastAsia" w:cs="宋体"/>
                <w:color w:val="000000"/>
                <w:sz w:val="24"/>
                <w:szCs w:val="20"/>
              </w:rPr>
              <w:t xml:space="preserve"> </w:t>
            </w:r>
            <w:r>
              <w:rPr>
                <w:rFonts w:cs="宋体"/>
                <w:color w:val="000000"/>
                <w:sz w:val="24"/>
                <w:szCs w:val="20"/>
              </w:rPr>
              <w:t>汇水面积（ha）</w:t>
            </w:r>
          </w:p>
          <w:p>
            <w:pPr>
              <w:spacing w:after="0" w:line="360" w:lineRule="auto"/>
              <w:ind w:firstLine="480" w:firstLineChars="200"/>
              <w:rPr>
                <w:sz w:val="24"/>
                <w:lang w:val="zh-CN" w:bidi="ar"/>
              </w:rPr>
            </w:pPr>
            <w:r>
              <w:rPr>
                <w:rFonts w:cs="宋体"/>
                <w:color w:val="000000"/>
                <w:sz w:val="24"/>
                <w:szCs w:val="20"/>
              </w:rPr>
              <w:t>项目</w:t>
            </w:r>
            <w:r>
              <w:rPr>
                <w:rFonts w:hint="eastAsia" w:cs="宋体"/>
                <w:color w:val="000000"/>
                <w:sz w:val="24"/>
                <w:szCs w:val="20"/>
              </w:rPr>
              <w:t>生产</w:t>
            </w:r>
            <w:r>
              <w:rPr>
                <w:rFonts w:cs="宋体"/>
                <w:color w:val="000000"/>
                <w:sz w:val="24"/>
                <w:szCs w:val="20"/>
              </w:rPr>
              <w:t>区内除绿化面积外，道路</w:t>
            </w:r>
            <w:r>
              <w:rPr>
                <w:rFonts w:hint="eastAsia" w:cs="宋体"/>
                <w:color w:val="000000"/>
                <w:sz w:val="24"/>
                <w:szCs w:val="20"/>
              </w:rPr>
              <w:t>占地面积</w:t>
            </w:r>
            <w:r>
              <w:rPr>
                <w:rFonts w:cs="宋体"/>
                <w:color w:val="000000"/>
                <w:sz w:val="24"/>
                <w:szCs w:val="20"/>
              </w:rPr>
              <w:t>约</w:t>
            </w:r>
            <w:r>
              <w:rPr>
                <w:rFonts w:hint="eastAsia" w:cs="宋体"/>
                <w:color w:val="000000"/>
                <w:sz w:val="24"/>
                <w:szCs w:val="20"/>
              </w:rPr>
              <w:t>2ha。</w:t>
            </w:r>
            <w:r>
              <w:rPr>
                <w:rFonts w:cs="宋体"/>
                <w:color w:val="000000"/>
                <w:sz w:val="24"/>
                <w:szCs w:val="20"/>
              </w:rPr>
              <w:t>经计算，项目降雨</w:t>
            </w:r>
            <w:r>
              <w:rPr>
                <w:rFonts w:hint="eastAsia" w:cs="宋体"/>
                <w:color w:val="000000"/>
                <w:sz w:val="24"/>
                <w:szCs w:val="20"/>
              </w:rPr>
              <w:t>初期（前</w:t>
            </w:r>
            <w:r>
              <w:rPr>
                <w:rFonts w:cs="宋体"/>
                <w:color w:val="000000"/>
                <w:sz w:val="24"/>
                <w:szCs w:val="20"/>
              </w:rPr>
              <w:t>15min</w:t>
            </w:r>
            <w:r>
              <w:rPr>
                <w:rFonts w:hint="eastAsia" w:cs="宋体"/>
                <w:color w:val="000000"/>
                <w:sz w:val="24"/>
                <w:szCs w:val="20"/>
              </w:rPr>
              <w:t>）</w:t>
            </w:r>
            <w:r>
              <w:rPr>
                <w:rFonts w:cs="宋体"/>
                <w:color w:val="000000"/>
                <w:sz w:val="24"/>
                <w:szCs w:val="20"/>
              </w:rPr>
              <w:t>雨水量为</w:t>
            </w:r>
            <w:r>
              <w:rPr>
                <w:rFonts w:hint="eastAsia" w:cs="宋体"/>
                <w:color w:val="000000"/>
                <w:sz w:val="24"/>
                <w:szCs w:val="20"/>
              </w:rPr>
              <w:t>394.4</w:t>
            </w:r>
            <w:r>
              <w:rPr>
                <w:rFonts w:cs="宋体"/>
                <w:color w:val="000000"/>
                <w:sz w:val="24"/>
                <w:szCs w:val="20"/>
              </w:rPr>
              <w:t>m</w:t>
            </w:r>
            <w:r>
              <w:rPr>
                <w:rFonts w:cs="宋体"/>
                <w:color w:val="000000"/>
                <w:sz w:val="24"/>
                <w:szCs w:val="20"/>
                <w:vertAlign w:val="superscript"/>
              </w:rPr>
              <w:t>3</w:t>
            </w:r>
            <w:r>
              <w:rPr>
                <w:rFonts w:cs="宋体"/>
                <w:color w:val="000000"/>
                <w:sz w:val="24"/>
                <w:szCs w:val="20"/>
              </w:rPr>
              <w:t>/次，</w:t>
            </w:r>
            <w:r>
              <w:rPr>
                <w:rFonts w:hint="eastAsia" w:cs="宋体"/>
                <w:color w:val="000000"/>
                <w:sz w:val="24"/>
                <w:szCs w:val="20"/>
              </w:rPr>
              <w:t>故本项目雨水收集池容积设计为400m</w:t>
            </w:r>
            <w:r>
              <w:rPr>
                <w:rFonts w:hint="eastAsia" w:cs="宋体"/>
                <w:color w:val="000000"/>
                <w:sz w:val="24"/>
                <w:szCs w:val="20"/>
                <w:vertAlign w:val="superscript"/>
              </w:rPr>
              <w:t>3</w:t>
            </w:r>
            <w:r>
              <w:rPr>
                <w:rFonts w:hint="eastAsia" w:cs="宋体"/>
                <w:color w:val="000000"/>
                <w:sz w:val="24"/>
                <w:szCs w:val="20"/>
              </w:rPr>
              <w:t>。</w:t>
            </w:r>
          </w:p>
          <w:p>
            <w:pPr>
              <w:adjustRightInd w:val="0"/>
              <w:snapToGrid w:val="0"/>
              <w:spacing w:after="0" w:line="360" w:lineRule="auto"/>
              <w:ind w:firstLine="480" w:firstLineChars="200"/>
              <w:rPr>
                <w:kern w:val="0"/>
                <w:sz w:val="24"/>
              </w:rPr>
            </w:pPr>
            <w:r>
              <w:rPr>
                <w:rFonts w:hint="eastAsia"/>
                <w:kern w:val="0"/>
                <w:sz w:val="24"/>
                <w:lang w:val="zh-CN" w:bidi="ar"/>
              </w:rPr>
              <w:t>（6）</w:t>
            </w:r>
            <w:r>
              <w:rPr>
                <w:rFonts w:hint="eastAsia"/>
                <w:kern w:val="0"/>
                <w:sz w:val="24"/>
                <w:lang w:bidi="ar"/>
              </w:rPr>
              <w:t>生活废水</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b/>
                <w:bCs/>
              </w:rPr>
            </w:pPr>
            <w:r>
              <w:rPr>
                <w:rFonts w:hint="eastAsia" w:ascii="Times New Roman" w:hAnsi="Times New Roman" w:cs="Times New Roman"/>
                <w:color w:val="auto"/>
                <w:lang w:bidi="ar"/>
              </w:rPr>
              <w:t>本项目员工有28人，年生产300天，在厂区内食宿，</w:t>
            </w:r>
            <w:r>
              <w:rPr>
                <w:rFonts w:ascii="Times New Roman" w:hAnsi="Times New Roman" w:cs="Times New Roman"/>
                <w:color w:val="auto"/>
                <w:lang w:val="zh-CN" w:bidi="ar"/>
              </w:rPr>
              <w:t>根据《湖南省用水定额》（DB43/T388-2014）</w:t>
            </w:r>
            <w:r>
              <w:rPr>
                <w:rFonts w:hint="eastAsia" w:ascii="Times New Roman" w:hAnsi="Times New Roman" w:cs="Times New Roman"/>
                <w:color w:val="auto"/>
                <w:lang w:bidi="ar"/>
              </w:rPr>
              <w:t>表28城镇居民用水定额标准</w:t>
            </w:r>
            <w:r>
              <w:rPr>
                <w:rFonts w:ascii="Times New Roman" w:hAnsi="Times New Roman" w:cs="Times New Roman"/>
                <w:color w:val="auto"/>
                <w:lang w:val="zh-CN" w:bidi="ar"/>
              </w:rPr>
              <w:t>，平均用水量按</w:t>
            </w:r>
            <w:r>
              <w:rPr>
                <w:rFonts w:hint="eastAsia" w:ascii="Times New Roman" w:hAnsi="Times New Roman" w:cs="Times New Roman"/>
                <w:color w:val="auto"/>
                <w:lang w:bidi="ar"/>
              </w:rPr>
              <w:t>1</w:t>
            </w:r>
            <w:r>
              <w:rPr>
                <w:rFonts w:ascii="Times New Roman" w:hAnsi="Times New Roman" w:cs="Times New Roman"/>
                <w:color w:val="auto"/>
                <w:lang w:val="zh-CN" w:bidi="ar"/>
              </w:rPr>
              <w:t>45L/人.d计算</w:t>
            </w:r>
            <w:r>
              <w:rPr>
                <w:rFonts w:hint="eastAsia" w:ascii="Times New Roman" w:hAnsi="Times New Roman" w:cs="Times New Roman"/>
                <w:color w:val="auto"/>
                <w:lang w:val="zh-CN" w:bidi="ar"/>
              </w:rPr>
              <w:t>，</w:t>
            </w:r>
            <w:r>
              <w:rPr>
                <w:rFonts w:hint="eastAsia" w:ascii="Times New Roman" w:hAnsi="Times New Roman" w:cs="Times New Roman"/>
                <w:color w:val="auto"/>
                <w:lang w:bidi="ar"/>
              </w:rPr>
              <w:t>则</w:t>
            </w:r>
            <w:r>
              <w:rPr>
                <w:rFonts w:ascii="Times New Roman" w:hAnsi="Times New Roman" w:cs="Times New Roman"/>
                <w:color w:val="auto"/>
                <w:lang w:val="zh-CN" w:bidi="ar"/>
              </w:rPr>
              <w:t>总用水量为</w:t>
            </w:r>
            <w:r>
              <w:rPr>
                <w:rFonts w:hint="eastAsia" w:ascii="Times New Roman" w:hAnsi="Times New Roman" w:cs="Times New Roman"/>
                <w:color w:val="auto"/>
                <w:lang w:bidi="ar"/>
              </w:rPr>
              <w:t>1218</w:t>
            </w:r>
            <w:r>
              <w:rPr>
                <w:rFonts w:ascii="Times New Roman" w:hAnsi="Times New Roman" w:cs="Times New Roman"/>
                <w:color w:val="auto"/>
                <w:lang w:val="zh-CN" w:bidi="ar"/>
              </w:rPr>
              <w:t>m³/a</w:t>
            </w:r>
            <w:r>
              <w:rPr>
                <w:rFonts w:hint="eastAsia" w:ascii="Times New Roman" w:hAnsi="Times New Roman" w:cs="Times New Roman"/>
                <w:color w:val="auto"/>
                <w:lang w:val="zh-CN" w:bidi="ar"/>
              </w:rPr>
              <w:t>，</w:t>
            </w:r>
            <w:r>
              <w:rPr>
                <w:rFonts w:ascii="Times New Roman" w:hAnsi="Times New Roman" w:cs="Times New Roman"/>
                <w:color w:val="auto"/>
                <w:lang w:val="zh-CN" w:bidi="ar"/>
              </w:rPr>
              <w:t>废水产生按其使用量80%计算，生活废水的排放量约为</w:t>
            </w:r>
            <w:r>
              <w:rPr>
                <w:rFonts w:hint="eastAsia" w:ascii="Times New Roman" w:hAnsi="Times New Roman" w:cs="Times New Roman"/>
                <w:color w:val="auto"/>
                <w:lang w:bidi="ar"/>
              </w:rPr>
              <w:t>974</w:t>
            </w:r>
            <w:r>
              <w:rPr>
                <w:rFonts w:ascii="Times New Roman" w:hAnsi="Times New Roman" w:cs="Times New Roman"/>
                <w:color w:val="auto"/>
                <w:lang w:val="zh-CN" w:bidi="ar"/>
              </w:rPr>
              <w:t>m³/a</w:t>
            </w:r>
            <w:r>
              <w:rPr>
                <w:rFonts w:hint="eastAsia" w:ascii="Times New Roman" w:hAnsi="Times New Roman" w:cs="Times New Roman"/>
                <w:color w:val="auto"/>
                <w:lang w:val="zh-CN" w:bidi="ar"/>
              </w:rPr>
              <w:t>。</w:t>
            </w:r>
            <w:r>
              <w:rPr>
                <w:rFonts w:hint="eastAsia" w:ascii="Times New Roman" w:hAnsi="Times New Roman" w:cs="Times New Roman"/>
                <w:color w:val="auto"/>
                <w:lang w:bidi="ar"/>
              </w:rPr>
              <w:t>生活废水经隔油器及化粪池处理后用于周边农田灌溉，不外排。</w:t>
            </w:r>
            <w:r>
              <w:rPr>
                <w:rFonts w:ascii="Times New Roman" w:hAnsi="Times New Roman" w:cs="Times New Roman"/>
                <w:color w:val="auto"/>
              </w:rPr>
              <w:t>生活污水主要污染物为COD、BOD</w:t>
            </w:r>
            <w:r>
              <w:rPr>
                <w:rFonts w:ascii="Times New Roman" w:hAnsi="Times New Roman" w:cs="Times New Roman"/>
                <w:color w:val="auto"/>
                <w:vertAlign w:val="subscript"/>
              </w:rPr>
              <w:t>5</w:t>
            </w:r>
            <w:r>
              <w:rPr>
                <w:rFonts w:ascii="Times New Roman" w:hAnsi="Times New Roman" w:cs="Times New Roman"/>
                <w:color w:val="auto"/>
              </w:rPr>
              <w:t>、NH</w:t>
            </w:r>
            <w:r>
              <w:rPr>
                <w:rFonts w:ascii="Times New Roman" w:hAnsi="Times New Roman" w:cs="Times New Roman"/>
                <w:color w:val="auto"/>
                <w:vertAlign w:val="subscript"/>
              </w:rPr>
              <w:t>3</w:t>
            </w:r>
            <w:r>
              <w:rPr>
                <w:rFonts w:ascii="Times New Roman" w:hAnsi="Times New Roman" w:cs="Times New Roman"/>
                <w:color w:val="auto"/>
              </w:rPr>
              <w:t>-N、SS</w:t>
            </w:r>
            <w:r>
              <w:rPr>
                <w:rFonts w:hint="eastAsia" w:ascii="Times New Roman" w:hAnsi="Times New Roman" w:cs="Times New Roman"/>
                <w:color w:val="auto"/>
              </w:rPr>
              <w:t>、动植物油，</w:t>
            </w:r>
            <w:r>
              <w:rPr>
                <w:rFonts w:ascii="Times New Roman" w:hAnsi="Times New Roman" w:cs="Times New Roman"/>
              </w:rPr>
              <w:t>参考相关资料，本项目生活污水污染物排放情况见下表。</w:t>
            </w:r>
          </w:p>
          <w:p>
            <w:pPr>
              <w:pStyle w:val="17"/>
              <w:widowControl w:val="0"/>
              <w:adjustRightInd w:val="0"/>
              <w:snapToGrid w:val="0"/>
              <w:spacing w:before="0" w:beforeAutospacing="0" w:after="0" w:afterAutospacing="0" w:line="360" w:lineRule="auto"/>
              <w:ind w:firstLine="482" w:firstLineChars="200"/>
              <w:jc w:val="center"/>
              <w:rPr>
                <w:rFonts w:ascii="Times New Roman" w:hAnsi="Times New Roman" w:cs="Times New Roman"/>
              </w:rPr>
            </w:pPr>
            <w:r>
              <w:rPr>
                <w:rFonts w:ascii="Times New Roman" w:hAnsi="Times New Roman" w:cs="Times New Roman"/>
                <w:b/>
                <w:bCs/>
              </w:rPr>
              <w:t>表5-4  污染物产生及排放情况一览表</w:t>
            </w:r>
          </w:p>
          <w:tbl>
            <w:tblPr>
              <w:tblStyle w:val="22"/>
              <w:tblW w:w="4976"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25"/>
              <w:gridCol w:w="1172"/>
              <w:gridCol w:w="1727"/>
              <w:gridCol w:w="993"/>
              <w:gridCol w:w="813"/>
              <w:gridCol w:w="950"/>
              <w:gridCol w:w="865"/>
              <w:gridCol w:w="1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399" w:type="pct"/>
                  <w:gridSpan w:val="3"/>
                  <w:tcBorders>
                    <w:top w:val="single" w:color="auto" w:sz="8" w:space="0"/>
                    <w:left w:val="single" w:color="auto" w:sz="8" w:space="0"/>
                    <w:bottom w:val="single" w:color="auto" w:sz="6" w:space="0"/>
                    <w:right w:val="single" w:color="auto" w:sz="6" w:space="0"/>
                  </w:tcBorders>
                  <w:vAlign w:val="center"/>
                </w:tcPr>
                <w:p>
                  <w:pPr>
                    <w:spacing w:after="0"/>
                    <w:jc w:val="center"/>
                    <w:rPr>
                      <w:szCs w:val="21"/>
                    </w:rPr>
                  </w:pPr>
                  <w:r>
                    <w:rPr>
                      <w:szCs w:val="21"/>
                      <w:lang w:bidi="ar"/>
                    </w:rPr>
                    <w:t>废水性质</w:t>
                  </w:r>
                </w:p>
              </w:tc>
              <w:tc>
                <w:tcPr>
                  <w:tcW w:w="551" w:type="pct"/>
                  <w:tcBorders>
                    <w:top w:val="single" w:color="auto" w:sz="8" w:space="0"/>
                    <w:left w:val="single" w:color="auto" w:sz="6" w:space="0"/>
                    <w:bottom w:val="single" w:color="auto" w:sz="6" w:space="0"/>
                    <w:right w:val="single" w:color="auto" w:sz="6" w:space="0"/>
                  </w:tcBorders>
                  <w:vAlign w:val="center"/>
                </w:tcPr>
                <w:p>
                  <w:pPr>
                    <w:spacing w:after="0"/>
                    <w:jc w:val="center"/>
                    <w:rPr>
                      <w:szCs w:val="21"/>
                    </w:rPr>
                  </w:pPr>
                  <w:r>
                    <w:rPr>
                      <w:szCs w:val="21"/>
                      <w:lang w:bidi="ar"/>
                    </w:rPr>
                    <w:t>CODcr</w:t>
                  </w:r>
                </w:p>
              </w:tc>
              <w:tc>
                <w:tcPr>
                  <w:tcW w:w="451" w:type="pct"/>
                  <w:tcBorders>
                    <w:top w:val="single" w:color="auto" w:sz="8" w:space="0"/>
                    <w:left w:val="single" w:color="auto" w:sz="6" w:space="0"/>
                    <w:bottom w:val="single" w:color="auto" w:sz="6" w:space="0"/>
                    <w:right w:val="single" w:color="auto" w:sz="6" w:space="0"/>
                  </w:tcBorders>
                  <w:vAlign w:val="center"/>
                </w:tcPr>
                <w:p>
                  <w:pPr>
                    <w:spacing w:after="0"/>
                    <w:jc w:val="center"/>
                    <w:rPr>
                      <w:szCs w:val="21"/>
                    </w:rPr>
                  </w:pPr>
                  <w:r>
                    <w:rPr>
                      <w:szCs w:val="21"/>
                      <w:lang w:bidi="ar"/>
                    </w:rPr>
                    <w:t>BOD</w:t>
                  </w:r>
                  <w:r>
                    <w:rPr>
                      <w:szCs w:val="21"/>
                      <w:vertAlign w:val="subscript"/>
                      <w:lang w:bidi="ar"/>
                    </w:rPr>
                    <w:t>5</w:t>
                  </w:r>
                </w:p>
              </w:tc>
              <w:tc>
                <w:tcPr>
                  <w:tcW w:w="527" w:type="pct"/>
                  <w:tcBorders>
                    <w:top w:val="single" w:color="auto" w:sz="8" w:space="0"/>
                    <w:left w:val="single" w:color="auto" w:sz="6" w:space="0"/>
                    <w:bottom w:val="single" w:color="auto" w:sz="6" w:space="0"/>
                    <w:right w:val="single" w:color="auto" w:sz="6" w:space="0"/>
                  </w:tcBorders>
                  <w:vAlign w:val="center"/>
                </w:tcPr>
                <w:p>
                  <w:pPr>
                    <w:spacing w:after="0"/>
                    <w:jc w:val="center"/>
                    <w:rPr>
                      <w:color w:val="000000"/>
                      <w:szCs w:val="21"/>
                      <w:lang w:bidi="ar"/>
                    </w:rPr>
                  </w:pPr>
                  <w:r>
                    <w:rPr>
                      <w:szCs w:val="21"/>
                      <w:lang w:bidi="ar"/>
                    </w:rPr>
                    <w:t>SS</w:t>
                  </w:r>
                </w:p>
              </w:tc>
              <w:tc>
                <w:tcPr>
                  <w:tcW w:w="480" w:type="pct"/>
                  <w:tcBorders>
                    <w:top w:val="single" w:color="auto" w:sz="8" w:space="0"/>
                    <w:left w:val="single" w:color="auto" w:sz="6" w:space="0"/>
                    <w:bottom w:val="single" w:color="auto" w:sz="6" w:space="0"/>
                    <w:right w:val="single" w:color="auto" w:sz="6" w:space="0"/>
                  </w:tcBorders>
                  <w:vAlign w:val="center"/>
                </w:tcPr>
                <w:p>
                  <w:pPr>
                    <w:spacing w:after="0"/>
                    <w:jc w:val="center"/>
                    <w:rPr>
                      <w:szCs w:val="21"/>
                    </w:rPr>
                  </w:pPr>
                  <w:r>
                    <w:rPr>
                      <w:color w:val="000000"/>
                      <w:szCs w:val="21"/>
                      <w:lang w:bidi="ar"/>
                    </w:rPr>
                    <w:t>NH</w:t>
                  </w:r>
                  <w:r>
                    <w:rPr>
                      <w:color w:val="000000"/>
                      <w:szCs w:val="21"/>
                      <w:vertAlign w:val="subscript"/>
                      <w:lang w:bidi="ar"/>
                    </w:rPr>
                    <w:t>3</w:t>
                  </w:r>
                  <w:r>
                    <w:rPr>
                      <w:color w:val="000000"/>
                      <w:szCs w:val="21"/>
                      <w:lang w:bidi="ar"/>
                    </w:rPr>
                    <w:t>-N</w:t>
                  </w:r>
                </w:p>
              </w:tc>
              <w:tc>
                <w:tcPr>
                  <w:tcW w:w="590" w:type="pct"/>
                  <w:tcBorders>
                    <w:top w:val="single" w:color="auto" w:sz="8" w:space="0"/>
                    <w:left w:val="single" w:color="auto" w:sz="6" w:space="0"/>
                    <w:bottom w:val="single" w:color="auto" w:sz="6" w:space="0"/>
                    <w:right w:val="single" w:color="auto" w:sz="6" w:space="0"/>
                  </w:tcBorders>
                  <w:vAlign w:val="center"/>
                </w:tcPr>
                <w:p>
                  <w:pPr>
                    <w:spacing w:after="0"/>
                    <w:jc w:val="center"/>
                    <w:rPr>
                      <w:color w:val="000000"/>
                      <w:szCs w:val="21"/>
                      <w:lang w:bidi="ar"/>
                    </w:rPr>
                  </w:pPr>
                  <w:r>
                    <w:rPr>
                      <w:rFonts w:hint="eastAsia"/>
                      <w:color w:val="000000"/>
                      <w:szCs w:val="21"/>
                      <w:lang w:bidi="ar"/>
                    </w:rPr>
                    <w:t>动植物油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40" w:hRule="atLeast"/>
                <w:jc w:val="center"/>
              </w:trPr>
              <w:tc>
                <w:tcPr>
                  <w:tcW w:w="791" w:type="pct"/>
                  <w:vMerge w:val="restart"/>
                  <w:tcBorders>
                    <w:top w:val="single" w:color="auto" w:sz="6" w:space="0"/>
                    <w:left w:val="single" w:color="auto" w:sz="8" w:space="0"/>
                    <w:bottom w:val="single" w:color="auto" w:sz="6" w:space="0"/>
                    <w:right w:val="single" w:color="auto" w:sz="6" w:space="0"/>
                  </w:tcBorders>
                  <w:vAlign w:val="center"/>
                </w:tcPr>
                <w:p>
                  <w:pPr>
                    <w:widowControl/>
                    <w:spacing w:after="0"/>
                    <w:jc w:val="center"/>
                    <w:rPr>
                      <w:kern w:val="0"/>
                      <w:szCs w:val="21"/>
                    </w:rPr>
                  </w:pPr>
                  <w:r>
                    <w:rPr>
                      <w:kern w:val="0"/>
                      <w:szCs w:val="21"/>
                      <w:lang w:bidi="ar"/>
                    </w:rPr>
                    <w:t>生活污水</w:t>
                  </w:r>
                </w:p>
                <w:p>
                  <w:pPr>
                    <w:spacing w:after="0"/>
                    <w:jc w:val="center"/>
                    <w:rPr>
                      <w:szCs w:val="21"/>
                    </w:rPr>
                  </w:pPr>
                  <w:r>
                    <w:rPr>
                      <w:rFonts w:hint="eastAsia"/>
                      <w:kern w:val="0"/>
                      <w:szCs w:val="21"/>
                      <w:lang w:bidi="ar"/>
                    </w:rPr>
                    <w:t>974</w:t>
                  </w:r>
                  <w:r>
                    <w:rPr>
                      <w:szCs w:val="21"/>
                      <w:lang w:bidi="ar"/>
                    </w:rPr>
                    <w:t>m</w:t>
                  </w:r>
                  <w:r>
                    <w:rPr>
                      <w:szCs w:val="21"/>
                      <w:vertAlign w:val="superscript"/>
                      <w:lang w:bidi="ar"/>
                    </w:rPr>
                    <w:t>3</w:t>
                  </w:r>
                  <w:r>
                    <w:rPr>
                      <w:szCs w:val="21"/>
                      <w:lang w:bidi="ar"/>
                    </w:rPr>
                    <w:t>/a</w:t>
                  </w:r>
                </w:p>
              </w:tc>
              <w:tc>
                <w:tcPr>
                  <w:tcW w:w="650" w:type="pct"/>
                  <w:vMerge w:val="restar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lang w:bidi="ar"/>
                    </w:rPr>
                    <w:t>处理前</w:t>
                  </w:r>
                </w:p>
              </w:tc>
              <w:tc>
                <w:tcPr>
                  <w:tcW w:w="957"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lang w:bidi="ar"/>
                    </w:rPr>
                    <w:t>产生浓度（mg/L）</w:t>
                  </w:r>
                </w:p>
              </w:tc>
              <w:tc>
                <w:tcPr>
                  <w:tcW w:w="551"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lang w:bidi="ar"/>
                    </w:rPr>
                    <w:t>350</w:t>
                  </w:r>
                </w:p>
              </w:tc>
              <w:tc>
                <w:tcPr>
                  <w:tcW w:w="451"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lang w:bidi="ar"/>
                    </w:rPr>
                    <w:t>200</w:t>
                  </w:r>
                </w:p>
              </w:tc>
              <w:tc>
                <w:tcPr>
                  <w:tcW w:w="527"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lang w:bidi="ar"/>
                    </w:rPr>
                  </w:pPr>
                  <w:r>
                    <w:rPr>
                      <w:szCs w:val="21"/>
                      <w:lang w:bidi="ar"/>
                    </w:rPr>
                    <w:t>300</w:t>
                  </w:r>
                </w:p>
              </w:tc>
              <w:tc>
                <w:tcPr>
                  <w:tcW w:w="480"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lang w:bidi="ar"/>
                    </w:rPr>
                    <w:t>35</w:t>
                  </w:r>
                </w:p>
              </w:tc>
              <w:tc>
                <w:tcPr>
                  <w:tcW w:w="590"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lang w:bidi="ar"/>
                    </w:rPr>
                  </w:pPr>
                  <w:r>
                    <w:rPr>
                      <w:rFonts w:hint="eastAsia"/>
                      <w:szCs w:val="21"/>
                      <w:lang w:bidi="ar"/>
                    </w:rPr>
                    <w:t>60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91" w:type="pct"/>
                  <w:vMerge w:val="continue"/>
                  <w:tcBorders>
                    <w:top w:val="single" w:color="auto" w:sz="6" w:space="0"/>
                    <w:left w:val="single" w:color="auto" w:sz="8" w:space="0"/>
                    <w:bottom w:val="single" w:color="auto" w:sz="6" w:space="0"/>
                    <w:right w:val="single" w:color="auto" w:sz="6" w:space="0"/>
                  </w:tcBorders>
                  <w:vAlign w:val="center"/>
                </w:tcPr>
                <w:p>
                  <w:pPr>
                    <w:spacing w:after="0"/>
                    <w:rPr>
                      <w:sz w:val="20"/>
                    </w:rPr>
                  </w:pPr>
                </w:p>
              </w:tc>
              <w:tc>
                <w:tcPr>
                  <w:tcW w:w="650" w:type="pct"/>
                  <w:vMerge w:val="continue"/>
                  <w:tcBorders>
                    <w:top w:val="single" w:color="auto" w:sz="6" w:space="0"/>
                    <w:left w:val="single" w:color="auto" w:sz="6" w:space="0"/>
                    <w:bottom w:val="single" w:color="auto" w:sz="6" w:space="0"/>
                    <w:right w:val="single" w:color="auto" w:sz="6" w:space="0"/>
                  </w:tcBorders>
                  <w:vAlign w:val="center"/>
                </w:tcPr>
                <w:p>
                  <w:pPr>
                    <w:spacing w:after="0"/>
                    <w:rPr>
                      <w:sz w:val="20"/>
                    </w:rPr>
                  </w:pPr>
                </w:p>
              </w:tc>
              <w:tc>
                <w:tcPr>
                  <w:tcW w:w="957"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lang w:bidi="ar"/>
                    </w:rPr>
                    <w:t>产生量（t/a）</w:t>
                  </w:r>
                </w:p>
              </w:tc>
              <w:tc>
                <w:tcPr>
                  <w:tcW w:w="551"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0.</w:t>
                  </w:r>
                  <w:r>
                    <w:rPr>
                      <w:rFonts w:hint="eastAsia"/>
                      <w:szCs w:val="21"/>
                    </w:rPr>
                    <w:t>341</w:t>
                  </w:r>
                </w:p>
              </w:tc>
              <w:tc>
                <w:tcPr>
                  <w:tcW w:w="451"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0.</w:t>
                  </w:r>
                  <w:r>
                    <w:rPr>
                      <w:rFonts w:hint="eastAsia"/>
                      <w:szCs w:val="21"/>
                    </w:rPr>
                    <w:t>195</w:t>
                  </w:r>
                </w:p>
              </w:tc>
              <w:tc>
                <w:tcPr>
                  <w:tcW w:w="527"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lang w:bidi="ar"/>
                    </w:rPr>
                  </w:pPr>
                  <w:r>
                    <w:rPr>
                      <w:szCs w:val="21"/>
                      <w:lang w:bidi="ar"/>
                    </w:rPr>
                    <w:t>0.</w:t>
                  </w:r>
                  <w:r>
                    <w:rPr>
                      <w:rFonts w:hint="eastAsia"/>
                      <w:szCs w:val="21"/>
                      <w:lang w:bidi="ar"/>
                    </w:rPr>
                    <w:t>292</w:t>
                  </w:r>
                </w:p>
              </w:tc>
              <w:tc>
                <w:tcPr>
                  <w:tcW w:w="480"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rPr>
                    <w:t>0.0</w:t>
                  </w:r>
                  <w:r>
                    <w:rPr>
                      <w:rFonts w:hint="eastAsia"/>
                      <w:szCs w:val="21"/>
                    </w:rPr>
                    <w:t>34</w:t>
                  </w:r>
                </w:p>
              </w:tc>
              <w:tc>
                <w:tcPr>
                  <w:tcW w:w="590"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rFonts w:hint="eastAsia"/>
                      <w:szCs w:val="21"/>
                    </w:rPr>
                    <w:t>0.058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91" w:type="pct"/>
                  <w:vMerge w:val="continue"/>
                  <w:tcBorders>
                    <w:top w:val="single" w:color="auto" w:sz="6" w:space="0"/>
                    <w:left w:val="single" w:color="auto" w:sz="8" w:space="0"/>
                    <w:bottom w:val="single" w:color="auto" w:sz="6" w:space="0"/>
                    <w:right w:val="single" w:color="auto" w:sz="6" w:space="0"/>
                  </w:tcBorders>
                  <w:vAlign w:val="center"/>
                </w:tcPr>
                <w:p>
                  <w:pPr>
                    <w:spacing w:after="0"/>
                    <w:rPr>
                      <w:sz w:val="20"/>
                    </w:rPr>
                  </w:pPr>
                </w:p>
              </w:tc>
              <w:tc>
                <w:tcPr>
                  <w:tcW w:w="650" w:type="pct"/>
                  <w:vMerge w:val="restar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lang w:bidi="ar"/>
                    </w:rPr>
                    <w:t>处理后</w:t>
                  </w:r>
                </w:p>
              </w:tc>
              <w:tc>
                <w:tcPr>
                  <w:tcW w:w="957"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lang w:bidi="ar"/>
                    </w:rPr>
                    <w:t>排放浓度（mg/L）</w:t>
                  </w:r>
                </w:p>
              </w:tc>
              <w:tc>
                <w:tcPr>
                  <w:tcW w:w="551"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lang w:bidi="ar"/>
                    </w:rPr>
                    <w:t>300</w:t>
                  </w:r>
                </w:p>
              </w:tc>
              <w:tc>
                <w:tcPr>
                  <w:tcW w:w="451"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lang w:bidi="ar"/>
                    </w:rPr>
                    <w:t>150</w:t>
                  </w:r>
                </w:p>
              </w:tc>
              <w:tc>
                <w:tcPr>
                  <w:tcW w:w="527"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lang w:bidi="ar"/>
                    </w:rPr>
                  </w:pPr>
                  <w:r>
                    <w:rPr>
                      <w:szCs w:val="21"/>
                      <w:lang w:bidi="ar"/>
                    </w:rPr>
                    <w:t>150</w:t>
                  </w:r>
                </w:p>
              </w:tc>
              <w:tc>
                <w:tcPr>
                  <w:tcW w:w="480"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rPr>
                  </w:pPr>
                  <w:r>
                    <w:rPr>
                      <w:szCs w:val="21"/>
                      <w:lang w:bidi="ar"/>
                    </w:rPr>
                    <w:t>30</w:t>
                  </w:r>
                </w:p>
              </w:tc>
              <w:tc>
                <w:tcPr>
                  <w:tcW w:w="590" w:type="pct"/>
                  <w:tcBorders>
                    <w:top w:val="single" w:color="auto" w:sz="6" w:space="0"/>
                    <w:left w:val="single" w:color="auto" w:sz="6" w:space="0"/>
                    <w:bottom w:val="single" w:color="auto" w:sz="6" w:space="0"/>
                    <w:right w:val="single" w:color="auto" w:sz="6" w:space="0"/>
                  </w:tcBorders>
                  <w:vAlign w:val="center"/>
                </w:tcPr>
                <w:p>
                  <w:pPr>
                    <w:spacing w:after="0"/>
                    <w:jc w:val="center"/>
                    <w:rPr>
                      <w:szCs w:val="21"/>
                      <w:lang w:bidi="ar"/>
                    </w:rPr>
                  </w:pPr>
                  <w:r>
                    <w:rPr>
                      <w:rFonts w:hint="eastAsia"/>
                      <w:szCs w:val="21"/>
                      <w:lang w:bidi="ar"/>
                    </w:rPr>
                    <w:t>18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91" w:type="pct"/>
                  <w:vMerge w:val="continue"/>
                  <w:tcBorders>
                    <w:top w:val="single" w:color="auto" w:sz="6" w:space="0"/>
                    <w:left w:val="single" w:color="auto" w:sz="8" w:space="0"/>
                    <w:bottom w:val="single" w:color="auto" w:sz="6" w:space="0"/>
                    <w:right w:val="single" w:color="auto" w:sz="6" w:space="0"/>
                  </w:tcBorders>
                  <w:vAlign w:val="center"/>
                </w:tcPr>
                <w:p>
                  <w:pPr>
                    <w:spacing w:after="0"/>
                    <w:rPr>
                      <w:sz w:val="20"/>
                    </w:rPr>
                  </w:pPr>
                </w:p>
              </w:tc>
              <w:tc>
                <w:tcPr>
                  <w:tcW w:w="650" w:type="pct"/>
                  <w:vMerge w:val="continue"/>
                  <w:tcBorders>
                    <w:top w:val="single" w:color="auto" w:sz="6" w:space="0"/>
                    <w:left w:val="single" w:color="auto" w:sz="6" w:space="0"/>
                    <w:bottom w:val="single" w:color="auto" w:sz="6" w:space="0"/>
                    <w:right w:val="single" w:color="auto" w:sz="6" w:space="0"/>
                  </w:tcBorders>
                  <w:vAlign w:val="center"/>
                </w:tcPr>
                <w:p>
                  <w:pPr>
                    <w:spacing w:after="0"/>
                    <w:rPr>
                      <w:sz w:val="20"/>
                    </w:rPr>
                  </w:pPr>
                </w:p>
              </w:tc>
              <w:tc>
                <w:tcPr>
                  <w:tcW w:w="957" w:type="pct"/>
                  <w:tcBorders>
                    <w:top w:val="single" w:color="auto" w:sz="6" w:space="0"/>
                    <w:left w:val="single" w:color="auto" w:sz="6" w:space="0"/>
                    <w:bottom w:val="single" w:color="auto" w:sz="8" w:space="0"/>
                    <w:right w:val="single" w:color="auto" w:sz="6" w:space="0"/>
                  </w:tcBorders>
                  <w:vAlign w:val="center"/>
                </w:tcPr>
                <w:p>
                  <w:pPr>
                    <w:spacing w:after="0"/>
                    <w:jc w:val="center"/>
                    <w:rPr>
                      <w:szCs w:val="21"/>
                    </w:rPr>
                  </w:pPr>
                  <w:r>
                    <w:rPr>
                      <w:szCs w:val="21"/>
                      <w:lang w:bidi="ar"/>
                    </w:rPr>
                    <w:t>排放量（t/a）</w:t>
                  </w:r>
                </w:p>
              </w:tc>
              <w:tc>
                <w:tcPr>
                  <w:tcW w:w="551" w:type="pct"/>
                  <w:tcBorders>
                    <w:top w:val="single" w:color="auto" w:sz="6" w:space="0"/>
                    <w:left w:val="single" w:color="auto" w:sz="6" w:space="0"/>
                    <w:bottom w:val="single" w:color="auto" w:sz="8" w:space="0"/>
                    <w:right w:val="single" w:color="auto" w:sz="6" w:space="0"/>
                  </w:tcBorders>
                  <w:vAlign w:val="center"/>
                </w:tcPr>
                <w:p>
                  <w:pPr>
                    <w:spacing w:after="0"/>
                    <w:jc w:val="center"/>
                    <w:rPr>
                      <w:szCs w:val="21"/>
                    </w:rPr>
                  </w:pPr>
                  <w:r>
                    <w:rPr>
                      <w:szCs w:val="21"/>
                    </w:rPr>
                    <w:t>0.</w:t>
                  </w:r>
                  <w:r>
                    <w:rPr>
                      <w:rFonts w:hint="eastAsia"/>
                      <w:szCs w:val="21"/>
                    </w:rPr>
                    <w:t>292</w:t>
                  </w:r>
                </w:p>
              </w:tc>
              <w:tc>
                <w:tcPr>
                  <w:tcW w:w="451" w:type="pct"/>
                  <w:tcBorders>
                    <w:top w:val="single" w:color="auto" w:sz="6" w:space="0"/>
                    <w:left w:val="single" w:color="auto" w:sz="6" w:space="0"/>
                    <w:bottom w:val="single" w:color="auto" w:sz="8" w:space="0"/>
                    <w:right w:val="single" w:color="auto" w:sz="6" w:space="0"/>
                  </w:tcBorders>
                  <w:vAlign w:val="center"/>
                </w:tcPr>
                <w:p>
                  <w:pPr>
                    <w:spacing w:after="0"/>
                    <w:jc w:val="center"/>
                    <w:rPr>
                      <w:szCs w:val="21"/>
                    </w:rPr>
                  </w:pPr>
                  <w:r>
                    <w:rPr>
                      <w:szCs w:val="21"/>
                    </w:rPr>
                    <w:t>0.</w:t>
                  </w:r>
                  <w:r>
                    <w:rPr>
                      <w:rFonts w:hint="eastAsia"/>
                      <w:szCs w:val="21"/>
                    </w:rPr>
                    <w:t>146</w:t>
                  </w:r>
                </w:p>
              </w:tc>
              <w:tc>
                <w:tcPr>
                  <w:tcW w:w="527" w:type="pct"/>
                  <w:tcBorders>
                    <w:top w:val="single" w:color="auto" w:sz="6" w:space="0"/>
                    <w:left w:val="single" w:color="auto" w:sz="6" w:space="0"/>
                    <w:bottom w:val="single" w:color="auto" w:sz="8" w:space="0"/>
                    <w:right w:val="single" w:color="auto" w:sz="6" w:space="0"/>
                  </w:tcBorders>
                  <w:vAlign w:val="center"/>
                </w:tcPr>
                <w:p>
                  <w:pPr>
                    <w:spacing w:after="0"/>
                    <w:jc w:val="center"/>
                    <w:rPr>
                      <w:szCs w:val="21"/>
                      <w:lang w:bidi="ar"/>
                    </w:rPr>
                  </w:pPr>
                  <w:r>
                    <w:rPr>
                      <w:szCs w:val="21"/>
                      <w:lang w:bidi="ar"/>
                    </w:rPr>
                    <w:t>0.</w:t>
                  </w:r>
                  <w:r>
                    <w:rPr>
                      <w:rFonts w:hint="eastAsia"/>
                      <w:szCs w:val="21"/>
                      <w:lang w:bidi="ar"/>
                    </w:rPr>
                    <w:t>146</w:t>
                  </w:r>
                </w:p>
              </w:tc>
              <w:tc>
                <w:tcPr>
                  <w:tcW w:w="480" w:type="pct"/>
                  <w:tcBorders>
                    <w:top w:val="single" w:color="auto" w:sz="6" w:space="0"/>
                    <w:left w:val="single" w:color="auto" w:sz="6" w:space="0"/>
                    <w:bottom w:val="single" w:color="auto" w:sz="8" w:space="0"/>
                    <w:right w:val="single" w:color="auto" w:sz="6" w:space="0"/>
                  </w:tcBorders>
                  <w:vAlign w:val="center"/>
                </w:tcPr>
                <w:p>
                  <w:pPr>
                    <w:spacing w:after="0"/>
                    <w:jc w:val="center"/>
                    <w:rPr>
                      <w:szCs w:val="21"/>
                    </w:rPr>
                  </w:pPr>
                  <w:r>
                    <w:rPr>
                      <w:szCs w:val="21"/>
                    </w:rPr>
                    <w:t>0.0</w:t>
                  </w:r>
                  <w:r>
                    <w:rPr>
                      <w:rFonts w:hint="eastAsia"/>
                      <w:szCs w:val="21"/>
                    </w:rPr>
                    <w:t>29</w:t>
                  </w:r>
                </w:p>
              </w:tc>
              <w:tc>
                <w:tcPr>
                  <w:tcW w:w="590" w:type="pct"/>
                  <w:tcBorders>
                    <w:top w:val="single" w:color="auto" w:sz="6" w:space="0"/>
                    <w:left w:val="single" w:color="auto" w:sz="6" w:space="0"/>
                    <w:bottom w:val="single" w:color="auto" w:sz="8" w:space="0"/>
                    <w:right w:val="single" w:color="auto" w:sz="6" w:space="0"/>
                  </w:tcBorders>
                  <w:vAlign w:val="center"/>
                </w:tcPr>
                <w:p>
                  <w:pPr>
                    <w:spacing w:after="0"/>
                    <w:jc w:val="center"/>
                    <w:rPr>
                      <w:szCs w:val="21"/>
                    </w:rPr>
                  </w:pPr>
                  <w:r>
                    <w:rPr>
                      <w:rFonts w:hint="eastAsia"/>
                      <w:szCs w:val="21"/>
                    </w:rPr>
                    <w:t>0.018</w:t>
                  </w:r>
                </w:p>
              </w:tc>
            </w:tr>
          </w:tbl>
          <w:p>
            <w:pPr>
              <w:pStyle w:val="35"/>
              <w:spacing w:after="0" w:line="360" w:lineRule="auto"/>
              <w:ind w:firstLine="480" w:firstLineChars="200"/>
              <w:jc w:val="both"/>
              <w:rPr>
                <w:rFonts w:ascii="Times New Roman" w:cs="Times New Roman"/>
              </w:rPr>
            </w:pPr>
            <w:r>
              <w:rPr>
                <w:rFonts w:ascii="Times New Roman" w:cs="Times New Roman"/>
              </w:rPr>
              <w:t>3、噪声污染源</w:t>
            </w:r>
          </w:p>
          <w:p>
            <w:pPr>
              <w:spacing w:after="0" w:line="360" w:lineRule="auto"/>
              <w:ind w:firstLine="480" w:firstLineChars="200"/>
              <w:rPr>
                <w:sz w:val="24"/>
                <w:lang w:bidi="ar"/>
              </w:rPr>
            </w:pPr>
            <w:r>
              <w:rPr>
                <w:sz w:val="24"/>
                <w:lang w:bidi="ar"/>
              </w:rPr>
              <w:t>本项目营运期噪声主要来源于搅拌机、配料系统、提升机、物料传输装置运转过程及车辆进出时产生的噪声，根据类比同类型企业可知，项目运营期间设备产生的噪声级如下表所示。</w:t>
            </w:r>
          </w:p>
          <w:p>
            <w:pPr>
              <w:pStyle w:val="35"/>
              <w:spacing w:after="0"/>
              <w:jc w:val="center"/>
              <w:rPr>
                <w:rFonts w:ascii="Times New Roman" w:cs="Times New Roman"/>
              </w:rPr>
            </w:pPr>
            <w:r>
              <w:rPr>
                <w:rFonts w:ascii="Times New Roman" w:cs="Times New Roman"/>
                <w:b/>
                <w:bCs/>
              </w:rPr>
              <w:t>表5-5  噪声源一览表  单位：dB（A）</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516"/>
              <w:gridCol w:w="1742"/>
              <w:gridCol w:w="1838"/>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251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bCs/>
                    </w:rPr>
                  </w:pPr>
                  <w:r>
                    <w:rPr>
                      <w:bCs/>
                      <w:lang w:bidi="ar"/>
                    </w:rPr>
                    <w:t>噪声源</w:t>
                  </w:r>
                </w:p>
              </w:tc>
              <w:tc>
                <w:tcPr>
                  <w:tcW w:w="1742"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bCs/>
                    </w:rPr>
                  </w:pPr>
                  <w:r>
                    <w:rPr>
                      <w:bCs/>
                      <w:lang w:bidi="ar"/>
                    </w:rPr>
                    <w:t>所在位置</w:t>
                  </w:r>
                </w:p>
              </w:tc>
              <w:tc>
                <w:tcPr>
                  <w:tcW w:w="1838"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bCs/>
                    </w:rPr>
                  </w:pPr>
                  <w:r>
                    <w:rPr>
                      <w:bCs/>
                      <w:lang w:bidi="ar"/>
                    </w:rPr>
                    <w:t>数量</w:t>
                  </w:r>
                </w:p>
              </w:tc>
              <w:tc>
                <w:tcPr>
                  <w:tcW w:w="296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bCs/>
                    </w:rPr>
                  </w:pPr>
                  <w:r>
                    <w:rPr>
                      <w:bCs/>
                      <w:lang w:bidi="ar"/>
                    </w:rPr>
                    <w:t>声级dB（A）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251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bCs/>
                    </w:rPr>
                  </w:pPr>
                  <w:r>
                    <w:rPr>
                      <w:szCs w:val="21"/>
                    </w:rPr>
                    <w:t>搅拌主机</w:t>
                  </w:r>
                </w:p>
              </w:tc>
              <w:tc>
                <w:tcPr>
                  <w:tcW w:w="1742" w:type="dxa"/>
                  <w:vMerge w:val="restart"/>
                  <w:tcBorders>
                    <w:top w:val="single" w:color="auto" w:sz="4" w:space="0"/>
                    <w:left w:val="single" w:color="auto" w:sz="4" w:space="0"/>
                    <w:right w:val="single" w:color="auto" w:sz="4" w:space="0"/>
                  </w:tcBorders>
                  <w:vAlign w:val="center"/>
                </w:tcPr>
                <w:p>
                  <w:pPr>
                    <w:spacing w:after="0" w:line="240" w:lineRule="atLeast"/>
                    <w:jc w:val="center"/>
                    <w:rPr>
                      <w:lang w:bidi="ar"/>
                    </w:rPr>
                  </w:pPr>
                  <w:r>
                    <w:rPr>
                      <w:bCs/>
                    </w:rPr>
                    <w:t>混凝土生产搅拌区</w:t>
                  </w:r>
                </w:p>
              </w:tc>
              <w:tc>
                <w:tcPr>
                  <w:tcW w:w="1838" w:type="dxa"/>
                  <w:tcBorders>
                    <w:top w:val="single" w:color="auto" w:sz="4" w:space="0"/>
                    <w:left w:val="single" w:color="auto" w:sz="4" w:space="0"/>
                    <w:bottom w:val="single" w:color="auto" w:sz="4" w:space="0"/>
                    <w:right w:val="single" w:color="auto" w:sz="4" w:space="0"/>
                  </w:tcBorders>
                </w:tcPr>
                <w:p>
                  <w:pPr>
                    <w:spacing w:after="0" w:line="240" w:lineRule="atLeast"/>
                    <w:jc w:val="center"/>
                    <w:rPr>
                      <w:bCs/>
                    </w:rPr>
                  </w:pPr>
                  <w:r>
                    <w:rPr>
                      <w:rFonts w:hint="eastAsia"/>
                      <w:bCs/>
                      <w:lang w:bidi="ar"/>
                    </w:rPr>
                    <w:t>3</w:t>
                  </w:r>
                  <w:r>
                    <w:rPr>
                      <w:bCs/>
                      <w:lang w:bidi="ar"/>
                    </w:rPr>
                    <w:t>台</w:t>
                  </w:r>
                </w:p>
              </w:tc>
              <w:tc>
                <w:tcPr>
                  <w:tcW w:w="296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pPr>
                  <w:r>
                    <w:rPr>
                      <w:bCs/>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251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szCs w:val="21"/>
                    </w:rPr>
                  </w:pPr>
                  <w:r>
                    <w:rPr>
                      <w:szCs w:val="21"/>
                    </w:rPr>
                    <w:t>配料系统</w:t>
                  </w:r>
                </w:p>
              </w:tc>
              <w:tc>
                <w:tcPr>
                  <w:tcW w:w="1742" w:type="dxa"/>
                  <w:vMerge w:val="continue"/>
                  <w:tcBorders>
                    <w:left w:val="single" w:color="auto" w:sz="4" w:space="0"/>
                    <w:right w:val="single" w:color="auto" w:sz="4" w:space="0"/>
                  </w:tcBorders>
                  <w:vAlign w:val="center"/>
                </w:tcPr>
                <w:p>
                  <w:pPr>
                    <w:spacing w:after="0" w:line="240" w:lineRule="atLeast"/>
                    <w:jc w:val="center"/>
                    <w:rPr>
                      <w:lang w:bidi="ar"/>
                    </w:rPr>
                  </w:pPr>
                </w:p>
              </w:tc>
              <w:tc>
                <w:tcPr>
                  <w:tcW w:w="1838" w:type="dxa"/>
                  <w:tcBorders>
                    <w:top w:val="single" w:color="auto" w:sz="4" w:space="0"/>
                    <w:left w:val="single" w:color="auto" w:sz="4" w:space="0"/>
                    <w:bottom w:val="single" w:color="auto" w:sz="4" w:space="0"/>
                    <w:right w:val="single" w:color="auto" w:sz="4" w:space="0"/>
                  </w:tcBorders>
                </w:tcPr>
                <w:p>
                  <w:pPr>
                    <w:spacing w:after="0" w:line="240" w:lineRule="atLeast"/>
                    <w:jc w:val="center"/>
                    <w:rPr>
                      <w:bCs/>
                      <w:lang w:bidi="ar"/>
                    </w:rPr>
                  </w:pPr>
                  <w:r>
                    <w:rPr>
                      <w:rFonts w:hint="eastAsia"/>
                      <w:szCs w:val="21"/>
                    </w:rPr>
                    <w:t>3</w:t>
                  </w:r>
                  <w:r>
                    <w:rPr>
                      <w:szCs w:val="21"/>
                    </w:rPr>
                    <w:t>台</w:t>
                  </w:r>
                </w:p>
              </w:tc>
              <w:tc>
                <w:tcPr>
                  <w:tcW w:w="296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bCs/>
                      <w:lang w:bidi="ar"/>
                    </w:rPr>
                  </w:pPr>
                  <w:r>
                    <w:rPr>
                      <w:bCs/>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251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szCs w:val="21"/>
                    </w:rPr>
                  </w:pPr>
                  <w:r>
                    <w:rPr>
                      <w:szCs w:val="21"/>
                    </w:rPr>
                    <w:t>提升机</w:t>
                  </w:r>
                </w:p>
              </w:tc>
              <w:tc>
                <w:tcPr>
                  <w:tcW w:w="1742" w:type="dxa"/>
                  <w:vMerge w:val="continue"/>
                  <w:tcBorders>
                    <w:left w:val="single" w:color="auto" w:sz="4" w:space="0"/>
                    <w:right w:val="single" w:color="auto" w:sz="4" w:space="0"/>
                  </w:tcBorders>
                  <w:vAlign w:val="center"/>
                </w:tcPr>
                <w:p>
                  <w:pPr>
                    <w:spacing w:after="0" w:line="240" w:lineRule="atLeast"/>
                    <w:jc w:val="center"/>
                    <w:rPr>
                      <w:lang w:bidi="ar"/>
                    </w:rPr>
                  </w:pPr>
                </w:p>
              </w:tc>
              <w:tc>
                <w:tcPr>
                  <w:tcW w:w="1838" w:type="dxa"/>
                  <w:tcBorders>
                    <w:top w:val="single" w:color="auto" w:sz="4" w:space="0"/>
                    <w:left w:val="single" w:color="auto" w:sz="4" w:space="0"/>
                    <w:bottom w:val="single" w:color="auto" w:sz="4" w:space="0"/>
                    <w:right w:val="single" w:color="auto" w:sz="4" w:space="0"/>
                  </w:tcBorders>
                </w:tcPr>
                <w:p>
                  <w:pPr>
                    <w:spacing w:after="0" w:line="240" w:lineRule="atLeast"/>
                    <w:jc w:val="center"/>
                    <w:rPr>
                      <w:bCs/>
                      <w:lang w:bidi="ar"/>
                    </w:rPr>
                  </w:pPr>
                  <w:r>
                    <w:rPr>
                      <w:rFonts w:hint="eastAsia"/>
                      <w:szCs w:val="21"/>
                    </w:rPr>
                    <w:t>3</w:t>
                  </w:r>
                  <w:r>
                    <w:rPr>
                      <w:szCs w:val="21"/>
                    </w:rPr>
                    <w:t>台</w:t>
                  </w:r>
                </w:p>
              </w:tc>
              <w:tc>
                <w:tcPr>
                  <w:tcW w:w="296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bCs/>
                      <w:lang w:bidi="ar"/>
                    </w:rPr>
                  </w:pPr>
                  <w:r>
                    <w:rPr>
                      <w:bCs/>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 w:hRule="atLeast"/>
                <w:jc w:val="center"/>
              </w:trPr>
              <w:tc>
                <w:tcPr>
                  <w:tcW w:w="251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color w:val="FF0000"/>
                      <w:szCs w:val="21"/>
                    </w:rPr>
                  </w:pPr>
                  <w:r>
                    <w:rPr>
                      <w:szCs w:val="21"/>
                    </w:rPr>
                    <w:t>皮带输送机</w:t>
                  </w:r>
                </w:p>
              </w:tc>
              <w:tc>
                <w:tcPr>
                  <w:tcW w:w="1742" w:type="dxa"/>
                  <w:vMerge w:val="continue"/>
                  <w:tcBorders>
                    <w:left w:val="single" w:color="auto" w:sz="4" w:space="0"/>
                    <w:right w:val="single" w:color="auto" w:sz="4" w:space="0"/>
                  </w:tcBorders>
                  <w:vAlign w:val="center"/>
                </w:tcPr>
                <w:p>
                  <w:pPr>
                    <w:spacing w:after="0" w:line="240" w:lineRule="atLeast"/>
                    <w:jc w:val="center"/>
                    <w:rPr>
                      <w:lang w:bidi="ar"/>
                    </w:rPr>
                  </w:pPr>
                </w:p>
              </w:tc>
              <w:tc>
                <w:tcPr>
                  <w:tcW w:w="1838" w:type="dxa"/>
                  <w:tcBorders>
                    <w:top w:val="single" w:color="auto" w:sz="4" w:space="0"/>
                    <w:left w:val="single" w:color="auto" w:sz="4" w:space="0"/>
                    <w:bottom w:val="single" w:color="auto" w:sz="4" w:space="0"/>
                    <w:right w:val="single" w:color="auto" w:sz="4" w:space="0"/>
                  </w:tcBorders>
                </w:tcPr>
                <w:p>
                  <w:pPr>
                    <w:spacing w:after="0" w:line="240" w:lineRule="atLeast"/>
                    <w:jc w:val="center"/>
                    <w:rPr>
                      <w:bCs/>
                      <w:lang w:bidi="ar"/>
                    </w:rPr>
                  </w:pPr>
                  <w:r>
                    <w:rPr>
                      <w:rFonts w:hint="eastAsia"/>
                      <w:szCs w:val="21"/>
                    </w:rPr>
                    <w:t>3</w:t>
                  </w:r>
                  <w:r>
                    <w:rPr>
                      <w:bCs/>
                      <w:lang w:bidi="ar"/>
                    </w:rPr>
                    <w:t>条</w:t>
                  </w:r>
                </w:p>
              </w:tc>
              <w:tc>
                <w:tcPr>
                  <w:tcW w:w="296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bCs/>
                      <w:lang w:bidi="ar"/>
                    </w:rPr>
                  </w:pPr>
                  <w:r>
                    <w:rPr>
                      <w:bCs/>
                      <w:lang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2516" w:type="dxa"/>
                  <w:tcBorders>
                    <w:top w:val="single" w:color="auto" w:sz="4" w:space="0"/>
                    <w:left w:val="single" w:color="auto" w:sz="4" w:space="0"/>
                    <w:bottom w:val="single" w:color="auto" w:sz="4" w:space="0"/>
                    <w:right w:val="single" w:color="auto" w:sz="4" w:space="0"/>
                  </w:tcBorders>
                  <w:vAlign w:val="center"/>
                </w:tcPr>
                <w:p>
                  <w:pPr>
                    <w:pStyle w:val="35"/>
                    <w:spacing w:after="0"/>
                    <w:jc w:val="center"/>
                    <w:rPr>
                      <w:rFonts w:ascii="Times New Roman" w:cs="Times New Roman"/>
                      <w:color w:val="auto"/>
                      <w:lang w:bidi="ar"/>
                    </w:rPr>
                  </w:pPr>
                  <w:r>
                    <w:rPr>
                      <w:rFonts w:ascii="Times New Roman" w:cs="Times New Roman"/>
                      <w:color w:val="auto"/>
                      <w:sz w:val="21"/>
                      <w:szCs w:val="21"/>
                    </w:rPr>
                    <w:t>气泵</w:t>
                  </w:r>
                </w:p>
              </w:tc>
              <w:tc>
                <w:tcPr>
                  <w:tcW w:w="1742" w:type="dxa"/>
                  <w:vMerge w:val="continue"/>
                  <w:tcBorders>
                    <w:left w:val="single" w:color="auto" w:sz="4" w:space="0"/>
                    <w:right w:val="single" w:color="auto" w:sz="4" w:space="0"/>
                  </w:tcBorders>
                  <w:vAlign w:val="center"/>
                </w:tcPr>
                <w:p>
                  <w:pPr>
                    <w:pStyle w:val="35"/>
                    <w:spacing w:after="0"/>
                    <w:jc w:val="center"/>
                    <w:rPr>
                      <w:rFonts w:ascii="Times New Roman" w:cs="Times New Roman"/>
                      <w:color w:val="auto"/>
                      <w:lang w:bidi="ar"/>
                    </w:rPr>
                  </w:pP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jc w:val="center"/>
                    <w:rPr>
                      <w:bCs/>
                      <w:lang w:bidi="ar"/>
                    </w:rPr>
                  </w:pPr>
                  <w:r>
                    <w:rPr>
                      <w:rFonts w:hint="eastAsia"/>
                      <w:szCs w:val="21"/>
                    </w:rPr>
                    <w:t>3</w:t>
                  </w:r>
                  <w:r>
                    <w:rPr>
                      <w:szCs w:val="21"/>
                    </w:rPr>
                    <w:t>台</w:t>
                  </w:r>
                </w:p>
              </w:tc>
              <w:tc>
                <w:tcPr>
                  <w:tcW w:w="296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bCs/>
                      <w:lang w:bidi="ar"/>
                    </w:rPr>
                  </w:pPr>
                  <w:r>
                    <w:rPr>
                      <w:bCs/>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2516" w:type="dxa"/>
                  <w:tcBorders>
                    <w:top w:val="single" w:color="auto" w:sz="4" w:space="0"/>
                    <w:left w:val="single" w:color="auto" w:sz="4" w:space="0"/>
                    <w:bottom w:val="single" w:color="auto" w:sz="4" w:space="0"/>
                    <w:right w:val="single" w:color="auto" w:sz="4" w:space="0"/>
                  </w:tcBorders>
                  <w:vAlign w:val="center"/>
                </w:tcPr>
                <w:p>
                  <w:pPr>
                    <w:pStyle w:val="35"/>
                    <w:spacing w:after="0"/>
                    <w:jc w:val="center"/>
                    <w:rPr>
                      <w:rFonts w:ascii="Times New Roman" w:cs="Times New Roman"/>
                      <w:color w:val="auto"/>
                      <w:lang w:bidi="ar"/>
                    </w:rPr>
                  </w:pPr>
                  <w:r>
                    <w:rPr>
                      <w:rFonts w:ascii="Times New Roman" w:cs="Times New Roman"/>
                      <w:color w:val="auto"/>
                      <w:sz w:val="21"/>
                      <w:szCs w:val="21"/>
                    </w:rPr>
                    <w:t>水泵</w:t>
                  </w:r>
                </w:p>
              </w:tc>
              <w:tc>
                <w:tcPr>
                  <w:tcW w:w="1742" w:type="dxa"/>
                  <w:vMerge w:val="continue"/>
                  <w:tcBorders>
                    <w:left w:val="single" w:color="auto" w:sz="4" w:space="0"/>
                    <w:right w:val="single" w:color="auto" w:sz="4" w:space="0"/>
                  </w:tcBorders>
                  <w:vAlign w:val="center"/>
                </w:tcPr>
                <w:p>
                  <w:pPr>
                    <w:pStyle w:val="35"/>
                    <w:spacing w:after="0"/>
                    <w:jc w:val="center"/>
                    <w:rPr>
                      <w:rFonts w:ascii="Times New Roman" w:cs="Times New Roman"/>
                      <w:color w:val="auto"/>
                      <w:lang w:bidi="ar"/>
                    </w:rPr>
                  </w:pP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jc w:val="center"/>
                    <w:rPr>
                      <w:bCs/>
                      <w:lang w:bidi="ar"/>
                    </w:rPr>
                  </w:pPr>
                  <w:r>
                    <w:rPr>
                      <w:rFonts w:hint="eastAsia"/>
                      <w:szCs w:val="21"/>
                    </w:rPr>
                    <w:t>3</w:t>
                  </w:r>
                  <w:r>
                    <w:rPr>
                      <w:szCs w:val="21"/>
                    </w:rPr>
                    <w:t>台</w:t>
                  </w:r>
                </w:p>
              </w:tc>
              <w:tc>
                <w:tcPr>
                  <w:tcW w:w="296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bCs/>
                      <w:lang w:bidi="ar"/>
                    </w:rPr>
                  </w:pPr>
                  <w:r>
                    <w:rPr>
                      <w:bCs/>
                      <w:lang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251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lang w:bidi="ar"/>
                    </w:rPr>
                  </w:pPr>
                  <w:r>
                    <w:rPr>
                      <w:lang w:bidi="ar"/>
                    </w:rPr>
                    <w:t>车辆运行噪声</w:t>
                  </w:r>
                </w:p>
              </w:tc>
              <w:tc>
                <w:tcPr>
                  <w:tcW w:w="1742"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lang w:bidi="ar"/>
                    </w:rPr>
                  </w:pPr>
                  <w:r>
                    <w:rPr>
                      <w:lang w:bidi="ar"/>
                    </w:rPr>
                    <w:t>厂内</w:t>
                  </w:r>
                </w:p>
              </w:tc>
              <w:tc>
                <w:tcPr>
                  <w:tcW w:w="1838" w:type="dxa"/>
                  <w:tcBorders>
                    <w:top w:val="single" w:color="auto" w:sz="4" w:space="0"/>
                    <w:left w:val="single" w:color="auto" w:sz="4" w:space="0"/>
                    <w:bottom w:val="single" w:color="auto" w:sz="4" w:space="0"/>
                    <w:right w:val="single" w:color="auto" w:sz="4" w:space="0"/>
                  </w:tcBorders>
                </w:tcPr>
                <w:p>
                  <w:pPr>
                    <w:spacing w:after="0" w:line="240" w:lineRule="atLeast"/>
                    <w:jc w:val="center"/>
                    <w:rPr>
                      <w:bCs/>
                      <w:lang w:bidi="ar"/>
                    </w:rPr>
                  </w:pPr>
                  <w:r>
                    <w:rPr>
                      <w:bCs/>
                      <w:lang w:bidi="ar"/>
                    </w:rPr>
                    <w:t>20</w:t>
                  </w:r>
                  <w:r>
                    <w:rPr>
                      <w:rFonts w:hint="eastAsia"/>
                      <w:bCs/>
                      <w:lang w:bidi="ar"/>
                    </w:rPr>
                    <w:t>台</w:t>
                  </w:r>
                </w:p>
              </w:tc>
              <w:tc>
                <w:tcPr>
                  <w:tcW w:w="2966" w:type="dxa"/>
                  <w:tcBorders>
                    <w:top w:val="single" w:color="auto" w:sz="4" w:space="0"/>
                    <w:left w:val="single" w:color="auto" w:sz="4" w:space="0"/>
                    <w:bottom w:val="single" w:color="auto" w:sz="4" w:space="0"/>
                    <w:right w:val="single" w:color="auto" w:sz="4" w:space="0"/>
                  </w:tcBorders>
                  <w:vAlign w:val="center"/>
                </w:tcPr>
                <w:p>
                  <w:pPr>
                    <w:spacing w:after="0" w:line="240" w:lineRule="atLeast"/>
                    <w:jc w:val="center"/>
                    <w:rPr>
                      <w:bCs/>
                      <w:lang w:bidi="ar"/>
                    </w:rPr>
                  </w:pPr>
                  <w:r>
                    <w:rPr>
                      <w:bCs/>
                      <w:lang w:bidi="ar"/>
                    </w:rPr>
                    <w:t>85～90</w:t>
                  </w:r>
                </w:p>
              </w:tc>
            </w:tr>
          </w:tbl>
          <w:p>
            <w:pPr>
              <w:pStyle w:val="35"/>
              <w:spacing w:after="0" w:line="360" w:lineRule="auto"/>
              <w:ind w:firstLine="480" w:firstLineChars="200"/>
              <w:jc w:val="both"/>
              <w:rPr>
                <w:rFonts w:ascii="Times New Roman" w:cs="Times New Roman"/>
                <w:lang w:val="zh-CN"/>
              </w:rPr>
            </w:pPr>
            <w:r>
              <w:rPr>
                <w:rFonts w:ascii="Times New Roman" w:cs="Times New Roman"/>
              </w:rPr>
              <w:t>4、固体废物</w:t>
            </w:r>
          </w:p>
          <w:p>
            <w:pPr>
              <w:spacing w:after="0" w:line="360" w:lineRule="auto"/>
              <w:ind w:firstLine="480" w:firstLineChars="200"/>
              <w:rPr>
                <w:sz w:val="24"/>
              </w:rPr>
            </w:pPr>
            <w:r>
              <w:rPr>
                <w:sz w:val="24"/>
              </w:rPr>
              <w:t>项目不产生危险废物，机械设备维修等均委托其他公司，由其他公司修理机械后清理现场带走，危险废物不在本厂内贮存。运营期产生的固体废物主要为一般工业固废</w:t>
            </w:r>
            <w:r>
              <w:rPr>
                <w:rFonts w:hint="eastAsia"/>
                <w:sz w:val="24"/>
              </w:rPr>
              <w:t>和生活垃圾</w:t>
            </w:r>
            <w:r>
              <w:rPr>
                <w:sz w:val="24"/>
              </w:rPr>
              <w:t>。主要有：① 除尘设备收集的粉尘② 砂石分离机分离后的砂石③ 三级沉淀池产生的沉淀泥砂④ 实验废料⑤生活垃圾等。</w:t>
            </w:r>
          </w:p>
          <w:p>
            <w:pPr>
              <w:spacing w:after="0" w:line="360" w:lineRule="auto"/>
              <w:ind w:firstLine="480" w:firstLineChars="200"/>
              <w:rPr>
                <w:sz w:val="24"/>
              </w:rPr>
            </w:pPr>
            <w:r>
              <w:rPr>
                <w:sz w:val="24"/>
              </w:rPr>
              <w:t>1）除尘设备收集的粉尘</w:t>
            </w:r>
          </w:p>
          <w:p>
            <w:pPr>
              <w:spacing w:after="0" w:line="360" w:lineRule="auto"/>
              <w:ind w:firstLine="480" w:firstLineChars="200"/>
              <w:rPr>
                <w:rFonts w:cs="宋体"/>
                <w:color w:val="000000"/>
                <w:sz w:val="24"/>
                <w:szCs w:val="20"/>
              </w:rPr>
            </w:pPr>
            <w:r>
              <w:rPr>
                <w:sz w:val="24"/>
                <w:lang w:bidi="ar"/>
              </w:rPr>
              <w:t>根据建设单位提供的资料及类比同类项目可知</w:t>
            </w:r>
            <w:r>
              <w:rPr>
                <w:sz w:val="24"/>
              </w:rPr>
              <w:t>，项目在搅拌机及筒仓</w:t>
            </w:r>
            <w:r>
              <w:rPr>
                <w:sz w:val="24"/>
                <w:lang w:bidi="ar"/>
              </w:rPr>
              <w:t>工序</w:t>
            </w:r>
            <w:r>
              <w:rPr>
                <w:sz w:val="24"/>
              </w:rPr>
              <w:t>收集的粉尘量</w:t>
            </w:r>
            <w:r>
              <w:rPr>
                <w:rFonts w:cs="宋体"/>
                <w:color w:val="000000"/>
                <w:sz w:val="24"/>
                <w:szCs w:val="20"/>
              </w:rPr>
              <w:t>约为154t/a，均回用于生产。</w:t>
            </w:r>
          </w:p>
          <w:p>
            <w:pPr>
              <w:spacing w:after="0" w:line="360" w:lineRule="auto"/>
              <w:ind w:firstLine="480" w:firstLineChars="200"/>
              <w:rPr>
                <w:rFonts w:cs="宋体"/>
                <w:color w:val="000000"/>
                <w:sz w:val="24"/>
                <w:szCs w:val="20"/>
              </w:rPr>
            </w:pPr>
            <w:r>
              <w:rPr>
                <w:rFonts w:cs="宋体"/>
                <w:color w:val="000000"/>
                <w:sz w:val="24"/>
                <w:szCs w:val="20"/>
              </w:rPr>
              <w:t>2）</w:t>
            </w:r>
            <w:r>
              <w:rPr>
                <w:sz w:val="24"/>
              </w:rPr>
              <w:t>砂石分离机分离后的砂石</w:t>
            </w:r>
          </w:p>
          <w:p>
            <w:pPr>
              <w:pStyle w:val="49"/>
              <w:spacing w:after="0" w:line="360" w:lineRule="auto"/>
              <w:ind w:firstLine="480"/>
              <w:rPr>
                <w:rFonts w:cs="宋体"/>
              </w:rPr>
            </w:pPr>
            <w:r>
              <w:rPr>
                <w:rFonts w:hint="eastAsia" w:cs="宋体"/>
              </w:rPr>
              <w:t>砂石分离机处理项目部分清洗废水和废料时会产生砂石，</w:t>
            </w:r>
            <w:r>
              <w:rPr>
                <w:rFonts w:cs="宋体"/>
              </w:rPr>
              <w:t>根据建设单位提供的资料及类比同类项目可知</w:t>
            </w:r>
            <w:r>
              <w:rPr>
                <w:rFonts w:hint="eastAsia" w:cs="宋体"/>
              </w:rPr>
              <w:t>，预计产生量约为120t/a，全部回用于生产，不外排。</w:t>
            </w:r>
          </w:p>
          <w:p>
            <w:pPr>
              <w:spacing w:after="0" w:line="360" w:lineRule="auto"/>
              <w:ind w:firstLine="480" w:firstLineChars="200"/>
              <w:rPr>
                <w:rFonts w:cs="宋体"/>
                <w:color w:val="000000"/>
                <w:sz w:val="24"/>
                <w:szCs w:val="20"/>
              </w:rPr>
            </w:pPr>
            <w:r>
              <w:rPr>
                <w:rFonts w:cs="宋体"/>
                <w:color w:val="000000"/>
                <w:sz w:val="24"/>
                <w:szCs w:val="20"/>
              </w:rPr>
              <w:t>3）三级沉淀池沉淀泥砂</w:t>
            </w:r>
          </w:p>
          <w:p>
            <w:pPr>
              <w:spacing w:after="0" w:line="360" w:lineRule="auto"/>
              <w:ind w:firstLine="480" w:firstLineChars="200"/>
              <w:rPr>
                <w:rFonts w:cs="宋体"/>
                <w:color w:val="000000"/>
                <w:sz w:val="24"/>
                <w:szCs w:val="20"/>
              </w:rPr>
            </w:pPr>
            <w:r>
              <w:rPr>
                <w:rFonts w:cs="宋体"/>
                <w:color w:val="000000"/>
                <w:sz w:val="24"/>
                <w:szCs w:val="20"/>
              </w:rPr>
              <w:t>三级沉淀池产生的沉淀物主要为砂料，产生量按每沉淀1m</w:t>
            </w:r>
            <w:r>
              <w:rPr>
                <w:rFonts w:cs="宋体"/>
                <w:color w:val="000000"/>
                <w:sz w:val="24"/>
                <w:szCs w:val="20"/>
                <w:vertAlign w:val="superscript"/>
              </w:rPr>
              <w:t>3</w:t>
            </w:r>
            <w:r>
              <w:rPr>
                <w:rFonts w:cs="宋体"/>
                <w:color w:val="000000"/>
                <w:sz w:val="24"/>
                <w:szCs w:val="20"/>
              </w:rPr>
              <w:t>水产生50g计，根据项目水量平衡图，项目</w:t>
            </w:r>
            <w:r>
              <w:rPr>
                <w:rFonts w:hint="eastAsia" w:cs="宋体"/>
                <w:color w:val="000000"/>
                <w:sz w:val="24"/>
                <w:szCs w:val="20"/>
              </w:rPr>
              <w:t>每年排入</w:t>
            </w:r>
            <w:r>
              <w:rPr>
                <w:rFonts w:cs="宋体"/>
                <w:color w:val="000000"/>
                <w:sz w:val="24"/>
                <w:szCs w:val="20"/>
              </w:rPr>
              <w:t>沉淀</w:t>
            </w:r>
            <w:r>
              <w:rPr>
                <w:rFonts w:hint="eastAsia" w:cs="宋体"/>
                <w:color w:val="000000"/>
                <w:sz w:val="24"/>
                <w:szCs w:val="20"/>
              </w:rPr>
              <w:t>池</w:t>
            </w:r>
            <w:r>
              <w:rPr>
                <w:rFonts w:cs="宋体"/>
                <w:color w:val="000000"/>
                <w:sz w:val="24"/>
                <w:szCs w:val="20"/>
              </w:rPr>
              <w:t>水量为</w:t>
            </w:r>
            <w:r>
              <w:rPr>
                <w:rFonts w:hint="eastAsia" w:cs="宋体"/>
                <w:color w:val="000000"/>
                <w:sz w:val="24"/>
                <w:szCs w:val="20"/>
              </w:rPr>
              <w:t>11760</w:t>
            </w:r>
            <w:r>
              <w:rPr>
                <w:rFonts w:cs="宋体"/>
                <w:color w:val="000000"/>
                <w:sz w:val="24"/>
                <w:szCs w:val="20"/>
              </w:rPr>
              <w:t>m</w:t>
            </w:r>
            <w:r>
              <w:rPr>
                <w:rFonts w:cs="宋体"/>
                <w:color w:val="000000"/>
                <w:sz w:val="24"/>
                <w:szCs w:val="20"/>
                <w:vertAlign w:val="superscript"/>
              </w:rPr>
              <w:t>3</w:t>
            </w:r>
            <w:r>
              <w:rPr>
                <w:rFonts w:cs="宋体"/>
                <w:color w:val="000000"/>
                <w:sz w:val="24"/>
                <w:szCs w:val="20"/>
              </w:rPr>
              <w:t>，则沉淀池沉淀物年产生量为0.</w:t>
            </w:r>
            <w:r>
              <w:rPr>
                <w:rFonts w:hint="eastAsia" w:cs="宋体"/>
                <w:color w:val="000000"/>
                <w:sz w:val="24"/>
                <w:szCs w:val="20"/>
              </w:rPr>
              <w:t>588</w:t>
            </w:r>
            <w:r>
              <w:rPr>
                <w:rFonts w:cs="宋体"/>
                <w:color w:val="000000"/>
                <w:sz w:val="24"/>
                <w:szCs w:val="20"/>
              </w:rPr>
              <w:t>t/a。可定期进行清理后返回生产工序进行生产使用。</w:t>
            </w:r>
          </w:p>
          <w:p>
            <w:pPr>
              <w:numPr>
                <w:ilvl w:val="0"/>
                <w:numId w:val="1"/>
              </w:numPr>
              <w:spacing w:after="0" w:line="360" w:lineRule="auto"/>
              <w:ind w:firstLine="480" w:firstLineChars="200"/>
              <w:rPr>
                <w:rFonts w:cs="宋体"/>
                <w:color w:val="000000"/>
                <w:sz w:val="24"/>
                <w:szCs w:val="20"/>
              </w:rPr>
            </w:pPr>
            <w:r>
              <w:rPr>
                <w:rFonts w:hint="eastAsia" w:cs="宋体"/>
                <w:color w:val="000000"/>
                <w:sz w:val="24"/>
                <w:szCs w:val="20"/>
              </w:rPr>
              <w:t>实验废料</w:t>
            </w:r>
          </w:p>
          <w:p>
            <w:pPr>
              <w:pStyle w:val="49"/>
              <w:spacing w:after="0" w:line="360" w:lineRule="auto"/>
              <w:ind w:firstLine="480"/>
              <w:rPr>
                <w:rFonts w:cs="宋体"/>
              </w:rPr>
            </w:pPr>
            <w:r>
              <w:rPr>
                <w:rFonts w:hint="eastAsia" w:cs="宋体"/>
              </w:rPr>
              <w:t>本项目实验室仅对混凝土强度进行检测，均为物理实验，只产生实验后的混凝土废料。依据建设单位提供的资料，项目每年原料和混凝土实验量为150t，实验完成后实验废料送至砂石分离机处理，其中的砂石回收利用，浆液入三级沉淀池沉淀处理后回用。</w:t>
            </w:r>
          </w:p>
          <w:p>
            <w:pPr>
              <w:numPr>
                <w:ilvl w:val="0"/>
                <w:numId w:val="1"/>
              </w:numPr>
              <w:spacing w:after="0" w:line="360" w:lineRule="auto"/>
              <w:ind w:firstLine="480" w:firstLineChars="200"/>
              <w:rPr>
                <w:rFonts w:cs="宋体"/>
                <w:color w:val="000000"/>
                <w:sz w:val="24"/>
                <w:szCs w:val="20"/>
              </w:rPr>
            </w:pPr>
            <w:r>
              <w:rPr>
                <w:rFonts w:hint="eastAsia" w:cs="宋体"/>
                <w:color w:val="000000"/>
                <w:sz w:val="24"/>
                <w:szCs w:val="20"/>
              </w:rPr>
              <w:t>生活垃圾</w:t>
            </w:r>
          </w:p>
          <w:p>
            <w:pPr>
              <w:pStyle w:val="49"/>
              <w:spacing w:after="0" w:line="360" w:lineRule="auto"/>
              <w:ind w:firstLine="480"/>
              <w:rPr>
                <w:rFonts w:cs="宋体"/>
              </w:rPr>
            </w:pPr>
            <w:r>
              <w:rPr>
                <w:rFonts w:hint="eastAsia" w:cs="宋体"/>
              </w:rPr>
              <w:t>项目员工28</w:t>
            </w:r>
            <w:r>
              <w:rPr>
                <w:rFonts w:cs="宋体"/>
              </w:rPr>
              <w:t>人，生活垃圾产生量以</w:t>
            </w:r>
            <w:r>
              <w:rPr>
                <w:rFonts w:hint="eastAsia" w:cs="宋体"/>
              </w:rPr>
              <w:t>0.5</w:t>
            </w:r>
            <w:r>
              <w:rPr>
                <w:rFonts w:cs="宋体"/>
              </w:rPr>
              <w:t>kg/</w:t>
            </w:r>
            <w:r>
              <w:rPr>
                <w:rFonts w:hint="eastAsia" w:cs="宋体"/>
              </w:rPr>
              <w:t>(</w:t>
            </w:r>
            <w:r>
              <w:rPr>
                <w:rFonts w:cs="宋体"/>
              </w:rPr>
              <w:t>d</w:t>
            </w:r>
            <w:r>
              <w:t>·</w:t>
            </w:r>
            <w:r>
              <w:rPr>
                <w:rFonts w:cs="宋体"/>
              </w:rPr>
              <w:t>人</w:t>
            </w:r>
            <w:r>
              <w:rPr>
                <w:rFonts w:hint="eastAsia" w:cs="宋体"/>
              </w:rPr>
              <w:t>)</w:t>
            </w:r>
            <w:r>
              <w:rPr>
                <w:rFonts w:cs="宋体"/>
              </w:rPr>
              <w:t>计</w:t>
            </w:r>
            <w:r>
              <w:rPr>
                <w:rFonts w:hint="eastAsia" w:cs="宋体"/>
              </w:rPr>
              <w:t>，</w:t>
            </w:r>
            <w:r>
              <w:rPr>
                <w:rFonts w:cs="宋体"/>
              </w:rPr>
              <w:t>生活垃圾产生量</w:t>
            </w:r>
            <w:r>
              <w:rPr>
                <w:rFonts w:hint="eastAsia" w:cs="宋体"/>
              </w:rPr>
              <w:t>约14kg</w:t>
            </w:r>
            <w:r>
              <w:rPr>
                <w:rFonts w:cs="宋体"/>
              </w:rPr>
              <w:t>/d</w:t>
            </w:r>
            <w:r>
              <w:rPr>
                <w:rFonts w:hint="eastAsia" w:cs="宋体"/>
              </w:rPr>
              <w:t>，4.2t/a，经厂区垃圾桶收集，由当地环卫部门收集处理。</w:t>
            </w:r>
          </w:p>
          <w:p>
            <w:pPr>
              <w:pStyle w:val="35"/>
              <w:spacing w:after="0" w:line="360" w:lineRule="auto"/>
            </w:pPr>
          </w:p>
          <w:p>
            <w:pPr>
              <w:pStyle w:val="35"/>
              <w:spacing w:after="0" w:line="360" w:lineRule="auto"/>
            </w:pPr>
          </w:p>
          <w:p>
            <w:pPr>
              <w:pStyle w:val="35"/>
              <w:spacing w:after="0" w:line="360" w:lineRule="auto"/>
            </w:pPr>
          </w:p>
          <w:p>
            <w:pPr>
              <w:pStyle w:val="35"/>
              <w:spacing w:after="0" w:line="360" w:lineRule="auto"/>
            </w:pPr>
          </w:p>
          <w:p>
            <w:pPr>
              <w:pStyle w:val="35"/>
              <w:spacing w:after="0" w:line="360" w:lineRule="auto"/>
            </w:pPr>
          </w:p>
        </w:tc>
      </w:tr>
    </w:tbl>
    <w:p>
      <w:pPr>
        <w:pStyle w:val="35"/>
        <w:rPr>
          <w:rFonts w:ascii="Times New Roman" w:cs="Times New Roman"/>
          <w:color w:val="auto"/>
          <w:szCs w:val="32"/>
        </w:rPr>
        <w:sectPr>
          <w:pgSz w:w="11906" w:h="16838"/>
          <w:pgMar w:top="1134" w:right="1417" w:bottom="1134" w:left="1417" w:header="851" w:footer="992" w:gutter="0"/>
          <w:cols w:space="720" w:num="1"/>
          <w:docGrid w:type="lines" w:linePitch="312" w:charSpace="0"/>
        </w:sectPr>
      </w:pPr>
    </w:p>
    <w:p>
      <w:pPr>
        <w:pStyle w:val="35"/>
        <w:outlineLvl w:val="0"/>
        <w:rPr>
          <w:rFonts w:ascii="Times New Roman" w:cs="Times New Roman"/>
          <w:b/>
          <w:bCs/>
          <w:color w:val="auto"/>
          <w:sz w:val="32"/>
          <w:szCs w:val="40"/>
        </w:rPr>
      </w:pPr>
      <w:bookmarkStart w:id="89" w:name="_Toc5631"/>
      <w:r>
        <w:rPr>
          <w:rFonts w:hint="eastAsia" w:ascii="Times New Roman" w:cs="Times New Roman"/>
          <w:b/>
          <w:bCs/>
          <w:color w:val="auto"/>
          <w:sz w:val="32"/>
          <w:szCs w:val="40"/>
        </w:rPr>
        <w:t>6项目主要污染物产生及预计排放情况</w:t>
      </w:r>
      <w:bookmarkEnd w:id="89"/>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6"/>
        <w:gridCol w:w="637"/>
        <w:gridCol w:w="1993"/>
        <w:gridCol w:w="1792"/>
        <w:gridCol w:w="1858"/>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273" w:type="dxa"/>
            <w:gridSpan w:val="2"/>
            <w:vAlign w:val="center"/>
          </w:tcPr>
          <w:p>
            <w:pPr>
              <w:pStyle w:val="35"/>
              <w:snapToGrid w:val="0"/>
              <w:spacing w:after="0" w:line="240" w:lineRule="auto"/>
              <w:jc w:val="center"/>
              <w:rPr>
                <w:rFonts w:ascii="Times New Roman" w:cs="Times New Roman"/>
                <w:b/>
                <w:bCs/>
                <w:color w:val="auto"/>
                <w:sz w:val="21"/>
                <w:szCs w:val="21"/>
              </w:rPr>
            </w:pPr>
            <w:r>
              <w:rPr>
                <w:rFonts w:ascii="Times New Roman" w:cs="Times New Roman"/>
                <w:b/>
                <w:bCs/>
                <w:color w:val="auto"/>
                <w:sz w:val="21"/>
                <w:szCs w:val="21"/>
              </w:rPr>
              <w:t>类型</w:t>
            </w:r>
          </w:p>
        </w:tc>
        <w:tc>
          <w:tcPr>
            <w:tcW w:w="1993" w:type="dxa"/>
            <w:vAlign w:val="center"/>
          </w:tcPr>
          <w:p>
            <w:pPr>
              <w:pStyle w:val="35"/>
              <w:spacing w:after="0" w:line="240" w:lineRule="auto"/>
              <w:jc w:val="center"/>
              <w:rPr>
                <w:rFonts w:ascii="Times New Roman" w:cs="Times New Roman"/>
                <w:b/>
                <w:bCs/>
                <w:color w:val="auto"/>
                <w:sz w:val="21"/>
                <w:szCs w:val="21"/>
              </w:rPr>
            </w:pPr>
            <w:r>
              <w:rPr>
                <w:rFonts w:ascii="Times New Roman" w:cs="Times New Roman"/>
                <w:b/>
                <w:bCs/>
                <w:color w:val="auto"/>
                <w:sz w:val="21"/>
                <w:szCs w:val="21"/>
              </w:rPr>
              <w:t>排放源</w:t>
            </w:r>
          </w:p>
        </w:tc>
        <w:tc>
          <w:tcPr>
            <w:tcW w:w="1792" w:type="dxa"/>
            <w:vAlign w:val="center"/>
          </w:tcPr>
          <w:p>
            <w:pPr>
              <w:pStyle w:val="35"/>
              <w:spacing w:after="0" w:line="240" w:lineRule="auto"/>
              <w:jc w:val="center"/>
              <w:rPr>
                <w:rFonts w:ascii="Times New Roman" w:cs="Times New Roman"/>
                <w:b/>
                <w:bCs/>
                <w:color w:val="auto"/>
                <w:sz w:val="21"/>
                <w:szCs w:val="21"/>
              </w:rPr>
            </w:pPr>
            <w:r>
              <w:rPr>
                <w:rFonts w:ascii="Times New Roman" w:cs="Times New Roman"/>
                <w:b/>
                <w:bCs/>
                <w:color w:val="auto"/>
                <w:sz w:val="21"/>
                <w:szCs w:val="21"/>
              </w:rPr>
              <w:t>污染物名称</w:t>
            </w:r>
          </w:p>
        </w:tc>
        <w:tc>
          <w:tcPr>
            <w:tcW w:w="1858" w:type="dxa"/>
            <w:vAlign w:val="center"/>
          </w:tcPr>
          <w:p>
            <w:pPr>
              <w:pStyle w:val="35"/>
              <w:spacing w:after="0" w:line="240" w:lineRule="auto"/>
              <w:jc w:val="center"/>
              <w:rPr>
                <w:rFonts w:ascii="Times New Roman" w:cs="Times New Roman"/>
                <w:b/>
                <w:bCs/>
                <w:color w:val="auto"/>
                <w:sz w:val="21"/>
                <w:szCs w:val="21"/>
              </w:rPr>
            </w:pPr>
            <w:r>
              <w:rPr>
                <w:rFonts w:ascii="Times New Roman" w:cs="Times New Roman"/>
                <w:b/>
                <w:bCs/>
                <w:color w:val="auto"/>
                <w:sz w:val="21"/>
                <w:szCs w:val="21"/>
              </w:rPr>
              <w:t>处理前产生浓度</w:t>
            </w:r>
          </w:p>
          <w:p>
            <w:pPr>
              <w:pStyle w:val="35"/>
              <w:spacing w:after="0" w:line="240" w:lineRule="auto"/>
              <w:jc w:val="center"/>
              <w:rPr>
                <w:rFonts w:ascii="Times New Roman" w:cs="Times New Roman"/>
                <w:b/>
                <w:bCs/>
                <w:color w:val="auto"/>
                <w:sz w:val="21"/>
                <w:szCs w:val="21"/>
              </w:rPr>
            </w:pPr>
            <w:r>
              <w:rPr>
                <w:rFonts w:ascii="Times New Roman" w:cs="Times New Roman"/>
                <w:b/>
                <w:bCs/>
                <w:color w:val="auto"/>
                <w:sz w:val="21"/>
                <w:szCs w:val="21"/>
              </w:rPr>
              <w:t>及产生量</w:t>
            </w:r>
          </w:p>
        </w:tc>
        <w:tc>
          <w:tcPr>
            <w:tcW w:w="2372" w:type="dxa"/>
            <w:vAlign w:val="center"/>
          </w:tcPr>
          <w:p>
            <w:pPr>
              <w:pStyle w:val="35"/>
              <w:spacing w:after="0" w:line="240" w:lineRule="auto"/>
              <w:jc w:val="center"/>
              <w:rPr>
                <w:rFonts w:ascii="Times New Roman" w:cs="Times New Roman"/>
                <w:b/>
                <w:bCs/>
                <w:color w:val="auto"/>
                <w:sz w:val="21"/>
                <w:szCs w:val="21"/>
              </w:rPr>
            </w:pPr>
            <w:r>
              <w:rPr>
                <w:rFonts w:ascii="Times New Roman" w:cs="Times New Roman"/>
                <w:b/>
                <w:bCs/>
                <w:color w:val="auto"/>
                <w:sz w:val="21"/>
                <w:szCs w:val="21"/>
              </w:rPr>
              <w:t>处理后排放浓度</w:t>
            </w:r>
          </w:p>
          <w:p>
            <w:pPr>
              <w:pStyle w:val="35"/>
              <w:spacing w:after="0" w:line="240" w:lineRule="auto"/>
              <w:jc w:val="center"/>
              <w:rPr>
                <w:rFonts w:ascii="Times New Roman" w:cs="Times New Roman"/>
                <w:b/>
                <w:bCs/>
                <w:color w:val="auto"/>
                <w:sz w:val="21"/>
                <w:szCs w:val="21"/>
              </w:rPr>
            </w:pPr>
            <w:r>
              <w:rPr>
                <w:rFonts w:ascii="Times New Roman" w:cs="Times New Roman"/>
                <w:b/>
                <w:bCs/>
                <w:color w:val="auto"/>
                <w:sz w:val="21"/>
                <w:szCs w:val="21"/>
              </w:rPr>
              <w:t>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36" w:type="dxa"/>
            <w:vMerge w:val="restart"/>
            <w:vAlign w:val="center"/>
          </w:tcPr>
          <w:p>
            <w:pPr>
              <w:pStyle w:val="35"/>
              <w:tabs>
                <w:tab w:val="left" w:pos="398"/>
              </w:tabs>
              <w:spacing w:after="0" w:line="240" w:lineRule="auto"/>
              <w:jc w:val="center"/>
              <w:rPr>
                <w:rFonts w:ascii="Times New Roman" w:cs="Times New Roman"/>
                <w:color w:val="auto"/>
                <w:sz w:val="21"/>
                <w:szCs w:val="21"/>
              </w:rPr>
            </w:pPr>
            <w:r>
              <w:rPr>
                <w:rFonts w:ascii="Times New Roman" w:cs="Times New Roman"/>
                <w:color w:val="auto"/>
                <w:sz w:val="21"/>
                <w:szCs w:val="21"/>
              </w:rPr>
              <w:t>施工期</w:t>
            </w:r>
          </w:p>
        </w:tc>
        <w:tc>
          <w:tcPr>
            <w:tcW w:w="637" w:type="dxa"/>
            <w:vMerge w:val="restart"/>
            <w:vAlign w:val="center"/>
          </w:tcPr>
          <w:p>
            <w:pPr>
              <w:pStyle w:val="35"/>
              <w:tabs>
                <w:tab w:val="left" w:pos="398"/>
              </w:tabs>
              <w:spacing w:after="0" w:line="240" w:lineRule="auto"/>
              <w:jc w:val="center"/>
              <w:rPr>
                <w:rFonts w:ascii="Times New Roman" w:cs="Times New Roman"/>
                <w:color w:val="auto"/>
                <w:sz w:val="21"/>
                <w:szCs w:val="21"/>
              </w:rPr>
            </w:pPr>
            <w:r>
              <w:rPr>
                <w:rFonts w:ascii="Times New Roman" w:cs="Times New Roman"/>
                <w:color w:val="auto"/>
                <w:sz w:val="21"/>
                <w:szCs w:val="21"/>
              </w:rPr>
              <w:t>废水</w:t>
            </w:r>
          </w:p>
        </w:tc>
        <w:tc>
          <w:tcPr>
            <w:tcW w:w="1993" w:type="dxa"/>
            <w:vAlign w:val="center"/>
          </w:tcPr>
          <w:p>
            <w:pPr>
              <w:pStyle w:val="50"/>
              <w:spacing w:after="0" w:line="240" w:lineRule="auto"/>
              <w:rPr>
                <w:highlight w:val="yellow"/>
              </w:rPr>
            </w:pPr>
            <w:r>
              <w:t>施工废水</w:t>
            </w:r>
          </w:p>
        </w:tc>
        <w:tc>
          <w:tcPr>
            <w:tcW w:w="1792" w:type="dxa"/>
            <w:vAlign w:val="center"/>
          </w:tcPr>
          <w:p>
            <w:pPr>
              <w:pStyle w:val="50"/>
              <w:spacing w:after="0" w:line="240" w:lineRule="auto"/>
              <w:rPr>
                <w:color w:val="auto"/>
              </w:rPr>
            </w:pPr>
            <w:r>
              <w:rPr>
                <w:color w:val="auto"/>
              </w:rPr>
              <w:t>SS</w:t>
            </w:r>
          </w:p>
        </w:tc>
        <w:tc>
          <w:tcPr>
            <w:tcW w:w="1858" w:type="dxa"/>
            <w:vAlign w:val="center"/>
          </w:tcPr>
          <w:p>
            <w:pPr>
              <w:pStyle w:val="50"/>
              <w:spacing w:after="0" w:line="240" w:lineRule="auto"/>
              <w:rPr>
                <w:color w:val="auto"/>
              </w:rPr>
            </w:pPr>
            <w:r>
              <w:rPr>
                <w:color w:val="auto"/>
              </w:rPr>
              <w:t>500~1000mg/L</w:t>
            </w:r>
          </w:p>
        </w:tc>
        <w:tc>
          <w:tcPr>
            <w:tcW w:w="2372" w:type="dxa"/>
            <w:vAlign w:val="center"/>
          </w:tcPr>
          <w:p>
            <w:pPr>
              <w:pStyle w:val="50"/>
              <w:spacing w:after="0" w:line="240" w:lineRule="auto"/>
              <w:rPr>
                <w:color w:val="auto"/>
              </w:rPr>
            </w:pPr>
            <w:r>
              <w:rPr>
                <w:color w:val="auto"/>
              </w:rPr>
              <w:t>经沉淀池处理后循环使用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1993" w:type="dxa"/>
            <w:vAlign w:val="center"/>
          </w:tcPr>
          <w:p>
            <w:pPr>
              <w:pStyle w:val="50"/>
              <w:spacing w:after="0" w:line="240" w:lineRule="auto"/>
            </w:pPr>
            <w:r>
              <w:t>生活污水</w:t>
            </w:r>
          </w:p>
        </w:tc>
        <w:tc>
          <w:tcPr>
            <w:tcW w:w="1792" w:type="dxa"/>
            <w:vAlign w:val="center"/>
          </w:tcPr>
          <w:p>
            <w:pPr>
              <w:pStyle w:val="50"/>
              <w:spacing w:after="0" w:line="240" w:lineRule="auto"/>
              <w:rPr>
                <w:color w:val="auto"/>
              </w:rPr>
            </w:pPr>
            <w:r>
              <w:rPr>
                <w:color w:val="auto"/>
              </w:rPr>
              <w:t>COD、</w:t>
            </w:r>
            <w:r>
              <w:rPr>
                <w:color w:val="auto"/>
                <w:szCs w:val="21"/>
              </w:rPr>
              <w:t>BOD</w:t>
            </w:r>
            <w:r>
              <w:rPr>
                <w:color w:val="auto"/>
                <w:szCs w:val="21"/>
                <w:vertAlign w:val="subscript"/>
              </w:rPr>
              <w:t>5</w:t>
            </w:r>
            <w:r>
              <w:rPr>
                <w:color w:val="auto"/>
              </w:rPr>
              <w:t>、NH</w:t>
            </w:r>
            <w:r>
              <w:rPr>
                <w:color w:val="auto"/>
                <w:vertAlign w:val="subscript"/>
              </w:rPr>
              <w:t>3</w:t>
            </w:r>
            <w:r>
              <w:rPr>
                <w:color w:val="auto"/>
              </w:rPr>
              <w:t>-N、SS</w:t>
            </w:r>
          </w:p>
        </w:tc>
        <w:tc>
          <w:tcPr>
            <w:tcW w:w="1858" w:type="dxa"/>
            <w:vAlign w:val="center"/>
          </w:tcPr>
          <w:p>
            <w:pPr>
              <w:pStyle w:val="50"/>
              <w:spacing w:after="0" w:line="240" w:lineRule="auto"/>
              <w:rPr>
                <w:color w:val="auto"/>
              </w:rPr>
            </w:pPr>
            <w:r>
              <w:rPr>
                <w:color w:val="auto"/>
              </w:rPr>
              <w:t>1.28m</w:t>
            </w:r>
            <w:r>
              <w:rPr>
                <w:color w:val="auto"/>
                <w:vertAlign w:val="superscript"/>
              </w:rPr>
              <w:t>3</w:t>
            </w:r>
            <w:r>
              <w:rPr>
                <w:color w:val="auto"/>
              </w:rPr>
              <w:t>/d</w:t>
            </w:r>
          </w:p>
        </w:tc>
        <w:tc>
          <w:tcPr>
            <w:tcW w:w="2372" w:type="dxa"/>
            <w:vAlign w:val="center"/>
          </w:tcPr>
          <w:p>
            <w:pPr>
              <w:pStyle w:val="50"/>
              <w:spacing w:after="0" w:line="240" w:lineRule="auto"/>
              <w:rPr>
                <w:color w:val="auto"/>
              </w:rPr>
            </w:pPr>
            <w:r>
              <w:rPr>
                <w:color w:val="auto"/>
              </w:rPr>
              <w:t>经化粪池处理后</w:t>
            </w:r>
            <w:r>
              <w:rPr>
                <w:rFonts w:hint="eastAsia"/>
                <w:color w:val="auto"/>
              </w:rPr>
              <w:t>用于周边农田灌溉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Merge w:val="restart"/>
            <w:vAlign w:val="center"/>
          </w:tcPr>
          <w:p>
            <w:pPr>
              <w:pStyle w:val="35"/>
              <w:tabs>
                <w:tab w:val="left" w:pos="398"/>
              </w:tabs>
              <w:spacing w:after="0" w:line="240" w:lineRule="auto"/>
              <w:jc w:val="center"/>
              <w:rPr>
                <w:rFonts w:ascii="Times New Roman" w:cs="Times New Roman"/>
                <w:color w:val="auto"/>
                <w:sz w:val="21"/>
                <w:szCs w:val="21"/>
              </w:rPr>
            </w:pPr>
            <w:r>
              <w:rPr>
                <w:rFonts w:ascii="Times New Roman" w:cs="Times New Roman"/>
                <w:color w:val="auto"/>
                <w:sz w:val="21"/>
                <w:szCs w:val="21"/>
              </w:rPr>
              <w:t>废气</w:t>
            </w:r>
          </w:p>
        </w:tc>
        <w:tc>
          <w:tcPr>
            <w:tcW w:w="1993" w:type="dxa"/>
            <w:vAlign w:val="center"/>
          </w:tcPr>
          <w:p>
            <w:pPr>
              <w:pStyle w:val="50"/>
              <w:spacing w:after="0" w:line="240" w:lineRule="auto"/>
            </w:pPr>
            <w:r>
              <w:t>施工扬尘</w:t>
            </w:r>
          </w:p>
        </w:tc>
        <w:tc>
          <w:tcPr>
            <w:tcW w:w="1792" w:type="dxa"/>
            <w:vAlign w:val="center"/>
          </w:tcPr>
          <w:p>
            <w:pPr>
              <w:pStyle w:val="50"/>
              <w:spacing w:after="0" w:line="240" w:lineRule="auto"/>
              <w:rPr>
                <w:color w:val="auto"/>
              </w:rPr>
            </w:pPr>
            <w:r>
              <w:rPr>
                <w:color w:val="auto"/>
              </w:rPr>
              <w:t>颗粒物</w:t>
            </w:r>
          </w:p>
        </w:tc>
        <w:tc>
          <w:tcPr>
            <w:tcW w:w="1858" w:type="dxa"/>
            <w:vAlign w:val="center"/>
          </w:tcPr>
          <w:p>
            <w:pPr>
              <w:pStyle w:val="50"/>
              <w:spacing w:after="0" w:line="240" w:lineRule="auto"/>
              <w:rPr>
                <w:color w:val="auto"/>
              </w:rPr>
            </w:pPr>
            <w:r>
              <w:rPr>
                <w:color w:val="auto"/>
              </w:rPr>
              <w:t>少量</w:t>
            </w:r>
          </w:p>
        </w:tc>
        <w:tc>
          <w:tcPr>
            <w:tcW w:w="2372" w:type="dxa"/>
            <w:vAlign w:val="center"/>
          </w:tcPr>
          <w:p>
            <w:pPr>
              <w:pStyle w:val="50"/>
              <w:spacing w:after="0" w:line="240" w:lineRule="auto"/>
              <w:rPr>
                <w:color w:val="auto"/>
              </w:rPr>
            </w:pPr>
            <w:r>
              <w:rPr>
                <w:color w:val="auto"/>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1993" w:type="dxa"/>
            <w:vAlign w:val="center"/>
          </w:tcPr>
          <w:p>
            <w:pPr>
              <w:pStyle w:val="50"/>
              <w:spacing w:after="0" w:line="240" w:lineRule="auto"/>
            </w:pPr>
            <w:r>
              <w:t>汽车尾气</w:t>
            </w:r>
          </w:p>
        </w:tc>
        <w:tc>
          <w:tcPr>
            <w:tcW w:w="1792" w:type="dxa"/>
            <w:vAlign w:val="center"/>
          </w:tcPr>
          <w:p>
            <w:pPr>
              <w:pStyle w:val="50"/>
              <w:spacing w:after="0" w:line="240" w:lineRule="auto"/>
              <w:rPr>
                <w:color w:val="auto"/>
              </w:rPr>
            </w:pPr>
            <w:r>
              <w:rPr>
                <w:color w:val="auto"/>
              </w:rPr>
              <w:t>CO、NOx、THC</w:t>
            </w:r>
          </w:p>
        </w:tc>
        <w:tc>
          <w:tcPr>
            <w:tcW w:w="1858" w:type="dxa"/>
            <w:vAlign w:val="center"/>
          </w:tcPr>
          <w:p>
            <w:pPr>
              <w:pStyle w:val="50"/>
              <w:spacing w:after="0" w:line="240" w:lineRule="auto"/>
              <w:rPr>
                <w:color w:val="auto"/>
              </w:rPr>
            </w:pPr>
            <w:r>
              <w:rPr>
                <w:color w:val="auto"/>
              </w:rPr>
              <w:t>少量</w:t>
            </w:r>
          </w:p>
        </w:tc>
        <w:tc>
          <w:tcPr>
            <w:tcW w:w="2372" w:type="dxa"/>
            <w:vAlign w:val="center"/>
          </w:tcPr>
          <w:p>
            <w:pPr>
              <w:pStyle w:val="50"/>
              <w:spacing w:after="0" w:line="240" w:lineRule="auto"/>
              <w:rPr>
                <w:color w:val="auto"/>
              </w:rPr>
            </w:pPr>
            <w:r>
              <w:rPr>
                <w:color w:val="auto"/>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Merge w:val="restart"/>
            <w:vAlign w:val="center"/>
          </w:tcPr>
          <w:p>
            <w:pPr>
              <w:pStyle w:val="35"/>
              <w:tabs>
                <w:tab w:val="left" w:pos="398"/>
              </w:tabs>
              <w:spacing w:after="0" w:line="240" w:lineRule="auto"/>
              <w:jc w:val="center"/>
              <w:rPr>
                <w:rFonts w:ascii="Times New Roman" w:cs="Times New Roman"/>
                <w:color w:val="auto"/>
                <w:sz w:val="21"/>
                <w:szCs w:val="21"/>
              </w:rPr>
            </w:pPr>
            <w:r>
              <w:rPr>
                <w:rFonts w:ascii="Times New Roman" w:cs="Times New Roman"/>
                <w:color w:val="auto"/>
                <w:sz w:val="21"/>
                <w:szCs w:val="21"/>
              </w:rPr>
              <w:t>固废</w:t>
            </w:r>
          </w:p>
        </w:tc>
        <w:tc>
          <w:tcPr>
            <w:tcW w:w="1993" w:type="dxa"/>
            <w:vAlign w:val="center"/>
          </w:tcPr>
          <w:p>
            <w:pPr>
              <w:pStyle w:val="50"/>
              <w:spacing w:after="0" w:line="240" w:lineRule="auto"/>
              <w:rPr>
                <w:highlight w:val="yellow"/>
              </w:rPr>
            </w:pPr>
            <w:r>
              <w:t>建筑垃圾</w:t>
            </w:r>
          </w:p>
        </w:tc>
        <w:tc>
          <w:tcPr>
            <w:tcW w:w="1792" w:type="dxa"/>
            <w:vAlign w:val="center"/>
          </w:tcPr>
          <w:p>
            <w:pPr>
              <w:pStyle w:val="50"/>
              <w:spacing w:after="0" w:line="240" w:lineRule="auto"/>
              <w:rPr>
                <w:color w:val="auto"/>
              </w:rPr>
            </w:pPr>
            <w:r>
              <w:rPr>
                <w:color w:val="auto"/>
              </w:rPr>
              <w:t>—</w:t>
            </w:r>
          </w:p>
        </w:tc>
        <w:tc>
          <w:tcPr>
            <w:tcW w:w="1858" w:type="dxa"/>
            <w:vAlign w:val="center"/>
          </w:tcPr>
          <w:p>
            <w:pPr>
              <w:pStyle w:val="50"/>
              <w:spacing w:after="0" w:line="240" w:lineRule="auto"/>
              <w:rPr>
                <w:color w:val="auto"/>
              </w:rPr>
            </w:pPr>
            <w:r>
              <w:rPr>
                <w:color w:val="auto"/>
              </w:rPr>
              <w:t>120t</w:t>
            </w:r>
          </w:p>
        </w:tc>
        <w:tc>
          <w:tcPr>
            <w:tcW w:w="2372" w:type="dxa"/>
            <w:vAlign w:val="center"/>
          </w:tcPr>
          <w:p>
            <w:pPr>
              <w:pStyle w:val="50"/>
              <w:spacing w:after="0" w:line="240" w:lineRule="auto"/>
              <w:rPr>
                <w:color w:val="auto"/>
              </w:rPr>
            </w:pPr>
            <w:r>
              <w:rPr>
                <w:color w:val="auto"/>
              </w:rPr>
              <w:t>分类收集，</w:t>
            </w:r>
            <w:r>
              <w:rPr>
                <w:rFonts w:hint="eastAsia"/>
                <w:color w:val="auto"/>
              </w:rPr>
              <w:t>由当地环卫部分集中处置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1993" w:type="dxa"/>
            <w:vAlign w:val="center"/>
          </w:tcPr>
          <w:p>
            <w:pPr>
              <w:pStyle w:val="50"/>
              <w:spacing w:after="0" w:line="240" w:lineRule="auto"/>
            </w:pPr>
            <w:r>
              <w:t>生活垃圾</w:t>
            </w:r>
          </w:p>
        </w:tc>
        <w:tc>
          <w:tcPr>
            <w:tcW w:w="1792" w:type="dxa"/>
            <w:vAlign w:val="center"/>
          </w:tcPr>
          <w:p>
            <w:pPr>
              <w:pStyle w:val="50"/>
              <w:spacing w:after="0" w:line="240" w:lineRule="auto"/>
              <w:rPr>
                <w:color w:val="auto"/>
              </w:rPr>
            </w:pPr>
            <w:r>
              <w:rPr>
                <w:color w:val="auto"/>
              </w:rPr>
              <w:t>—</w:t>
            </w:r>
          </w:p>
        </w:tc>
        <w:tc>
          <w:tcPr>
            <w:tcW w:w="1858" w:type="dxa"/>
            <w:vAlign w:val="center"/>
          </w:tcPr>
          <w:p>
            <w:pPr>
              <w:pStyle w:val="50"/>
              <w:spacing w:after="0" w:line="240" w:lineRule="auto"/>
              <w:rPr>
                <w:color w:val="auto"/>
              </w:rPr>
            </w:pPr>
            <w:r>
              <w:rPr>
                <w:color w:val="auto"/>
              </w:rPr>
              <w:t>10kg/d</w:t>
            </w:r>
          </w:p>
        </w:tc>
        <w:tc>
          <w:tcPr>
            <w:tcW w:w="2372" w:type="dxa"/>
            <w:vAlign w:val="center"/>
          </w:tcPr>
          <w:p>
            <w:pPr>
              <w:pStyle w:val="50"/>
              <w:spacing w:after="0" w:line="240" w:lineRule="auto"/>
              <w:rPr>
                <w:color w:val="auto"/>
              </w:rPr>
            </w:pPr>
            <w:r>
              <w:rPr>
                <w:color w:val="auto"/>
              </w:rPr>
              <w:t>定点收集，由当地环卫部门集中处置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2630" w:type="dxa"/>
            <w:gridSpan w:val="2"/>
            <w:vAlign w:val="center"/>
          </w:tcPr>
          <w:p>
            <w:pPr>
              <w:spacing w:after="0" w:line="240" w:lineRule="auto"/>
              <w:jc w:val="center"/>
              <w:rPr>
                <w:szCs w:val="21"/>
              </w:rPr>
            </w:pPr>
            <w:r>
              <w:rPr>
                <w:szCs w:val="21"/>
              </w:rPr>
              <w:t>噪声</w:t>
            </w:r>
          </w:p>
        </w:tc>
        <w:tc>
          <w:tcPr>
            <w:tcW w:w="6022" w:type="dxa"/>
            <w:gridSpan w:val="3"/>
            <w:vAlign w:val="center"/>
          </w:tcPr>
          <w:p>
            <w:pPr>
              <w:pStyle w:val="35"/>
              <w:spacing w:after="0" w:line="240" w:lineRule="auto"/>
              <w:jc w:val="center"/>
              <w:rPr>
                <w:rFonts w:ascii="Times New Roman" w:cs="Times New Roman"/>
                <w:sz w:val="21"/>
                <w:szCs w:val="21"/>
              </w:rPr>
            </w:pPr>
            <w:r>
              <w:rPr>
                <w:rFonts w:ascii="Times New Roman" w:cs="Times New Roman"/>
                <w:kern w:val="2"/>
                <w:sz w:val="21"/>
              </w:rPr>
              <w:t>主要来自施工机械噪声、运输车辆噪声和施工作业噪声，80～95dB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36" w:type="dxa"/>
            <w:vMerge w:val="restart"/>
            <w:vAlign w:val="center"/>
          </w:tcPr>
          <w:p>
            <w:pPr>
              <w:pStyle w:val="35"/>
              <w:tabs>
                <w:tab w:val="left" w:pos="398"/>
              </w:tabs>
              <w:spacing w:after="0" w:line="240" w:lineRule="auto"/>
              <w:jc w:val="center"/>
              <w:rPr>
                <w:rFonts w:ascii="Times New Roman" w:cs="Times New Roman"/>
                <w:color w:val="auto"/>
                <w:sz w:val="21"/>
                <w:szCs w:val="21"/>
              </w:rPr>
            </w:pPr>
            <w:r>
              <w:rPr>
                <w:rFonts w:ascii="Times New Roman" w:cs="Times New Roman"/>
                <w:color w:val="auto"/>
                <w:sz w:val="21"/>
                <w:szCs w:val="21"/>
              </w:rPr>
              <w:t>营运期</w:t>
            </w:r>
          </w:p>
        </w:tc>
        <w:tc>
          <w:tcPr>
            <w:tcW w:w="637" w:type="dxa"/>
            <w:vMerge w:val="restart"/>
            <w:vAlign w:val="center"/>
          </w:tcPr>
          <w:p>
            <w:pPr>
              <w:pStyle w:val="35"/>
              <w:tabs>
                <w:tab w:val="left" w:pos="398"/>
              </w:tabs>
              <w:spacing w:after="0" w:line="240" w:lineRule="auto"/>
              <w:jc w:val="center"/>
              <w:rPr>
                <w:rFonts w:ascii="Times New Roman" w:cs="Times New Roman"/>
                <w:color w:val="auto"/>
                <w:sz w:val="21"/>
                <w:szCs w:val="21"/>
              </w:rPr>
            </w:pPr>
            <w:r>
              <w:rPr>
                <w:rFonts w:ascii="Times New Roman" w:cs="Times New Roman"/>
                <w:color w:val="auto"/>
                <w:sz w:val="21"/>
                <w:szCs w:val="21"/>
              </w:rPr>
              <w:t>废气</w:t>
            </w:r>
          </w:p>
        </w:tc>
        <w:tc>
          <w:tcPr>
            <w:tcW w:w="1993" w:type="dxa"/>
            <w:vAlign w:val="center"/>
          </w:tcPr>
          <w:p>
            <w:pPr>
              <w:spacing w:after="0" w:line="240" w:lineRule="auto"/>
              <w:jc w:val="center"/>
              <w:rPr>
                <w:szCs w:val="21"/>
              </w:rPr>
            </w:pPr>
            <w:r>
              <w:rPr>
                <w:szCs w:val="21"/>
              </w:rPr>
              <w:t>P1~P9排气筒（混凝土生产搅拌区水泥筒仓）</w:t>
            </w: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呼吸粉尘</w:t>
            </w:r>
          </w:p>
        </w:tc>
        <w:tc>
          <w:tcPr>
            <w:tcW w:w="1858" w:type="dxa"/>
            <w:vAlign w:val="center"/>
          </w:tcPr>
          <w:p>
            <w:pPr>
              <w:pStyle w:val="35"/>
              <w:spacing w:after="0" w:line="240" w:lineRule="auto"/>
              <w:jc w:val="center"/>
              <w:rPr>
                <w:rFonts w:ascii="Times New Roman" w:cs="Times New Roman"/>
                <w:color w:val="auto"/>
                <w:sz w:val="21"/>
                <w:szCs w:val="21"/>
              </w:rPr>
            </w:pPr>
            <w:r>
              <w:rPr>
                <w:rFonts w:hint="eastAsia" w:ascii="Times New Roman" w:cs="Times New Roman"/>
                <w:sz w:val="21"/>
                <w:szCs w:val="21"/>
                <w:lang w:val="en-US" w:eastAsia="zh-CN"/>
              </w:rPr>
              <w:t>25</w:t>
            </w:r>
            <w:r>
              <w:rPr>
                <w:rFonts w:ascii="Times New Roman" w:cs="Times New Roman"/>
                <w:sz w:val="21"/>
                <w:szCs w:val="21"/>
              </w:rPr>
              <w:t>kg/h，</w:t>
            </w:r>
            <w:r>
              <w:rPr>
                <w:rFonts w:hint="eastAsia" w:ascii="Times New Roman" w:cs="Times New Roman"/>
                <w:sz w:val="21"/>
                <w:szCs w:val="21"/>
                <w:lang w:val="en-US" w:eastAsia="zh-CN"/>
              </w:rPr>
              <w:t>60</w:t>
            </w:r>
            <w:r>
              <w:rPr>
                <w:rFonts w:ascii="Times New Roman" w:cs="Times New Roman"/>
                <w:sz w:val="21"/>
                <w:szCs w:val="21"/>
              </w:rPr>
              <w:t>t/a</w:t>
            </w:r>
          </w:p>
        </w:tc>
        <w:tc>
          <w:tcPr>
            <w:tcW w:w="2372" w:type="dxa"/>
            <w:vAlign w:val="center"/>
          </w:tcPr>
          <w:p>
            <w:pPr>
              <w:pStyle w:val="35"/>
              <w:spacing w:after="0" w:line="240" w:lineRule="auto"/>
              <w:jc w:val="center"/>
              <w:rPr>
                <w:rFonts w:ascii="Times New Roman" w:cs="Times New Roman"/>
                <w:color w:val="auto"/>
                <w:sz w:val="21"/>
                <w:szCs w:val="21"/>
              </w:rPr>
            </w:pPr>
            <w:r>
              <w:rPr>
                <w:rFonts w:hint="eastAsia" w:ascii="Times New Roman" w:cs="Times New Roman"/>
                <w:sz w:val="21"/>
                <w:szCs w:val="21"/>
                <w:lang w:val="en-US" w:eastAsia="zh-CN"/>
              </w:rPr>
              <w:t>6.9</w:t>
            </w:r>
            <w:r>
              <w:rPr>
                <w:rFonts w:ascii="Times New Roman" w:cs="Times New Roman"/>
                <w:sz w:val="21"/>
                <w:szCs w:val="21"/>
              </w:rPr>
              <w:t>mg/m</w:t>
            </w:r>
            <w:r>
              <w:rPr>
                <w:rFonts w:ascii="Times New Roman" w:cs="Times New Roman"/>
                <w:sz w:val="21"/>
                <w:szCs w:val="21"/>
                <w:vertAlign w:val="superscript"/>
              </w:rPr>
              <w:t>3</w:t>
            </w:r>
            <w:r>
              <w:rPr>
                <w:rFonts w:ascii="Times New Roman" w:cs="Times New Roman"/>
                <w:sz w:val="21"/>
                <w:szCs w:val="21"/>
              </w:rPr>
              <w:t>，0.</w:t>
            </w:r>
            <w:r>
              <w:rPr>
                <w:rFonts w:hint="eastAsia" w:ascii="Times New Roman" w:cs="Times New Roman"/>
                <w:sz w:val="21"/>
                <w:szCs w:val="21"/>
                <w:lang w:val="en-US" w:eastAsia="zh-CN"/>
              </w:rPr>
              <w:t>3</w:t>
            </w:r>
            <w:r>
              <w:rPr>
                <w:rFonts w:ascii="Times New Roman" w:cs="Times New Roman"/>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1993" w:type="dxa"/>
            <w:vAlign w:val="center"/>
          </w:tcPr>
          <w:p>
            <w:pPr>
              <w:spacing w:after="0" w:line="240" w:lineRule="auto"/>
              <w:jc w:val="center"/>
              <w:rPr>
                <w:szCs w:val="21"/>
              </w:rPr>
            </w:pPr>
            <w:r>
              <w:rPr>
                <w:szCs w:val="21"/>
              </w:rPr>
              <w:t>P10、P11排气筒（混凝土生产搅拌区粉煤灰筒仓）</w:t>
            </w: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呼吸粉尘</w:t>
            </w:r>
          </w:p>
        </w:tc>
        <w:tc>
          <w:tcPr>
            <w:tcW w:w="1858" w:type="dxa"/>
            <w:vAlign w:val="center"/>
          </w:tcPr>
          <w:p>
            <w:pPr>
              <w:pStyle w:val="35"/>
              <w:spacing w:after="0" w:line="240" w:lineRule="auto"/>
              <w:jc w:val="center"/>
              <w:rPr>
                <w:rFonts w:ascii="Times New Roman" w:cs="Times New Roman"/>
                <w:sz w:val="21"/>
                <w:szCs w:val="21"/>
              </w:rPr>
            </w:pPr>
            <w:r>
              <w:rPr>
                <w:rFonts w:hint="eastAsia" w:ascii="Times New Roman" w:cs="Times New Roman"/>
                <w:sz w:val="21"/>
                <w:szCs w:val="21"/>
                <w:lang w:val="en-US" w:eastAsia="zh-CN"/>
              </w:rPr>
              <w:t>1</w:t>
            </w:r>
            <w:r>
              <w:rPr>
                <w:rFonts w:ascii="Times New Roman" w:cs="Times New Roman"/>
                <w:sz w:val="21"/>
                <w:szCs w:val="21"/>
              </w:rPr>
              <w:t>kg/h，</w:t>
            </w:r>
            <w:r>
              <w:rPr>
                <w:rFonts w:hint="eastAsia" w:ascii="Times New Roman" w:cs="Times New Roman"/>
                <w:sz w:val="21"/>
                <w:szCs w:val="21"/>
                <w:lang w:val="en-US" w:eastAsia="zh-CN"/>
              </w:rPr>
              <w:t>2.4</w:t>
            </w:r>
            <w:r>
              <w:rPr>
                <w:rFonts w:ascii="Times New Roman" w:cs="Times New Roman"/>
                <w:sz w:val="21"/>
                <w:szCs w:val="21"/>
              </w:rPr>
              <w:t>t/a</w:t>
            </w:r>
          </w:p>
        </w:tc>
        <w:tc>
          <w:tcPr>
            <w:tcW w:w="2372" w:type="dxa"/>
            <w:vAlign w:val="center"/>
          </w:tcPr>
          <w:p>
            <w:pPr>
              <w:pStyle w:val="35"/>
              <w:spacing w:after="0" w:line="240" w:lineRule="auto"/>
              <w:jc w:val="center"/>
              <w:rPr>
                <w:rFonts w:ascii="Times New Roman" w:cs="Times New Roman"/>
                <w:sz w:val="21"/>
                <w:szCs w:val="21"/>
              </w:rPr>
            </w:pPr>
            <w:r>
              <w:rPr>
                <w:rFonts w:hint="eastAsia" w:ascii="Times New Roman" w:cs="Times New Roman"/>
                <w:sz w:val="21"/>
                <w:szCs w:val="21"/>
                <w:lang w:val="en-US" w:eastAsia="zh-CN"/>
              </w:rPr>
              <w:t>1.25</w:t>
            </w:r>
            <w:r>
              <w:rPr>
                <w:rFonts w:ascii="Times New Roman" w:cs="Times New Roman"/>
                <w:sz w:val="21"/>
                <w:szCs w:val="21"/>
              </w:rPr>
              <w:t>mg/m</w:t>
            </w:r>
            <w:r>
              <w:rPr>
                <w:rFonts w:ascii="Times New Roman" w:cs="Times New Roman"/>
                <w:sz w:val="21"/>
                <w:szCs w:val="21"/>
                <w:vertAlign w:val="superscript"/>
              </w:rPr>
              <w:t>3</w:t>
            </w:r>
            <w:r>
              <w:rPr>
                <w:rFonts w:ascii="Times New Roman" w:cs="Times New Roman"/>
                <w:sz w:val="21"/>
                <w:szCs w:val="21"/>
              </w:rPr>
              <w:t>，0.0</w:t>
            </w:r>
            <w:r>
              <w:rPr>
                <w:rFonts w:hint="eastAsia" w:ascii="Times New Roman" w:cs="Times New Roman"/>
                <w:sz w:val="21"/>
                <w:szCs w:val="21"/>
                <w:lang w:val="en-US" w:eastAsia="zh-CN"/>
              </w:rPr>
              <w:t>05</w:t>
            </w:r>
            <w:r>
              <w:rPr>
                <w:rFonts w:ascii="Times New Roman" w:cs="Times New Roman"/>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36" w:type="dxa"/>
            <w:vMerge w:val="continue"/>
            <w:vAlign w:val="center"/>
          </w:tcPr>
          <w:p>
            <w:pPr>
              <w:pStyle w:val="35"/>
              <w:spacing w:after="0" w:line="240" w:lineRule="auto"/>
              <w:jc w:val="center"/>
              <w:rPr>
                <w:rFonts w:ascii="Times New Roman" w:cs="Times New Roman"/>
                <w:sz w:val="21"/>
                <w:szCs w:val="21"/>
              </w:rPr>
            </w:pPr>
          </w:p>
        </w:tc>
        <w:tc>
          <w:tcPr>
            <w:tcW w:w="637" w:type="dxa"/>
            <w:vMerge w:val="continue"/>
            <w:vAlign w:val="center"/>
          </w:tcPr>
          <w:p>
            <w:pPr>
              <w:pStyle w:val="35"/>
              <w:spacing w:after="0" w:line="240" w:lineRule="auto"/>
              <w:jc w:val="center"/>
              <w:rPr>
                <w:rFonts w:ascii="Times New Roman" w:cs="Times New Roman"/>
                <w:sz w:val="21"/>
                <w:szCs w:val="21"/>
              </w:rPr>
            </w:pPr>
          </w:p>
        </w:tc>
        <w:tc>
          <w:tcPr>
            <w:tcW w:w="1993" w:type="dxa"/>
            <w:tcBorders>
              <w:left w:val="single" w:color="auto" w:sz="8" w:space="0"/>
              <w:bottom w:val="single" w:color="auto" w:sz="8" w:space="0"/>
              <w:right w:val="single" w:color="auto" w:sz="6" w:space="0"/>
            </w:tcBorders>
            <w:vAlign w:val="center"/>
          </w:tcPr>
          <w:p>
            <w:pPr>
              <w:spacing w:after="0" w:line="240" w:lineRule="auto"/>
              <w:jc w:val="center"/>
              <w:rPr>
                <w:szCs w:val="21"/>
              </w:rPr>
            </w:pPr>
            <w:r>
              <w:rPr>
                <w:szCs w:val="21"/>
              </w:rPr>
              <w:t>P12</w:t>
            </w:r>
            <w:r>
              <w:rPr>
                <w:rFonts w:hint="eastAsia"/>
                <w:szCs w:val="21"/>
              </w:rPr>
              <w:t>~P1</w:t>
            </w:r>
            <w:r>
              <w:rPr>
                <w:szCs w:val="21"/>
              </w:rPr>
              <w:t>3排气筒（</w:t>
            </w:r>
            <w:r>
              <w:rPr>
                <w:rFonts w:hint="eastAsia"/>
                <w:szCs w:val="21"/>
              </w:rPr>
              <w:t>中联1</w:t>
            </w:r>
            <w:r>
              <w:rPr>
                <w:szCs w:val="21"/>
              </w:rPr>
              <w:t>80</w:t>
            </w:r>
            <w:r>
              <w:rPr>
                <w:rFonts w:hint="eastAsia"/>
                <w:szCs w:val="21"/>
              </w:rPr>
              <w:t>线/润天9</w:t>
            </w:r>
            <w:r>
              <w:rPr>
                <w:szCs w:val="21"/>
              </w:rPr>
              <w:t>0</w:t>
            </w:r>
            <w:r>
              <w:rPr>
                <w:rFonts w:hint="eastAsia"/>
                <w:szCs w:val="21"/>
              </w:rPr>
              <w:t>线</w:t>
            </w:r>
            <w:r>
              <w:rPr>
                <w:szCs w:val="21"/>
              </w:rPr>
              <w:t>）</w:t>
            </w: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搅拌粉尘</w:t>
            </w:r>
          </w:p>
        </w:tc>
        <w:tc>
          <w:tcPr>
            <w:tcW w:w="1858" w:type="dxa"/>
            <w:vAlign w:val="center"/>
          </w:tcPr>
          <w:p>
            <w:pPr>
              <w:pStyle w:val="35"/>
              <w:spacing w:after="0" w:line="240" w:lineRule="auto"/>
              <w:jc w:val="center"/>
              <w:rPr>
                <w:rFonts w:ascii="Times New Roman" w:cs="Times New Roman"/>
                <w:color w:val="auto"/>
                <w:sz w:val="21"/>
                <w:szCs w:val="21"/>
              </w:rPr>
            </w:pPr>
            <w:r>
              <w:rPr>
                <w:rFonts w:ascii="Times New Roman" w:cs="Times New Roman"/>
                <w:sz w:val="21"/>
                <w:szCs w:val="21"/>
              </w:rPr>
              <w:t>3.22kg/h，7.73t/a</w:t>
            </w:r>
          </w:p>
        </w:tc>
        <w:tc>
          <w:tcPr>
            <w:tcW w:w="2372" w:type="dxa"/>
            <w:vAlign w:val="center"/>
          </w:tcPr>
          <w:p>
            <w:pPr>
              <w:spacing w:after="0" w:line="240" w:lineRule="auto"/>
              <w:jc w:val="center"/>
              <w:rPr>
                <w:szCs w:val="21"/>
              </w:rPr>
            </w:pPr>
            <w:r>
              <w:rPr>
                <w:szCs w:val="21"/>
              </w:rPr>
              <w:t>0.</w:t>
            </w:r>
            <w:r>
              <w:rPr>
                <w:rFonts w:hint="eastAsia"/>
                <w:szCs w:val="21"/>
                <w:lang w:val="en-US" w:eastAsia="zh-CN"/>
              </w:rPr>
              <w:t>81</w:t>
            </w:r>
            <w:r>
              <w:rPr>
                <w:szCs w:val="21"/>
              </w:rPr>
              <w:t>mg/m</w:t>
            </w:r>
            <w:r>
              <w:rPr>
                <w:szCs w:val="21"/>
                <w:vertAlign w:val="superscript"/>
              </w:rPr>
              <w:t>3</w:t>
            </w:r>
            <w:r>
              <w:rPr>
                <w:szCs w:val="21"/>
              </w:rPr>
              <w:t>，0.0</w:t>
            </w:r>
            <w:r>
              <w:rPr>
                <w:rFonts w:hint="eastAsia"/>
                <w:szCs w:val="21"/>
                <w:lang w:val="en-US" w:eastAsia="zh-CN"/>
              </w:rPr>
              <w:t>161</w:t>
            </w:r>
            <w:r>
              <w:rPr>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spacing w:after="0" w:line="240" w:lineRule="auto"/>
              <w:jc w:val="center"/>
              <w:rPr>
                <w:rFonts w:ascii="Times New Roman" w:cs="Times New Roman"/>
                <w:sz w:val="21"/>
                <w:szCs w:val="21"/>
              </w:rPr>
            </w:pPr>
          </w:p>
        </w:tc>
        <w:tc>
          <w:tcPr>
            <w:tcW w:w="637" w:type="dxa"/>
            <w:vMerge w:val="continue"/>
            <w:vAlign w:val="center"/>
          </w:tcPr>
          <w:p>
            <w:pPr>
              <w:pStyle w:val="35"/>
              <w:spacing w:after="0" w:line="240" w:lineRule="auto"/>
              <w:jc w:val="center"/>
              <w:rPr>
                <w:rFonts w:ascii="Times New Roman" w:cs="Times New Roman"/>
                <w:sz w:val="21"/>
                <w:szCs w:val="21"/>
              </w:rPr>
            </w:pPr>
          </w:p>
        </w:tc>
        <w:tc>
          <w:tcPr>
            <w:tcW w:w="1993" w:type="dxa"/>
            <w:tcBorders>
              <w:left w:val="single" w:color="auto" w:sz="8" w:space="0"/>
              <w:bottom w:val="single" w:color="auto" w:sz="8" w:space="0"/>
              <w:right w:val="single" w:color="auto" w:sz="6" w:space="0"/>
            </w:tcBorders>
            <w:vAlign w:val="center"/>
          </w:tcPr>
          <w:p>
            <w:pPr>
              <w:spacing w:after="0" w:line="240" w:lineRule="auto"/>
              <w:jc w:val="center"/>
              <w:rPr>
                <w:szCs w:val="21"/>
              </w:rPr>
            </w:pPr>
            <w:r>
              <w:rPr>
                <w:rFonts w:hint="eastAsia"/>
                <w:szCs w:val="21"/>
              </w:rPr>
              <w:t>P1</w:t>
            </w:r>
            <w:r>
              <w:rPr>
                <w:szCs w:val="21"/>
              </w:rPr>
              <w:t>4排气筒（</w:t>
            </w:r>
            <w:r>
              <w:rPr>
                <w:rFonts w:hint="eastAsia"/>
                <w:szCs w:val="21"/>
              </w:rPr>
              <w:t>柳城6</w:t>
            </w:r>
            <w:r>
              <w:rPr>
                <w:szCs w:val="21"/>
              </w:rPr>
              <w:t>00</w:t>
            </w:r>
            <w:r>
              <w:rPr>
                <w:rFonts w:hint="eastAsia"/>
                <w:szCs w:val="21"/>
              </w:rPr>
              <w:t>线</w:t>
            </w:r>
            <w:r>
              <w:rPr>
                <w:szCs w:val="21"/>
              </w:rPr>
              <w:t>）</w:t>
            </w: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搅拌粉尘</w:t>
            </w:r>
          </w:p>
        </w:tc>
        <w:tc>
          <w:tcPr>
            <w:tcW w:w="1858" w:type="dxa"/>
            <w:vAlign w:val="center"/>
          </w:tcPr>
          <w:p>
            <w:pPr>
              <w:pStyle w:val="35"/>
              <w:spacing w:after="0" w:line="240" w:lineRule="auto"/>
              <w:jc w:val="center"/>
              <w:rPr>
                <w:rFonts w:ascii="Times New Roman" w:cs="Times New Roman"/>
                <w:color w:val="auto"/>
                <w:sz w:val="21"/>
                <w:szCs w:val="21"/>
              </w:rPr>
            </w:pPr>
            <w:r>
              <w:rPr>
                <w:rFonts w:ascii="Times New Roman" w:cs="Times New Roman"/>
                <w:sz w:val="21"/>
                <w:szCs w:val="21"/>
              </w:rPr>
              <w:t>0.92kg/h，2.21t/a</w:t>
            </w:r>
          </w:p>
        </w:tc>
        <w:tc>
          <w:tcPr>
            <w:tcW w:w="2372" w:type="dxa"/>
            <w:vAlign w:val="center"/>
          </w:tcPr>
          <w:p>
            <w:pPr>
              <w:spacing w:after="0" w:line="240" w:lineRule="auto"/>
              <w:jc w:val="center"/>
              <w:rPr>
                <w:szCs w:val="21"/>
              </w:rPr>
            </w:pPr>
            <w:r>
              <w:rPr>
                <w:szCs w:val="21"/>
              </w:rPr>
              <w:t>0.</w:t>
            </w:r>
            <w:r>
              <w:rPr>
                <w:rFonts w:hint="eastAsia"/>
                <w:szCs w:val="21"/>
                <w:lang w:val="en-US" w:eastAsia="zh-CN"/>
              </w:rPr>
              <w:t>23</w:t>
            </w:r>
            <w:r>
              <w:rPr>
                <w:szCs w:val="21"/>
              </w:rPr>
              <w:t>mg/m</w:t>
            </w:r>
            <w:r>
              <w:rPr>
                <w:szCs w:val="21"/>
                <w:vertAlign w:val="superscript"/>
              </w:rPr>
              <w:t>3</w:t>
            </w:r>
            <w:r>
              <w:rPr>
                <w:szCs w:val="21"/>
              </w:rPr>
              <w:t>，0.00</w:t>
            </w:r>
            <w:r>
              <w:rPr>
                <w:rFonts w:hint="eastAsia"/>
                <w:szCs w:val="21"/>
                <w:lang w:val="en-US" w:eastAsia="zh-CN"/>
              </w:rPr>
              <w:t>46</w:t>
            </w:r>
            <w:r>
              <w:rPr>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spacing w:after="0" w:line="240" w:lineRule="auto"/>
              <w:jc w:val="center"/>
              <w:rPr>
                <w:rFonts w:ascii="Times New Roman" w:cs="Times New Roman"/>
                <w:sz w:val="21"/>
                <w:szCs w:val="21"/>
              </w:rPr>
            </w:pPr>
          </w:p>
        </w:tc>
        <w:tc>
          <w:tcPr>
            <w:tcW w:w="637" w:type="dxa"/>
            <w:vMerge w:val="continue"/>
            <w:vAlign w:val="center"/>
          </w:tcPr>
          <w:p>
            <w:pPr>
              <w:pStyle w:val="35"/>
              <w:spacing w:after="0" w:line="240" w:lineRule="auto"/>
              <w:jc w:val="center"/>
              <w:rPr>
                <w:rFonts w:ascii="Times New Roman" w:cs="Times New Roman"/>
                <w:sz w:val="21"/>
                <w:szCs w:val="21"/>
              </w:rPr>
            </w:pPr>
          </w:p>
        </w:tc>
        <w:tc>
          <w:tcPr>
            <w:tcW w:w="1993" w:type="dxa"/>
            <w:vMerge w:val="restart"/>
            <w:vAlign w:val="center"/>
          </w:tcPr>
          <w:p>
            <w:pPr>
              <w:spacing w:after="0" w:line="240" w:lineRule="auto"/>
              <w:jc w:val="center"/>
              <w:rPr>
                <w:szCs w:val="21"/>
              </w:rPr>
            </w:pPr>
            <w:r>
              <w:rPr>
                <w:szCs w:val="21"/>
              </w:rPr>
              <w:t>原料堆场</w:t>
            </w:r>
          </w:p>
        </w:tc>
        <w:tc>
          <w:tcPr>
            <w:tcW w:w="1792" w:type="dxa"/>
            <w:vAlign w:val="center"/>
          </w:tcPr>
          <w:p>
            <w:pPr>
              <w:pStyle w:val="35"/>
              <w:spacing w:after="0" w:line="240" w:lineRule="auto"/>
              <w:jc w:val="center"/>
              <w:rPr>
                <w:rFonts w:ascii="Times New Roman" w:cs="Times New Roman"/>
                <w:color w:val="auto"/>
                <w:sz w:val="21"/>
                <w:szCs w:val="21"/>
              </w:rPr>
            </w:pPr>
            <w:r>
              <w:rPr>
                <w:rFonts w:hint="eastAsia" w:ascii="Times New Roman" w:cs="Times New Roman"/>
                <w:sz w:val="21"/>
                <w:szCs w:val="21"/>
                <w:lang w:bidi="ar"/>
              </w:rPr>
              <w:t>卸料</w:t>
            </w:r>
            <w:r>
              <w:rPr>
                <w:rFonts w:ascii="Times New Roman" w:cs="Times New Roman"/>
                <w:color w:val="auto"/>
                <w:sz w:val="21"/>
                <w:szCs w:val="21"/>
              </w:rPr>
              <w:t>粉尘</w:t>
            </w:r>
          </w:p>
        </w:tc>
        <w:tc>
          <w:tcPr>
            <w:tcW w:w="1858" w:type="dxa"/>
            <w:vAlign w:val="center"/>
          </w:tcPr>
          <w:p>
            <w:pPr>
              <w:spacing w:after="0" w:line="240" w:lineRule="auto"/>
              <w:jc w:val="center"/>
              <w:rPr>
                <w:szCs w:val="21"/>
              </w:rPr>
            </w:pPr>
            <w:r>
              <w:rPr>
                <w:szCs w:val="21"/>
              </w:rPr>
              <w:t>0.225kg/h，0.541t/a</w:t>
            </w:r>
          </w:p>
        </w:tc>
        <w:tc>
          <w:tcPr>
            <w:tcW w:w="2372" w:type="dxa"/>
            <w:vAlign w:val="center"/>
          </w:tcPr>
          <w:p>
            <w:pPr>
              <w:spacing w:after="0" w:line="240" w:lineRule="auto"/>
              <w:jc w:val="center"/>
              <w:rPr>
                <w:szCs w:val="21"/>
              </w:rPr>
            </w:pPr>
            <w:r>
              <w:rPr>
                <w:szCs w:val="21"/>
              </w:rPr>
              <w:t>0.0675kg/h，0.162</w:t>
            </w:r>
            <w:r>
              <w:rPr>
                <w:szCs w:val="21"/>
                <w:lang w:val="en-GB"/>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spacing w:after="0" w:line="240" w:lineRule="auto"/>
              <w:jc w:val="center"/>
              <w:rPr>
                <w:rFonts w:ascii="Times New Roman" w:cs="Times New Roman"/>
                <w:sz w:val="21"/>
                <w:szCs w:val="21"/>
              </w:rPr>
            </w:pPr>
          </w:p>
        </w:tc>
        <w:tc>
          <w:tcPr>
            <w:tcW w:w="637" w:type="dxa"/>
            <w:vMerge w:val="continue"/>
            <w:vAlign w:val="center"/>
          </w:tcPr>
          <w:p>
            <w:pPr>
              <w:pStyle w:val="35"/>
              <w:spacing w:after="0" w:line="240" w:lineRule="auto"/>
              <w:jc w:val="center"/>
              <w:rPr>
                <w:rFonts w:ascii="Times New Roman" w:cs="Times New Roman"/>
                <w:sz w:val="21"/>
                <w:szCs w:val="21"/>
              </w:rPr>
            </w:pPr>
          </w:p>
        </w:tc>
        <w:tc>
          <w:tcPr>
            <w:tcW w:w="1993" w:type="dxa"/>
            <w:vMerge w:val="continue"/>
            <w:vAlign w:val="center"/>
          </w:tcPr>
          <w:p>
            <w:pPr>
              <w:spacing w:after="0" w:line="240" w:lineRule="auto"/>
              <w:jc w:val="center"/>
              <w:rPr>
                <w:szCs w:val="21"/>
              </w:rPr>
            </w:pPr>
          </w:p>
        </w:tc>
        <w:tc>
          <w:tcPr>
            <w:tcW w:w="1792" w:type="dxa"/>
            <w:vAlign w:val="center"/>
          </w:tcPr>
          <w:p>
            <w:pPr>
              <w:pStyle w:val="35"/>
              <w:spacing w:after="0" w:line="240" w:lineRule="auto"/>
              <w:jc w:val="center"/>
              <w:rPr>
                <w:rFonts w:ascii="Times New Roman" w:cs="Times New Roman"/>
                <w:sz w:val="21"/>
                <w:szCs w:val="21"/>
                <w:lang w:bidi="ar"/>
              </w:rPr>
            </w:pPr>
            <w:r>
              <w:rPr>
                <w:rFonts w:hint="eastAsia" w:ascii="Times New Roman" w:cs="Times New Roman"/>
                <w:sz w:val="21"/>
                <w:szCs w:val="21"/>
                <w:lang w:bidi="ar"/>
              </w:rPr>
              <w:t>下料粉尘</w:t>
            </w:r>
          </w:p>
        </w:tc>
        <w:tc>
          <w:tcPr>
            <w:tcW w:w="1858" w:type="dxa"/>
            <w:vAlign w:val="center"/>
          </w:tcPr>
          <w:p>
            <w:pPr>
              <w:spacing w:after="0" w:line="240" w:lineRule="auto"/>
              <w:jc w:val="center"/>
              <w:rPr>
                <w:szCs w:val="21"/>
              </w:rPr>
            </w:pPr>
            <w:r>
              <w:rPr>
                <w:szCs w:val="21"/>
              </w:rPr>
              <w:t>0.15kg/h，0.360t/a</w:t>
            </w:r>
          </w:p>
        </w:tc>
        <w:tc>
          <w:tcPr>
            <w:tcW w:w="2372" w:type="dxa"/>
            <w:vAlign w:val="center"/>
          </w:tcPr>
          <w:p>
            <w:pPr>
              <w:spacing w:after="0" w:line="240" w:lineRule="auto"/>
              <w:jc w:val="center"/>
              <w:rPr>
                <w:szCs w:val="21"/>
              </w:rPr>
            </w:pPr>
            <w:r>
              <w:rPr>
                <w:szCs w:val="21"/>
              </w:rPr>
              <w:t>0.045kg/h，0.108</w:t>
            </w:r>
            <w:r>
              <w:rPr>
                <w:szCs w:val="21"/>
                <w:lang w:val="en-GB"/>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spacing w:after="0" w:line="240" w:lineRule="auto"/>
              <w:jc w:val="center"/>
              <w:rPr>
                <w:rFonts w:ascii="Times New Roman" w:cs="Times New Roman"/>
                <w:sz w:val="21"/>
                <w:szCs w:val="21"/>
              </w:rPr>
            </w:pPr>
          </w:p>
        </w:tc>
        <w:tc>
          <w:tcPr>
            <w:tcW w:w="637" w:type="dxa"/>
            <w:vMerge w:val="continue"/>
            <w:vAlign w:val="center"/>
          </w:tcPr>
          <w:p>
            <w:pPr>
              <w:pStyle w:val="35"/>
              <w:spacing w:after="0" w:line="240" w:lineRule="auto"/>
              <w:jc w:val="center"/>
              <w:rPr>
                <w:rFonts w:ascii="Times New Roman" w:cs="Times New Roman"/>
                <w:sz w:val="21"/>
                <w:szCs w:val="21"/>
              </w:rPr>
            </w:pPr>
          </w:p>
        </w:tc>
        <w:tc>
          <w:tcPr>
            <w:tcW w:w="1993" w:type="dxa"/>
            <w:vMerge w:val="continue"/>
            <w:vAlign w:val="center"/>
          </w:tcPr>
          <w:p>
            <w:pPr>
              <w:spacing w:after="0" w:line="240" w:lineRule="auto"/>
              <w:jc w:val="center"/>
              <w:rPr>
                <w:szCs w:val="21"/>
              </w:rPr>
            </w:pPr>
          </w:p>
        </w:tc>
        <w:tc>
          <w:tcPr>
            <w:tcW w:w="1792" w:type="dxa"/>
            <w:vAlign w:val="center"/>
          </w:tcPr>
          <w:p>
            <w:pPr>
              <w:pStyle w:val="35"/>
              <w:spacing w:after="0" w:line="240" w:lineRule="auto"/>
              <w:jc w:val="center"/>
              <w:rPr>
                <w:rFonts w:ascii="Times New Roman" w:cs="Times New Roman"/>
                <w:sz w:val="21"/>
                <w:szCs w:val="21"/>
                <w:lang w:bidi="ar"/>
              </w:rPr>
            </w:pPr>
            <w:r>
              <w:rPr>
                <w:rFonts w:hint="eastAsia" w:ascii="Times New Roman" w:cs="Times New Roman"/>
                <w:sz w:val="21"/>
                <w:szCs w:val="21"/>
                <w:lang w:bidi="ar"/>
              </w:rPr>
              <w:t>堆场扬尘</w:t>
            </w:r>
          </w:p>
        </w:tc>
        <w:tc>
          <w:tcPr>
            <w:tcW w:w="1858" w:type="dxa"/>
            <w:vAlign w:val="center"/>
          </w:tcPr>
          <w:p>
            <w:pPr>
              <w:spacing w:after="0" w:line="240" w:lineRule="auto"/>
              <w:jc w:val="center"/>
              <w:rPr>
                <w:szCs w:val="21"/>
              </w:rPr>
            </w:pPr>
            <w:r>
              <w:rPr>
                <w:szCs w:val="21"/>
              </w:rPr>
              <w:t>0.003kg/h，0.007t/a</w:t>
            </w:r>
          </w:p>
        </w:tc>
        <w:tc>
          <w:tcPr>
            <w:tcW w:w="2372" w:type="dxa"/>
            <w:vAlign w:val="center"/>
          </w:tcPr>
          <w:p>
            <w:pPr>
              <w:spacing w:after="0" w:line="240" w:lineRule="auto"/>
              <w:jc w:val="center"/>
              <w:rPr>
                <w:szCs w:val="21"/>
              </w:rPr>
            </w:pPr>
            <w:r>
              <w:rPr>
                <w:szCs w:val="21"/>
              </w:rPr>
              <w:t>0.0008kg/h，0.002</w:t>
            </w:r>
            <w:r>
              <w:rPr>
                <w:szCs w:val="21"/>
                <w:lang w:val="en-GB"/>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spacing w:after="0" w:line="240" w:lineRule="auto"/>
              <w:jc w:val="center"/>
              <w:rPr>
                <w:rFonts w:ascii="Times New Roman" w:cs="Times New Roman"/>
                <w:sz w:val="21"/>
                <w:szCs w:val="21"/>
              </w:rPr>
            </w:pPr>
          </w:p>
        </w:tc>
        <w:tc>
          <w:tcPr>
            <w:tcW w:w="637" w:type="dxa"/>
            <w:vMerge w:val="continue"/>
            <w:vAlign w:val="center"/>
          </w:tcPr>
          <w:p>
            <w:pPr>
              <w:pStyle w:val="35"/>
              <w:spacing w:after="0" w:line="240" w:lineRule="auto"/>
              <w:jc w:val="center"/>
              <w:rPr>
                <w:rFonts w:ascii="Times New Roman" w:cs="Times New Roman"/>
                <w:sz w:val="21"/>
                <w:szCs w:val="21"/>
              </w:rPr>
            </w:pPr>
          </w:p>
        </w:tc>
        <w:tc>
          <w:tcPr>
            <w:tcW w:w="1993" w:type="dxa"/>
            <w:vAlign w:val="center"/>
          </w:tcPr>
          <w:p>
            <w:pPr>
              <w:spacing w:after="0" w:line="240" w:lineRule="auto"/>
              <w:jc w:val="center"/>
              <w:rPr>
                <w:szCs w:val="21"/>
              </w:rPr>
            </w:pPr>
            <w:r>
              <w:rPr>
                <w:szCs w:val="21"/>
              </w:rPr>
              <w:t>运输扬尘</w:t>
            </w:r>
          </w:p>
        </w:tc>
        <w:tc>
          <w:tcPr>
            <w:tcW w:w="1792" w:type="dxa"/>
            <w:vAlign w:val="center"/>
          </w:tcPr>
          <w:p>
            <w:pPr>
              <w:spacing w:after="0" w:line="240" w:lineRule="auto"/>
              <w:jc w:val="center"/>
              <w:rPr>
                <w:szCs w:val="21"/>
              </w:rPr>
            </w:pPr>
            <w:r>
              <w:rPr>
                <w:szCs w:val="21"/>
              </w:rPr>
              <w:t>扬尘</w:t>
            </w:r>
          </w:p>
        </w:tc>
        <w:tc>
          <w:tcPr>
            <w:tcW w:w="1858" w:type="dxa"/>
            <w:vAlign w:val="center"/>
          </w:tcPr>
          <w:p>
            <w:pPr>
              <w:spacing w:after="0" w:line="240" w:lineRule="auto"/>
              <w:jc w:val="center"/>
              <w:rPr>
                <w:szCs w:val="21"/>
              </w:rPr>
            </w:pPr>
            <w:r>
              <w:rPr>
                <w:szCs w:val="21"/>
              </w:rPr>
              <w:t>3.80kg/h，9.11t/a</w:t>
            </w:r>
          </w:p>
        </w:tc>
        <w:tc>
          <w:tcPr>
            <w:tcW w:w="2372" w:type="dxa"/>
            <w:vAlign w:val="center"/>
          </w:tcPr>
          <w:p>
            <w:pPr>
              <w:spacing w:after="0" w:line="240" w:lineRule="auto"/>
              <w:jc w:val="center"/>
              <w:rPr>
                <w:szCs w:val="21"/>
              </w:rPr>
            </w:pPr>
            <w:r>
              <w:rPr>
                <w:szCs w:val="21"/>
              </w:rPr>
              <w:t>0.76kg/h，1.82</w:t>
            </w:r>
            <w:r>
              <w:rPr>
                <w:szCs w:val="21"/>
                <w:lang w:val="en-GB"/>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spacing w:after="0" w:line="240" w:lineRule="auto"/>
              <w:jc w:val="center"/>
              <w:rPr>
                <w:rFonts w:ascii="Times New Roman" w:cs="Times New Roman"/>
                <w:sz w:val="21"/>
                <w:szCs w:val="21"/>
              </w:rPr>
            </w:pPr>
          </w:p>
        </w:tc>
        <w:tc>
          <w:tcPr>
            <w:tcW w:w="637" w:type="dxa"/>
            <w:vMerge w:val="continue"/>
            <w:vAlign w:val="center"/>
          </w:tcPr>
          <w:p>
            <w:pPr>
              <w:pStyle w:val="35"/>
              <w:spacing w:after="0" w:line="240" w:lineRule="auto"/>
              <w:jc w:val="center"/>
              <w:rPr>
                <w:rFonts w:ascii="Times New Roman" w:cs="Times New Roman"/>
                <w:sz w:val="21"/>
                <w:szCs w:val="21"/>
              </w:rPr>
            </w:pPr>
          </w:p>
        </w:tc>
        <w:tc>
          <w:tcPr>
            <w:tcW w:w="1993" w:type="dxa"/>
            <w:vAlign w:val="center"/>
          </w:tcPr>
          <w:p>
            <w:pPr>
              <w:spacing w:after="0" w:line="240" w:lineRule="auto"/>
              <w:jc w:val="center"/>
              <w:rPr>
                <w:szCs w:val="21"/>
              </w:rPr>
            </w:pPr>
            <w:r>
              <w:rPr>
                <w:szCs w:val="21"/>
              </w:rPr>
              <w:t>柴油发电机</w:t>
            </w:r>
          </w:p>
        </w:tc>
        <w:tc>
          <w:tcPr>
            <w:tcW w:w="1792" w:type="dxa"/>
            <w:vAlign w:val="center"/>
          </w:tcPr>
          <w:p>
            <w:pPr>
              <w:spacing w:after="0" w:line="240" w:lineRule="auto"/>
              <w:jc w:val="center"/>
              <w:rPr>
                <w:szCs w:val="21"/>
              </w:rPr>
            </w:pPr>
            <w:r>
              <w:rPr>
                <w:szCs w:val="21"/>
              </w:rPr>
              <w:t>SO</w:t>
            </w:r>
            <w:r>
              <w:rPr>
                <w:szCs w:val="21"/>
                <w:vertAlign w:val="subscript"/>
              </w:rPr>
              <w:t>2</w:t>
            </w:r>
            <w:r>
              <w:rPr>
                <w:szCs w:val="21"/>
              </w:rPr>
              <w:t>、NO</w:t>
            </w:r>
            <w:r>
              <w:rPr>
                <w:szCs w:val="21"/>
                <w:vertAlign w:val="subscript"/>
              </w:rPr>
              <w:t>X</w:t>
            </w:r>
          </w:p>
        </w:tc>
        <w:tc>
          <w:tcPr>
            <w:tcW w:w="1858" w:type="dxa"/>
            <w:vAlign w:val="center"/>
          </w:tcPr>
          <w:p>
            <w:pPr>
              <w:spacing w:after="0" w:line="240" w:lineRule="auto"/>
              <w:jc w:val="center"/>
              <w:rPr>
                <w:szCs w:val="21"/>
              </w:rPr>
            </w:pPr>
            <w:r>
              <w:rPr>
                <w:szCs w:val="21"/>
              </w:rPr>
              <w:t>少量</w:t>
            </w:r>
          </w:p>
        </w:tc>
        <w:tc>
          <w:tcPr>
            <w:tcW w:w="2372" w:type="dxa"/>
            <w:vAlign w:val="center"/>
          </w:tcPr>
          <w:p>
            <w:pPr>
              <w:spacing w:after="0" w:line="240" w:lineRule="auto"/>
              <w:jc w:val="center"/>
              <w:rPr>
                <w:szCs w:val="21"/>
              </w:rPr>
            </w:pPr>
            <w:r>
              <w:rPr>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spacing w:after="0" w:line="240" w:lineRule="auto"/>
              <w:jc w:val="center"/>
              <w:rPr>
                <w:rFonts w:ascii="Times New Roman" w:cs="Times New Roman"/>
                <w:sz w:val="21"/>
                <w:szCs w:val="21"/>
              </w:rPr>
            </w:pPr>
          </w:p>
        </w:tc>
        <w:tc>
          <w:tcPr>
            <w:tcW w:w="637" w:type="dxa"/>
            <w:vMerge w:val="continue"/>
            <w:vAlign w:val="center"/>
          </w:tcPr>
          <w:p>
            <w:pPr>
              <w:pStyle w:val="35"/>
              <w:spacing w:after="0" w:line="240" w:lineRule="auto"/>
              <w:jc w:val="center"/>
              <w:rPr>
                <w:rFonts w:ascii="Times New Roman" w:cs="Times New Roman"/>
                <w:sz w:val="21"/>
                <w:szCs w:val="21"/>
              </w:rPr>
            </w:pPr>
          </w:p>
        </w:tc>
        <w:tc>
          <w:tcPr>
            <w:tcW w:w="1993" w:type="dxa"/>
            <w:vAlign w:val="center"/>
          </w:tcPr>
          <w:p>
            <w:pPr>
              <w:spacing w:after="0" w:line="240" w:lineRule="auto"/>
              <w:jc w:val="center"/>
              <w:rPr>
                <w:szCs w:val="21"/>
              </w:rPr>
            </w:pPr>
            <w:r>
              <w:rPr>
                <w:szCs w:val="21"/>
              </w:rPr>
              <w:t>柴油储罐</w:t>
            </w:r>
          </w:p>
        </w:tc>
        <w:tc>
          <w:tcPr>
            <w:tcW w:w="1792" w:type="dxa"/>
            <w:vAlign w:val="center"/>
          </w:tcPr>
          <w:p>
            <w:pPr>
              <w:spacing w:after="0" w:line="240" w:lineRule="auto"/>
              <w:jc w:val="center"/>
              <w:rPr>
                <w:szCs w:val="21"/>
              </w:rPr>
            </w:pPr>
            <w:r>
              <w:rPr>
                <w:szCs w:val="21"/>
              </w:rPr>
              <w:t>VOC</w:t>
            </w:r>
            <w:r>
              <w:rPr>
                <w:rFonts w:hint="eastAsia"/>
                <w:szCs w:val="21"/>
              </w:rPr>
              <w:t>s</w:t>
            </w:r>
          </w:p>
        </w:tc>
        <w:tc>
          <w:tcPr>
            <w:tcW w:w="1858" w:type="dxa"/>
            <w:vAlign w:val="center"/>
          </w:tcPr>
          <w:p>
            <w:pPr>
              <w:spacing w:after="0" w:line="240" w:lineRule="auto"/>
              <w:jc w:val="center"/>
              <w:rPr>
                <w:szCs w:val="21"/>
              </w:rPr>
            </w:pPr>
            <w:r>
              <w:rPr>
                <w:szCs w:val="21"/>
              </w:rPr>
              <w:t>少量</w:t>
            </w:r>
          </w:p>
        </w:tc>
        <w:tc>
          <w:tcPr>
            <w:tcW w:w="2372" w:type="dxa"/>
            <w:vAlign w:val="center"/>
          </w:tcPr>
          <w:p>
            <w:pPr>
              <w:spacing w:after="0" w:line="240" w:lineRule="auto"/>
              <w:jc w:val="center"/>
              <w:rPr>
                <w:szCs w:val="21"/>
              </w:rPr>
            </w:pPr>
            <w:r>
              <w:rPr>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36" w:type="dxa"/>
            <w:vMerge w:val="continue"/>
            <w:vAlign w:val="center"/>
          </w:tcPr>
          <w:p>
            <w:pPr>
              <w:pStyle w:val="35"/>
              <w:spacing w:after="0" w:line="240" w:lineRule="auto"/>
              <w:jc w:val="center"/>
              <w:rPr>
                <w:rFonts w:ascii="Times New Roman" w:cs="Times New Roman"/>
                <w:color w:val="auto"/>
                <w:sz w:val="21"/>
                <w:szCs w:val="21"/>
              </w:rPr>
            </w:pPr>
          </w:p>
        </w:tc>
        <w:tc>
          <w:tcPr>
            <w:tcW w:w="637" w:type="dxa"/>
            <w:vMerge w:val="continue"/>
            <w:vAlign w:val="center"/>
          </w:tcPr>
          <w:p>
            <w:pPr>
              <w:pStyle w:val="35"/>
              <w:spacing w:after="0" w:line="240" w:lineRule="auto"/>
              <w:jc w:val="center"/>
              <w:rPr>
                <w:rFonts w:ascii="Times New Roman" w:cs="Times New Roman"/>
                <w:color w:val="auto"/>
                <w:sz w:val="21"/>
                <w:szCs w:val="21"/>
              </w:rPr>
            </w:pPr>
          </w:p>
        </w:tc>
        <w:tc>
          <w:tcPr>
            <w:tcW w:w="1993"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汽车尾气</w:t>
            </w:r>
          </w:p>
        </w:tc>
        <w:tc>
          <w:tcPr>
            <w:tcW w:w="1792" w:type="dxa"/>
            <w:vAlign w:val="center"/>
          </w:tcPr>
          <w:p>
            <w:pPr>
              <w:pStyle w:val="35"/>
              <w:spacing w:after="0" w:line="240" w:lineRule="auto"/>
              <w:jc w:val="center"/>
              <w:rPr>
                <w:rFonts w:ascii="Times New Roman" w:cs="Times New Roman"/>
                <w:color w:val="auto"/>
                <w:sz w:val="21"/>
                <w:szCs w:val="21"/>
              </w:rPr>
            </w:pPr>
            <w:r>
              <w:rPr>
                <w:rFonts w:hint="eastAsia" w:ascii="Times New Roman" w:cs="Times New Roman"/>
                <w:color w:val="auto"/>
                <w:sz w:val="21"/>
                <w:szCs w:val="21"/>
              </w:rPr>
              <w:t>T</w:t>
            </w:r>
            <w:r>
              <w:rPr>
                <w:rFonts w:ascii="Times New Roman" w:cs="Times New Roman"/>
                <w:color w:val="auto"/>
                <w:sz w:val="21"/>
                <w:szCs w:val="21"/>
              </w:rPr>
              <w:t>HC、CO、NO</w:t>
            </w:r>
            <w:r>
              <w:rPr>
                <w:rFonts w:ascii="Times New Roman" w:cs="Times New Roman"/>
                <w:color w:val="auto"/>
                <w:sz w:val="21"/>
                <w:szCs w:val="21"/>
                <w:vertAlign w:val="subscript"/>
              </w:rPr>
              <w:t>X</w:t>
            </w:r>
            <w:r>
              <w:rPr>
                <w:rFonts w:ascii="Times New Roman" w:cs="Times New Roman"/>
                <w:color w:val="auto"/>
                <w:sz w:val="21"/>
                <w:szCs w:val="21"/>
              </w:rPr>
              <w:t>等</w:t>
            </w:r>
          </w:p>
        </w:tc>
        <w:tc>
          <w:tcPr>
            <w:tcW w:w="1858" w:type="dxa"/>
            <w:vAlign w:val="center"/>
          </w:tcPr>
          <w:p>
            <w:pPr>
              <w:spacing w:after="0" w:line="240" w:lineRule="auto"/>
              <w:jc w:val="center"/>
              <w:rPr>
                <w:szCs w:val="21"/>
              </w:rPr>
            </w:pPr>
            <w:r>
              <w:rPr>
                <w:szCs w:val="21"/>
              </w:rPr>
              <w:t>少量</w:t>
            </w:r>
          </w:p>
        </w:tc>
        <w:tc>
          <w:tcPr>
            <w:tcW w:w="237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spacing w:after="0" w:line="240" w:lineRule="auto"/>
              <w:jc w:val="center"/>
              <w:rPr>
                <w:rFonts w:ascii="Times New Roman" w:cs="Times New Roman"/>
                <w:color w:val="auto"/>
                <w:sz w:val="21"/>
                <w:szCs w:val="21"/>
              </w:rPr>
            </w:pPr>
          </w:p>
        </w:tc>
        <w:tc>
          <w:tcPr>
            <w:tcW w:w="637" w:type="dxa"/>
            <w:vMerge w:val="continue"/>
            <w:vAlign w:val="center"/>
          </w:tcPr>
          <w:p>
            <w:pPr>
              <w:pStyle w:val="35"/>
              <w:spacing w:after="0" w:line="240" w:lineRule="auto"/>
              <w:jc w:val="center"/>
              <w:rPr>
                <w:rFonts w:ascii="Times New Roman" w:cs="Times New Roman"/>
                <w:color w:val="auto"/>
                <w:sz w:val="21"/>
                <w:szCs w:val="21"/>
              </w:rPr>
            </w:pPr>
          </w:p>
        </w:tc>
        <w:tc>
          <w:tcPr>
            <w:tcW w:w="1993"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食堂油烟</w:t>
            </w: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油烟</w:t>
            </w:r>
          </w:p>
        </w:tc>
        <w:tc>
          <w:tcPr>
            <w:tcW w:w="1858" w:type="dxa"/>
            <w:vAlign w:val="center"/>
          </w:tcPr>
          <w:p>
            <w:pPr>
              <w:spacing w:after="0" w:line="240" w:lineRule="auto"/>
              <w:jc w:val="center"/>
              <w:rPr>
                <w:szCs w:val="21"/>
              </w:rPr>
            </w:pPr>
            <w:r>
              <w:rPr>
                <w:szCs w:val="21"/>
              </w:rPr>
              <w:t>6.3kg/h，5.67t/a</w:t>
            </w:r>
          </w:p>
        </w:tc>
        <w:tc>
          <w:tcPr>
            <w:tcW w:w="2372" w:type="dxa"/>
            <w:vAlign w:val="center"/>
          </w:tcPr>
          <w:p>
            <w:pPr>
              <w:spacing w:after="0" w:line="240" w:lineRule="auto"/>
              <w:jc w:val="center"/>
              <w:rPr>
                <w:szCs w:val="21"/>
              </w:rPr>
            </w:pPr>
            <w:r>
              <w:rPr>
                <w:szCs w:val="21"/>
              </w:rPr>
              <w:t>0.39mg/m</w:t>
            </w:r>
            <w:r>
              <w:rPr>
                <w:szCs w:val="21"/>
                <w:vertAlign w:val="superscript"/>
              </w:rPr>
              <w:t>3</w:t>
            </w:r>
            <w:r>
              <w:rPr>
                <w:szCs w:val="21"/>
              </w:rPr>
              <w:t>，3.78kg/h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Merge w:val="restart"/>
            <w:vAlign w:val="center"/>
          </w:tcPr>
          <w:p>
            <w:pPr>
              <w:pStyle w:val="35"/>
              <w:tabs>
                <w:tab w:val="left" w:pos="398"/>
              </w:tabs>
              <w:spacing w:after="0" w:line="240" w:lineRule="auto"/>
              <w:jc w:val="center"/>
              <w:rPr>
                <w:rFonts w:ascii="Times New Roman" w:cs="Times New Roman"/>
                <w:color w:val="auto"/>
                <w:sz w:val="21"/>
                <w:szCs w:val="21"/>
              </w:rPr>
            </w:pPr>
            <w:r>
              <w:rPr>
                <w:rFonts w:ascii="Times New Roman" w:cs="Times New Roman"/>
                <w:color w:val="auto"/>
                <w:sz w:val="21"/>
                <w:szCs w:val="21"/>
              </w:rPr>
              <w:t>废水</w:t>
            </w:r>
          </w:p>
        </w:tc>
        <w:tc>
          <w:tcPr>
            <w:tcW w:w="1993"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生产废水</w:t>
            </w:r>
            <w:r>
              <w:rPr>
                <w:rFonts w:ascii="Times New Roman" w:cs="Times New Roman"/>
                <w:sz w:val="21"/>
                <w:szCs w:val="21"/>
              </w:rPr>
              <w:t>（14160t/a）</w:t>
            </w: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SS</w:t>
            </w:r>
          </w:p>
        </w:tc>
        <w:tc>
          <w:tcPr>
            <w:tcW w:w="1858"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3500mg/L</w:t>
            </w:r>
          </w:p>
        </w:tc>
        <w:tc>
          <w:tcPr>
            <w:tcW w:w="237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1993" w:type="dxa"/>
            <w:vMerge w:val="restart"/>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生活废水（960t/a）</w:t>
            </w: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COD</w:t>
            </w:r>
          </w:p>
        </w:tc>
        <w:tc>
          <w:tcPr>
            <w:tcW w:w="1858"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350mg/L、0.341</w:t>
            </w:r>
            <w:r>
              <w:rPr>
                <w:rFonts w:ascii="Times New Roman" w:cs="Times New Roman"/>
                <w:sz w:val="21"/>
                <w:szCs w:val="21"/>
              </w:rPr>
              <w:t>t/a</w:t>
            </w:r>
          </w:p>
        </w:tc>
        <w:tc>
          <w:tcPr>
            <w:tcW w:w="237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300mg/L、0.292t/a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1993" w:type="dxa"/>
            <w:vMerge w:val="continue"/>
            <w:vAlign w:val="center"/>
          </w:tcPr>
          <w:p>
            <w:pPr>
              <w:pStyle w:val="35"/>
              <w:spacing w:after="0" w:line="240" w:lineRule="auto"/>
              <w:jc w:val="center"/>
              <w:rPr>
                <w:rFonts w:ascii="Times New Roman" w:cs="Times New Roman"/>
                <w:color w:val="auto"/>
                <w:sz w:val="21"/>
                <w:szCs w:val="21"/>
              </w:rPr>
            </w:pP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BOD</w:t>
            </w:r>
            <w:r>
              <w:rPr>
                <w:rFonts w:ascii="Times New Roman" w:cs="Times New Roman"/>
                <w:color w:val="auto"/>
                <w:sz w:val="21"/>
                <w:szCs w:val="21"/>
                <w:vertAlign w:val="subscript"/>
              </w:rPr>
              <w:t>5</w:t>
            </w:r>
          </w:p>
        </w:tc>
        <w:tc>
          <w:tcPr>
            <w:tcW w:w="1858"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200mg/L、0.195t/a</w:t>
            </w:r>
          </w:p>
        </w:tc>
        <w:tc>
          <w:tcPr>
            <w:tcW w:w="237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150mg/L、0.146t/a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1993" w:type="dxa"/>
            <w:vMerge w:val="continue"/>
            <w:vAlign w:val="center"/>
          </w:tcPr>
          <w:p>
            <w:pPr>
              <w:pStyle w:val="35"/>
              <w:spacing w:after="0" w:line="240" w:lineRule="auto"/>
              <w:jc w:val="center"/>
              <w:rPr>
                <w:rFonts w:ascii="Times New Roman" w:cs="Times New Roman"/>
                <w:color w:val="auto"/>
                <w:sz w:val="21"/>
                <w:szCs w:val="21"/>
              </w:rPr>
            </w:pP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SS</w:t>
            </w:r>
          </w:p>
        </w:tc>
        <w:tc>
          <w:tcPr>
            <w:tcW w:w="1858"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300mg/L、0.292t/a</w:t>
            </w:r>
          </w:p>
        </w:tc>
        <w:tc>
          <w:tcPr>
            <w:tcW w:w="237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150mg/L、0.146t/a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1993" w:type="dxa"/>
            <w:vMerge w:val="continue"/>
            <w:vAlign w:val="center"/>
          </w:tcPr>
          <w:p>
            <w:pPr>
              <w:pStyle w:val="35"/>
              <w:spacing w:after="0" w:line="240" w:lineRule="auto"/>
              <w:jc w:val="center"/>
              <w:rPr>
                <w:rFonts w:ascii="Times New Roman" w:cs="Times New Roman"/>
                <w:color w:val="auto"/>
                <w:sz w:val="21"/>
                <w:szCs w:val="21"/>
              </w:rPr>
            </w:pP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NH</w:t>
            </w:r>
            <w:r>
              <w:rPr>
                <w:rFonts w:ascii="Times New Roman" w:cs="Times New Roman"/>
                <w:color w:val="auto"/>
                <w:sz w:val="21"/>
                <w:szCs w:val="21"/>
                <w:vertAlign w:val="subscript"/>
              </w:rPr>
              <w:t>3</w:t>
            </w:r>
            <w:r>
              <w:rPr>
                <w:rFonts w:ascii="Times New Roman" w:cs="Times New Roman"/>
                <w:color w:val="auto"/>
                <w:sz w:val="21"/>
                <w:szCs w:val="21"/>
              </w:rPr>
              <w:t>-N</w:t>
            </w:r>
          </w:p>
        </w:tc>
        <w:tc>
          <w:tcPr>
            <w:tcW w:w="1858"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35mg/L、0.034t/a</w:t>
            </w:r>
          </w:p>
        </w:tc>
        <w:tc>
          <w:tcPr>
            <w:tcW w:w="237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30mg/L、0.029t/a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1993" w:type="dxa"/>
            <w:vMerge w:val="continue"/>
            <w:vAlign w:val="center"/>
          </w:tcPr>
          <w:p>
            <w:pPr>
              <w:pStyle w:val="35"/>
              <w:spacing w:after="0" w:line="240" w:lineRule="auto"/>
              <w:jc w:val="center"/>
              <w:rPr>
                <w:rFonts w:ascii="Times New Roman" w:cs="Times New Roman"/>
                <w:color w:val="auto"/>
                <w:sz w:val="21"/>
                <w:szCs w:val="21"/>
              </w:rPr>
            </w:pP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动植物油</w:t>
            </w:r>
          </w:p>
        </w:tc>
        <w:tc>
          <w:tcPr>
            <w:tcW w:w="1858"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60mg/L、0.058t/a</w:t>
            </w:r>
          </w:p>
        </w:tc>
        <w:tc>
          <w:tcPr>
            <w:tcW w:w="237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18mg/L、0.0018t/a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Merge w:val="restart"/>
            <w:vAlign w:val="center"/>
          </w:tcPr>
          <w:p>
            <w:pPr>
              <w:pStyle w:val="35"/>
              <w:tabs>
                <w:tab w:val="left" w:pos="398"/>
              </w:tabs>
              <w:spacing w:after="0" w:line="240" w:lineRule="auto"/>
              <w:jc w:val="center"/>
              <w:rPr>
                <w:rFonts w:ascii="Times New Roman" w:cs="Times New Roman"/>
                <w:color w:val="auto"/>
                <w:sz w:val="21"/>
                <w:szCs w:val="21"/>
              </w:rPr>
            </w:pPr>
            <w:r>
              <w:rPr>
                <w:rFonts w:ascii="Times New Roman" w:cs="Times New Roman"/>
                <w:color w:val="auto"/>
                <w:sz w:val="21"/>
                <w:szCs w:val="21"/>
              </w:rPr>
              <w:t>固废</w:t>
            </w:r>
          </w:p>
        </w:tc>
        <w:tc>
          <w:tcPr>
            <w:tcW w:w="1993" w:type="dxa"/>
            <w:vMerge w:val="restart"/>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生产固废</w:t>
            </w: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除尘设备收集的粉尘</w:t>
            </w:r>
          </w:p>
        </w:tc>
        <w:tc>
          <w:tcPr>
            <w:tcW w:w="1858" w:type="dxa"/>
            <w:vAlign w:val="center"/>
          </w:tcPr>
          <w:p>
            <w:pPr>
              <w:pStyle w:val="35"/>
              <w:spacing w:after="0" w:line="240" w:lineRule="auto"/>
              <w:jc w:val="center"/>
              <w:rPr>
                <w:rFonts w:ascii="Times New Roman" w:cs="Times New Roman"/>
                <w:color w:val="auto"/>
                <w:sz w:val="21"/>
                <w:szCs w:val="21"/>
              </w:rPr>
            </w:pPr>
            <w:r>
              <w:rPr>
                <w:rFonts w:ascii="Times New Roman" w:cs="Times New Roman"/>
                <w:sz w:val="21"/>
                <w:szCs w:val="21"/>
              </w:rPr>
              <w:t>154t/a</w:t>
            </w:r>
          </w:p>
        </w:tc>
        <w:tc>
          <w:tcPr>
            <w:tcW w:w="2372" w:type="dxa"/>
            <w:vAlign w:val="center"/>
          </w:tcPr>
          <w:p>
            <w:pPr>
              <w:pStyle w:val="35"/>
              <w:spacing w:after="0" w:line="240" w:lineRule="auto"/>
              <w:jc w:val="center"/>
              <w:rPr>
                <w:rFonts w:ascii="Times New Roman" w:cs="Times New Roman"/>
                <w:color w:val="auto"/>
                <w:sz w:val="21"/>
                <w:szCs w:val="21"/>
              </w:rPr>
            </w:pPr>
            <w:r>
              <w:rPr>
                <w:rFonts w:asci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36" w:type="dxa"/>
            <w:vMerge w:val="continue"/>
            <w:vAlign w:val="center"/>
          </w:tcPr>
          <w:p>
            <w:pPr>
              <w:pStyle w:val="35"/>
              <w:spacing w:after="0" w:line="240" w:lineRule="auto"/>
              <w:jc w:val="center"/>
              <w:rPr>
                <w:rFonts w:ascii="Times New Roman" w:cs="Times New Roman"/>
                <w:sz w:val="21"/>
                <w:szCs w:val="21"/>
              </w:rPr>
            </w:pPr>
          </w:p>
        </w:tc>
        <w:tc>
          <w:tcPr>
            <w:tcW w:w="637" w:type="dxa"/>
            <w:vMerge w:val="continue"/>
            <w:vAlign w:val="center"/>
          </w:tcPr>
          <w:p>
            <w:pPr>
              <w:pStyle w:val="35"/>
              <w:spacing w:after="0" w:line="240" w:lineRule="auto"/>
              <w:jc w:val="center"/>
              <w:rPr>
                <w:rFonts w:ascii="Times New Roman" w:cs="Times New Roman"/>
                <w:sz w:val="21"/>
                <w:szCs w:val="21"/>
              </w:rPr>
            </w:pPr>
          </w:p>
        </w:tc>
        <w:tc>
          <w:tcPr>
            <w:tcW w:w="1993" w:type="dxa"/>
            <w:vMerge w:val="continue"/>
            <w:vAlign w:val="center"/>
          </w:tcPr>
          <w:p>
            <w:pPr>
              <w:pStyle w:val="35"/>
              <w:spacing w:after="0" w:line="240" w:lineRule="auto"/>
              <w:jc w:val="center"/>
              <w:rPr>
                <w:rFonts w:ascii="Times New Roman" w:cs="Times New Roman"/>
                <w:color w:val="auto"/>
                <w:sz w:val="21"/>
                <w:szCs w:val="21"/>
              </w:rPr>
            </w:pPr>
          </w:p>
        </w:tc>
        <w:tc>
          <w:tcPr>
            <w:tcW w:w="1792" w:type="dxa"/>
            <w:vAlign w:val="center"/>
          </w:tcPr>
          <w:p>
            <w:pPr>
              <w:pStyle w:val="35"/>
              <w:spacing w:after="0" w:line="240" w:lineRule="auto"/>
              <w:jc w:val="center"/>
              <w:rPr>
                <w:rFonts w:ascii="Times New Roman" w:cs="Times New Roman"/>
                <w:color w:val="auto"/>
                <w:sz w:val="21"/>
                <w:szCs w:val="21"/>
              </w:rPr>
            </w:pPr>
            <w:r>
              <w:rPr>
                <w:rFonts w:hint="eastAsia" w:ascii="Times New Roman" w:cs="Times New Roman"/>
                <w:color w:val="auto"/>
                <w:sz w:val="21"/>
                <w:szCs w:val="21"/>
              </w:rPr>
              <w:t>砂石分离机分离后的砂石</w:t>
            </w:r>
          </w:p>
        </w:tc>
        <w:tc>
          <w:tcPr>
            <w:tcW w:w="1858" w:type="dxa"/>
            <w:vAlign w:val="center"/>
          </w:tcPr>
          <w:p>
            <w:pPr>
              <w:pStyle w:val="35"/>
              <w:spacing w:after="0" w:line="240" w:lineRule="auto"/>
              <w:jc w:val="center"/>
              <w:rPr>
                <w:rFonts w:ascii="Times New Roman" w:cs="Times New Roman"/>
                <w:color w:val="auto"/>
                <w:sz w:val="21"/>
                <w:szCs w:val="21"/>
              </w:rPr>
            </w:pPr>
            <w:r>
              <w:rPr>
                <w:rFonts w:ascii="Times New Roman" w:cs="Times New Roman"/>
                <w:sz w:val="21"/>
                <w:szCs w:val="21"/>
              </w:rPr>
              <w:t>120t/a</w:t>
            </w:r>
          </w:p>
        </w:tc>
        <w:tc>
          <w:tcPr>
            <w:tcW w:w="2372" w:type="dxa"/>
            <w:vAlign w:val="center"/>
          </w:tcPr>
          <w:p>
            <w:pPr>
              <w:pStyle w:val="35"/>
              <w:spacing w:after="0" w:line="240" w:lineRule="auto"/>
              <w:jc w:val="center"/>
              <w:rPr>
                <w:rFonts w:ascii="Times New Roman" w:cs="Times New Roman"/>
                <w:color w:val="auto"/>
                <w:sz w:val="21"/>
                <w:szCs w:val="21"/>
              </w:rPr>
            </w:pPr>
            <w:r>
              <w:rPr>
                <w:rFonts w:ascii="Times New Roman" w:cs="Times New Roman"/>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spacing w:after="0" w:line="240" w:lineRule="auto"/>
              <w:jc w:val="center"/>
              <w:rPr>
                <w:rFonts w:ascii="Times New Roman" w:cs="Times New Roman"/>
                <w:color w:val="auto"/>
                <w:sz w:val="21"/>
                <w:szCs w:val="21"/>
              </w:rPr>
            </w:pPr>
          </w:p>
        </w:tc>
        <w:tc>
          <w:tcPr>
            <w:tcW w:w="637" w:type="dxa"/>
            <w:vMerge w:val="continue"/>
            <w:vAlign w:val="center"/>
          </w:tcPr>
          <w:p>
            <w:pPr>
              <w:pStyle w:val="35"/>
              <w:spacing w:after="0" w:line="240" w:lineRule="auto"/>
              <w:jc w:val="center"/>
              <w:rPr>
                <w:rFonts w:ascii="Times New Roman" w:cs="Times New Roman"/>
                <w:color w:val="auto"/>
                <w:sz w:val="21"/>
                <w:szCs w:val="21"/>
              </w:rPr>
            </w:pPr>
          </w:p>
        </w:tc>
        <w:tc>
          <w:tcPr>
            <w:tcW w:w="1993" w:type="dxa"/>
            <w:vMerge w:val="continue"/>
            <w:vAlign w:val="center"/>
          </w:tcPr>
          <w:p>
            <w:pPr>
              <w:pStyle w:val="35"/>
              <w:spacing w:after="0" w:line="240" w:lineRule="auto"/>
              <w:jc w:val="center"/>
              <w:rPr>
                <w:rFonts w:ascii="Times New Roman" w:cs="Times New Roman"/>
                <w:color w:val="auto"/>
                <w:sz w:val="21"/>
                <w:szCs w:val="21"/>
              </w:rPr>
            </w:pP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三级沉淀池沉淀泥砂</w:t>
            </w:r>
          </w:p>
        </w:tc>
        <w:tc>
          <w:tcPr>
            <w:tcW w:w="1858"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u w:color="246BFF"/>
              </w:rPr>
              <w:t>0.588</w:t>
            </w:r>
            <w:r>
              <w:rPr>
                <w:rFonts w:ascii="Times New Roman" w:cs="Times New Roman"/>
                <w:sz w:val="21"/>
                <w:szCs w:val="21"/>
              </w:rPr>
              <w:t>t/a</w:t>
            </w:r>
          </w:p>
        </w:tc>
        <w:tc>
          <w:tcPr>
            <w:tcW w:w="2372" w:type="dxa"/>
            <w:vAlign w:val="center"/>
          </w:tcPr>
          <w:p>
            <w:pPr>
              <w:pStyle w:val="35"/>
              <w:spacing w:after="0" w:line="240" w:lineRule="auto"/>
              <w:jc w:val="center"/>
              <w:rPr>
                <w:rFonts w:ascii="Times New Roman" w:cs="Times New Roman"/>
                <w:color w:val="auto"/>
                <w:sz w:val="21"/>
                <w:szCs w:val="21"/>
              </w:rPr>
            </w:pPr>
            <w:r>
              <w:rPr>
                <w:rFonts w:ascii="Times New Roman" w:cs="Times New Roman"/>
                <w:bCs/>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spacing w:after="0" w:line="240" w:lineRule="auto"/>
              <w:jc w:val="center"/>
              <w:rPr>
                <w:rFonts w:ascii="Times New Roman" w:cs="Times New Roman"/>
                <w:color w:val="auto"/>
                <w:sz w:val="21"/>
                <w:szCs w:val="21"/>
              </w:rPr>
            </w:pPr>
          </w:p>
        </w:tc>
        <w:tc>
          <w:tcPr>
            <w:tcW w:w="637" w:type="dxa"/>
            <w:vMerge w:val="continue"/>
            <w:vAlign w:val="center"/>
          </w:tcPr>
          <w:p>
            <w:pPr>
              <w:pStyle w:val="35"/>
              <w:spacing w:after="0" w:line="240" w:lineRule="auto"/>
              <w:jc w:val="center"/>
              <w:rPr>
                <w:rFonts w:ascii="Times New Roman" w:cs="Times New Roman"/>
                <w:color w:val="auto"/>
                <w:sz w:val="21"/>
                <w:szCs w:val="21"/>
              </w:rPr>
            </w:pPr>
          </w:p>
        </w:tc>
        <w:tc>
          <w:tcPr>
            <w:tcW w:w="1993" w:type="dxa"/>
            <w:vMerge w:val="continue"/>
            <w:vAlign w:val="center"/>
          </w:tcPr>
          <w:p>
            <w:pPr>
              <w:pStyle w:val="35"/>
              <w:spacing w:after="0" w:line="240" w:lineRule="auto"/>
              <w:jc w:val="center"/>
              <w:rPr>
                <w:rFonts w:ascii="Times New Roman" w:cs="Times New Roman"/>
                <w:color w:val="auto"/>
                <w:sz w:val="21"/>
                <w:szCs w:val="21"/>
              </w:rPr>
            </w:pP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实验废料</w:t>
            </w:r>
          </w:p>
        </w:tc>
        <w:tc>
          <w:tcPr>
            <w:tcW w:w="1858"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u w:color="246BFF"/>
              </w:rPr>
              <w:t>150</w:t>
            </w:r>
            <w:r>
              <w:rPr>
                <w:rFonts w:ascii="Times New Roman" w:cs="Times New Roman"/>
                <w:sz w:val="21"/>
                <w:szCs w:val="21"/>
              </w:rPr>
              <w:t>t/a</w:t>
            </w:r>
          </w:p>
        </w:tc>
        <w:tc>
          <w:tcPr>
            <w:tcW w:w="237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spacing w:after="0" w:line="240" w:lineRule="auto"/>
              <w:jc w:val="center"/>
              <w:rPr>
                <w:rFonts w:ascii="Times New Roman" w:cs="Times New Roman"/>
                <w:color w:val="auto"/>
                <w:sz w:val="21"/>
                <w:szCs w:val="21"/>
              </w:rPr>
            </w:pPr>
          </w:p>
        </w:tc>
        <w:tc>
          <w:tcPr>
            <w:tcW w:w="637" w:type="dxa"/>
            <w:vMerge w:val="continue"/>
            <w:vAlign w:val="center"/>
          </w:tcPr>
          <w:p>
            <w:pPr>
              <w:pStyle w:val="35"/>
              <w:spacing w:after="0" w:line="240" w:lineRule="auto"/>
              <w:jc w:val="center"/>
              <w:rPr>
                <w:rFonts w:ascii="Times New Roman" w:cs="Times New Roman"/>
                <w:color w:val="auto"/>
                <w:sz w:val="21"/>
                <w:szCs w:val="21"/>
              </w:rPr>
            </w:pPr>
          </w:p>
        </w:tc>
        <w:tc>
          <w:tcPr>
            <w:tcW w:w="1993"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生活垃圾</w:t>
            </w:r>
          </w:p>
        </w:tc>
        <w:tc>
          <w:tcPr>
            <w:tcW w:w="179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生活垃圾</w:t>
            </w:r>
          </w:p>
        </w:tc>
        <w:tc>
          <w:tcPr>
            <w:tcW w:w="1858"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u w:color="246BFF"/>
              </w:rPr>
              <w:t>4.2</w:t>
            </w:r>
            <w:r>
              <w:rPr>
                <w:rFonts w:ascii="Times New Roman" w:cs="Times New Roman"/>
                <w:sz w:val="21"/>
                <w:szCs w:val="21"/>
              </w:rPr>
              <w:t>t/a</w:t>
            </w:r>
          </w:p>
        </w:tc>
        <w:tc>
          <w:tcPr>
            <w:tcW w:w="237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6" w:type="dxa"/>
            <w:vMerge w:val="continue"/>
            <w:vAlign w:val="center"/>
          </w:tcPr>
          <w:p>
            <w:pPr>
              <w:pStyle w:val="35"/>
              <w:tabs>
                <w:tab w:val="left" w:pos="398"/>
              </w:tabs>
              <w:spacing w:after="0" w:line="240" w:lineRule="auto"/>
              <w:jc w:val="center"/>
              <w:rPr>
                <w:rFonts w:ascii="Times New Roman" w:cs="Times New Roman"/>
                <w:color w:val="auto"/>
                <w:sz w:val="21"/>
                <w:szCs w:val="21"/>
              </w:rPr>
            </w:pPr>
          </w:p>
        </w:tc>
        <w:tc>
          <w:tcPr>
            <w:tcW w:w="637" w:type="dxa"/>
            <w:vAlign w:val="center"/>
          </w:tcPr>
          <w:p>
            <w:pPr>
              <w:pStyle w:val="35"/>
              <w:tabs>
                <w:tab w:val="left" w:pos="398"/>
              </w:tabs>
              <w:spacing w:after="0" w:line="240" w:lineRule="auto"/>
              <w:jc w:val="center"/>
              <w:rPr>
                <w:rFonts w:ascii="Times New Roman" w:cs="Times New Roman"/>
                <w:color w:val="auto"/>
                <w:sz w:val="21"/>
                <w:szCs w:val="21"/>
              </w:rPr>
            </w:pPr>
            <w:r>
              <w:rPr>
                <w:rFonts w:ascii="Times New Roman" w:cs="Times New Roman"/>
                <w:color w:val="auto"/>
                <w:sz w:val="21"/>
                <w:szCs w:val="21"/>
              </w:rPr>
              <w:t>噪声</w:t>
            </w:r>
          </w:p>
        </w:tc>
        <w:tc>
          <w:tcPr>
            <w:tcW w:w="5643" w:type="dxa"/>
            <w:gridSpan w:val="3"/>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机械设备运行噪声及</w:t>
            </w:r>
            <w:r>
              <w:rPr>
                <w:rFonts w:ascii="Times New Roman" w:cs="Times New Roman"/>
                <w:sz w:val="21"/>
                <w:szCs w:val="21"/>
              </w:rPr>
              <w:t>进出厂车辆噪声</w:t>
            </w:r>
            <w:r>
              <w:rPr>
                <w:rFonts w:ascii="Times New Roman" w:cs="Times New Roman"/>
                <w:color w:val="auto"/>
                <w:sz w:val="21"/>
                <w:szCs w:val="21"/>
              </w:rPr>
              <w:t>，声压级70~90dB（A）</w:t>
            </w:r>
          </w:p>
        </w:tc>
        <w:tc>
          <w:tcPr>
            <w:tcW w:w="2372" w:type="dxa"/>
            <w:vAlign w:val="center"/>
          </w:tcPr>
          <w:p>
            <w:pPr>
              <w:pStyle w:val="35"/>
              <w:spacing w:after="0" w:line="240" w:lineRule="auto"/>
              <w:jc w:val="center"/>
              <w:rPr>
                <w:rFonts w:ascii="Times New Roman" w:cs="Times New Roman"/>
                <w:color w:val="auto"/>
                <w:sz w:val="21"/>
                <w:szCs w:val="21"/>
              </w:rPr>
            </w:pPr>
            <w:r>
              <w:rPr>
                <w:rFonts w:ascii="Times New Roman" w:cs="Times New Roman"/>
                <w:color w:val="auto"/>
                <w:sz w:val="21"/>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9288" w:type="dxa"/>
            <w:gridSpan w:val="6"/>
            <w:vAlign w:val="center"/>
          </w:tcPr>
          <w:p>
            <w:pPr>
              <w:pStyle w:val="35"/>
              <w:spacing w:after="0" w:line="360" w:lineRule="auto"/>
              <w:rPr>
                <w:rFonts w:ascii="Times New Roman" w:cs="Times New Roman"/>
                <w:b/>
                <w:color w:val="auto"/>
                <w:sz w:val="21"/>
                <w:szCs w:val="21"/>
              </w:rPr>
            </w:pPr>
            <w:r>
              <w:rPr>
                <w:rFonts w:ascii="Times New Roman" w:cs="Times New Roman"/>
                <w:b/>
                <w:color w:val="auto"/>
                <w:sz w:val="21"/>
                <w:szCs w:val="21"/>
              </w:rPr>
              <w:t>主要生态影响：</w:t>
            </w:r>
          </w:p>
          <w:p>
            <w:pPr>
              <w:pStyle w:val="49"/>
              <w:spacing w:after="0" w:line="360" w:lineRule="auto"/>
              <w:ind w:firstLine="480"/>
              <w:rPr>
                <w:color w:val="auto"/>
                <w:szCs w:val="21"/>
              </w:rPr>
            </w:pPr>
            <w:r>
              <w:rPr>
                <w:color w:val="auto"/>
                <w:szCs w:val="21"/>
              </w:rPr>
              <w:t>本项目位于湖南省</w:t>
            </w:r>
            <w:r>
              <w:rPr>
                <w:rFonts w:hint="eastAsia"/>
                <w:color w:val="auto"/>
                <w:szCs w:val="21"/>
              </w:rPr>
              <w:t>岳阳市湘阴县杨林寨乡沅潭村，</w:t>
            </w:r>
            <w:r>
              <w:rPr>
                <w:color w:val="auto"/>
                <w:szCs w:val="21"/>
              </w:rPr>
              <w:t>项目为新建项目</w:t>
            </w:r>
            <w:r>
              <w:rPr>
                <w:rFonts w:hint="eastAsia"/>
                <w:color w:val="auto"/>
                <w:szCs w:val="21"/>
              </w:rPr>
              <w:t>。本项目使用杨林寨砖厂的部分用地进行建设，不改变其原有的用地性质。</w:t>
            </w:r>
          </w:p>
          <w:p>
            <w:pPr>
              <w:pStyle w:val="49"/>
              <w:spacing w:after="0" w:line="360" w:lineRule="auto"/>
              <w:ind w:firstLine="480"/>
              <w:rPr>
                <w:color w:val="auto"/>
                <w:szCs w:val="21"/>
              </w:rPr>
            </w:pPr>
            <w:r>
              <w:rPr>
                <w:rFonts w:hint="eastAsia"/>
                <w:color w:val="auto"/>
                <w:szCs w:val="21"/>
              </w:rPr>
              <w:t>本项目建设之前，区域内原有建筑已被拆除，无植被分布，对生态环境的影响主要为施工期对地表环境的影响。施工期地表裸露，在风力、水力作用下，易产生扬尘和引起水土流失。随着施工期的结束，项目区域内地表将硬化处理或种植植被，对生态环境影响较小。</w:t>
            </w: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ind w:firstLine="420" w:firstLineChars="200"/>
              <w:rPr>
                <w:rFonts w:ascii="Times New Roman" w:cs="Times New Roman"/>
                <w:color w:val="auto"/>
                <w:sz w:val="21"/>
                <w:szCs w:val="21"/>
              </w:rPr>
            </w:pPr>
          </w:p>
          <w:p>
            <w:pPr>
              <w:pStyle w:val="35"/>
              <w:spacing w:after="0" w:line="240" w:lineRule="auto"/>
              <w:rPr>
                <w:rFonts w:ascii="Times New Roman" w:cs="Times New Roman"/>
                <w:color w:val="auto"/>
                <w:sz w:val="21"/>
                <w:szCs w:val="21"/>
              </w:rPr>
            </w:pPr>
          </w:p>
          <w:p>
            <w:pPr>
              <w:pStyle w:val="35"/>
              <w:spacing w:after="0" w:line="240" w:lineRule="auto"/>
              <w:rPr>
                <w:rFonts w:ascii="Times New Roman" w:cs="Times New Roman"/>
                <w:color w:val="auto"/>
                <w:sz w:val="21"/>
                <w:szCs w:val="21"/>
              </w:rPr>
            </w:pPr>
          </w:p>
          <w:p>
            <w:pPr>
              <w:pStyle w:val="35"/>
              <w:spacing w:after="0" w:line="240" w:lineRule="auto"/>
              <w:rPr>
                <w:rFonts w:ascii="Times New Roman" w:cs="Times New Roman"/>
                <w:color w:val="auto"/>
                <w:sz w:val="21"/>
                <w:szCs w:val="21"/>
              </w:rPr>
            </w:pPr>
          </w:p>
          <w:p>
            <w:pPr>
              <w:pStyle w:val="35"/>
              <w:spacing w:after="0" w:line="240" w:lineRule="auto"/>
              <w:rPr>
                <w:rFonts w:ascii="Times New Roman" w:cs="Times New Roman"/>
                <w:color w:val="auto"/>
                <w:sz w:val="21"/>
                <w:szCs w:val="21"/>
              </w:rPr>
            </w:pPr>
          </w:p>
        </w:tc>
      </w:tr>
    </w:tbl>
    <w:p>
      <w:pPr>
        <w:pStyle w:val="35"/>
        <w:rPr>
          <w:rFonts w:ascii="Times New Roman" w:cs="Times New Roman"/>
          <w:color w:val="auto"/>
          <w:szCs w:val="32"/>
        </w:rPr>
        <w:sectPr>
          <w:pgSz w:w="11906" w:h="16838"/>
          <w:pgMar w:top="1134" w:right="1417" w:bottom="1134" w:left="1417" w:header="851" w:footer="992" w:gutter="0"/>
          <w:cols w:space="720" w:num="1"/>
          <w:docGrid w:type="lines" w:linePitch="312" w:charSpace="0"/>
        </w:sectPr>
      </w:pPr>
    </w:p>
    <w:p>
      <w:pPr>
        <w:pStyle w:val="35"/>
        <w:outlineLvl w:val="0"/>
        <w:rPr>
          <w:rFonts w:ascii="Times New Roman" w:cs="Times New Roman"/>
          <w:b/>
          <w:bCs/>
          <w:color w:val="auto"/>
          <w:sz w:val="32"/>
          <w:szCs w:val="40"/>
        </w:rPr>
      </w:pPr>
      <w:bookmarkStart w:id="90" w:name="_Toc23219"/>
      <w:r>
        <w:rPr>
          <w:rFonts w:hint="eastAsia" w:ascii="Times New Roman" w:cs="Times New Roman"/>
          <w:b/>
          <w:bCs/>
          <w:color w:val="auto"/>
          <w:sz w:val="32"/>
          <w:szCs w:val="40"/>
        </w:rPr>
        <w:t>7环境影响分析</w:t>
      </w:r>
      <w:bookmarkEnd w:id="90"/>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3" w:hRule="atLeast"/>
        </w:trPr>
        <w:tc>
          <w:tcPr>
            <w:tcW w:w="9288" w:type="dxa"/>
          </w:tcPr>
          <w:p>
            <w:pPr>
              <w:pStyle w:val="35"/>
              <w:spacing w:after="0" w:line="360" w:lineRule="auto"/>
              <w:rPr>
                <w:rFonts w:ascii="Times New Roman" w:cs="Times New Roman"/>
                <w:b/>
                <w:bCs/>
                <w:color w:val="auto"/>
                <w:szCs w:val="32"/>
              </w:rPr>
            </w:pPr>
            <w:r>
              <w:rPr>
                <w:rFonts w:ascii="Times New Roman" w:cs="Times New Roman"/>
                <w:b/>
                <w:bCs/>
                <w:color w:val="auto"/>
                <w:szCs w:val="32"/>
              </w:rPr>
              <w:t>施工期环境影响分析</w:t>
            </w:r>
          </w:p>
          <w:p>
            <w:pPr>
              <w:autoSpaceDE w:val="0"/>
              <w:autoSpaceDN w:val="0"/>
              <w:adjustRightInd w:val="0"/>
              <w:spacing w:after="0" w:line="360" w:lineRule="auto"/>
              <w:ind w:firstLine="480" w:firstLineChars="200"/>
              <w:rPr>
                <w:sz w:val="24"/>
              </w:rPr>
            </w:pPr>
            <w:r>
              <w:rPr>
                <w:rFonts w:hint="eastAsia"/>
                <w:sz w:val="24"/>
              </w:rPr>
              <w:t>本项目施工期的环境影响主要是在施工建设时产生的施工噪声、施工扬尘、固体废弃物等对环境的影响。施工期的环境影响一般会随着施工期的结束而消失，施工单位应积极采取环境保护措施，使施工期对环境的影响降低到最低限度。</w:t>
            </w:r>
          </w:p>
          <w:p>
            <w:pPr>
              <w:autoSpaceDE w:val="0"/>
              <w:autoSpaceDN w:val="0"/>
              <w:adjustRightInd w:val="0"/>
              <w:spacing w:after="0" w:line="360" w:lineRule="auto"/>
              <w:ind w:firstLine="480" w:firstLineChars="200"/>
              <w:rPr>
                <w:sz w:val="24"/>
              </w:rPr>
            </w:pPr>
            <w:r>
              <w:rPr>
                <w:rFonts w:hint="eastAsia"/>
                <w:sz w:val="24"/>
              </w:rPr>
              <w:t>1、水环境影响分析</w:t>
            </w:r>
          </w:p>
          <w:p>
            <w:pPr>
              <w:autoSpaceDE w:val="0"/>
              <w:autoSpaceDN w:val="0"/>
              <w:adjustRightInd w:val="0"/>
              <w:spacing w:after="0" w:line="360" w:lineRule="auto"/>
              <w:ind w:firstLine="480" w:firstLineChars="200"/>
              <w:rPr>
                <w:sz w:val="24"/>
              </w:rPr>
            </w:pPr>
            <w:r>
              <w:rPr>
                <w:rFonts w:hint="eastAsia"/>
                <w:sz w:val="24"/>
              </w:rPr>
              <w:t>施工期产生的废水主要来源于施工废水及施工人员生活污水。施工废水经沉淀池处理后回用做地面养护用水；项目施工人员的生活污水约（</w:t>
            </w:r>
            <w:r>
              <w:rPr>
                <w:sz w:val="24"/>
              </w:rPr>
              <w:t>1.28</w:t>
            </w:r>
            <w:r>
              <w:rPr>
                <w:rFonts w:hint="eastAsia"/>
                <w:sz w:val="24"/>
              </w:rPr>
              <w:t>m</w:t>
            </w:r>
            <w:r>
              <w:rPr>
                <w:rFonts w:hint="eastAsia"/>
                <w:sz w:val="24"/>
                <w:vertAlign w:val="superscript"/>
              </w:rPr>
              <w:t>3</w:t>
            </w:r>
            <w:r>
              <w:rPr>
                <w:rFonts w:hint="eastAsia"/>
                <w:sz w:val="24"/>
              </w:rPr>
              <w:t>/d），经化粪池处理后用于周边农田灌溉。</w:t>
            </w:r>
          </w:p>
          <w:p>
            <w:pPr>
              <w:autoSpaceDE w:val="0"/>
              <w:autoSpaceDN w:val="0"/>
              <w:adjustRightInd w:val="0"/>
              <w:spacing w:after="0" w:line="360" w:lineRule="auto"/>
              <w:ind w:firstLine="480" w:firstLineChars="200"/>
              <w:rPr>
                <w:sz w:val="24"/>
              </w:rPr>
            </w:pPr>
            <w:r>
              <w:rPr>
                <w:rFonts w:hint="eastAsia"/>
                <w:sz w:val="24"/>
              </w:rPr>
              <w:t>采取上述措施后，施工过程产生的废水能够合理处置，对地表水影响较小。</w:t>
            </w:r>
          </w:p>
          <w:p>
            <w:pPr>
              <w:autoSpaceDE w:val="0"/>
              <w:autoSpaceDN w:val="0"/>
              <w:adjustRightInd w:val="0"/>
              <w:spacing w:after="0" w:line="360" w:lineRule="auto"/>
              <w:ind w:firstLine="480" w:firstLineChars="200"/>
              <w:rPr>
                <w:sz w:val="24"/>
              </w:rPr>
            </w:pPr>
            <w:r>
              <w:rPr>
                <w:rFonts w:hint="eastAsia"/>
                <w:sz w:val="24"/>
              </w:rPr>
              <w:t>2、大气环境影响分析</w:t>
            </w:r>
          </w:p>
          <w:p>
            <w:pPr>
              <w:autoSpaceDE w:val="0"/>
              <w:autoSpaceDN w:val="0"/>
              <w:adjustRightInd w:val="0"/>
              <w:spacing w:after="0" w:line="360" w:lineRule="auto"/>
              <w:ind w:firstLine="480" w:firstLineChars="200"/>
              <w:rPr>
                <w:sz w:val="24"/>
              </w:rPr>
            </w:pPr>
            <w:r>
              <w:rPr>
                <w:rFonts w:hint="eastAsia"/>
                <w:sz w:val="24"/>
              </w:rPr>
              <w:t>项目施工期产生的废气主要为施工扬尘，运输车辆和施工机械运行过程中排放的尾气。</w:t>
            </w:r>
          </w:p>
          <w:p>
            <w:pPr>
              <w:autoSpaceDE w:val="0"/>
              <w:autoSpaceDN w:val="0"/>
              <w:adjustRightInd w:val="0"/>
              <w:spacing w:after="0"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1 \* GB3</w:instrText>
            </w:r>
            <w:r>
              <w:rPr>
                <w:sz w:val="24"/>
              </w:rPr>
              <w:instrText xml:space="preserve"> </w:instrText>
            </w:r>
            <w:r>
              <w:rPr>
                <w:sz w:val="24"/>
              </w:rPr>
              <w:fldChar w:fldCharType="separate"/>
            </w:r>
            <w:r>
              <w:rPr>
                <w:rFonts w:hint="eastAsia"/>
                <w:sz w:val="24"/>
              </w:rPr>
              <w:t>①</w:t>
            </w:r>
            <w:r>
              <w:rPr>
                <w:sz w:val="24"/>
              </w:rPr>
              <w:fldChar w:fldCharType="end"/>
            </w:r>
            <w:r>
              <w:rPr>
                <w:rFonts w:hint="eastAsia"/>
                <w:sz w:val="24"/>
              </w:rPr>
              <w:t>施工扬尘</w:t>
            </w:r>
          </w:p>
          <w:p>
            <w:pPr>
              <w:autoSpaceDE w:val="0"/>
              <w:autoSpaceDN w:val="0"/>
              <w:adjustRightInd w:val="0"/>
              <w:spacing w:after="0" w:line="360" w:lineRule="auto"/>
              <w:ind w:firstLine="480" w:firstLineChars="200"/>
              <w:rPr>
                <w:sz w:val="24"/>
                <w:szCs w:val="32"/>
              </w:rPr>
            </w:pPr>
            <w:r>
              <w:rPr>
                <w:sz w:val="24"/>
                <w:szCs w:val="32"/>
              </w:rPr>
              <w:t>施工扬尘主要来自以下几个方面：清理场地阶段；土方的挖掘扬尘和现场堆放扬尘；建筑材料的现场搬运及堆放粉尘；施工垃圾的清运及堆放扬尘；人来车往所造成的现场道路扬尘；弃土场卸土扬尘。</w:t>
            </w:r>
          </w:p>
          <w:p>
            <w:pPr>
              <w:autoSpaceDE w:val="0"/>
              <w:autoSpaceDN w:val="0"/>
              <w:adjustRightInd w:val="0"/>
              <w:spacing w:after="0" w:line="360" w:lineRule="auto"/>
              <w:ind w:firstLine="480" w:firstLineChars="200"/>
              <w:rPr>
                <w:sz w:val="24"/>
              </w:rPr>
            </w:pPr>
            <w:r>
              <w:rPr>
                <w:sz w:val="24"/>
              </w:rPr>
              <w:t>据类比资料实测结果，在土方含水量大于0.5%、风速2.3m/s时，施工现场下风向不同距离的扬尘浓度见表</w:t>
            </w:r>
            <w:r>
              <w:rPr>
                <w:rFonts w:hint="eastAsia"/>
                <w:sz w:val="24"/>
              </w:rPr>
              <w:t>7-1。</w:t>
            </w:r>
          </w:p>
          <w:p>
            <w:pPr>
              <w:autoSpaceDE w:val="0"/>
              <w:autoSpaceDN w:val="0"/>
              <w:adjustRightInd w:val="0"/>
              <w:spacing w:after="0" w:line="360" w:lineRule="auto"/>
              <w:ind w:firstLine="482" w:firstLineChars="200"/>
              <w:jc w:val="center"/>
              <w:rPr>
                <w:sz w:val="24"/>
              </w:rPr>
            </w:pPr>
            <w:r>
              <w:rPr>
                <w:rFonts w:hint="eastAsia"/>
                <w:b/>
                <w:bCs/>
                <w:sz w:val="24"/>
              </w:rPr>
              <w:t>表7-1</w:t>
            </w:r>
            <w:r>
              <w:rPr>
                <w:b/>
                <w:bCs/>
                <w:sz w:val="24"/>
              </w:rPr>
              <w:t xml:space="preserve"> </w:t>
            </w:r>
            <w:r>
              <w:rPr>
                <w:rFonts w:hint="eastAsia"/>
                <w:b/>
                <w:bCs/>
                <w:sz w:val="24"/>
              </w:rPr>
              <w:t>施工现场下风向不同距离的扬尘浓度 单位：mg/m3</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992"/>
              <w:gridCol w:w="1349"/>
              <w:gridCol w:w="1349"/>
              <w:gridCol w:w="1349"/>
              <w:gridCol w:w="134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2" w:type="dxa"/>
                  <w:gridSpan w:val="2"/>
                  <w:vAlign w:val="center"/>
                </w:tcPr>
                <w:p>
                  <w:pPr>
                    <w:autoSpaceDE w:val="0"/>
                    <w:autoSpaceDN w:val="0"/>
                    <w:adjustRightInd w:val="0"/>
                    <w:spacing w:after="0" w:line="360" w:lineRule="auto"/>
                    <w:jc w:val="center"/>
                    <w:rPr>
                      <w:sz w:val="24"/>
                    </w:rPr>
                  </w:pPr>
                  <w:r>
                    <w:rPr>
                      <w:sz w:val="24"/>
                    </w:rPr>
                    <w:t>距离</w:t>
                  </w:r>
                </w:p>
              </w:tc>
              <w:tc>
                <w:tcPr>
                  <w:tcW w:w="1349" w:type="dxa"/>
                  <w:vAlign w:val="center"/>
                </w:tcPr>
                <w:p>
                  <w:pPr>
                    <w:autoSpaceDE w:val="0"/>
                    <w:autoSpaceDN w:val="0"/>
                    <w:adjustRightInd w:val="0"/>
                    <w:spacing w:after="0" w:line="360" w:lineRule="auto"/>
                    <w:jc w:val="center"/>
                    <w:rPr>
                      <w:sz w:val="24"/>
                    </w:rPr>
                  </w:pPr>
                  <w:r>
                    <w:rPr>
                      <w:sz w:val="24"/>
                    </w:rPr>
                    <w:t>1m</w:t>
                  </w:r>
                </w:p>
              </w:tc>
              <w:tc>
                <w:tcPr>
                  <w:tcW w:w="1349" w:type="dxa"/>
                  <w:vAlign w:val="center"/>
                </w:tcPr>
                <w:p>
                  <w:pPr>
                    <w:autoSpaceDE w:val="0"/>
                    <w:autoSpaceDN w:val="0"/>
                    <w:adjustRightInd w:val="0"/>
                    <w:spacing w:after="0" w:line="360" w:lineRule="auto"/>
                    <w:jc w:val="center"/>
                    <w:rPr>
                      <w:sz w:val="24"/>
                    </w:rPr>
                  </w:pPr>
                  <w:r>
                    <w:rPr>
                      <w:rFonts w:hint="eastAsia"/>
                      <w:sz w:val="24"/>
                    </w:rPr>
                    <w:t>15m</w:t>
                  </w:r>
                </w:p>
              </w:tc>
              <w:tc>
                <w:tcPr>
                  <w:tcW w:w="1349" w:type="dxa"/>
                  <w:vAlign w:val="center"/>
                </w:tcPr>
                <w:p>
                  <w:pPr>
                    <w:autoSpaceDE w:val="0"/>
                    <w:autoSpaceDN w:val="0"/>
                    <w:adjustRightInd w:val="0"/>
                    <w:spacing w:after="0" w:line="360" w:lineRule="auto"/>
                    <w:jc w:val="center"/>
                    <w:rPr>
                      <w:sz w:val="24"/>
                    </w:rPr>
                  </w:pPr>
                  <w:r>
                    <w:rPr>
                      <w:sz w:val="24"/>
                    </w:rPr>
                    <w:t>50m</w:t>
                  </w:r>
                </w:p>
              </w:tc>
              <w:tc>
                <w:tcPr>
                  <w:tcW w:w="1349" w:type="dxa"/>
                  <w:vAlign w:val="center"/>
                </w:tcPr>
                <w:p>
                  <w:pPr>
                    <w:autoSpaceDE w:val="0"/>
                    <w:autoSpaceDN w:val="0"/>
                    <w:adjustRightInd w:val="0"/>
                    <w:spacing w:after="0" w:line="360" w:lineRule="auto"/>
                    <w:jc w:val="center"/>
                    <w:rPr>
                      <w:sz w:val="24"/>
                    </w:rPr>
                  </w:pPr>
                  <w:r>
                    <w:rPr>
                      <w:sz w:val="24"/>
                    </w:rPr>
                    <w:t>80m</w:t>
                  </w:r>
                </w:p>
              </w:tc>
              <w:tc>
                <w:tcPr>
                  <w:tcW w:w="1350" w:type="dxa"/>
                  <w:vAlign w:val="center"/>
                </w:tcPr>
                <w:p>
                  <w:pPr>
                    <w:autoSpaceDE w:val="0"/>
                    <w:autoSpaceDN w:val="0"/>
                    <w:adjustRightInd w:val="0"/>
                    <w:spacing w:after="0" w:line="360" w:lineRule="auto"/>
                    <w:jc w:val="center"/>
                    <w:rPr>
                      <w:sz w:val="24"/>
                    </w:rPr>
                  </w:pPr>
                  <w:r>
                    <w:rPr>
                      <w:sz w:val="24"/>
                    </w:rPr>
                    <w:t>150m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0" w:type="dxa"/>
                  <w:vMerge w:val="restart"/>
                  <w:vAlign w:val="center"/>
                </w:tcPr>
                <w:p>
                  <w:pPr>
                    <w:autoSpaceDE w:val="0"/>
                    <w:autoSpaceDN w:val="0"/>
                    <w:adjustRightInd w:val="0"/>
                    <w:spacing w:after="0" w:line="360" w:lineRule="auto"/>
                    <w:jc w:val="center"/>
                    <w:rPr>
                      <w:sz w:val="24"/>
                    </w:rPr>
                  </w:pPr>
                  <w:r>
                    <w:rPr>
                      <w:sz w:val="24"/>
                    </w:rPr>
                    <w:t>TSP</w:t>
                  </w:r>
                  <w:r>
                    <w:rPr>
                      <w:rFonts w:hint="eastAsia"/>
                      <w:sz w:val="24"/>
                    </w:rPr>
                    <w:t>浓度</w:t>
                  </w:r>
                </w:p>
              </w:tc>
              <w:tc>
                <w:tcPr>
                  <w:tcW w:w="992" w:type="dxa"/>
                  <w:vAlign w:val="center"/>
                </w:tcPr>
                <w:p>
                  <w:pPr>
                    <w:autoSpaceDE w:val="0"/>
                    <w:autoSpaceDN w:val="0"/>
                    <w:adjustRightInd w:val="0"/>
                    <w:spacing w:after="0" w:line="360" w:lineRule="auto"/>
                    <w:jc w:val="center"/>
                    <w:rPr>
                      <w:sz w:val="24"/>
                    </w:rPr>
                  </w:pPr>
                  <w:r>
                    <w:rPr>
                      <w:rFonts w:hint="eastAsia"/>
                      <w:sz w:val="24"/>
                    </w:rPr>
                    <w:t>未洒水</w:t>
                  </w:r>
                </w:p>
              </w:tc>
              <w:tc>
                <w:tcPr>
                  <w:tcW w:w="1349" w:type="dxa"/>
                  <w:vAlign w:val="center"/>
                </w:tcPr>
                <w:p>
                  <w:pPr>
                    <w:autoSpaceDE w:val="0"/>
                    <w:autoSpaceDN w:val="0"/>
                    <w:adjustRightInd w:val="0"/>
                    <w:spacing w:after="0" w:line="360" w:lineRule="auto"/>
                    <w:jc w:val="center"/>
                    <w:rPr>
                      <w:sz w:val="24"/>
                    </w:rPr>
                  </w:pPr>
                  <w:r>
                    <w:rPr>
                      <w:rFonts w:hint="eastAsia"/>
                      <w:sz w:val="24"/>
                    </w:rPr>
                    <w:t>8.234</w:t>
                  </w:r>
                </w:p>
              </w:tc>
              <w:tc>
                <w:tcPr>
                  <w:tcW w:w="1349" w:type="dxa"/>
                  <w:vAlign w:val="center"/>
                </w:tcPr>
                <w:p>
                  <w:pPr>
                    <w:autoSpaceDE w:val="0"/>
                    <w:autoSpaceDN w:val="0"/>
                    <w:adjustRightInd w:val="0"/>
                    <w:spacing w:after="0" w:line="360" w:lineRule="auto"/>
                    <w:jc w:val="center"/>
                    <w:rPr>
                      <w:sz w:val="24"/>
                    </w:rPr>
                  </w:pPr>
                  <w:r>
                    <w:rPr>
                      <w:rFonts w:hint="eastAsia"/>
                      <w:sz w:val="24"/>
                    </w:rPr>
                    <w:t>3.423</w:t>
                  </w:r>
                </w:p>
              </w:tc>
              <w:tc>
                <w:tcPr>
                  <w:tcW w:w="1349" w:type="dxa"/>
                  <w:vAlign w:val="center"/>
                </w:tcPr>
                <w:p>
                  <w:pPr>
                    <w:autoSpaceDE w:val="0"/>
                    <w:autoSpaceDN w:val="0"/>
                    <w:adjustRightInd w:val="0"/>
                    <w:spacing w:after="0" w:line="360" w:lineRule="auto"/>
                    <w:jc w:val="center"/>
                    <w:rPr>
                      <w:sz w:val="24"/>
                    </w:rPr>
                  </w:pPr>
                  <w:r>
                    <w:rPr>
                      <w:rFonts w:hint="eastAsia"/>
                      <w:sz w:val="24"/>
                    </w:rPr>
                    <w:t>1.489</w:t>
                  </w:r>
                </w:p>
              </w:tc>
              <w:tc>
                <w:tcPr>
                  <w:tcW w:w="1349" w:type="dxa"/>
                  <w:vAlign w:val="center"/>
                </w:tcPr>
                <w:p>
                  <w:pPr>
                    <w:autoSpaceDE w:val="0"/>
                    <w:autoSpaceDN w:val="0"/>
                    <w:adjustRightInd w:val="0"/>
                    <w:spacing w:after="0" w:line="360" w:lineRule="auto"/>
                    <w:jc w:val="center"/>
                    <w:rPr>
                      <w:sz w:val="24"/>
                    </w:rPr>
                  </w:pPr>
                  <w:r>
                    <w:rPr>
                      <w:rFonts w:hint="eastAsia"/>
                      <w:sz w:val="24"/>
                    </w:rPr>
                    <w:t>0.752</w:t>
                  </w:r>
                </w:p>
              </w:tc>
              <w:tc>
                <w:tcPr>
                  <w:tcW w:w="1350" w:type="dxa"/>
                  <w:vAlign w:val="center"/>
                </w:tcPr>
                <w:p>
                  <w:pPr>
                    <w:autoSpaceDE w:val="0"/>
                    <w:autoSpaceDN w:val="0"/>
                    <w:adjustRightInd w:val="0"/>
                    <w:spacing w:after="0" w:line="360" w:lineRule="auto"/>
                    <w:jc w:val="center"/>
                    <w:rPr>
                      <w:sz w:val="24"/>
                    </w:rPr>
                  </w:pPr>
                  <w:r>
                    <w:rPr>
                      <w:rFonts w:hint="eastAsia"/>
                      <w:sz w:val="24"/>
                    </w:rPr>
                    <w:t>0.493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0" w:type="dxa"/>
                  <w:vMerge w:val="continue"/>
                  <w:vAlign w:val="center"/>
                </w:tcPr>
                <w:p>
                  <w:pPr>
                    <w:autoSpaceDE w:val="0"/>
                    <w:autoSpaceDN w:val="0"/>
                    <w:adjustRightInd w:val="0"/>
                    <w:spacing w:after="0" w:line="360" w:lineRule="auto"/>
                    <w:ind w:firstLine="480" w:firstLineChars="200"/>
                    <w:rPr>
                      <w:sz w:val="24"/>
                    </w:rPr>
                  </w:pPr>
                </w:p>
              </w:tc>
              <w:tc>
                <w:tcPr>
                  <w:tcW w:w="992" w:type="dxa"/>
                  <w:vAlign w:val="center"/>
                </w:tcPr>
                <w:p>
                  <w:pPr>
                    <w:autoSpaceDE w:val="0"/>
                    <w:autoSpaceDN w:val="0"/>
                    <w:adjustRightInd w:val="0"/>
                    <w:spacing w:after="0" w:line="360" w:lineRule="auto"/>
                    <w:jc w:val="center"/>
                    <w:rPr>
                      <w:sz w:val="24"/>
                    </w:rPr>
                  </w:pPr>
                  <w:r>
                    <w:rPr>
                      <w:rFonts w:hint="eastAsia"/>
                      <w:sz w:val="24"/>
                    </w:rPr>
                    <w:t>洒水</w:t>
                  </w:r>
                </w:p>
              </w:tc>
              <w:tc>
                <w:tcPr>
                  <w:tcW w:w="1349" w:type="dxa"/>
                  <w:vAlign w:val="center"/>
                </w:tcPr>
                <w:p>
                  <w:pPr>
                    <w:autoSpaceDE w:val="0"/>
                    <w:autoSpaceDN w:val="0"/>
                    <w:adjustRightInd w:val="0"/>
                    <w:spacing w:after="0" w:line="360" w:lineRule="auto"/>
                    <w:jc w:val="center"/>
                    <w:rPr>
                      <w:sz w:val="24"/>
                    </w:rPr>
                  </w:pPr>
                  <w:r>
                    <w:rPr>
                      <w:rFonts w:hint="eastAsia"/>
                      <w:sz w:val="24"/>
                    </w:rPr>
                    <w:t>3.744</w:t>
                  </w:r>
                </w:p>
              </w:tc>
              <w:tc>
                <w:tcPr>
                  <w:tcW w:w="1349" w:type="dxa"/>
                  <w:vAlign w:val="center"/>
                </w:tcPr>
                <w:p>
                  <w:pPr>
                    <w:autoSpaceDE w:val="0"/>
                    <w:autoSpaceDN w:val="0"/>
                    <w:adjustRightInd w:val="0"/>
                    <w:spacing w:after="0" w:line="360" w:lineRule="auto"/>
                    <w:jc w:val="center"/>
                    <w:rPr>
                      <w:sz w:val="24"/>
                    </w:rPr>
                  </w:pPr>
                  <w:r>
                    <w:rPr>
                      <w:rFonts w:hint="eastAsia"/>
                      <w:sz w:val="24"/>
                    </w:rPr>
                    <w:t>1.630</w:t>
                  </w:r>
                </w:p>
              </w:tc>
              <w:tc>
                <w:tcPr>
                  <w:tcW w:w="1349" w:type="dxa"/>
                  <w:vAlign w:val="center"/>
                </w:tcPr>
                <w:p>
                  <w:pPr>
                    <w:autoSpaceDE w:val="0"/>
                    <w:autoSpaceDN w:val="0"/>
                    <w:adjustRightInd w:val="0"/>
                    <w:spacing w:after="0" w:line="360" w:lineRule="auto"/>
                    <w:jc w:val="center"/>
                    <w:rPr>
                      <w:sz w:val="24"/>
                    </w:rPr>
                  </w:pPr>
                  <w:r>
                    <w:rPr>
                      <w:rFonts w:hint="eastAsia"/>
                      <w:sz w:val="24"/>
                    </w:rPr>
                    <w:t>0.785</w:t>
                  </w:r>
                </w:p>
              </w:tc>
              <w:tc>
                <w:tcPr>
                  <w:tcW w:w="1349" w:type="dxa"/>
                  <w:vAlign w:val="center"/>
                </w:tcPr>
                <w:p>
                  <w:pPr>
                    <w:autoSpaceDE w:val="0"/>
                    <w:autoSpaceDN w:val="0"/>
                    <w:adjustRightInd w:val="0"/>
                    <w:spacing w:after="0" w:line="360" w:lineRule="auto"/>
                    <w:jc w:val="center"/>
                    <w:rPr>
                      <w:sz w:val="24"/>
                    </w:rPr>
                  </w:pPr>
                  <w:r>
                    <w:rPr>
                      <w:rFonts w:hint="eastAsia"/>
                      <w:sz w:val="24"/>
                    </w:rPr>
                    <w:t>0.469</w:t>
                  </w:r>
                </w:p>
              </w:tc>
              <w:tc>
                <w:tcPr>
                  <w:tcW w:w="1350" w:type="dxa"/>
                  <w:vAlign w:val="center"/>
                </w:tcPr>
                <w:p>
                  <w:pPr>
                    <w:autoSpaceDE w:val="0"/>
                    <w:autoSpaceDN w:val="0"/>
                    <w:adjustRightInd w:val="0"/>
                    <w:spacing w:after="0" w:line="360" w:lineRule="auto"/>
                    <w:jc w:val="center"/>
                    <w:rPr>
                      <w:sz w:val="24"/>
                    </w:rPr>
                  </w:pPr>
                  <w:r>
                    <w:rPr>
                      <w:sz w:val="24"/>
                    </w:rPr>
                    <w:t>0.2</w:t>
                  </w:r>
                  <w:r>
                    <w:rPr>
                      <w:rFonts w:hint="eastAsia"/>
                      <w:sz w:val="24"/>
                    </w:rPr>
                    <w:t>4</w:t>
                  </w:r>
                  <w:r>
                    <w:rPr>
                      <w:sz w:val="24"/>
                    </w:rPr>
                    <w:t>6</w:t>
                  </w:r>
                </w:p>
              </w:tc>
            </w:tr>
          </w:tbl>
          <w:p>
            <w:pPr>
              <w:autoSpaceDE w:val="0"/>
              <w:autoSpaceDN w:val="0"/>
              <w:adjustRightInd w:val="0"/>
              <w:spacing w:after="0" w:line="360" w:lineRule="auto"/>
              <w:ind w:firstLine="480" w:firstLineChars="200"/>
              <w:rPr>
                <w:sz w:val="24"/>
              </w:rPr>
            </w:pPr>
            <w:r>
              <w:rPr>
                <w:rFonts w:hint="eastAsia"/>
                <w:sz w:val="24"/>
              </w:rPr>
              <w:t>由上表可知，施工场地经洒水处理后，在距离施工现场150m处，施工现场下风向的扬尘浓度能够达到《大气污染物综合排放标准》（GB16297-1996）中的二级标准要求。</w:t>
            </w:r>
          </w:p>
          <w:p>
            <w:pPr>
              <w:autoSpaceDE w:val="0"/>
              <w:autoSpaceDN w:val="0"/>
              <w:adjustRightInd w:val="0"/>
              <w:spacing w:after="0" w:line="360" w:lineRule="auto"/>
              <w:ind w:firstLine="480" w:firstLineChars="200"/>
              <w:rPr>
                <w:sz w:val="24"/>
              </w:rPr>
            </w:pPr>
            <w:r>
              <w:rPr>
                <w:rFonts w:hint="eastAsia"/>
                <w:sz w:val="24"/>
              </w:rPr>
              <w:t>根据现场踏勘，在侧风向150m范围之内有</w:t>
            </w:r>
            <w:r>
              <w:rPr>
                <w:sz w:val="24"/>
              </w:rPr>
              <w:t>7</w:t>
            </w:r>
            <w:r>
              <w:rPr>
                <w:rFonts w:hint="eastAsia"/>
                <w:sz w:val="24"/>
              </w:rPr>
              <w:t>户居民，无敏感点，且施工期大气环境的影响是暂时的，随施工的结束而结束。环评建议施工方文明施工，大风天气严禁施工，建材和渣土运输要尽量减少洒漏，禁止乱堆乱放，并及时清理、适时多次洒水以达到降尘的目的，减少施工扬尘对周边环境的影响。</w:t>
            </w:r>
          </w:p>
          <w:p>
            <w:pPr>
              <w:autoSpaceDE w:val="0"/>
              <w:autoSpaceDN w:val="0"/>
              <w:adjustRightInd w:val="0"/>
              <w:spacing w:after="0"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2 \* GB3</w:instrText>
            </w:r>
            <w:r>
              <w:rPr>
                <w:sz w:val="24"/>
              </w:rPr>
              <w:instrText xml:space="preserve"> </w:instrText>
            </w:r>
            <w:r>
              <w:rPr>
                <w:sz w:val="24"/>
              </w:rPr>
              <w:fldChar w:fldCharType="separate"/>
            </w:r>
            <w:r>
              <w:rPr>
                <w:rFonts w:hint="eastAsia"/>
                <w:sz w:val="24"/>
              </w:rPr>
              <w:t>②</w:t>
            </w:r>
            <w:r>
              <w:rPr>
                <w:sz w:val="24"/>
              </w:rPr>
              <w:fldChar w:fldCharType="end"/>
            </w:r>
            <w:r>
              <w:rPr>
                <w:rFonts w:hint="eastAsia"/>
                <w:sz w:val="24"/>
              </w:rPr>
              <w:t>汽车尾气</w:t>
            </w:r>
          </w:p>
          <w:p>
            <w:pPr>
              <w:autoSpaceDE w:val="0"/>
              <w:autoSpaceDN w:val="0"/>
              <w:adjustRightInd w:val="0"/>
              <w:spacing w:after="0" w:line="360" w:lineRule="auto"/>
              <w:ind w:firstLine="480" w:firstLineChars="200"/>
              <w:rPr>
                <w:sz w:val="24"/>
              </w:rPr>
            </w:pPr>
            <w:r>
              <w:rPr>
                <w:sz w:val="24"/>
                <w:szCs w:val="32"/>
              </w:rPr>
              <w:t>施工车辆尾气主要来自推土机、挖掘机、运输车辆产生的燃油汽车尾气，主要污染物为T</w:t>
            </w:r>
            <w:r>
              <w:rPr>
                <w:rFonts w:hint="eastAsia"/>
                <w:sz w:val="24"/>
                <w:szCs w:val="32"/>
              </w:rPr>
              <w:t>HC</w:t>
            </w:r>
            <w:r>
              <w:rPr>
                <w:sz w:val="24"/>
                <w:szCs w:val="32"/>
              </w:rPr>
              <w:t>、NO</w:t>
            </w:r>
            <w:r>
              <w:rPr>
                <w:sz w:val="24"/>
                <w:szCs w:val="32"/>
                <w:vertAlign w:val="subscript"/>
              </w:rPr>
              <w:t>x</w:t>
            </w:r>
            <w:r>
              <w:rPr>
                <w:sz w:val="24"/>
                <w:szCs w:val="32"/>
              </w:rPr>
              <w:t>、CO等</w:t>
            </w:r>
            <w:r>
              <w:rPr>
                <w:rFonts w:hint="eastAsia"/>
                <w:sz w:val="24"/>
              </w:rPr>
              <w:t>，特点是产生量较小，属间歇式、分散式排放，其污染程度较小。通过加强施工设备维护、保养，各类施工设备要保持良好的运行状态，能够大大减少运输车辆和施工机械排放的尾气，</w:t>
            </w:r>
            <w:r>
              <w:rPr>
                <w:sz w:val="24"/>
              </w:rPr>
              <w:t>对</w:t>
            </w:r>
            <w:r>
              <w:rPr>
                <w:rFonts w:hint="eastAsia"/>
                <w:sz w:val="24"/>
              </w:rPr>
              <w:t>周边</w:t>
            </w:r>
            <w:r>
              <w:rPr>
                <w:sz w:val="24"/>
              </w:rPr>
              <w:t>大气环境造成影响</w:t>
            </w:r>
            <w:r>
              <w:rPr>
                <w:rFonts w:hint="eastAsia"/>
                <w:sz w:val="24"/>
              </w:rPr>
              <w:t>较小。</w:t>
            </w:r>
          </w:p>
          <w:p>
            <w:pPr>
              <w:autoSpaceDE w:val="0"/>
              <w:autoSpaceDN w:val="0"/>
              <w:adjustRightInd w:val="0"/>
              <w:spacing w:after="0" w:line="360" w:lineRule="auto"/>
              <w:ind w:firstLine="480" w:firstLineChars="200"/>
              <w:rPr>
                <w:sz w:val="24"/>
              </w:rPr>
            </w:pPr>
            <w:r>
              <w:rPr>
                <w:rFonts w:hint="eastAsia"/>
                <w:sz w:val="24"/>
              </w:rPr>
              <w:t>综上所述，当施工期严格执行本环评提出的措施之后，对大气环境的影响较小，项目对大气影响将随着施工期的结束而结束。</w:t>
            </w:r>
          </w:p>
          <w:p>
            <w:pPr>
              <w:autoSpaceDE w:val="0"/>
              <w:autoSpaceDN w:val="0"/>
              <w:adjustRightInd w:val="0"/>
              <w:spacing w:after="0" w:line="360" w:lineRule="auto"/>
              <w:ind w:firstLine="480" w:firstLineChars="200"/>
              <w:rPr>
                <w:sz w:val="24"/>
              </w:rPr>
            </w:pPr>
            <w:r>
              <w:rPr>
                <w:rFonts w:hint="eastAsia"/>
                <w:sz w:val="24"/>
              </w:rPr>
              <w:t>3、噪声环境影响分析</w:t>
            </w:r>
          </w:p>
          <w:p>
            <w:pPr>
              <w:autoSpaceDE w:val="0"/>
              <w:autoSpaceDN w:val="0"/>
              <w:adjustRightInd w:val="0"/>
              <w:spacing w:after="0" w:line="360" w:lineRule="auto"/>
              <w:ind w:firstLine="480" w:firstLineChars="200"/>
              <w:rPr>
                <w:sz w:val="24"/>
              </w:rPr>
            </w:pPr>
            <w:r>
              <w:rPr>
                <w:rFonts w:hint="eastAsia"/>
                <w:sz w:val="24"/>
              </w:rPr>
              <w:t>施工期间主要噪声源有施工设备和各种运输车辆等，其运行噪声值一般在</w:t>
            </w:r>
            <w:r>
              <w:rPr>
                <w:sz w:val="24"/>
              </w:rPr>
              <w:t>80</w:t>
            </w:r>
            <w:r>
              <w:rPr>
                <w:rFonts w:hint="eastAsia"/>
                <w:sz w:val="24"/>
              </w:rPr>
              <w:t>～95dB(A)之间，最高瞬时值约95dB(A)。建筑施工作业一般位于露天，各种施工机械、设备噪声此起比伏，其噪声传播距离远，都为临时性声源。</w:t>
            </w:r>
          </w:p>
          <w:p>
            <w:pPr>
              <w:pStyle w:val="49"/>
              <w:spacing w:after="0"/>
              <w:ind w:firstLine="480"/>
            </w:pPr>
            <w:r>
              <w:rPr>
                <w:rFonts w:hint="eastAsia"/>
              </w:rPr>
              <w:t>本项目东面7</w:t>
            </w:r>
            <w:r>
              <w:t>6</w:t>
            </w:r>
            <w:r>
              <w:rPr>
                <w:rFonts w:hint="eastAsia"/>
              </w:rPr>
              <w:t>m处有居民点，为了减轻施工噪声对居民的影响，建设单位在施工中需采取以下的防护措施：①</w:t>
            </w:r>
            <w:r>
              <w:t>在施工场地靠近敏感目标一侧周围设密闭实体围挡</w:t>
            </w:r>
            <w:r>
              <w:rPr>
                <w:rFonts w:hint="eastAsia"/>
              </w:rPr>
              <w:t>或隔声屏障</w:t>
            </w:r>
            <w:r>
              <w:t>，围挡高不少于2.5m</w:t>
            </w:r>
            <w:r>
              <w:rPr>
                <w:rFonts w:hint="eastAsia"/>
              </w:rPr>
              <w:t>；②</w:t>
            </w:r>
            <w:r>
              <w:t>合理安排施工时间，</w:t>
            </w:r>
            <w:r>
              <w:rPr>
                <w:rFonts w:hint="eastAsia"/>
              </w:rPr>
              <w:t>夜间停止施工，</w:t>
            </w:r>
            <w:r>
              <w:t>施工和装修时间严格限制在每日6时至22时，</w:t>
            </w:r>
            <w:r>
              <w:rPr>
                <w:rFonts w:hint="eastAsia"/>
              </w:rPr>
              <w:t>同时</w:t>
            </w:r>
            <w:r>
              <w:t>中午12时至14时</w:t>
            </w:r>
            <w:r>
              <w:rPr>
                <w:rFonts w:hint="eastAsia"/>
              </w:rPr>
              <w:t>停止</w:t>
            </w:r>
            <w:r>
              <w:t>施工</w:t>
            </w:r>
            <w:r>
              <w:rPr>
                <w:rFonts w:hint="eastAsia"/>
              </w:rPr>
              <w:t>；③</w:t>
            </w:r>
            <w:r>
              <w:t>加强</w:t>
            </w:r>
            <w:r>
              <w:rPr>
                <w:rFonts w:hint="eastAsia"/>
              </w:rPr>
              <w:t>施工期</w:t>
            </w:r>
            <w:r>
              <w:t>管理</w:t>
            </w:r>
            <w:r>
              <w:rPr>
                <w:rFonts w:hint="eastAsia"/>
              </w:rPr>
              <w:t>，</w:t>
            </w:r>
            <w:r>
              <w:t>合理安排</w:t>
            </w:r>
            <w:r>
              <w:rPr>
                <w:rFonts w:hint="eastAsia"/>
              </w:rPr>
              <w:t>施工</w:t>
            </w:r>
            <w:r>
              <w:t>工序，合理进行施工平面布置，使高噪声施工设备尽量远离</w:t>
            </w:r>
            <w:r>
              <w:rPr>
                <w:rFonts w:hint="eastAsia"/>
              </w:rPr>
              <w:t>居民点；④</w:t>
            </w:r>
            <w:r>
              <w:t>采用低噪声</w:t>
            </w:r>
            <w:r>
              <w:rPr>
                <w:rFonts w:hint="eastAsia"/>
              </w:rPr>
              <w:t>施工</w:t>
            </w:r>
            <w:r>
              <w:t>机械</w:t>
            </w:r>
            <w:r>
              <w:rPr>
                <w:rFonts w:hint="eastAsia"/>
              </w:rPr>
              <w:t>，</w:t>
            </w:r>
            <w:r>
              <w:t>对施工机械定期维修保养，使机械设备保持最佳工作状态，使噪声影响降低到最小范围；</w:t>
            </w:r>
            <w:r>
              <w:rPr>
                <w:rFonts w:hint="eastAsia"/>
              </w:rPr>
              <w:t>⑤</w:t>
            </w:r>
            <w:r>
              <w:t>运输</w:t>
            </w:r>
            <w:r>
              <w:rPr>
                <w:rFonts w:hint="eastAsia"/>
              </w:rPr>
              <w:t>车辆</w:t>
            </w:r>
            <w:r>
              <w:t>要采取减速缓行、禁止鸣笛等措施。</w:t>
            </w:r>
          </w:p>
          <w:p>
            <w:pPr>
              <w:autoSpaceDE w:val="0"/>
              <w:autoSpaceDN w:val="0"/>
              <w:adjustRightInd w:val="0"/>
              <w:spacing w:after="0" w:line="360" w:lineRule="auto"/>
              <w:ind w:firstLine="480" w:firstLineChars="200"/>
              <w:rPr>
                <w:sz w:val="24"/>
              </w:rPr>
            </w:pPr>
            <w:r>
              <w:rPr>
                <w:rFonts w:hint="eastAsia"/>
                <w:sz w:val="24"/>
              </w:rPr>
              <w:t>当采取上述措施后，施工噪声对周围敏感点以及环境的影响较小，并且随施工的结束，施工噪声影响也将随之消失。</w:t>
            </w:r>
          </w:p>
          <w:p>
            <w:pPr>
              <w:autoSpaceDE w:val="0"/>
              <w:autoSpaceDN w:val="0"/>
              <w:adjustRightInd w:val="0"/>
              <w:spacing w:after="0" w:line="360" w:lineRule="auto"/>
              <w:ind w:firstLine="480" w:firstLineChars="200"/>
              <w:rPr>
                <w:sz w:val="24"/>
              </w:rPr>
            </w:pPr>
            <w:r>
              <w:rPr>
                <w:rFonts w:hint="eastAsia"/>
                <w:sz w:val="24"/>
              </w:rPr>
              <w:t>4、固体废弃物环境影响分析</w:t>
            </w:r>
          </w:p>
          <w:p>
            <w:pPr>
              <w:autoSpaceDE w:val="0"/>
              <w:autoSpaceDN w:val="0"/>
              <w:adjustRightInd w:val="0"/>
              <w:spacing w:after="0" w:line="360" w:lineRule="auto"/>
              <w:ind w:firstLine="480" w:firstLineChars="200"/>
            </w:pPr>
            <w:r>
              <w:rPr>
                <w:sz w:val="24"/>
              </w:rPr>
              <w:t>项目施工期产生的固体废物主要包括施工过程产生的开挖土方</w:t>
            </w:r>
            <w:r>
              <w:rPr>
                <w:rFonts w:hint="eastAsia"/>
                <w:sz w:val="24"/>
              </w:rPr>
              <w:t>、</w:t>
            </w:r>
            <w:r>
              <w:rPr>
                <w:sz w:val="24"/>
              </w:rPr>
              <w:t>建筑垃圾和施工人员产生的生活垃圾。</w:t>
            </w:r>
          </w:p>
          <w:p>
            <w:pPr>
              <w:autoSpaceDE w:val="0"/>
              <w:autoSpaceDN w:val="0"/>
              <w:adjustRightInd w:val="0"/>
              <w:spacing w:after="0" w:line="360" w:lineRule="auto"/>
              <w:ind w:firstLine="480" w:firstLineChars="200"/>
              <w:rPr>
                <w:sz w:val="24"/>
              </w:rPr>
            </w:pPr>
            <w:r>
              <w:rPr>
                <w:rFonts w:hint="eastAsia"/>
                <w:sz w:val="24"/>
              </w:rPr>
              <w:t>根据建设单位初步设计，开挖土方全部在场地内平衡，出现富余时，用作项目内道路路基填方；建筑垃圾产生量为120t，经分类收集后统一送到垃圾收集点，由环卫部门处理；生活垃圾产生量为10kg/d，经收集后统一送到垃圾收集点，由环卫部门处理。</w:t>
            </w:r>
          </w:p>
          <w:p>
            <w:pPr>
              <w:autoSpaceDE w:val="0"/>
              <w:autoSpaceDN w:val="0"/>
              <w:adjustRightInd w:val="0"/>
              <w:spacing w:after="0" w:line="360" w:lineRule="auto"/>
              <w:ind w:firstLine="480" w:firstLineChars="200"/>
              <w:rPr>
                <w:sz w:val="24"/>
              </w:rPr>
            </w:pPr>
            <w:r>
              <w:rPr>
                <w:sz w:val="24"/>
              </w:rPr>
              <w:t>施工期产生的固体废弃物对环境有一定的影响，但由于施工期固体废弃物量不大，其影响范围主要在施工区，因此，只要加强施工管理，并</w:t>
            </w:r>
            <w:r>
              <w:rPr>
                <w:rFonts w:hint="eastAsia"/>
                <w:sz w:val="24"/>
              </w:rPr>
              <w:t>对固废进行妥善处理</w:t>
            </w:r>
            <w:r>
              <w:rPr>
                <w:sz w:val="24"/>
              </w:rPr>
              <w:t>，施工期固体废弃物对环境</w:t>
            </w:r>
            <w:r>
              <w:rPr>
                <w:rFonts w:hint="eastAsia"/>
                <w:sz w:val="24"/>
              </w:rPr>
              <w:t>影响较小，并</w:t>
            </w:r>
            <w:r>
              <w:rPr>
                <w:sz w:val="24"/>
              </w:rPr>
              <w:t>随着施工期的结束而消失</w:t>
            </w:r>
            <w:r>
              <w:rPr>
                <w:rFonts w:hint="eastAsia"/>
                <w:sz w:val="24"/>
              </w:rPr>
              <w:t>。</w:t>
            </w:r>
          </w:p>
          <w:p>
            <w:pPr>
              <w:pStyle w:val="35"/>
              <w:spacing w:after="0" w:line="360" w:lineRule="auto"/>
              <w:rPr>
                <w:rFonts w:ascii="Times New Roman" w:cs="Times New Roman"/>
                <w:b/>
                <w:bCs/>
                <w:color w:val="auto"/>
                <w:szCs w:val="32"/>
              </w:rPr>
            </w:pPr>
            <w:r>
              <w:rPr>
                <w:rFonts w:ascii="Times New Roman" w:cs="Times New Roman"/>
                <w:b/>
                <w:bCs/>
                <w:color w:val="auto"/>
                <w:szCs w:val="32"/>
              </w:rPr>
              <w:t>营运期环境影响分析</w:t>
            </w:r>
          </w:p>
          <w:p>
            <w:pPr>
              <w:pStyle w:val="35"/>
              <w:spacing w:after="0" w:line="360" w:lineRule="auto"/>
              <w:jc w:val="both"/>
              <w:rPr>
                <w:rFonts w:ascii="Times New Roman" w:cs="Times New Roman"/>
                <w:b/>
                <w:bCs/>
                <w:color w:val="auto"/>
                <w:szCs w:val="32"/>
                <w:u w:val="wave"/>
              </w:rPr>
            </w:pPr>
            <w:r>
              <w:rPr>
                <w:rFonts w:ascii="Times New Roman" w:cs="Times New Roman"/>
                <w:b/>
                <w:bCs/>
                <w:color w:val="auto"/>
                <w:szCs w:val="32"/>
                <w:u w:val="wave"/>
              </w:rPr>
              <w:t>一、大气环境影响分析</w:t>
            </w:r>
          </w:p>
          <w:p>
            <w:pPr>
              <w:pStyle w:val="35"/>
              <w:spacing w:after="0" w:line="360" w:lineRule="auto"/>
              <w:ind w:firstLine="480" w:firstLineChars="200"/>
              <w:jc w:val="both"/>
              <w:rPr>
                <w:rFonts w:ascii="Times New Roman" w:cs="Times New Roman"/>
                <w:u w:val="wave"/>
              </w:rPr>
            </w:pPr>
            <w:r>
              <w:rPr>
                <w:rFonts w:ascii="Times New Roman" w:cs="Times New Roman"/>
                <w:u w:val="wave"/>
              </w:rPr>
              <w:t>本项目营运期产生的废气主要来自原料进场时产生的装卸粉尘；</w:t>
            </w:r>
            <w:r>
              <w:rPr>
                <w:rFonts w:hint="eastAsia" w:ascii="Times New Roman" w:cs="Times New Roman"/>
                <w:u w:val="wave"/>
              </w:rPr>
              <w:t>原料入料斗的下料粉尘、</w:t>
            </w:r>
            <w:r>
              <w:rPr>
                <w:rFonts w:ascii="Times New Roman" w:cs="Times New Roman"/>
                <w:u w:val="wave"/>
              </w:rPr>
              <w:t>水泥筒仓及粉煤灰筒仓进料时大小呼吸口产生的呼吸粉尘；搅拌机进行搅拌时产生的搅拌粉尘；食堂油烟；</w:t>
            </w:r>
            <w:r>
              <w:rPr>
                <w:rFonts w:ascii="Times New Roman" w:cs="Times New Roman"/>
                <w:color w:val="auto"/>
                <w:u w:val="wave"/>
              </w:rPr>
              <w:t>运</w:t>
            </w:r>
            <w:r>
              <w:rPr>
                <w:rFonts w:ascii="Times New Roman" w:cs="Times New Roman"/>
                <w:u w:val="wave"/>
              </w:rPr>
              <w:t>输扬尘及汽车尾气等。</w:t>
            </w:r>
          </w:p>
          <w:p>
            <w:pPr>
              <w:spacing w:after="0" w:line="360" w:lineRule="auto"/>
              <w:ind w:firstLine="480" w:firstLineChars="200"/>
              <w:rPr>
                <w:sz w:val="24"/>
                <w:szCs w:val="32"/>
                <w:u w:val="wave"/>
              </w:rPr>
            </w:pPr>
            <w:r>
              <w:rPr>
                <w:sz w:val="24"/>
                <w:szCs w:val="32"/>
                <w:u w:val="wave"/>
              </w:rPr>
              <w:t>1、</w:t>
            </w:r>
            <w:r>
              <w:rPr>
                <w:sz w:val="24"/>
                <w:u w:val="wave"/>
              </w:rPr>
              <w:t>大气环境影响评价等级确定</w:t>
            </w:r>
          </w:p>
          <w:p>
            <w:pPr>
              <w:spacing w:after="0" w:line="360" w:lineRule="auto"/>
              <w:ind w:firstLine="480"/>
              <w:rPr>
                <w:color w:val="000000"/>
                <w:kern w:val="0"/>
                <w:sz w:val="24"/>
                <w:u w:val="wave"/>
              </w:rPr>
            </w:pPr>
            <w:r>
              <w:rPr>
                <w:rFonts w:hint="eastAsia"/>
                <w:color w:val="000000"/>
                <w:kern w:val="0"/>
                <w:sz w:val="24"/>
                <w:u w:val="wave"/>
              </w:rPr>
              <w:t>根据《环境影响评价导则大气环境》（</w:t>
            </w:r>
            <w:r>
              <w:rPr>
                <w:color w:val="000000"/>
                <w:kern w:val="0"/>
                <w:sz w:val="24"/>
                <w:u w:val="wave"/>
              </w:rPr>
              <w:t>HJ2.2-2018</w:t>
            </w:r>
            <w:r>
              <w:rPr>
                <w:rFonts w:hint="eastAsia"/>
                <w:color w:val="000000"/>
                <w:kern w:val="0"/>
                <w:sz w:val="24"/>
                <w:u w:val="wave"/>
              </w:rPr>
              <w:t>）中规定和推荐的模式，采用估算模式</w:t>
            </w:r>
            <w:r>
              <w:rPr>
                <w:color w:val="000000"/>
                <w:kern w:val="0"/>
                <w:sz w:val="24"/>
                <w:u w:val="wave"/>
              </w:rPr>
              <w:t>AERSCREEN 2018</w:t>
            </w:r>
            <w:r>
              <w:rPr>
                <w:rFonts w:hint="eastAsia"/>
                <w:color w:val="000000"/>
                <w:kern w:val="0"/>
                <w:sz w:val="24"/>
                <w:u w:val="wave"/>
              </w:rPr>
              <w:t>计算项目评价等级及污染物最大浓度占标率。本项目无组织面源排放参数见表7-2，有组织排放参数见表7-3，输入估算模型参数见表7-5，污染源估算模型计算结果见表7-6，7</w:t>
            </w:r>
            <w:r>
              <w:rPr>
                <w:color w:val="000000"/>
                <w:kern w:val="0"/>
                <w:sz w:val="24"/>
                <w:u w:val="wave"/>
              </w:rPr>
              <w:t>-7</w:t>
            </w:r>
            <w:r>
              <w:rPr>
                <w:rFonts w:hint="eastAsia"/>
                <w:color w:val="000000"/>
                <w:kern w:val="0"/>
                <w:sz w:val="24"/>
                <w:u w:val="wave"/>
              </w:rPr>
              <w:t>。</w:t>
            </w:r>
          </w:p>
          <w:p>
            <w:pPr>
              <w:spacing w:after="0" w:line="360" w:lineRule="auto"/>
              <w:jc w:val="center"/>
              <w:rPr>
                <w:b/>
                <w:bCs/>
                <w:sz w:val="24"/>
                <w:u w:val="wave"/>
              </w:rPr>
            </w:pPr>
            <w:r>
              <w:rPr>
                <w:rFonts w:hint="eastAsia"/>
                <w:b/>
                <w:bCs/>
                <w:sz w:val="24"/>
                <w:u w:val="wave"/>
              </w:rPr>
              <w:t>表7-2  无组织面源排放参数</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0"/>
              <w:gridCol w:w="946"/>
              <w:gridCol w:w="425"/>
              <w:gridCol w:w="447"/>
              <w:gridCol w:w="705"/>
              <w:gridCol w:w="549"/>
              <w:gridCol w:w="621"/>
              <w:gridCol w:w="840"/>
              <w:gridCol w:w="1140"/>
              <w:gridCol w:w="660"/>
              <w:gridCol w:w="810"/>
              <w:gridCol w:w="1080"/>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jc w:val="center"/>
              </w:trPr>
              <w:tc>
                <w:tcPr>
                  <w:tcW w:w="330" w:type="dxa"/>
                  <w:vMerge w:val="restart"/>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编号</w:t>
                  </w:r>
                </w:p>
              </w:tc>
              <w:tc>
                <w:tcPr>
                  <w:tcW w:w="946" w:type="dxa"/>
                  <w:vMerge w:val="restart"/>
                  <w:vAlign w:val="center"/>
                </w:tcPr>
                <w:p>
                  <w:pPr>
                    <w:pStyle w:val="21"/>
                    <w:tabs>
                      <w:tab w:val="left" w:pos="2076"/>
                    </w:tabs>
                    <w:spacing w:after="0"/>
                    <w:ind w:left="0" w:leftChars="0" w:firstLine="0" w:firstLineChars="0"/>
                    <w:jc w:val="center"/>
                    <w:rPr>
                      <w:color w:val="000000"/>
                      <w:szCs w:val="21"/>
                      <w:u w:val="wave"/>
                    </w:rPr>
                  </w:pPr>
                  <w:r>
                    <w:rPr>
                      <w:rFonts w:hint="eastAsia"/>
                      <w:color w:val="000000"/>
                      <w:szCs w:val="21"/>
                      <w:u w:val="wave"/>
                    </w:rPr>
                    <w:t>名称</w:t>
                  </w:r>
                </w:p>
              </w:tc>
              <w:tc>
                <w:tcPr>
                  <w:tcW w:w="872" w:type="dxa"/>
                  <w:gridSpan w:val="2"/>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面源</w:t>
                  </w:r>
                  <w:r>
                    <w:rPr>
                      <w:rFonts w:hint="eastAsia"/>
                      <w:color w:val="000000"/>
                      <w:szCs w:val="21"/>
                      <w:u w:val="wave"/>
                    </w:rPr>
                    <w:t>起点</w:t>
                  </w:r>
                  <w:r>
                    <w:rPr>
                      <w:color w:val="000000"/>
                      <w:szCs w:val="21"/>
                      <w:u w:val="wave"/>
                    </w:rPr>
                    <w:t>坐标</w:t>
                  </w:r>
                </w:p>
              </w:tc>
              <w:tc>
                <w:tcPr>
                  <w:tcW w:w="705" w:type="dxa"/>
                  <w:vMerge w:val="restart"/>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面源海拔高度/m</w:t>
                  </w:r>
                </w:p>
              </w:tc>
              <w:tc>
                <w:tcPr>
                  <w:tcW w:w="549" w:type="dxa"/>
                  <w:vMerge w:val="restart"/>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面源长度/m</w:t>
                  </w:r>
                </w:p>
              </w:tc>
              <w:tc>
                <w:tcPr>
                  <w:tcW w:w="621" w:type="dxa"/>
                  <w:vMerge w:val="restart"/>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面源宽度/m</w:t>
                  </w:r>
                </w:p>
              </w:tc>
              <w:tc>
                <w:tcPr>
                  <w:tcW w:w="840" w:type="dxa"/>
                  <w:vMerge w:val="restart"/>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与正北向夹角/</w:t>
                  </w:r>
                  <w:r>
                    <w:rPr>
                      <w:color w:val="000000"/>
                      <w:szCs w:val="21"/>
                      <w:u w:val="wave"/>
                      <w:vertAlign w:val="superscript"/>
                    </w:rPr>
                    <w:t>。</w:t>
                  </w:r>
                </w:p>
              </w:tc>
              <w:tc>
                <w:tcPr>
                  <w:tcW w:w="1140" w:type="dxa"/>
                  <w:vMerge w:val="restart"/>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面源有效排放高度/m</w:t>
                  </w:r>
                </w:p>
              </w:tc>
              <w:tc>
                <w:tcPr>
                  <w:tcW w:w="660" w:type="dxa"/>
                  <w:vMerge w:val="restart"/>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污染物</w:t>
                  </w:r>
                </w:p>
              </w:tc>
              <w:tc>
                <w:tcPr>
                  <w:tcW w:w="810" w:type="dxa"/>
                  <w:vMerge w:val="restart"/>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年排放小时数/h</w:t>
                  </w:r>
                </w:p>
              </w:tc>
              <w:tc>
                <w:tcPr>
                  <w:tcW w:w="1080" w:type="dxa"/>
                  <w:vMerge w:val="restart"/>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污染物排放速率/</w:t>
                  </w:r>
                  <w:r>
                    <w:rPr>
                      <w:rFonts w:hint="eastAsia"/>
                      <w:color w:val="000000"/>
                      <w:szCs w:val="21"/>
                      <w:u w:val="wave"/>
                    </w:rPr>
                    <w:t>k</w:t>
                  </w:r>
                  <w:r>
                    <w:rPr>
                      <w:color w:val="000000"/>
                      <w:szCs w:val="21"/>
                      <w:u w:val="wave"/>
                    </w:rPr>
                    <w:t>g/</w:t>
                  </w:r>
                  <w:r>
                    <w:rPr>
                      <w:rFonts w:hint="eastAsia"/>
                      <w:color w:val="000000"/>
                      <w:szCs w:val="21"/>
                      <w:u w:val="wave"/>
                    </w:rPr>
                    <w:t>h</w:t>
                  </w:r>
                </w:p>
              </w:tc>
              <w:tc>
                <w:tcPr>
                  <w:tcW w:w="518" w:type="dxa"/>
                  <w:vMerge w:val="restart"/>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330" w:type="dxa"/>
                  <w:vMerge w:val="continue"/>
                  <w:vAlign w:val="center"/>
                </w:tcPr>
                <w:p>
                  <w:pPr>
                    <w:pStyle w:val="21"/>
                    <w:tabs>
                      <w:tab w:val="left" w:pos="2076"/>
                    </w:tabs>
                    <w:spacing w:after="0"/>
                    <w:ind w:left="0" w:leftChars="0" w:firstLine="0" w:firstLineChars="0"/>
                    <w:jc w:val="center"/>
                    <w:rPr>
                      <w:color w:val="000000"/>
                      <w:szCs w:val="21"/>
                      <w:u w:val="wave"/>
                    </w:rPr>
                  </w:pPr>
                </w:p>
              </w:tc>
              <w:tc>
                <w:tcPr>
                  <w:tcW w:w="946" w:type="dxa"/>
                  <w:vMerge w:val="continue"/>
                  <w:vAlign w:val="center"/>
                </w:tcPr>
                <w:p>
                  <w:pPr>
                    <w:pStyle w:val="21"/>
                    <w:tabs>
                      <w:tab w:val="left" w:pos="2076"/>
                    </w:tabs>
                    <w:spacing w:after="0"/>
                    <w:ind w:left="0" w:leftChars="0" w:firstLine="0" w:firstLineChars="0"/>
                    <w:jc w:val="center"/>
                    <w:rPr>
                      <w:color w:val="000000"/>
                      <w:szCs w:val="21"/>
                      <w:u w:val="wave"/>
                    </w:rPr>
                  </w:pPr>
                </w:p>
              </w:tc>
              <w:tc>
                <w:tcPr>
                  <w:tcW w:w="425" w:type="dxa"/>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X/m</w:t>
                  </w:r>
                </w:p>
              </w:tc>
              <w:tc>
                <w:tcPr>
                  <w:tcW w:w="447" w:type="dxa"/>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Y/m</w:t>
                  </w:r>
                </w:p>
              </w:tc>
              <w:tc>
                <w:tcPr>
                  <w:tcW w:w="705" w:type="dxa"/>
                  <w:vMerge w:val="continue"/>
                  <w:vAlign w:val="center"/>
                </w:tcPr>
                <w:p>
                  <w:pPr>
                    <w:pStyle w:val="21"/>
                    <w:tabs>
                      <w:tab w:val="left" w:pos="2076"/>
                    </w:tabs>
                    <w:spacing w:after="0"/>
                    <w:ind w:left="0" w:leftChars="0" w:firstLine="0" w:firstLineChars="0"/>
                    <w:jc w:val="center"/>
                    <w:rPr>
                      <w:color w:val="000000"/>
                      <w:szCs w:val="21"/>
                      <w:u w:val="wave"/>
                    </w:rPr>
                  </w:pPr>
                </w:p>
              </w:tc>
              <w:tc>
                <w:tcPr>
                  <w:tcW w:w="549" w:type="dxa"/>
                  <w:vMerge w:val="continue"/>
                  <w:vAlign w:val="center"/>
                </w:tcPr>
                <w:p>
                  <w:pPr>
                    <w:pStyle w:val="21"/>
                    <w:tabs>
                      <w:tab w:val="left" w:pos="2076"/>
                    </w:tabs>
                    <w:spacing w:after="0"/>
                    <w:ind w:left="0" w:leftChars="0" w:firstLine="0" w:firstLineChars="0"/>
                    <w:jc w:val="center"/>
                    <w:rPr>
                      <w:color w:val="000000"/>
                      <w:szCs w:val="21"/>
                      <w:u w:val="wave"/>
                    </w:rPr>
                  </w:pPr>
                </w:p>
              </w:tc>
              <w:tc>
                <w:tcPr>
                  <w:tcW w:w="621" w:type="dxa"/>
                  <w:vMerge w:val="continue"/>
                  <w:vAlign w:val="center"/>
                </w:tcPr>
                <w:p>
                  <w:pPr>
                    <w:pStyle w:val="21"/>
                    <w:tabs>
                      <w:tab w:val="left" w:pos="2076"/>
                    </w:tabs>
                    <w:spacing w:after="0"/>
                    <w:ind w:left="0" w:leftChars="0" w:firstLine="0" w:firstLineChars="0"/>
                    <w:jc w:val="center"/>
                    <w:rPr>
                      <w:color w:val="000000"/>
                      <w:szCs w:val="21"/>
                      <w:u w:val="wave"/>
                    </w:rPr>
                  </w:pPr>
                </w:p>
              </w:tc>
              <w:tc>
                <w:tcPr>
                  <w:tcW w:w="840" w:type="dxa"/>
                  <w:vMerge w:val="continue"/>
                  <w:vAlign w:val="center"/>
                </w:tcPr>
                <w:p>
                  <w:pPr>
                    <w:pStyle w:val="21"/>
                    <w:tabs>
                      <w:tab w:val="left" w:pos="2076"/>
                    </w:tabs>
                    <w:spacing w:after="0"/>
                    <w:ind w:left="0" w:leftChars="0" w:firstLine="0" w:firstLineChars="0"/>
                    <w:jc w:val="center"/>
                    <w:rPr>
                      <w:color w:val="000000"/>
                      <w:szCs w:val="21"/>
                      <w:u w:val="wave"/>
                    </w:rPr>
                  </w:pPr>
                </w:p>
              </w:tc>
              <w:tc>
                <w:tcPr>
                  <w:tcW w:w="1140" w:type="dxa"/>
                  <w:vMerge w:val="continue"/>
                  <w:vAlign w:val="center"/>
                </w:tcPr>
                <w:p>
                  <w:pPr>
                    <w:pStyle w:val="21"/>
                    <w:tabs>
                      <w:tab w:val="left" w:pos="2076"/>
                    </w:tabs>
                    <w:spacing w:after="0"/>
                    <w:ind w:left="0" w:leftChars="0" w:firstLine="0" w:firstLineChars="0"/>
                    <w:jc w:val="center"/>
                    <w:rPr>
                      <w:color w:val="000000"/>
                      <w:szCs w:val="21"/>
                      <w:u w:val="wave"/>
                    </w:rPr>
                  </w:pPr>
                </w:p>
              </w:tc>
              <w:tc>
                <w:tcPr>
                  <w:tcW w:w="660" w:type="dxa"/>
                  <w:vMerge w:val="continue"/>
                  <w:vAlign w:val="center"/>
                </w:tcPr>
                <w:p>
                  <w:pPr>
                    <w:pStyle w:val="21"/>
                    <w:tabs>
                      <w:tab w:val="left" w:pos="2076"/>
                    </w:tabs>
                    <w:spacing w:after="0"/>
                    <w:ind w:left="0" w:leftChars="0" w:firstLine="0" w:firstLineChars="0"/>
                    <w:jc w:val="center"/>
                    <w:rPr>
                      <w:color w:val="000000"/>
                      <w:szCs w:val="21"/>
                      <w:u w:val="wave"/>
                    </w:rPr>
                  </w:pPr>
                </w:p>
              </w:tc>
              <w:tc>
                <w:tcPr>
                  <w:tcW w:w="810" w:type="dxa"/>
                  <w:vMerge w:val="continue"/>
                  <w:vAlign w:val="center"/>
                </w:tcPr>
                <w:p>
                  <w:pPr>
                    <w:pStyle w:val="21"/>
                    <w:tabs>
                      <w:tab w:val="left" w:pos="2076"/>
                    </w:tabs>
                    <w:spacing w:after="0"/>
                    <w:ind w:left="0" w:leftChars="0" w:firstLine="0" w:firstLineChars="0"/>
                    <w:jc w:val="center"/>
                    <w:rPr>
                      <w:color w:val="000000"/>
                      <w:szCs w:val="21"/>
                      <w:u w:val="wave"/>
                    </w:rPr>
                  </w:pPr>
                </w:p>
              </w:tc>
              <w:tc>
                <w:tcPr>
                  <w:tcW w:w="1080" w:type="dxa"/>
                  <w:vMerge w:val="continue"/>
                  <w:vAlign w:val="center"/>
                </w:tcPr>
                <w:p>
                  <w:pPr>
                    <w:pStyle w:val="21"/>
                    <w:tabs>
                      <w:tab w:val="left" w:pos="2076"/>
                    </w:tabs>
                    <w:spacing w:after="0"/>
                    <w:ind w:left="0" w:leftChars="0" w:firstLine="0" w:firstLineChars="0"/>
                    <w:jc w:val="center"/>
                    <w:rPr>
                      <w:color w:val="000000"/>
                      <w:szCs w:val="21"/>
                      <w:u w:val="wave"/>
                    </w:rPr>
                  </w:pPr>
                </w:p>
              </w:tc>
              <w:tc>
                <w:tcPr>
                  <w:tcW w:w="518" w:type="dxa"/>
                  <w:vMerge w:val="continue"/>
                  <w:vAlign w:val="center"/>
                </w:tcPr>
                <w:p>
                  <w:pPr>
                    <w:pStyle w:val="21"/>
                    <w:tabs>
                      <w:tab w:val="left" w:pos="2076"/>
                    </w:tabs>
                    <w:spacing w:after="0"/>
                    <w:ind w:left="0" w:leftChars="0" w:firstLine="0" w:firstLineChars="0"/>
                    <w:jc w:val="center"/>
                    <w:rPr>
                      <w:color w:val="000000"/>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330" w:type="dxa"/>
                  <w:vAlign w:val="center"/>
                </w:tcPr>
                <w:p>
                  <w:pPr>
                    <w:pStyle w:val="21"/>
                    <w:tabs>
                      <w:tab w:val="left" w:pos="2076"/>
                    </w:tabs>
                    <w:spacing w:after="0"/>
                    <w:ind w:left="0" w:leftChars="0" w:firstLine="0" w:firstLineChars="0"/>
                    <w:jc w:val="center"/>
                    <w:rPr>
                      <w:color w:val="000000"/>
                      <w:szCs w:val="21"/>
                      <w:u w:val="wave"/>
                    </w:rPr>
                  </w:pPr>
                  <w:r>
                    <w:rPr>
                      <w:rFonts w:hint="eastAsia"/>
                      <w:color w:val="000000"/>
                      <w:szCs w:val="21"/>
                      <w:u w:val="wave"/>
                    </w:rPr>
                    <w:t>1</w:t>
                  </w:r>
                </w:p>
              </w:tc>
              <w:tc>
                <w:tcPr>
                  <w:tcW w:w="946" w:type="dxa"/>
                  <w:vAlign w:val="center"/>
                </w:tcPr>
                <w:p>
                  <w:pPr>
                    <w:pStyle w:val="21"/>
                    <w:tabs>
                      <w:tab w:val="left" w:pos="2076"/>
                    </w:tabs>
                    <w:spacing w:after="0"/>
                    <w:ind w:left="0" w:leftChars="0" w:firstLine="0" w:firstLineChars="0"/>
                    <w:jc w:val="center"/>
                    <w:rPr>
                      <w:rFonts w:hint="eastAsia" w:eastAsia="宋体"/>
                      <w:color w:val="000000"/>
                      <w:szCs w:val="21"/>
                      <w:u w:val="wave"/>
                      <w:lang w:eastAsia="zh-CN"/>
                    </w:rPr>
                  </w:pPr>
                  <w:r>
                    <w:rPr>
                      <w:rFonts w:hint="eastAsia" w:ascii="宋体" w:hAnsi="宋体" w:cs="宋体"/>
                      <w:szCs w:val="21"/>
                      <w:u w:val="wave"/>
                      <w:lang w:val="en-US" w:eastAsia="zh-CN"/>
                    </w:rPr>
                    <w:t>原料堆场</w:t>
                  </w:r>
                </w:p>
              </w:tc>
              <w:tc>
                <w:tcPr>
                  <w:tcW w:w="425" w:type="dxa"/>
                  <w:vAlign w:val="center"/>
                </w:tcPr>
                <w:p>
                  <w:pPr>
                    <w:spacing w:after="0"/>
                    <w:jc w:val="center"/>
                    <w:rPr>
                      <w:color w:val="000000"/>
                      <w:szCs w:val="21"/>
                      <w:u w:val="wave"/>
                    </w:rPr>
                  </w:pPr>
                  <w:r>
                    <w:rPr>
                      <w:color w:val="000000"/>
                      <w:szCs w:val="21"/>
                      <w:u w:val="wave"/>
                    </w:rPr>
                    <w:t>50</w:t>
                  </w:r>
                </w:p>
              </w:tc>
              <w:tc>
                <w:tcPr>
                  <w:tcW w:w="447" w:type="dxa"/>
                  <w:vAlign w:val="center"/>
                </w:tcPr>
                <w:p>
                  <w:pPr>
                    <w:spacing w:after="0"/>
                    <w:jc w:val="center"/>
                    <w:rPr>
                      <w:color w:val="000000"/>
                      <w:szCs w:val="21"/>
                      <w:u w:val="wave"/>
                    </w:rPr>
                  </w:pPr>
                  <w:r>
                    <w:rPr>
                      <w:color w:val="000000"/>
                      <w:szCs w:val="21"/>
                      <w:u w:val="wave"/>
                    </w:rPr>
                    <w:t>-50</w:t>
                  </w:r>
                </w:p>
              </w:tc>
              <w:tc>
                <w:tcPr>
                  <w:tcW w:w="705" w:type="dxa"/>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0</w:t>
                  </w:r>
                </w:p>
              </w:tc>
              <w:tc>
                <w:tcPr>
                  <w:tcW w:w="549" w:type="dxa"/>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100.8</w:t>
                  </w:r>
                </w:p>
              </w:tc>
              <w:tc>
                <w:tcPr>
                  <w:tcW w:w="621" w:type="dxa"/>
                  <w:vAlign w:val="center"/>
                </w:tcPr>
                <w:p>
                  <w:pPr>
                    <w:pStyle w:val="21"/>
                    <w:tabs>
                      <w:tab w:val="left" w:pos="2076"/>
                    </w:tabs>
                    <w:spacing w:after="0"/>
                    <w:ind w:left="0" w:leftChars="0" w:firstLine="0" w:firstLineChars="0"/>
                    <w:jc w:val="center"/>
                    <w:rPr>
                      <w:color w:val="000000"/>
                      <w:szCs w:val="21"/>
                      <w:u w:val="wave"/>
                    </w:rPr>
                  </w:pPr>
                  <w:r>
                    <w:rPr>
                      <w:rFonts w:hint="eastAsia"/>
                      <w:color w:val="000000"/>
                      <w:szCs w:val="21"/>
                      <w:u w:val="wave"/>
                    </w:rPr>
                    <w:t>20</w:t>
                  </w:r>
                </w:p>
              </w:tc>
              <w:tc>
                <w:tcPr>
                  <w:tcW w:w="840" w:type="dxa"/>
                  <w:vAlign w:val="center"/>
                </w:tcPr>
                <w:p>
                  <w:pPr>
                    <w:pStyle w:val="21"/>
                    <w:tabs>
                      <w:tab w:val="left" w:pos="2076"/>
                    </w:tabs>
                    <w:spacing w:after="0"/>
                    <w:ind w:left="0" w:leftChars="0" w:firstLine="0" w:firstLineChars="0"/>
                    <w:jc w:val="center"/>
                    <w:rPr>
                      <w:color w:val="000000"/>
                      <w:szCs w:val="21"/>
                      <w:u w:val="wave"/>
                    </w:rPr>
                  </w:pPr>
                  <w:r>
                    <w:rPr>
                      <w:color w:val="000000"/>
                      <w:szCs w:val="21"/>
                      <w:u w:val="wave"/>
                    </w:rPr>
                    <w:t>9</w:t>
                  </w:r>
                  <w:r>
                    <w:rPr>
                      <w:rFonts w:hint="eastAsia"/>
                      <w:color w:val="000000"/>
                      <w:szCs w:val="21"/>
                      <w:u w:val="wave"/>
                    </w:rPr>
                    <w:t>0</w:t>
                  </w:r>
                </w:p>
              </w:tc>
              <w:tc>
                <w:tcPr>
                  <w:tcW w:w="1140" w:type="dxa"/>
                  <w:vAlign w:val="center"/>
                </w:tcPr>
                <w:p>
                  <w:pPr>
                    <w:pStyle w:val="21"/>
                    <w:tabs>
                      <w:tab w:val="left" w:pos="2076"/>
                    </w:tabs>
                    <w:spacing w:after="0"/>
                    <w:ind w:left="0" w:leftChars="0" w:firstLine="0" w:firstLineChars="0"/>
                    <w:jc w:val="center"/>
                    <w:rPr>
                      <w:rFonts w:hint="default" w:eastAsia="宋体"/>
                      <w:color w:val="000000"/>
                      <w:szCs w:val="21"/>
                      <w:u w:val="wave"/>
                      <w:lang w:val="en-US" w:eastAsia="zh-CN"/>
                    </w:rPr>
                  </w:pPr>
                  <w:r>
                    <w:rPr>
                      <w:rFonts w:hint="eastAsia"/>
                      <w:color w:val="000000"/>
                      <w:szCs w:val="21"/>
                      <w:u w:val="wave"/>
                      <w:lang w:val="en-US" w:eastAsia="zh-CN"/>
                    </w:rPr>
                    <w:t>10</w:t>
                  </w:r>
                </w:p>
              </w:tc>
              <w:tc>
                <w:tcPr>
                  <w:tcW w:w="660" w:type="dxa"/>
                  <w:vAlign w:val="center"/>
                </w:tcPr>
                <w:p>
                  <w:pPr>
                    <w:pStyle w:val="21"/>
                    <w:tabs>
                      <w:tab w:val="left" w:pos="2076"/>
                    </w:tabs>
                    <w:spacing w:after="0"/>
                    <w:ind w:left="0" w:leftChars="0" w:firstLine="0" w:firstLineChars="0"/>
                    <w:jc w:val="center"/>
                    <w:rPr>
                      <w:color w:val="000000"/>
                      <w:szCs w:val="21"/>
                      <w:u w:val="wave"/>
                    </w:rPr>
                  </w:pPr>
                  <w:r>
                    <w:rPr>
                      <w:rFonts w:hint="eastAsia"/>
                      <w:color w:val="000000"/>
                      <w:szCs w:val="21"/>
                      <w:u w:val="wave"/>
                    </w:rPr>
                    <w:t>颗粒物</w:t>
                  </w:r>
                </w:p>
              </w:tc>
              <w:tc>
                <w:tcPr>
                  <w:tcW w:w="810" w:type="dxa"/>
                  <w:vAlign w:val="center"/>
                </w:tcPr>
                <w:p>
                  <w:pPr>
                    <w:spacing w:after="0"/>
                    <w:jc w:val="center"/>
                    <w:rPr>
                      <w:color w:val="000000"/>
                      <w:szCs w:val="21"/>
                      <w:u w:val="wave"/>
                    </w:rPr>
                  </w:pPr>
                  <w:r>
                    <w:rPr>
                      <w:color w:val="000000"/>
                      <w:szCs w:val="21"/>
                      <w:u w:val="wave"/>
                    </w:rPr>
                    <w:t>2400</w:t>
                  </w:r>
                </w:p>
              </w:tc>
              <w:tc>
                <w:tcPr>
                  <w:tcW w:w="1080" w:type="dxa"/>
                  <w:vAlign w:val="center"/>
                </w:tcPr>
                <w:p>
                  <w:pPr>
                    <w:spacing w:after="0"/>
                    <w:jc w:val="center"/>
                    <w:rPr>
                      <w:rFonts w:hint="default" w:eastAsia="宋体"/>
                      <w:color w:val="000000"/>
                      <w:szCs w:val="21"/>
                      <w:u w:val="wave"/>
                      <w:lang w:val="en-US" w:eastAsia="zh-CN"/>
                    </w:rPr>
                  </w:pPr>
                  <w:r>
                    <w:rPr>
                      <w:rFonts w:hint="eastAsia"/>
                      <w:color w:val="000000"/>
                      <w:szCs w:val="21"/>
                      <w:u w:val="wave"/>
                    </w:rPr>
                    <w:t>0.</w:t>
                  </w:r>
                  <w:r>
                    <w:rPr>
                      <w:rFonts w:hint="eastAsia"/>
                      <w:color w:val="000000"/>
                      <w:szCs w:val="21"/>
                      <w:u w:val="wave"/>
                      <w:lang w:val="en-US" w:eastAsia="zh-CN"/>
                    </w:rPr>
                    <w:t>1133</w:t>
                  </w:r>
                </w:p>
              </w:tc>
              <w:tc>
                <w:tcPr>
                  <w:tcW w:w="518" w:type="dxa"/>
                  <w:vAlign w:val="center"/>
                </w:tcPr>
                <w:p>
                  <w:pPr>
                    <w:spacing w:after="0"/>
                    <w:jc w:val="center"/>
                    <w:rPr>
                      <w:color w:val="000000"/>
                      <w:szCs w:val="21"/>
                      <w:u w:val="wave"/>
                    </w:rPr>
                  </w:pPr>
                </w:p>
              </w:tc>
            </w:tr>
          </w:tbl>
          <w:p>
            <w:pPr>
              <w:spacing w:after="0" w:line="360" w:lineRule="auto"/>
              <w:jc w:val="center"/>
              <w:rPr>
                <w:b/>
                <w:bCs/>
                <w:sz w:val="24"/>
                <w:u w:val="wave"/>
              </w:rPr>
            </w:pPr>
            <w:r>
              <w:rPr>
                <w:rFonts w:hint="eastAsia"/>
                <w:b/>
                <w:bCs/>
                <w:sz w:val="24"/>
                <w:u w:val="wave"/>
              </w:rPr>
              <w:t>表7-3  项目点源参数表</w:t>
            </w:r>
          </w:p>
          <w:tbl>
            <w:tblPr>
              <w:tblStyle w:val="22"/>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417"/>
              <w:gridCol w:w="873"/>
              <w:gridCol w:w="1105"/>
              <w:gridCol w:w="1103"/>
              <w:gridCol w:w="856"/>
              <w:gridCol w:w="1073"/>
              <w:gridCol w:w="2213"/>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40" w:hRule="atLeast"/>
                <w:jc w:val="center"/>
              </w:trPr>
              <w:tc>
                <w:tcPr>
                  <w:tcW w:w="434" w:type="dxa"/>
                  <w:vMerge w:val="restart"/>
                  <w:vAlign w:val="center"/>
                </w:tcPr>
                <w:p>
                  <w:pPr>
                    <w:spacing w:after="0"/>
                    <w:jc w:val="center"/>
                    <w:rPr>
                      <w:kern w:val="0"/>
                      <w:szCs w:val="21"/>
                      <w:u w:val="wave"/>
                    </w:rPr>
                  </w:pPr>
                  <w:r>
                    <w:rPr>
                      <w:rFonts w:hint="eastAsia"/>
                      <w:kern w:val="0"/>
                      <w:szCs w:val="21"/>
                      <w:u w:val="wave"/>
                    </w:rPr>
                    <w:t>编号</w:t>
                  </w:r>
                </w:p>
              </w:tc>
              <w:tc>
                <w:tcPr>
                  <w:tcW w:w="1417" w:type="dxa"/>
                  <w:vMerge w:val="restart"/>
                  <w:vAlign w:val="center"/>
                </w:tcPr>
                <w:p>
                  <w:pPr>
                    <w:spacing w:after="0"/>
                    <w:jc w:val="center"/>
                    <w:rPr>
                      <w:kern w:val="0"/>
                      <w:szCs w:val="21"/>
                      <w:u w:val="wave"/>
                    </w:rPr>
                  </w:pPr>
                  <w:r>
                    <w:rPr>
                      <w:rFonts w:hint="eastAsia"/>
                      <w:kern w:val="0"/>
                      <w:szCs w:val="21"/>
                      <w:u w:val="wave"/>
                    </w:rPr>
                    <w:t>名称</w:t>
                  </w:r>
                </w:p>
              </w:tc>
              <w:tc>
                <w:tcPr>
                  <w:tcW w:w="873" w:type="dxa"/>
                  <w:vMerge w:val="restart"/>
                  <w:vAlign w:val="center"/>
                </w:tcPr>
                <w:p>
                  <w:pPr>
                    <w:spacing w:after="0"/>
                    <w:jc w:val="center"/>
                    <w:rPr>
                      <w:kern w:val="0"/>
                      <w:szCs w:val="21"/>
                      <w:u w:val="wave"/>
                    </w:rPr>
                  </w:pPr>
                  <w:r>
                    <w:rPr>
                      <w:rFonts w:hint="eastAsia"/>
                      <w:kern w:val="0"/>
                      <w:szCs w:val="21"/>
                      <w:u w:val="wave"/>
                    </w:rPr>
                    <w:t>排气筒高度/m</w:t>
                  </w:r>
                </w:p>
              </w:tc>
              <w:tc>
                <w:tcPr>
                  <w:tcW w:w="1105" w:type="dxa"/>
                  <w:vMerge w:val="restart"/>
                  <w:vAlign w:val="center"/>
                </w:tcPr>
                <w:p>
                  <w:pPr>
                    <w:spacing w:after="0"/>
                    <w:jc w:val="center"/>
                    <w:rPr>
                      <w:kern w:val="0"/>
                      <w:szCs w:val="21"/>
                      <w:u w:val="wave"/>
                    </w:rPr>
                  </w:pPr>
                  <w:r>
                    <w:rPr>
                      <w:rFonts w:hint="eastAsia"/>
                      <w:kern w:val="0"/>
                      <w:szCs w:val="21"/>
                      <w:u w:val="wave"/>
                    </w:rPr>
                    <w:t>排气筒出口内径/m</w:t>
                  </w:r>
                </w:p>
              </w:tc>
              <w:tc>
                <w:tcPr>
                  <w:tcW w:w="1103" w:type="dxa"/>
                  <w:vMerge w:val="restart"/>
                  <w:vAlign w:val="center"/>
                </w:tcPr>
                <w:p>
                  <w:pPr>
                    <w:spacing w:after="0"/>
                    <w:jc w:val="center"/>
                    <w:rPr>
                      <w:kern w:val="0"/>
                      <w:szCs w:val="21"/>
                      <w:u w:val="wave"/>
                    </w:rPr>
                  </w:pPr>
                  <w:r>
                    <w:rPr>
                      <w:rFonts w:hint="eastAsia"/>
                      <w:kern w:val="0"/>
                      <w:szCs w:val="21"/>
                      <w:u w:val="wave"/>
                    </w:rPr>
                    <w:t>烟气流量/(m</w:t>
                  </w:r>
                  <w:r>
                    <w:rPr>
                      <w:rFonts w:hint="eastAsia"/>
                      <w:kern w:val="0"/>
                      <w:szCs w:val="21"/>
                      <w:u w:val="wave"/>
                      <w:vertAlign w:val="superscript"/>
                    </w:rPr>
                    <w:t>3</w:t>
                  </w:r>
                  <w:r>
                    <w:rPr>
                      <w:rFonts w:hint="eastAsia"/>
                      <w:kern w:val="0"/>
                      <w:szCs w:val="21"/>
                      <w:u w:val="wave"/>
                    </w:rPr>
                    <w:t>/h)</w:t>
                  </w:r>
                </w:p>
              </w:tc>
              <w:tc>
                <w:tcPr>
                  <w:tcW w:w="856" w:type="dxa"/>
                  <w:vMerge w:val="restart"/>
                  <w:vAlign w:val="center"/>
                </w:tcPr>
                <w:p>
                  <w:pPr>
                    <w:spacing w:after="0"/>
                    <w:jc w:val="center"/>
                    <w:rPr>
                      <w:kern w:val="0"/>
                      <w:szCs w:val="21"/>
                      <w:u w:val="wave"/>
                    </w:rPr>
                  </w:pPr>
                  <w:r>
                    <w:rPr>
                      <w:rFonts w:hint="eastAsia"/>
                      <w:kern w:val="0"/>
                      <w:szCs w:val="21"/>
                      <w:u w:val="wave"/>
                    </w:rPr>
                    <w:t>烟气温度/℃</w:t>
                  </w:r>
                </w:p>
              </w:tc>
              <w:tc>
                <w:tcPr>
                  <w:tcW w:w="1073" w:type="dxa"/>
                  <w:vMerge w:val="restart"/>
                  <w:vAlign w:val="center"/>
                </w:tcPr>
                <w:p>
                  <w:pPr>
                    <w:spacing w:after="0"/>
                    <w:jc w:val="center"/>
                    <w:rPr>
                      <w:kern w:val="0"/>
                      <w:szCs w:val="21"/>
                      <w:u w:val="wave"/>
                    </w:rPr>
                  </w:pPr>
                  <w:r>
                    <w:rPr>
                      <w:rFonts w:hint="eastAsia"/>
                      <w:kern w:val="0"/>
                      <w:szCs w:val="21"/>
                      <w:u w:val="wave"/>
                    </w:rPr>
                    <w:t>年排放小时数/h</w:t>
                  </w:r>
                </w:p>
              </w:tc>
              <w:tc>
                <w:tcPr>
                  <w:tcW w:w="2213" w:type="dxa"/>
                  <w:tcMar>
                    <w:left w:w="57" w:type="dxa"/>
                    <w:right w:w="57" w:type="dxa"/>
                  </w:tcMar>
                  <w:vAlign w:val="center"/>
                </w:tcPr>
                <w:p>
                  <w:pPr>
                    <w:spacing w:after="0"/>
                    <w:jc w:val="center"/>
                    <w:rPr>
                      <w:kern w:val="0"/>
                      <w:szCs w:val="21"/>
                      <w:u w:val="wave"/>
                    </w:rPr>
                  </w:pPr>
                  <w:r>
                    <w:rPr>
                      <w:rFonts w:hint="eastAsia"/>
                      <w:kern w:val="0"/>
                      <w:szCs w:val="21"/>
                      <w:u w:val="wave"/>
                    </w:rPr>
                    <w:t>污染物排放速率/(kg/h)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dxa"/>
                  <w:vMerge w:val="continue"/>
                  <w:vAlign w:val="center"/>
                </w:tcPr>
                <w:p>
                  <w:pPr>
                    <w:spacing w:after="0"/>
                    <w:jc w:val="center"/>
                    <w:rPr>
                      <w:kern w:val="0"/>
                      <w:szCs w:val="21"/>
                      <w:u w:val="wave"/>
                    </w:rPr>
                  </w:pPr>
                </w:p>
              </w:tc>
              <w:tc>
                <w:tcPr>
                  <w:tcW w:w="1417" w:type="dxa"/>
                  <w:vMerge w:val="continue"/>
                  <w:vAlign w:val="center"/>
                </w:tcPr>
                <w:p>
                  <w:pPr>
                    <w:spacing w:after="0"/>
                    <w:jc w:val="center"/>
                    <w:rPr>
                      <w:kern w:val="0"/>
                      <w:szCs w:val="21"/>
                      <w:u w:val="wave"/>
                    </w:rPr>
                  </w:pPr>
                </w:p>
              </w:tc>
              <w:tc>
                <w:tcPr>
                  <w:tcW w:w="873" w:type="dxa"/>
                  <w:vMerge w:val="continue"/>
                  <w:vAlign w:val="center"/>
                </w:tcPr>
                <w:p>
                  <w:pPr>
                    <w:spacing w:after="0"/>
                    <w:jc w:val="center"/>
                    <w:rPr>
                      <w:kern w:val="0"/>
                      <w:szCs w:val="21"/>
                      <w:u w:val="wave"/>
                    </w:rPr>
                  </w:pPr>
                </w:p>
              </w:tc>
              <w:tc>
                <w:tcPr>
                  <w:tcW w:w="1105" w:type="dxa"/>
                  <w:vMerge w:val="continue"/>
                  <w:vAlign w:val="center"/>
                </w:tcPr>
                <w:p>
                  <w:pPr>
                    <w:spacing w:after="0"/>
                    <w:jc w:val="center"/>
                    <w:rPr>
                      <w:kern w:val="0"/>
                      <w:szCs w:val="21"/>
                      <w:u w:val="wave"/>
                    </w:rPr>
                  </w:pPr>
                </w:p>
              </w:tc>
              <w:tc>
                <w:tcPr>
                  <w:tcW w:w="1103" w:type="dxa"/>
                  <w:vMerge w:val="continue"/>
                  <w:vAlign w:val="center"/>
                </w:tcPr>
                <w:p>
                  <w:pPr>
                    <w:spacing w:after="0"/>
                    <w:jc w:val="center"/>
                    <w:rPr>
                      <w:kern w:val="0"/>
                      <w:szCs w:val="21"/>
                      <w:u w:val="wave"/>
                    </w:rPr>
                  </w:pPr>
                </w:p>
              </w:tc>
              <w:tc>
                <w:tcPr>
                  <w:tcW w:w="856" w:type="dxa"/>
                  <w:vMerge w:val="continue"/>
                  <w:vAlign w:val="center"/>
                </w:tcPr>
                <w:p>
                  <w:pPr>
                    <w:spacing w:after="0"/>
                    <w:jc w:val="center"/>
                    <w:rPr>
                      <w:kern w:val="0"/>
                      <w:szCs w:val="21"/>
                      <w:u w:val="wave"/>
                    </w:rPr>
                  </w:pPr>
                </w:p>
              </w:tc>
              <w:tc>
                <w:tcPr>
                  <w:tcW w:w="1073" w:type="dxa"/>
                  <w:vMerge w:val="continue"/>
                  <w:vAlign w:val="center"/>
                </w:tcPr>
                <w:p>
                  <w:pPr>
                    <w:spacing w:after="0"/>
                    <w:jc w:val="center"/>
                    <w:rPr>
                      <w:kern w:val="0"/>
                      <w:szCs w:val="21"/>
                      <w:u w:val="wave"/>
                    </w:rPr>
                  </w:pPr>
                </w:p>
              </w:tc>
              <w:tc>
                <w:tcPr>
                  <w:tcW w:w="2226" w:type="dxa"/>
                  <w:gridSpan w:val="2"/>
                  <w:vAlign w:val="center"/>
                </w:tcPr>
                <w:p>
                  <w:pPr>
                    <w:spacing w:after="0"/>
                    <w:jc w:val="center"/>
                    <w:rPr>
                      <w:kern w:val="0"/>
                      <w:szCs w:val="21"/>
                      <w:u w:val="wave"/>
                    </w:rPr>
                  </w:pPr>
                  <w:r>
                    <w:rPr>
                      <w:rFonts w:hint="eastAsia"/>
                      <w:kern w:val="0"/>
                      <w:szCs w:val="21"/>
                      <w:u w:val="wave"/>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dxa"/>
                  <w:vAlign w:val="center"/>
                </w:tcPr>
                <w:p>
                  <w:pPr>
                    <w:spacing w:after="0"/>
                    <w:jc w:val="center"/>
                    <w:rPr>
                      <w:kern w:val="0"/>
                      <w:szCs w:val="21"/>
                      <w:u w:val="wave"/>
                    </w:rPr>
                  </w:pPr>
                  <w:r>
                    <w:rPr>
                      <w:rFonts w:hint="eastAsia"/>
                      <w:kern w:val="0"/>
                      <w:szCs w:val="21"/>
                      <w:u w:val="wave"/>
                    </w:rPr>
                    <w:t>1</w:t>
                  </w:r>
                </w:p>
              </w:tc>
              <w:tc>
                <w:tcPr>
                  <w:tcW w:w="1417" w:type="dxa"/>
                  <w:vAlign w:val="center"/>
                </w:tcPr>
                <w:p>
                  <w:pPr>
                    <w:spacing w:after="0"/>
                    <w:jc w:val="center"/>
                    <w:rPr>
                      <w:kern w:val="0"/>
                      <w:szCs w:val="21"/>
                      <w:u w:val="wave"/>
                    </w:rPr>
                  </w:pPr>
                  <w:r>
                    <w:rPr>
                      <w:rFonts w:hint="eastAsia"/>
                      <w:kern w:val="0"/>
                      <w:szCs w:val="21"/>
                      <w:u w:val="wave"/>
                    </w:rPr>
                    <w:t>P1~P</w:t>
                  </w:r>
                  <w:r>
                    <w:rPr>
                      <w:kern w:val="0"/>
                      <w:szCs w:val="21"/>
                      <w:u w:val="wave"/>
                    </w:rPr>
                    <w:t>6</w:t>
                  </w:r>
                  <w:r>
                    <w:rPr>
                      <w:rFonts w:hint="eastAsia"/>
                      <w:kern w:val="0"/>
                      <w:szCs w:val="21"/>
                      <w:u w:val="wave"/>
                    </w:rPr>
                    <w:t>中单个排气筒（2</w:t>
                  </w:r>
                  <w:r>
                    <w:rPr>
                      <w:kern w:val="0"/>
                      <w:szCs w:val="21"/>
                      <w:u w:val="wave"/>
                    </w:rPr>
                    <w:t>00</w:t>
                  </w:r>
                  <w:r>
                    <w:rPr>
                      <w:rFonts w:hint="eastAsia"/>
                      <w:kern w:val="0"/>
                      <w:szCs w:val="21"/>
                      <w:u w:val="wave"/>
                    </w:rPr>
                    <w:t>t水泥筒仓）</w:t>
                  </w:r>
                </w:p>
              </w:tc>
              <w:tc>
                <w:tcPr>
                  <w:tcW w:w="873" w:type="dxa"/>
                  <w:vAlign w:val="center"/>
                </w:tcPr>
                <w:p>
                  <w:pPr>
                    <w:spacing w:after="0"/>
                    <w:jc w:val="center"/>
                    <w:rPr>
                      <w:kern w:val="0"/>
                      <w:szCs w:val="21"/>
                      <w:u w:val="wave"/>
                    </w:rPr>
                  </w:pPr>
                  <w:r>
                    <w:rPr>
                      <w:kern w:val="0"/>
                      <w:szCs w:val="21"/>
                      <w:u w:val="wave"/>
                    </w:rPr>
                    <w:t>2</w:t>
                  </w:r>
                  <w:r>
                    <w:rPr>
                      <w:rFonts w:hint="eastAsia"/>
                      <w:kern w:val="0"/>
                      <w:szCs w:val="21"/>
                      <w:u w:val="wave"/>
                    </w:rPr>
                    <w:t>5</w:t>
                  </w:r>
                </w:p>
              </w:tc>
              <w:tc>
                <w:tcPr>
                  <w:tcW w:w="1105" w:type="dxa"/>
                  <w:vAlign w:val="center"/>
                </w:tcPr>
                <w:p>
                  <w:pPr>
                    <w:spacing w:after="0"/>
                    <w:jc w:val="center"/>
                    <w:rPr>
                      <w:rFonts w:hint="eastAsia" w:eastAsia="宋体"/>
                      <w:kern w:val="0"/>
                      <w:szCs w:val="21"/>
                      <w:u w:val="wave"/>
                      <w:lang w:eastAsia="zh-CN"/>
                    </w:rPr>
                  </w:pPr>
                  <w:r>
                    <w:rPr>
                      <w:rFonts w:hint="eastAsia"/>
                      <w:kern w:val="0"/>
                      <w:szCs w:val="21"/>
                      <w:u w:val="wave"/>
                    </w:rPr>
                    <w:t>0</w:t>
                  </w:r>
                  <w:r>
                    <w:rPr>
                      <w:kern w:val="0"/>
                      <w:szCs w:val="21"/>
                      <w:u w:val="wave"/>
                    </w:rPr>
                    <w:t>.</w:t>
                  </w:r>
                  <w:r>
                    <w:rPr>
                      <w:rFonts w:hint="eastAsia"/>
                      <w:kern w:val="0"/>
                      <w:szCs w:val="21"/>
                      <w:u w:val="wave"/>
                      <w:lang w:val="en-US" w:eastAsia="zh-CN"/>
                    </w:rPr>
                    <w:t>4</w:t>
                  </w:r>
                </w:p>
              </w:tc>
              <w:tc>
                <w:tcPr>
                  <w:tcW w:w="1103" w:type="dxa"/>
                  <w:vAlign w:val="center"/>
                </w:tcPr>
                <w:p>
                  <w:pPr>
                    <w:spacing w:after="0"/>
                    <w:jc w:val="center"/>
                    <w:rPr>
                      <w:kern w:val="0"/>
                      <w:szCs w:val="21"/>
                      <w:u w:val="wave"/>
                    </w:rPr>
                  </w:pPr>
                  <w:r>
                    <w:rPr>
                      <w:rFonts w:hint="eastAsia"/>
                      <w:kern w:val="0"/>
                      <w:szCs w:val="21"/>
                      <w:u w:val="wave"/>
                      <w:lang w:val="en-US" w:eastAsia="zh-CN"/>
                    </w:rPr>
                    <w:t>2</w:t>
                  </w:r>
                  <w:r>
                    <w:rPr>
                      <w:kern w:val="0"/>
                      <w:szCs w:val="21"/>
                      <w:u w:val="wave"/>
                    </w:rPr>
                    <w:t>0</w:t>
                  </w:r>
                  <w:r>
                    <w:rPr>
                      <w:rFonts w:hint="eastAsia"/>
                      <w:kern w:val="0"/>
                      <w:szCs w:val="21"/>
                      <w:u w:val="wave"/>
                    </w:rPr>
                    <w:t>00</w:t>
                  </w:r>
                </w:p>
              </w:tc>
              <w:tc>
                <w:tcPr>
                  <w:tcW w:w="856" w:type="dxa"/>
                  <w:vAlign w:val="center"/>
                </w:tcPr>
                <w:p>
                  <w:pPr>
                    <w:spacing w:after="0"/>
                    <w:jc w:val="center"/>
                    <w:rPr>
                      <w:kern w:val="0"/>
                      <w:szCs w:val="21"/>
                      <w:u w:val="wave"/>
                    </w:rPr>
                  </w:pPr>
                  <w:r>
                    <w:rPr>
                      <w:rFonts w:hint="eastAsia"/>
                      <w:kern w:val="0"/>
                      <w:szCs w:val="21"/>
                      <w:u w:val="wave"/>
                    </w:rPr>
                    <w:t>25</w:t>
                  </w:r>
                </w:p>
              </w:tc>
              <w:tc>
                <w:tcPr>
                  <w:tcW w:w="1073" w:type="dxa"/>
                  <w:vAlign w:val="center"/>
                </w:tcPr>
                <w:p>
                  <w:pPr>
                    <w:spacing w:after="0"/>
                    <w:jc w:val="center"/>
                    <w:rPr>
                      <w:kern w:val="0"/>
                      <w:szCs w:val="21"/>
                      <w:u w:val="wave"/>
                    </w:rPr>
                  </w:pPr>
                  <w:r>
                    <w:rPr>
                      <w:rFonts w:hint="eastAsia"/>
                      <w:kern w:val="0"/>
                      <w:szCs w:val="21"/>
                      <w:u w:val="wave"/>
                    </w:rPr>
                    <w:t>2</w:t>
                  </w:r>
                  <w:r>
                    <w:rPr>
                      <w:kern w:val="0"/>
                      <w:szCs w:val="21"/>
                      <w:u w:val="wave"/>
                    </w:rPr>
                    <w:t>400</w:t>
                  </w:r>
                </w:p>
              </w:tc>
              <w:tc>
                <w:tcPr>
                  <w:tcW w:w="2226" w:type="dxa"/>
                  <w:gridSpan w:val="2"/>
                  <w:vAlign w:val="center"/>
                </w:tcPr>
                <w:p>
                  <w:pPr>
                    <w:spacing w:after="0"/>
                    <w:jc w:val="center"/>
                    <w:rPr>
                      <w:rFonts w:hint="default" w:eastAsia="宋体"/>
                      <w:kern w:val="0"/>
                      <w:szCs w:val="21"/>
                      <w:u w:val="wave"/>
                      <w:lang w:val="en-US" w:eastAsia="zh-CN"/>
                    </w:rPr>
                  </w:pPr>
                  <w:r>
                    <w:rPr>
                      <w:rFonts w:hint="eastAsia"/>
                      <w:kern w:val="0"/>
                      <w:szCs w:val="21"/>
                      <w:u w:val="wave"/>
                      <w:lang w:val="en-US" w:eastAsia="zh-CN"/>
                    </w:rPr>
                    <w:t>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dxa"/>
                  <w:vAlign w:val="center"/>
                </w:tcPr>
                <w:p>
                  <w:pPr>
                    <w:spacing w:after="0"/>
                    <w:jc w:val="center"/>
                    <w:rPr>
                      <w:kern w:val="0"/>
                      <w:szCs w:val="21"/>
                      <w:u w:val="wave"/>
                    </w:rPr>
                  </w:pPr>
                  <w:r>
                    <w:rPr>
                      <w:rFonts w:hint="eastAsia"/>
                      <w:kern w:val="0"/>
                      <w:szCs w:val="21"/>
                      <w:u w:val="wave"/>
                    </w:rPr>
                    <w:t>2</w:t>
                  </w:r>
                </w:p>
              </w:tc>
              <w:tc>
                <w:tcPr>
                  <w:tcW w:w="1417" w:type="dxa"/>
                  <w:vAlign w:val="center"/>
                </w:tcPr>
                <w:p>
                  <w:pPr>
                    <w:spacing w:after="0"/>
                    <w:jc w:val="center"/>
                    <w:rPr>
                      <w:kern w:val="0"/>
                      <w:szCs w:val="21"/>
                      <w:u w:val="wave"/>
                    </w:rPr>
                  </w:pPr>
                  <w:r>
                    <w:rPr>
                      <w:rFonts w:hint="eastAsia"/>
                      <w:kern w:val="0"/>
                      <w:szCs w:val="21"/>
                      <w:u w:val="wave"/>
                    </w:rPr>
                    <w:t>P</w:t>
                  </w:r>
                  <w:r>
                    <w:rPr>
                      <w:kern w:val="0"/>
                      <w:szCs w:val="21"/>
                      <w:u w:val="wave"/>
                    </w:rPr>
                    <w:t>7</w:t>
                  </w:r>
                  <w:r>
                    <w:rPr>
                      <w:rFonts w:hint="eastAsia"/>
                      <w:kern w:val="0"/>
                      <w:szCs w:val="21"/>
                      <w:u w:val="wave"/>
                    </w:rPr>
                    <w:t>~P</w:t>
                  </w:r>
                  <w:r>
                    <w:rPr>
                      <w:kern w:val="0"/>
                      <w:szCs w:val="21"/>
                      <w:u w:val="wave"/>
                    </w:rPr>
                    <w:t>9</w:t>
                  </w:r>
                  <w:r>
                    <w:rPr>
                      <w:rFonts w:hint="eastAsia"/>
                      <w:kern w:val="0"/>
                      <w:szCs w:val="21"/>
                      <w:u w:val="wave"/>
                    </w:rPr>
                    <w:t>中单个排气筒（</w:t>
                  </w:r>
                  <w:r>
                    <w:rPr>
                      <w:kern w:val="0"/>
                      <w:szCs w:val="21"/>
                      <w:u w:val="wave"/>
                    </w:rPr>
                    <w:t>3000</w:t>
                  </w:r>
                  <w:r>
                    <w:rPr>
                      <w:rFonts w:hint="eastAsia"/>
                      <w:kern w:val="0"/>
                      <w:szCs w:val="21"/>
                      <w:u w:val="wave"/>
                    </w:rPr>
                    <w:t>t水泥筒仓）</w:t>
                  </w:r>
                </w:p>
              </w:tc>
              <w:tc>
                <w:tcPr>
                  <w:tcW w:w="873" w:type="dxa"/>
                  <w:vAlign w:val="center"/>
                </w:tcPr>
                <w:p>
                  <w:pPr>
                    <w:spacing w:after="0"/>
                    <w:jc w:val="center"/>
                    <w:rPr>
                      <w:kern w:val="0"/>
                      <w:szCs w:val="21"/>
                      <w:u w:val="wave"/>
                    </w:rPr>
                  </w:pPr>
                  <w:r>
                    <w:rPr>
                      <w:kern w:val="0"/>
                      <w:szCs w:val="21"/>
                      <w:u w:val="wave"/>
                    </w:rPr>
                    <w:t>2</w:t>
                  </w:r>
                  <w:r>
                    <w:rPr>
                      <w:rFonts w:hint="eastAsia"/>
                      <w:kern w:val="0"/>
                      <w:szCs w:val="21"/>
                      <w:u w:val="wave"/>
                    </w:rPr>
                    <w:t>5</w:t>
                  </w:r>
                </w:p>
              </w:tc>
              <w:tc>
                <w:tcPr>
                  <w:tcW w:w="1105" w:type="dxa"/>
                  <w:vAlign w:val="center"/>
                </w:tcPr>
                <w:p>
                  <w:pPr>
                    <w:spacing w:after="0"/>
                    <w:jc w:val="center"/>
                    <w:rPr>
                      <w:rFonts w:hint="eastAsia" w:eastAsia="宋体"/>
                      <w:kern w:val="0"/>
                      <w:szCs w:val="21"/>
                      <w:u w:val="wave"/>
                      <w:lang w:eastAsia="zh-CN"/>
                    </w:rPr>
                  </w:pPr>
                  <w:r>
                    <w:rPr>
                      <w:rFonts w:hint="eastAsia"/>
                      <w:kern w:val="0"/>
                      <w:szCs w:val="21"/>
                      <w:u w:val="wave"/>
                    </w:rPr>
                    <w:t>0.</w:t>
                  </w:r>
                  <w:r>
                    <w:rPr>
                      <w:rFonts w:hint="eastAsia"/>
                      <w:kern w:val="0"/>
                      <w:szCs w:val="21"/>
                      <w:u w:val="wave"/>
                      <w:lang w:val="en-US" w:eastAsia="zh-CN"/>
                    </w:rPr>
                    <w:t>4</w:t>
                  </w:r>
                </w:p>
              </w:tc>
              <w:tc>
                <w:tcPr>
                  <w:tcW w:w="1103" w:type="dxa"/>
                  <w:vAlign w:val="center"/>
                </w:tcPr>
                <w:p>
                  <w:pPr>
                    <w:spacing w:after="0"/>
                    <w:jc w:val="center"/>
                    <w:rPr>
                      <w:kern w:val="0"/>
                      <w:szCs w:val="21"/>
                      <w:u w:val="wave"/>
                    </w:rPr>
                  </w:pPr>
                  <w:r>
                    <w:rPr>
                      <w:rFonts w:hint="eastAsia"/>
                      <w:kern w:val="0"/>
                      <w:szCs w:val="21"/>
                      <w:u w:val="wave"/>
                      <w:lang w:val="en-US" w:eastAsia="zh-CN"/>
                    </w:rPr>
                    <w:t>2</w:t>
                  </w:r>
                  <w:r>
                    <w:rPr>
                      <w:kern w:val="0"/>
                      <w:szCs w:val="21"/>
                      <w:u w:val="wave"/>
                    </w:rPr>
                    <w:t>0</w:t>
                  </w:r>
                  <w:r>
                    <w:rPr>
                      <w:rFonts w:hint="eastAsia"/>
                      <w:kern w:val="0"/>
                      <w:szCs w:val="21"/>
                      <w:u w:val="wave"/>
                    </w:rPr>
                    <w:t>00</w:t>
                  </w:r>
                </w:p>
              </w:tc>
              <w:tc>
                <w:tcPr>
                  <w:tcW w:w="856" w:type="dxa"/>
                  <w:vAlign w:val="center"/>
                </w:tcPr>
                <w:p>
                  <w:pPr>
                    <w:spacing w:after="0"/>
                    <w:jc w:val="center"/>
                    <w:rPr>
                      <w:kern w:val="0"/>
                      <w:szCs w:val="21"/>
                      <w:u w:val="wave"/>
                    </w:rPr>
                  </w:pPr>
                  <w:r>
                    <w:rPr>
                      <w:rFonts w:hint="eastAsia"/>
                      <w:kern w:val="0"/>
                      <w:szCs w:val="21"/>
                      <w:u w:val="wave"/>
                    </w:rPr>
                    <w:t>25</w:t>
                  </w:r>
                </w:p>
              </w:tc>
              <w:tc>
                <w:tcPr>
                  <w:tcW w:w="1073" w:type="dxa"/>
                  <w:vAlign w:val="center"/>
                </w:tcPr>
                <w:p>
                  <w:pPr>
                    <w:spacing w:after="0"/>
                    <w:jc w:val="center"/>
                    <w:rPr>
                      <w:kern w:val="0"/>
                      <w:szCs w:val="21"/>
                      <w:u w:val="wave"/>
                    </w:rPr>
                  </w:pPr>
                  <w:r>
                    <w:rPr>
                      <w:rFonts w:hint="eastAsia"/>
                      <w:kern w:val="0"/>
                      <w:szCs w:val="21"/>
                      <w:u w:val="wave"/>
                    </w:rPr>
                    <w:t>2</w:t>
                  </w:r>
                  <w:r>
                    <w:rPr>
                      <w:kern w:val="0"/>
                      <w:szCs w:val="21"/>
                      <w:u w:val="wave"/>
                    </w:rPr>
                    <w:t>40</w:t>
                  </w:r>
                  <w:r>
                    <w:rPr>
                      <w:rFonts w:hint="eastAsia"/>
                      <w:kern w:val="0"/>
                      <w:szCs w:val="21"/>
                      <w:u w:val="wave"/>
                    </w:rPr>
                    <w:t>0</w:t>
                  </w:r>
                </w:p>
              </w:tc>
              <w:tc>
                <w:tcPr>
                  <w:tcW w:w="2226" w:type="dxa"/>
                  <w:gridSpan w:val="2"/>
                  <w:vAlign w:val="center"/>
                </w:tcPr>
                <w:p>
                  <w:pPr>
                    <w:spacing w:after="0"/>
                    <w:jc w:val="center"/>
                    <w:rPr>
                      <w:rFonts w:hint="default" w:eastAsia="宋体"/>
                      <w:kern w:val="0"/>
                      <w:szCs w:val="21"/>
                      <w:u w:val="wave"/>
                      <w:lang w:val="en-US" w:eastAsia="zh-CN"/>
                    </w:rPr>
                  </w:pPr>
                  <w:r>
                    <w:rPr>
                      <w:rFonts w:hint="eastAsia"/>
                      <w:kern w:val="0"/>
                      <w:szCs w:val="21"/>
                      <w:u w:val="wave"/>
                      <w:lang w:val="en-US" w:eastAsia="zh-CN"/>
                    </w:rPr>
                    <w:t>0.167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dxa"/>
                  <w:vAlign w:val="center"/>
                </w:tcPr>
                <w:p>
                  <w:pPr>
                    <w:spacing w:after="0"/>
                    <w:jc w:val="center"/>
                    <w:rPr>
                      <w:kern w:val="0"/>
                      <w:szCs w:val="21"/>
                      <w:u w:val="wave"/>
                    </w:rPr>
                  </w:pPr>
                  <w:r>
                    <w:rPr>
                      <w:kern w:val="0"/>
                      <w:szCs w:val="21"/>
                      <w:u w:val="wave"/>
                    </w:rPr>
                    <w:t>3</w:t>
                  </w:r>
                </w:p>
              </w:tc>
              <w:tc>
                <w:tcPr>
                  <w:tcW w:w="1417" w:type="dxa"/>
                  <w:vAlign w:val="center"/>
                </w:tcPr>
                <w:p>
                  <w:pPr>
                    <w:spacing w:after="0"/>
                    <w:jc w:val="center"/>
                    <w:rPr>
                      <w:kern w:val="0"/>
                      <w:szCs w:val="21"/>
                      <w:u w:val="wave"/>
                    </w:rPr>
                  </w:pPr>
                  <w:r>
                    <w:rPr>
                      <w:rFonts w:hint="eastAsia"/>
                      <w:kern w:val="0"/>
                      <w:szCs w:val="21"/>
                      <w:u w:val="wave"/>
                    </w:rPr>
                    <w:t>P1</w:t>
                  </w:r>
                  <w:r>
                    <w:rPr>
                      <w:kern w:val="0"/>
                      <w:szCs w:val="21"/>
                      <w:u w:val="wave"/>
                    </w:rPr>
                    <w:t>0</w:t>
                  </w:r>
                  <w:r>
                    <w:rPr>
                      <w:rFonts w:hint="eastAsia"/>
                      <w:kern w:val="0"/>
                      <w:szCs w:val="21"/>
                      <w:u w:val="wave"/>
                    </w:rPr>
                    <w:t>、P</w:t>
                  </w:r>
                  <w:r>
                    <w:rPr>
                      <w:kern w:val="0"/>
                      <w:szCs w:val="21"/>
                      <w:u w:val="wave"/>
                    </w:rPr>
                    <w:t>11</w:t>
                  </w:r>
                  <w:r>
                    <w:rPr>
                      <w:rFonts w:hint="eastAsia"/>
                      <w:kern w:val="0"/>
                      <w:szCs w:val="21"/>
                      <w:u w:val="wave"/>
                    </w:rPr>
                    <w:t>单个排气筒（粉煤灰筒仓）</w:t>
                  </w:r>
                </w:p>
              </w:tc>
              <w:tc>
                <w:tcPr>
                  <w:tcW w:w="873" w:type="dxa"/>
                  <w:vAlign w:val="center"/>
                </w:tcPr>
                <w:p>
                  <w:pPr>
                    <w:spacing w:after="0"/>
                    <w:jc w:val="center"/>
                    <w:rPr>
                      <w:kern w:val="0"/>
                      <w:szCs w:val="21"/>
                      <w:u w:val="wave"/>
                    </w:rPr>
                  </w:pPr>
                  <w:r>
                    <w:rPr>
                      <w:kern w:val="0"/>
                      <w:szCs w:val="21"/>
                      <w:u w:val="wave"/>
                    </w:rPr>
                    <w:t>2</w:t>
                  </w:r>
                  <w:r>
                    <w:rPr>
                      <w:rFonts w:hint="eastAsia"/>
                      <w:kern w:val="0"/>
                      <w:szCs w:val="21"/>
                      <w:u w:val="wave"/>
                    </w:rPr>
                    <w:t>5</w:t>
                  </w:r>
                </w:p>
              </w:tc>
              <w:tc>
                <w:tcPr>
                  <w:tcW w:w="1105" w:type="dxa"/>
                  <w:vAlign w:val="center"/>
                </w:tcPr>
                <w:p>
                  <w:pPr>
                    <w:spacing w:after="0"/>
                    <w:jc w:val="center"/>
                    <w:rPr>
                      <w:rFonts w:hint="eastAsia" w:eastAsia="宋体"/>
                      <w:kern w:val="0"/>
                      <w:szCs w:val="21"/>
                      <w:u w:val="wave"/>
                      <w:lang w:val="en-US" w:eastAsia="zh-CN"/>
                    </w:rPr>
                  </w:pPr>
                  <w:r>
                    <w:rPr>
                      <w:rFonts w:hint="eastAsia"/>
                      <w:kern w:val="0"/>
                      <w:szCs w:val="21"/>
                      <w:u w:val="wave"/>
                    </w:rPr>
                    <w:t>0.</w:t>
                  </w:r>
                  <w:r>
                    <w:rPr>
                      <w:rFonts w:hint="eastAsia"/>
                      <w:kern w:val="0"/>
                      <w:szCs w:val="21"/>
                      <w:u w:val="wave"/>
                      <w:lang w:val="en-US" w:eastAsia="zh-CN"/>
                    </w:rPr>
                    <w:t>8</w:t>
                  </w:r>
                </w:p>
              </w:tc>
              <w:tc>
                <w:tcPr>
                  <w:tcW w:w="1103" w:type="dxa"/>
                  <w:vAlign w:val="center"/>
                </w:tcPr>
                <w:p>
                  <w:pPr>
                    <w:spacing w:after="0"/>
                    <w:jc w:val="center"/>
                    <w:rPr>
                      <w:rFonts w:hint="eastAsia" w:eastAsia="宋体"/>
                      <w:kern w:val="0"/>
                      <w:szCs w:val="21"/>
                      <w:u w:val="wave"/>
                      <w:lang w:val="en-US" w:eastAsia="zh-CN"/>
                    </w:rPr>
                  </w:pPr>
                  <w:r>
                    <w:rPr>
                      <w:kern w:val="0"/>
                      <w:szCs w:val="21"/>
                      <w:u w:val="wave"/>
                    </w:rPr>
                    <w:t>20</w:t>
                  </w:r>
                  <w:r>
                    <w:rPr>
                      <w:rFonts w:hint="eastAsia"/>
                      <w:kern w:val="0"/>
                      <w:szCs w:val="21"/>
                      <w:u w:val="wave"/>
                    </w:rPr>
                    <w:t>00</w:t>
                  </w:r>
                </w:p>
              </w:tc>
              <w:tc>
                <w:tcPr>
                  <w:tcW w:w="856" w:type="dxa"/>
                  <w:vAlign w:val="center"/>
                </w:tcPr>
                <w:p>
                  <w:pPr>
                    <w:spacing w:after="0"/>
                    <w:jc w:val="center"/>
                    <w:rPr>
                      <w:kern w:val="0"/>
                      <w:szCs w:val="21"/>
                      <w:u w:val="wave"/>
                    </w:rPr>
                  </w:pPr>
                  <w:r>
                    <w:rPr>
                      <w:rFonts w:hint="eastAsia"/>
                      <w:kern w:val="0"/>
                      <w:szCs w:val="21"/>
                      <w:u w:val="wave"/>
                    </w:rPr>
                    <w:t>25</w:t>
                  </w:r>
                </w:p>
              </w:tc>
              <w:tc>
                <w:tcPr>
                  <w:tcW w:w="1073" w:type="dxa"/>
                  <w:vAlign w:val="center"/>
                </w:tcPr>
                <w:p>
                  <w:pPr>
                    <w:spacing w:after="0"/>
                    <w:jc w:val="center"/>
                    <w:rPr>
                      <w:kern w:val="0"/>
                      <w:szCs w:val="21"/>
                      <w:u w:val="wave"/>
                    </w:rPr>
                  </w:pPr>
                  <w:r>
                    <w:rPr>
                      <w:rFonts w:hint="eastAsia"/>
                      <w:kern w:val="0"/>
                      <w:szCs w:val="21"/>
                      <w:u w:val="wave"/>
                    </w:rPr>
                    <w:t>2</w:t>
                  </w:r>
                  <w:r>
                    <w:rPr>
                      <w:kern w:val="0"/>
                      <w:szCs w:val="21"/>
                      <w:u w:val="wave"/>
                    </w:rPr>
                    <w:t>40</w:t>
                  </w:r>
                  <w:r>
                    <w:rPr>
                      <w:rFonts w:hint="eastAsia"/>
                      <w:kern w:val="0"/>
                      <w:szCs w:val="21"/>
                      <w:u w:val="wave"/>
                    </w:rPr>
                    <w:t>0</w:t>
                  </w:r>
                </w:p>
              </w:tc>
              <w:tc>
                <w:tcPr>
                  <w:tcW w:w="2226" w:type="dxa"/>
                  <w:gridSpan w:val="2"/>
                  <w:vAlign w:val="center"/>
                </w:tcPr>
                <w:p>
                  <w:pPr>
                    <w:spacing w:after="0"/>
                    <w:jc w:val="center"/>
                    <w:rPr>
                      <w:rFonts w:hint="default" w:eastAsia="宋体"/>
                      <w:kern w:val="0"/>
                      <w:szCs w:val="21"/>
                      <w:u w:val="wave"/>
                      <w:lang w:val="en-US" w:eastAsia="zh-CN"/>
                    </w:rPr>
                  </w:pPr>
                  <w:r>
                    <w:rPr>
                      <w:rFonts w:hint="eastAsia"/>
                      <w:kern w:val="0"/>
                      <w:szCs w:val="21"/>
                      <w:u w:val="wave"/>
                      <w:lang w:val="en-US" w:eastAsia="zh-CN"/>
                    </w:rPr>
                    <w:t>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dxa"/>
                  <w:vAlign w:val="center"/>
                </w:tcPr>
                <w:p>
                  <w:pPr>
                    <w:spacing w:after="0"/>
                    <w:jc w:val="center"/>
                    <w:rPr>
                      <w:kern w:val="0"/>
                      <w:szCs w:val="21"/>
                      <w:u w:val="wave"/>
                    </w:rPr>
                  </w:pPr>
                  <w:r>
                    <w:rPr>
                      <w:kern w:val="0"/>
                      <w:szCs w:val="21"/>
                      <w:u w:val="wave"/>
                    </w:rPr>
                    <w:t>4</w:t>
                  </w:r>
                </w:p>
              </w:tc>
              <w:tc>
                <w:tcPr>
                  <w:tcW w:w="1417" w:type="dxa"/>
                  <w:tcBorders>
                    <w:left w:val="single" w:color="auto" w:sz="8" w:space="0"/>
                    <w:bottom w:val="single" w:color="auto" w:sz="8" w:space="0"/>
                    <w:right w:val="single" w:color="auto" w:sz="6" w:space="0"/>
                  </w:tcBorders>
                  <w:vAlign w:val="center"/>
                </w:tcPr>
                <w:p>
                  <w:pPr>
                    <w:spacing w:after="0"/>
                    <w:jc w:val="center"/>
                    <w:rPr>
                      <w:szCs w:val="21"/>
                      <w:u w:val="wave"/>
                    </w:rPr>
                  </w:pPr>
                  <w:r>
                    <w:rPr>
                      <w:szCs w:val="21"/>
                      <w:u w:val="wave"/>
                    </w:rPr>
                    <w:t>P12</w:t>
                  </w:r>
                  <w:r>
                    <w:rPr>
                      <w:rFonts w:hint="eastAsia"/>
                      <w:szCs w:val="21"/>
                      <w:u w:val="wave"/>
                    </w:rPr>
                    <w:t>~P1</w:t>
                  </w:r>
                  <w:r>
                    <w:rPr>
                      <w:szCs w:val="21"/>
                      <w:u w:val="wave"/>
                    </w:rPr>
                    <w:t>3排气筒（</w:t>
                  </w:r>
                  <w:r>
                    <w:rPr>
                      <w:rFonts w:hint="eastAsia"/>
                      <w:szCs w:val="21"/>
                      <w:u w:val="wave"/>
                    </w:rPr>
                    <w:t>中联1</w:t>
                  </w:r>
                  <w:r>
                    <w:rPr>
                      <w:szCs w:val="21"/>
                      <w:u w:val="wave"/>
                    </w:rPr>
                    <w:t>80</w:t>
                  </w:r>
                  <w:r>
                    <w:rPr>
                      <w:rFonts w:hint="eastAsia"/>
                      <w:szCs w:val="21"/>
                      <w:u w:val="wave"/>
                    </w:rPr>
                    <w:t>线/润天9</w:t>
                  </w:r>
                  <w:r>
                    <w:rPr>
                      <w:szCs w:val="21"/>
                      <w:u w:val="wave"/>
                    </w:rPr>
                    <w:t>0</w:t>
                  </w:r>
                  <w:r>
                    <w:rPr>
                      <w:rFonts w:hint="eastAsia"/>
                      <w:szCs w:val="21"/>
                      <w:u w:val="wave"/>
                    </w:rPr>
                    <w:t>线</w:t>
                  </w:r>
                  <w:r>
                    <w:rPr>
                      <w:szCs w:val="21"/>
                      <w:u w:val="wave"/>
                    </w:rPr>
                    <w:t>）</w:t>
                  </w:r>
                </w:p>
              </w:tc>
              <w:tc>
                <w:tcPr>
                  <w:tcW w:w="873" w:type="dxa"/>
                  <w:vAlign w:val="center"/>
                </w:tcPr>
                <w:p>
                  <w:pPr>
                    <w:spacing w:after="0"/>
                    <w:jc w:val="center"/>
                    <w:rPr>
                      <w:kern w:val="0"/>
                      <w:szCs w:val="21"/>
                      <w:u w:val="wave"/>
                    </w:rPr>
                  </w:pPr>
                  <w:r>
                    <w:rPr>
                      <w:kern w:val="0"/>
                      <w:szCs w:val="21"/>
                      <w:u w:val="wave"/>
                    </w:rPr>
                    <w:t>2</w:t>
                  </w:r>
                  <w:r>
                    <w:rPr>
                      <w:rFonts w:hint="eastAsia"/>
                      <w:kern w:val="0"/>
                      <w:szCs w:val="21"/>
                      <w:u w:val="wave"/>
                    </w:rPr>
                    <w:t>5</w:t>
                  </w:r>
                </w:p>
              </w:tc>
              <w:tc>
                <w:tcPr>
                  <w:tcW w:w="1105" w:type="dxa"/>
                  <w:vAlign w:val="center"/>
                </w:tcPr>
                <w:p>
                  <w:pPr>
                    <w:spacing w:after="0"/>
                    <w:jc w:val="center"/>
                    <w:rPr>
                      <w:kern w:val="0"/>
                      <w:szCs w:val="21"/>
                      <w:u w:val="wave"/>
                    </w:rPr>
                  </w:pPr>
                  <w:r>
                    <w:rPr>
                      <w:rFonts w:hint="eastAsia"/>
                      <w:kern w:val="0"/>
                      <w:szCs w:val="21"/>
                      <w:u w:val="wave"/>
                    </w:rPr>
                    <w:t>0.</w:t>
                  </w:r>
                  <w:r>
                    <w:rPr>
                      <w:rFonts w:hint="eastAsia"/>
                      <w:kern w:val="0"/>
                      <w:szCs w:val="21"/>
                      <w:u w:val="wave"/>
                      <w:lang w:val="en-US" w:eastAsia="zh-CN"/>
                    </w:rPr>
                    <w:t>8</w:t>
                  </w:r>
                </w:p>
              </w:tc>
              <w:tc>
                <w:tcPr>
                  <w:tcW w:w="1103" w:type="dxa"/>
                  <w:vAlign w:val="center"/>
                </w:tcPr>
                <w:p>
                  <w:pPr>
                    <w:spacing w:after="0"/>
                    <w:jc w:val="center"/>
                    <w:rPr>
                      <w:kern w:val="0"/>
                      <w:szCs w:val="21"/>
                      <w:u w:val="wave"/>
                    </w:rPr>
                  </w:pPr>
                  <w:r>
                    <w:rPr>
                      <w:kern w:val="0"/>
                      <w:szCs w:val="21"/>
                      <w:u w:val="wave"/>
                    </w:rPr>
                    <w:t>20</w:t>
                  </w:r>
                  <w:r>
                    <w:rPr>
                      <w:rFonts w:hint="eastAsia"/>
                      <w:kern w:val="0"/>
                      <w:szCs w:val="21"/>
                      <w:u w:val="wave"/>
                    </w:rPr>
                    <w:t>000</w:t>
                  </w:r>
                </w:p>
              </w:tc>
              <w:tc>
                <w:tcPr>
                  <w:tcW w:w="856" w:type="dxa"/>
                  <w:vAlign w:val="center"/>
                </w:tcPr>
                <w:p>
                  <w:pPr>
                    <w:spacing w:after="0"/>
                    <w:jc w:val="center"/>
                    <w:rPr>
                      <w:kern w:val="0"/>
                      <w:szCs w:val="21"/>
                      <w:u w:val="wave"/>
                    </w:rPr>
                  </w:pPr>
                  <w:r>
                    <w:rPr>
                      <w:rFonts w:hint="eastAsia"/>
                      <w:kern w:val="0"/>
                      <w:szCs w:val="21"/>
                      <w:u w:val="wave"/>
                    </w:rPr>
                    <w:t>25</w:t>
                  </w:r>
                </w:p>
              </w:tc>
              <w:tc>
                <w:tcPr>
                  <w:tcW w:w="1073" w:type="dxa"/>
                  <w:vAlign w:val="center"/>
                </w:tcPr>
                <w:p>
                  <w:pPr>
                    <w:spacing w:after="0"/>
                    <w:jc w:val="center"/>
                    <w:rPr>
                      <w:kern w:val="0"/>
                      <w:szCs w:val="21"/>
                      <w:u w:val="wave"/>
                    </w:rPr>
                  </w:pPr>
                  <w:r>
                    <w:rPr>
                      <w:rFonts w:hint="eastAsia"/>
                      <w:kern w:val="0"/>
                      <w:szCs w:val="21"/>
                      <w:u w:val="wave"/>
                    </w:rPr>
                    <w:t>2</w:t>
                  </w:r>
                  <w:r>
                    <w:rPr>
                      <w:kern w:val="0"/>
                      <w:szCs w:val="21"/>
                      <w:u w:val="wave"/>
                    </w:rPr>
                    <w:t>40</w:t>
                  </w:r>
                  <w:r>
                    <w:rPr>
                      <w:rFonts w:hint="eastAsia"/>
                      <w:kern w:val="0"/>
                      <w:szCs w:val="21"/>
                      <w:u w:val="wave"/>
                    </w:rPr>
                    <w:t>0</w:t>
                  </w:r>
                </w:p>
              </w:tc>
              <w:tc>
                <w:tcPr>
                  <w:tcW w:w="2226" w:type="dxa"/>
                  <w:gridSpan w:val="2"/>
                  <w:vAlign w:val="center"/>
                </w:tcPr>
                <w:p>
                  <w:pPr>
                    <w:spacing w:after="0"/>
                    <w:jc w:val="center"/>
                    <w:rPr>
                      <w:rFonts w:hint="default" w:eastAsia="宋体"/>
                      <w:kern w:val="0"/>
                      <w:szCs w:val="21"/>
                      <w:u w:val="wave"/>
                      <w:lang w:val="en-US" w:eastAsia="zh-CN"/>
                    </w:rPr>
                  </w:pPr>
                  <w:r>
                    <w:rPr>
                      <w:kern w:val="0"/>
                      <w:szCs w:val="21"/>
                      <w:u w:val="wave"/>
                    </w:rPr>
                    <w:t>0.0</w:t>
                  </w:r>
                  <w:r>
                    <w:rPr>
                      <w:rFonts w:hint="eastAsia"/>
                      <w:kern w:val="0"/>
                      <w:szCs w:val="21"/>
                      <w:u w:val="wave"/>
                      <w:lang w:val="en-US" w:eastAsia="zh-CN"/>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dxa"/>
                  <w:vAlign w:val="center"/>
                </w:tcPr>
                <w:p>
                  <w:pPr>
                    <w:spacing w:after="0"/>
                    <w:jc w:val="center"/>
                    <w:rPr>
                      <w:kern w:val="0"/>
                      <w:szCs w:val="21"/>
                      <w:u w:val="wave"/>
                    </w:rPr>
                  </w:pPr>
                  <w:r>
                    <w:rPr>
                      <w:kern w:val="0"/>
                      <w:szCs w:val="21"/>
                      <w:u w:val="wave"/>
                    </w:rPr>
                    <w:t>5</w:t>
                  </w:r>
                </w:p>
              </w:tc>
              <w:tc>
                <w:tcPr>
                  <w:tcW w:w="1417" w:type="dxa"/>
                  <w:tcBorders>
                    <w:left w:val="single" w:color="auto" w:sz="8" w:space="0"/>
                    <w:bottom w:val="single" w:color="auto" w:sz="8" w:space="0"/>
                    <w:right w:val="single" w:color="auto" w:sz="6" w:space="0"/>
                  </w:tcBorders>
                  <w:vAlign w:val="center"/>
                </w:tcPr>
                <w:p>
                  <w:pPr>
                    <w:spacing w:after="0"/>
                    <w:jc w:val="center"/>
                    <w:rPr>
                      <w:szCs w:val="21"/>
                      <w:u w:val="wave"/>
                    </w:rPr>
                  </w:pPr>
                  <w:r>
                    <w:rPr>
                      <w:rFonts w:hint="eastAsia"/>
                      <w:szCs w:val="21"/>
                      <w:u w:val="wave"/>
                    </w:rPr>
                    <w:t>P1</w:t>
                  </w:r>
                  <w:r>
                    <w:rPr>
                      <w:szCs w:val="21"/>
                      <w:u w:val="wave"/>
                    </w:rPr>
                    <w:t>4排气筒（</w:t>
                  </w:r>
                  <w:r>
                    <w:rPr>
                      <w:rFonts w:hint="eastAsia"/>
                      <w:szCs w:val="21"/>
                      <w:u w:val="wave"/>
                    </w:rPr>
                    <w:t>柳城6</w:t>
                  </w:r>
                  <w:r>
                    <w:rPr>
                      <w:szCs w:val="21"/>
                      <w:u w:val="wave"/>
                    </w:rPr>
                    <w:t>00</w:t>
                  </w:r>
                  <w:r>
                    <w:rPr>
                      <w:rFonts w:hint="eastAsia"/>
                      <w:szCs w:val="21"/>
                      <w:u w:val="wave"/>
                    </w:rPr>
                    <w:t>线</w:t>
                  </w:r>
                  <w:r>
                    <w:rPr>
                      <w:szCs w:val="21"/>
                      <w:u w:val="wave"/>
                    </w:rPr>
                    <w:t>）</w:t>
                  </w:r>
                </w:p>
              </w:tc>
              <w:tc>
                <w:tcPr>
                  <w:tcW w:w="873" w:type="dxa"/>
                  <w:vAlign w:val="center"/>
                </w:tcPr>
                <w:p>
                  <w:pPr>
                    <w:spacing w:after="0"/>
                    <w:jc w:val="center"/>
                    <w:rPr>
                      <w:kern w:val="0"/>
                      <w:szCs w:val="21"/>
                      <w:u w:val="wave"/>
                    </w:rPr>
                  </w:pPr>
                  <w:r>
                    <w:rPr>
                      <w:kern w:val="0"/>
                      <w:szCs w:val="21"/>
                      <w:u w:val="wave"/>
                    </w:rPr>
                    <w:t>2</w:t>
                  </w:r>
                  <w:r>
                    <w:rPr>
                      <w:rFonts w:hint="eastAsia"/>
                      <w:kern w:val="0"/>
                      <w:szCs w:val="21"/>
                      <w:u w:val="wave"/>
                    </w:rPr>
                    <w:t>5</w:t>
                  </w:r>
                </w:p>
              </w:tc>
              <w:tc>
                <w:tcPr>
                  <w:tcW w:w="1105" w:type="dxa"/>
                  <w:vAlign w:val="center"/>
                </w:tcPr>
                <w:p>
                  <w:pPr>
                    <w:spacing w:after="0"/>
                    <w:jc w:val="center"/>
                    <w:rPr>
                      <w:kern w:val="0"/>
                      <w:szCs w:val="21"/>
                      <w:u w:val="wave"/>
                    </w:rPr>
                  </w:pPr>
                  <w:r>
                    <w:rPr>
                      <w:rFonts w:hint="eastAsia"/>
                      <w:kern w:val="0"/>
                      <w:szCs w:val="21"/>
                      <w:u w:val="wave"/>
                    </w:rPr>
                    <w:t>0.5</w:t>
                  </w:r>
                </w:p>
              </w:tc>
              <w:tc>
                <w:tcPr>
                  <w:tcW w:w="1103" w:type="dxa"/>
                  <w:vAlign w:val="center"/>
                </w:tcPr>
                <w:p>
                  <w:pPr>
                    <w:spacing w:after="0"/>
                    <w:jc w:val="center"/>
                    <w:rPr>
                      <w:kern w:val="0"/>
                      <w:szCs w:val="21"/>
                      <w:u w:val="wave"/>
                    </w:rPr>
                  </w:pPr>
                  <w:r>
                    <w:rPr>
                      <w:kern w:val="0"/>
                      <w:szCs w:val="21"/>
                      <w:u w:val="wave"/>
                    </w:rPr>
                    <w:t>20</w:t>
                  </w:r>
                  <w:r>
                    <w:rPr>
                      <w:rFonts w:hint="eastAsia"/>
                      <w:kern w:val="0"/>
                      <w:szCs w:val="21"/>
                      <w:u w:val="wave"/>
                    </w:rPr>
                    <w:t>000</w:t>
                  </w:r>
                </w:p>
              </w:tc>
              <w:tc>
                <w:tcPr>
                  <w:tcW w:w="856" w:type="dxa"/>
                  <w:vAlign w:val="center"/>
                </w:tcPr>
                <w:p>
                  <w:pPr>
                    <w:spacing w:after="0"/>
                    <w:jc w:val="center"/>
                    <w:rPr>
                      <w:kern w:val="0"/>
                      <w:szCs w:val="21"/>
                      <w:u w:val="wave"/>
                    </w:rPr>
                  </w:pPr>
                  <w:r>
                    <w:rPr>
                      <w:rFonts w:hint="eastAsia"/>
                      <w:kern w:val="0"/>
                      <w:szCs w:val="21"/>
                      <w:u w:val="wave"/>
                    </w:rPr>
                    <w:t>25</w:t>
                  </w:r>
                </w:p>
              </w:tc>
              <w:tc>
                <w:tcPr>
                  <w:tcW w:w="1073" w:type="dxa"/>
                  <w:vAlign w:val="center"/>
                </w:tcPr>
                <w:p>
                  <w:pPr>
                    <w:spacing w:after="0"/>
                    <w:jc w:val="center"/>
                    <w:rPr>
                      <w:kern w:val="0"/>
                      <w:szCs w:val="21"/>
                      <w:u w:val="wave"/>
                    </w:rPr>
                  </w:pPr>
                  <w:r>
                    <w:rPr>
                      <w:rFonts w:hint="eastAsia"/>
                      <w:kern w:val="0"/>
                      <w:szCs w:val="21"/>
                      <w:u w:val="wave"/>
                    </w:rPr>
                    <w:t>2</w:t>
                  </w:r>
                  <w:r>
                    <w:rPr>
                      <w:kern w:val="0"/>
                      <w:szCs w:val="21"/>
                      <w:u w:val="wave"/>
                    </w:rPr>
                    <w:t>40</w:t>
                  </w:r>
                  <w:r>
                    <w:rPr>
                      <w:rFonts w:hint="eastAsia"/>
                      <w:kern w:val="0"/>
                      <w:szCs w:val="21"/>
                      <w:u w:val="wave"/>
                    </w:rPr>
                    <w:t>0</w:t>
                  </w:r>
                </w:p>
              </w:tc>
              <w:tc>
                <w:tcPr>
                  <w:tcW w:w="2226" w:type="dxa"/>
                  <w:gridSpan w:val="2"/>
                  <w:vAlign w:val="center"/>
                </w:tcPr>
                <w:p>
                  <w:pPr>
                    <w:spacing w:after="0"/>
                    <w:jc w:val="center"/>
                    <w:rPr>
                      <w:rFonts w:hint="default" w:eastAsia="宋体"/>
                      <w:kern w:val="0"/>
                      <w:szCs w:val="21"/>
                      <w:u w:val="wave"/>
                      <w:lang w:val="en-US" w:eastAsia="zh-CN"/>
                    </w:rPr>
                  </w:pPr>
                  <w:r>
                    <w:rPr>
                      <w:kern w:val="0"/>
                      <w:szCs w:val="21"/>
                      <w:u w:val="wave"/>
                    </w:rPr>
                    <w:t>0.00</w:t>
                  </w:r>
                  <w:r>
                    <w:rPr>
                      <w:rFonts w:hint="eastAsia"/>
                      <w:kern w:val="0"/>
                      <w:szCs w:val="21"/>
                      <w:u w:val="wave"/>
                      <w:lang w:val="en-US" w:eastAsia="zh-CN"/>
                    </w:rPr>
                    <w:t>46</w:t>
                  </w:r>
                </w:p>
              </w:tc>
            </w:tr>
          </w:tbl>
          <w:p>
            <w:pPr>
              <w:spacing w:after="0" w:line="360" w:lineRule="auto"/>
              <w:jc w:val="center"/>
              <w:rPr>
                <w:b/>
                <w:bCs/>
                <w:sz w:val="24"/>
                <w:u w:val="wave"/>
              </w:rPr>
            </w:pPr>
            <w:r>
              <w:rPr>
                <w:b/>
                <w:bCs/>
                <w:sz w:val="24"/>
                <w:u w:val="wave"/>
              </w:rPr>
              <w:t>表7-</w:t>
            </w:r>
            <w:r>
              <w:rPr>
                <w:rFonts w:hint="eastAsia"/>
                <w:b/>
                <w:bCs/>
                <w:sz w:val="24"/>
                <w:u w:val="wave"/>
              </w:rPr>
              <w:t>4</w:t>
            </w:r>
            <w:r>
              <w:rPr>
                <w:b/>
                <w:bCs/>
                <w:sz w:val="24"/>
                <w:u w:val="wave"/>
              </w:rPr>
              <w:t xml:space="preserve">  项目评价因子及评价标准</w:t>
            </w:r>
          </w:p>
          <w:tbl>
            <w:tblPr>
              <w:tblStyle w:val="22"/>
              <w:tblW w:w="0" w:type="auto"/>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51"/>
              <w:gridCol w:w="1950"/>
              <w:gridCol w:w="2075"/>
              <w:gridCol w:w="33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54" w:hRule="atLeast"/>
              </w:trPr>
              <w:tc>
                <w:tcPr>
                  <w:tcW w:w="1751" w:type="dxa"/>
                  <w:vAlign w:val="center"/>
                </w:tcPr>
                <w:p>
                  <w:pPr>
                    <w:spacing w:after="0"/>
                    <w:jc w:val="center"/>
                    <w:rPr>
                      <w:color w:val="000000"/>
                      <w:szCs w:val="21"/>
                      <w:u w:val="wave"/>
                    </w:rPr>
                  </w:pPr>
                  <w:r>
                    <w:rPr>
                      <w:color w:val="000000"/>
                      <w:szCs w:val="21"/>
                      <w:u w:val="wave"/>
                    </w:rPr>
                    <w:t>评价因子</w:t>
                  </w:r>
                </w:p>
              </w:tc>
              <w:tc>
                <w:tcPr>
                  <w:tcW w:w="1950" w:type="dxa"/>
                  <w:vAlign w:val="center"/>
                </w:tcPr>
                <w:p>
                  <w:pPr>
                    <w:spacing w:after="0"/>
                    <w:jc w:val="center"/>
                    <w:rPr>
                      <w:color w:val="000000"/>
                      <w:szCs w:val="21"/>
                      <w:u w:val="wave"/>
                    </w:rPr>
                  </w:pPr>
                  <w:r>
                    <w:rPr>
                      <w:color w:val="000000"/>
                      <w:szCs w:val="21"/>
                      <w:u w:val="wave"/>
                    </w:rPr>
                    <w:t>平均时段</w:t>
                  </w:r>
                </w:p>
              </w:tc>
              <w:tc>
                <w:tcPr>
                  <w:tcW w:w="2075" w:type="dxa"/>
                  <w:vAlign w:val="center"/>
                </w:tcPr>
                <w:p>
                  <w:pPr>
                    <w:spacing w:after="0"/>
                    <w:jc w:val="center"/>
                    <w:rPr>
                      <w:color w:val="000000"/>
                      <w:szCs w:val="21"/>
                      <w:u w:val="wave"/>
                    </w:rPr>
                  </w:pPr>
                  <w:r>
                    <w:rPr>
                      <w:color w:val="000000"/>
                      <w:szCs w:val="21"/>
                      <w:u w:val="wave"/>
                    </w:rPr>
                    <w:t>标准值/（ug/m</w:t>
                  </w:r>
                  <w:r>
                    <w:rPr>
                      <w:color w:val="000000"/>
                      <w:szCs w:val="21"/>
                      <w:u w:val="wave"/>
                      <w:vertAlign w:val="superscript"/>
                    </w:rPr>
                    <w:t>3</w:t>
                  </w:r>
                  <w:r>
                    <w:rPr>
                      <w:color w:val="000000"/>
                      <w:szCs w:val="21"/>
                      <w:u w:val="wave"/>
                    </w:rPr>
                    <w:t>）</w:t>
                  </w:r>
                </w:p>
              </w:tc>
              <w:tc>
                <w:tcPr>
                  <w:tcW w:w="3355" w:type="dxa"/>
                  <w:vAlign w:val="center"/>
                </w:tcPr>
                <w:p>
                  <w:pPr>
                    <w:spacing w:after="0"/>
                    <w:jc w:val="center"/>
                    <w:rPr>
                      <w:color w:val="000000"/>
                      <w:szCs w:val="21"/>
                      <w:u w:val="wave"/>
                    </w:rPr>
                  </w:pPr>
                  <w:r>
                    <w:rPr>
                      <w:color w:val="000000"/>
                      <w:szCs w:val="21"/>
                      <w:u w:val="wave"/>
                    </w:rPr>
                    <w:t>标准来源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8" w:hRule="atLeast"/>
              </w:trPr>
              <w:tc>
                <w:tcPr>
                  <w:tcW w:w="1751" w:type="dxa"/>
                  <w:vAlign w:val="center"/>
                </w:tcPr>
                <w:p>
                  <w:pPr>
                    <w:spacing w:after="0"/>
                    <w:jc w:val="center"/>
                    <w:rPr>
                      <w:bCs/>
                      <w:color w:val="000000"/>
                      <w:szCs w:val="21"/>
                      <w:u w:val="wave"/>
                    </w:rPr>
                  </w:pPr>
                  <w:r>
                    <w:rPr>
                      <w:bCs/>
                      <w:color w:val="000000"/>
                      <w:szCs w:val="21"/>
                      <w:u w:val="wave"/>
                    </w:rPr>
                    <w:t>颗粒物</w:t>
                  </w:r>
                </w:p>
              </w:tc>
              <w:tc>
                <w:tcPr>
                  <w:tcW w:w="1950" w:type="dxa"/>
                  <w:vAlign w:val="center"/>
                </w:tcPr>
                <w:p>
                  <w:pPr>
                    <w:spacing w:after="0"/>
                    <w:jc w:val="center"/>
                    <w:rPr>
                      <w:bCs/>
                      <w:color w:val="000000"/>
                      <w:szCs w:val="21"/>
                      <w:u w:val="wave"/>
                    </w:rPr>
                  </w:pPr>
                  <w:r>
                    <w:rPr>
                      <w:color w:val="000000"/>
                      <w:szCs w:val="21"/>
                      <w:u w:val="wave"/>
                    </w:rPr>
                    <w:t>1h平均质量浓度</w:t>
                  </w:r>
                </w:p>
              </w:tc>
              <w:tc>
                <w:tcPr>
                  <w:tcW w:w="2075" w:type="dxa"/>
                  <w:vAlign w:val="center"/>
                </w:tcPr>
                <w:p>
                  <w:pPr>
                    <w:spacing w:after="0"/>
                    <w:jc w:val="center"/>
                    <w:rPr>
                      <w:bCs/>
                      <w:color w:val="000000"/>
                      <w:szCs w:val="21"/>
                      <w:u w:val="wave"/>
                    </w:rPr>
                  </w:pPr>
                  <w:r>
                    <w:rPr>
                      <w:bCs/>
                      <w:color w:val="000000"/>
                      <w:szCs w:val="21"/>
                      <w:u w:val="wave"/>
                    </w:rPr>
                    <w:t>300</w:t>
                  </w:r>
                  <w:r>
                    <w:rPr>
                      <w:color w:val="000000"/>
                      <w:szCs w:val="21"/>
                      <w:u w:val="wave"/>
                    </w:rPr>
                    <w:t>×3</w:t>
                  </w:r>
                </w:p>
              </w:tc>
              <w:tc>
                <w:tcPr>
                  <w:tcW w:w="3355" w:type="dxa"/>
                  <w:vAlign w:val="center"/>
                </w:tcPr>
                <w:p>
                  <w:pPr>
                    <w:spacing w:after="0"/>
                    <w:jc w:val="center"/>
                    <w:rPr>
                      <w:bCs/>
                      <w:color w:val="000000"/>
                      <w:szCs w:val="21"/>
                      <w:u w:val="wave"/>
                    </w:rPr>
                  </w:pPr>
                  <w:r>
                    <w:rPr>
                      <w:color w:val="000000"/>
                      <w:szCs w:val="21"/>
                      <w:u w:val="wave"/>
                    </w:rPr>
                    <w:t>环境空气质量标准（GB3095-2012）</w:t>
                  </w:r>
                </w:p>
              </w:tc>
            </w:tr>
          </w:tbl>
          <w:p>
            <w:pPr>
              <w:spacing w:after="0" w:line="360" w:lineRule="auto"/>
              <w:jc w:val="center"/>
              <w:rPr>
                <w:b/>
                <w:bCs/>
                <w:sz w:val="24"/>
                <w:u w:val="wave"/>
              </w:rPr>
            </w:pPr>
            <w:r>
              <w:rPr>
                <w:b/>
                <w:bCs/>
                <w:sz w:val="24"/>
                <w:u w:val="wave"/>
              </w:rPr>
              <w:t>表7-5  估算模型参数表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1"/>
              <w:gridCol w:w="2960"/>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21" w:type="dxa"/>
                  <w:gridSpan w:val="2"/>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参数</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1" w:type="dxa"/>
                  <w:vMerge w:val="restart"/>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城市/农村选项</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城市/农村</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1" w:type="dxa"/>
                  <w:vMerge w:val="continue"/>
                </w:tcPr>
                <w:p>
                  <w:pPr>
                    <w:pStyle w:val="43"/>
                    <w:spacing w:after="0" w:line="240" w:lineRule="auto"/>
                    <w:ind w:firstLine="0" w:firstLineChars="0"/>
                    <w:jc w:val="center"/>
                    <w:rPr>
                      <w:rFonts w:ascii="Times New Roman" w:hAnsi="Times New Roman"/>
                      <w:bCs/>
                      <w:sz w:val="21"/>
                      <w:szCs w:val="21"/>
                      <w:u w:val="wave"/>
                    </w:rPr>
                  </w:pP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人口数（城市选项时）</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21" w:type="dxa"/>
                  <w:gridSpan w:val="2"/>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最高环境温度/℃</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21" w:type="dxa"/>
                  <w:gridSpan w:val="2"/>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最低环境温度/℃</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21" w:type="dxa"/>
                  <w:gridSpan w:val="2"/>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土地利用类型</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落叶林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21" w:type="dxa"/>
                  <w:gridSpan w:val="2"/>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区域湿度条件</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潮湿气候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1" w:type="dxa"/>
                  <w:vMerge w:val="restart"/>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是否考虑地形</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考虑地形</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sym w:font="Wingdings" w:char="00A8"/>
                  </w:r>
                  <w:r>
                    <w:rPr>
                      <w:rFonts w:ascii="Times New Roman" w:hAnsi="Times New Roman"/>
                      <w:bCs/>
                      <w:sz w:val="21"/>
                      <w:szCs w:val="21"/>
                      <w:u w:val="wave"/>
                    </w:rPr>
                    <w:t xml:space="preserve">是  </w:t>
                  </w:r>
                  <w:r>
                    <w:rPr>
                      <w:rFonts w:ascii="Times New Roman" w:hAnsi="Times New Roman"/>
                      <w:bCs/>
                      <w:sz w:val="21"/>
                      <w:szCs w:val="21"/>
                      <w:u w:val="wave"/>
                    </w:rPr>
                    <w:sym w:font="Wingdings" w:char="00FE"/>
                  </w:r>
                  <w:r>
                    <w:rPr>
                      <w:rFonts w:ascii="Times New Roman" w:hAnsi="Times New Roman"/>
                      <w:bCs/>
                      <w:sz w:val="21"/>
                      <w:szCs w:val="21"/>
                      <w:u w:val="wav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1" w:type="dxa"/>
                  <w:vMerge w:val="continue"/>
                </w:tcPr>
                <w:p>
                  <w:pPr>
                    <w:pStyle w:val="43"/>
                    <w:spacing w:after="0" w:line="240" w:lineRule="auto"/>
                    <w:ind w:firstLine="0" w:firstLineChars="0"/>
                    <w:jc w:val="center"/>
                    <w:rPr>
                      <w:rFonts w:ascii="Times New Roman" w:hAnsi="Times New Roman"/>
                      <w:bCs/>
                      <w:sz w:val="21"/>
                      <w:szCs w:val="21"/>
                      <w:u w:val="wave"/>
                    </w:rPr>
                  </w:pP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地形数据分辨率/m</w:t>
                  </w:r>
                </w:p>
              </w:tc>
              <w:tc>
                <w:tcPr>
                  <w:tcW w:w="2960" w:type="dxa"/>
                </w:tcPr>
                <w:p>
                  <w:pPr>
                    <w:pStyle w:val="43"/>
                    <w:spacing w:after="0" w:line="240" w:lineRule="auto"/>
                    <w:ind w:firstLine="0" w:firstLineChars="0"/>
                    <w:jc w:val="center"/>
                    <w:rPr>
                      <w:rFonts w:ascii="Times New Roman" w:hAnsi="Times New Roman"/>
                      <w:bCs/>
                      <w:sz w:val="21"/>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1" w:type="dxa"/>
                  <w:vMerge w:val="restart"/>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是否考虑岸线熏烟</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考虑岸线熏烟</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sym w:font="Wingdings" w:char="00A8"/>
                  </w:r>
                  <w:r>
                    <w:rPr>
                      <w:rFonts w:ascii="Times New Roman" w:hAnsi="Times New Roman"/>
                      <w:bCs/>
                      <w:sz w:val="21"/>
                      <w:szCs w:val="21"/>
                      <w:u w:val="wave"/>
                    </w:rPr>
                    <w:t xml:space="preserve">是  </w:t>
                  </w:r>
                  <w:r>
                    <w:rPr>
                      <w:rFonts w:ascii="Times New Roman" w:hAnsi="Times New Roman"/>
                      <w:bCs/>
                      <w:sz w:val="21"/>
                      <w:szCs w:val="21"/>
                      <w:u w:val="wave"/>
                    </w:rPr>
                    <w:sym w:font="Wingdings" w:char="00FE"/>
                  </w:r>
                  <w:r>
                    <w:rPr>
                      <w:rFonts w:ascii="Times New Roman" w:hAnsi="Times New Roman"/>
                      <w:bCs/>
                      <w:sz w:val="21"/>
                      <w:szCs w:val="21"/>
                      <w:u w:val="wav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1" w:type="dxa"/>
                  <w:vMerge w:val="continue"/>
                </w:tcPr>
                <w:p>
                  <w:pPr>
                    <w:pStyle w:val="43"/>
                    <w:spacing w:after="0" w:line="240" w:lineRule="auto"/>
                    <w:ind w:firstLine="0" w:firstLineChars="0"/>
                    <w:jc w:val="center"/>
                    <w:rPr>
                      <w:rFonts w:ascii="Times New Roman" w:hAnsi="Times New Roman"/>
                      <w:bCs/>
                      <w:sz w:val="21"/>
                      <w:szCs w:val="21"/>
                      <w:u w:val="wave"/>
                    </w:rPr>
                  </w:pP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岸线距离/km</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61" w:type="dxa"/>
                  <w:vMerge w:val="continue"/>
                </w:tcPr>
                <w:p>
                  <w:pPr>
                    <w:pStyle w:val="43"/>
                    <w:spacing w:after="0" w:line="240" w:lineRule="auto"/>
                    <w:ind w:firstLine="0" w:firstLineChars="0"/>
                    <w:jc w:val="center"/>
                    <w:rPr>
                      <w:rFonts w:ascii="Times New Roman" w:hAnsi="Times New Roman"/>
                      <w:bCs/>
                      <w:sz w:val="21"/>
                      <w:szCs w:val="21"/>
                      <w:u w:val="wave"/>
                    </w:rPr>
                  </w:pP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岸线方向/°</w:t>
                  </w:r>
                </w:p>
              </w:tc>
              <w:tc>
                <w:tcPr>
                  <w:tcW w:w="2960" w:type="dxa"/>
                </w:tcPr>
                <w:p>
                  <w:pPr>
                    <w:pStyle w:val="43"/>
                    <w:spacing w:after="0" w:line="240" w:lineRule="auto"/>
                    <w:ind w:firstLine="0" w:firstLineChars="0"/>
                    <w:jc w:val="center"/>
                    <w:rPr>
                      <w:rFonts w:ascii="Times New Roman" w:hAnsi="Times New Roman"/>
                      <w:bCs/>
                      <w:sz w:val="21"/>
                      <w:szCs w:val="21"/>
                      <w:u w:val="wave"/>
                    </w:rPr>
                  </w:pPr>
                  <w:r>
                    <w:rPr>
                      <w:rFonts w:ascii="Times New Roman" w:hAnsi="Times New Roman"/>
                      <w:bCs/>
                      <w:sz w:val="21"/>
                      <w:szCs w:val="21"/>
                      <w:u w:val="wave"/>
                    </w:rPr>
                    <w:t>/</w:t>
                  </w:r>
                </w:p>
              </w:tc>
            </w:tr>
          </w:tbl>
          <w:p>
            <w:pPr>
              <w:spacing w:after="0" w:line="360" w:lineRule="auto"/>
              <w:jc w:val="center"/>
              <w:rPr>
                <w:b/>
                <w:bCs/>
                <w:sz w:val="24"/>
                <w:u w:val="wave"/>
              </w:rPr>
            </w:pPr>
            <w:r>
              <w:rPr>
                <w:b/>
                <w:bCs/>
                <w:sz w:val="24"/>
                <w:u w:val="wave"/>
              </w:rPr>
              <w:t>表7-</w:t>
            </w:r>
            <w:r>
              <w:rPr>
                <w:rFonts w:hint="eastAsia"/>
                <w:b/>
                <w:bCs/>
                <w:sz w:val="24"/>
                <w:u w:val="wave"/>
              </w:rPr>
              <w:t>6</w:t>
            </w:r>
            <w:r>
              <w:rPr>
                <w:b/>
                <w:bCs/>
                <w:sz w:val="24"/>
                <w:u w:val="wave"/>
              </w:rPr>
              <w:t xml:space="preserve">  颗粒物排放估算模型计算结果表</w:t>
            </w:r>
            <w:r>
              <w:rPr>
                <w:rFonts w:hint="eastAsia"/>
                <w:b/>
                <w:bCs/>
                <w:sz w:val="24"/>
                <w:u w:val="wave"/>
              </w:rPr>
              <w:t>（1）</w:t>
            </w:r>
          </w:p>
          <w:tbl>
            <w:tblPr>
              <w:tblStyle w:val="2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1418"/>
              <w:gridCol w:w="991"/>
              <w:gridCol w:w="1419"/>
              <w:gridCol w:w="992"/>
              <w:gridCol w:w="1425"/>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01" w:type="dxa"/>
                  <w:vMerge w:val="restar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下风向距离/m</w:t>
                  </w:r>
                </w:p>
              </w:tc>
              <w:tc>
                <w:tcPr>
                  <w:tcW w:w="2409" w:type="dxa"/>
                  <w:gridSpan w:val="2"/>
                  <w:tcBorders>
                    <w:top w:val="single" w:color="auto" w:sz="6" w:space="0"/>
                    <w:left w:val="single" w:color="auto" w:sz="6" w:space="0"/>
                    <w:bottom w:val="single" w:color="auto" w:sz="6" w:space="0"/>
                    <w:right w:val="single" w:color="auto" w:sz="6" w:space="0"/>
                  </w:tcBorders>
                  <w:vAlign w:val="center"/>
                </w:tcPr>
                <w:p>
                  <w:pPr>
                    <w:spacing w:after="0"/>
                    <w:jc w:val="center"/>
                    <w:rPr>
                      <w:kern w:val="0"/>
                      <w:szCs w:val="21"/>
                      <w:u w:val="wave"/>
                    </w:rPr>
                  </w:pPr>
                  <w:r>
                    <w:rPr>
                      <w:rFonts w:hint="eastAsia"/>
                      <w:kern w:val="0"/>
                      <w:szCs w:val="21"/>
                      <w:u w:val="wave"/>
                    </w:rPr>
                    <w:t>P1~P</w:t>
                  </w:r>
                  <w:r>
                    <w:rPr>
                      <w:kern w:val="0"/>
                      <w:szCs w:val="21"/>
                      <w:u w:val="wave"/>
                    </w:rPr>
                    <w:t>6</w:t>
                  </w:r>
                  <w:r>
                    <w:rPr>
                      <w:rFonts w:hint="eastAsia"/>
                      <w:kern w:val="0"/>
                      <w:szCs w:val="21"/>
                      <w:u w:val="wave"/>
                    </w:rPr>
                    <w:t>中单个排气筒（2</w:t>
                  </w:r>
                  <w:r>
                    <w:rPr>
                      <w:kern w:val="0"/>
                      <w:szCs w:val="21"/>
                      <w:u w:val="wave"/>
                    </w:rPr>
                    <w:t>00</w:t>
                  </w:r>
                  <w:r>
                    <w:rPr>
                      <w:rFonts w:hint="eastAsia"/>
                      <w:kern w:val="0"/>
                      <w:szCs w:val="21"/>
                      <w:u w:val="wave"/>
                    </w:rPr>
                    <w:t>t水泥筒仓）</w:t>
                  </w:r>
                </w:p>
              </w:tc>
              <w:tc>
                <w:tcPr>
                  <w:tcW w:w="2411" w:type="dxa"/>
                  <w:gridSpan w:val="2"/>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kern w:val="0"/>
                      <w:szCs w:val="21"/>
                      <w:u w:val="wave"/>
                    </w:rPr>
                    <w:t>P</w:t>
                  </w:r>
                  <w:r>
                    <w:rPr>
                      <w:kern w:val="0"/>
                      <w:szCs w:val="21"/>
                      <w:u w:val="wave"/>
                    </w:rPr>
                    <w:t>7</w:t>
                  </w:r>
                  <w:r>
                    <w:rPr>
                      <w:rFonts w:hint="eastAsia"/>
                      <w:kern w:val="0"/>
                      <w:szCs w:val="21"/>
                      <w:u w:val="wave"/>
                    </w:rPr>
                    <w:t>~P</w:t>
                  </w:r>
                  <w:r>
                    <w:rPr>
                      <w:kern w:val="0"/>
                      <w:szCs w:val="21"/>
                      <w:u w:val="wave"/>
                    </w:rPr>
                    <w:t>9</w:t>
                  </w:r>
                  <w:r>
                    <w:rPr>
                      <w:rFonts w:hint="eastAsia"/>
                      <w:kern w:val="0"/>
                      <w:szCs w:val="21"/>
                      <w:u w:val="wave"/>
                    </w:rPr>
                    <w:t>中单个排气筒（</w:t>
                  </w:r>
                  <w:r>
                    <w:rPr>
                      <w:kern w:val="0"/>
                      <w:szCs w:val="21"/>
                      <w:u w:val="wave"/>
                    </w:rPr>
                    <w:t>3000</w:t>
                  </w:r>
                  <w:r>
                    <w:rPr>
                      <w:rFonts w:hint="eastAsia"/>
                      <w:kern w:val="0"/>
                      <w:szCs w:val="21"/>
                      <w:u w:val="wave"/>
                    </w:rPr>
                    <w:t>t水泥筒仓）</w:t>
                  </w:r>
                </w:p>
              </w:tc>
              <w:tc>
                <w:tcPr>
                  <w:tcW w:w="2551" w:type="dxa"/>
                  <w:gridSpan w:val="2"/>
                  <w:tcBorders>
                    <w:top w:val="single" w:color="auto" w:sz="6" w:space="0"/>
                    <w:left w:val="single" w:color="auto" w:sz="6" w:space="0"/>
                    <w:bottom w:val="single" w:color="auto" w:sz="6" w:space="0"/>
                    <w:right w:val="single" w:color="auto" w:sz="6" w:space="0"/>
                  </w:tcBorders>
                  <w:vAlign w:val="center"/>
                </w:tcPr>
                <w:p>
                  <w:pPr>
                    <w:spacing w:after="0"/>
                    <w:jc w:val="center"/>
                    <w:rPr>
                      <w:kern w:val="0"/>
                      <w:szCs w:val="21"/>
                      <w:u w:val="wave"/>
                    </w:rPr>
                  </w:pPr>
                  <w:r>
                    <w:rPr>
                      <w:rFonts w:hint="eastAsia"/>
                      <w:kern w:val="0"/>
                      <w:szCs w:val="21"/>
                      <w:u w:val="wave"/>
                    </w:rPr>
                    <w:t>P1</w:t>
                  </w:r>
                  <w:r>
                    <w:rPr>
                      <w:kern w:val="0"/>
                      <w:szCs w:val="21"/>
                      <w:u w:val="wave"/>
                    </w:rPr>
                    <w:t>0</w:t>
                  </w:r>
                  <w:r>
                    <w:rPr>
                      <w:rFonts w:hint="eastAsia"/>
                      <w:kern w:val="0"/>
                      <w:szCs w:val="21"/>
                      <w:u w:val="wave"/>
                    </w:rPr>
                    <w:t>、P</w:t>
                  </w:r>
                  <w:r>
                    <w:rPr>
                      <w:kern w:val="0"/>
                      <w:szCs w:val="21"/>
                      <w:u w:val="wave"/>
                    </w:rPr>
                    <w:t>11</w:t>
                  </w:r>
                  <w:r>
                    <w:rPr>
                      <w:rFonts w:hint="eastAsia"/>
                      <w:kern w:val="0"/>
                      <w:szCs w:val="21"/>
                      <w:u w:val="wave"/>
                    </w:rPr>
                    <w:t>单个排气筒（粉煤灰筒仓）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1701" w:type="dxa"/>
                  <w:vMerge w:val="continue"/>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预测质量浓度（mg/m</w:t>
                  </w:r>
                  <w:r>
                    <w:rPr>
                      <w:color w:val="000000"/>
                      <w:szCs w:val="21"/>
                      <w:u w:val="wave"/>
                      <w:vertAlign w:val="superscript"/>
                    </w:rPr>
                    <w:t>3</w:t>
                  </w:r>
                  <w:r>
                    <w:rPr>
                      <w:color w:val="000000"/>
                      <w:szCs w:val="21"/>
                      <w:u w:val="wave"/>
                    </w:rPr>
                    <w:t>）</w:t>
                  </w:r>
                </w:p>
              </w:tc>
              <w:tc>
                <w:tcPr>
                  <w:tcW w:w="99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占标率%</w:t>
                  </w:r>
                </w:p>
              </w:tc>
              <w:tc>
                <w:tcPr>
                  <w:tcW w:w="1419"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预测质量浓度（mg/m</w:t>
                  </w:r>
                  <w:r>
                    <w:rPr>
                      <w:color w:val="000000"/>
                      <w:szCs w:val="21"/>
                      <w:u w:val="wave"/>
                      <w:vertAlign w:val="superscript"/>
                    </w:rPr>
                    <w:t>3</w:t>
                  </w:r>
                  <w:r>
                    <w:rPr>
                      <w:color w:val="000000"/>
                      <w:szCs w:val="21"/>
                      <w:u w:val="wave"/>
                    </w:rPr>
                    <w:t>）</w:t>
                  </w:r>
                </w:p>
              </w:tc>
              <w:tc>
                <w:tcPr>
                  <w:tcW w:w="992"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占标率%</w:t>
                  </w:r>
                </w:p>
              </w:tc>
              <w:tc>
                <w:tcPr>
                  <w:tcW w:w="1425"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预测质量浓度（mg/m</w:t>
                  </w:r>
                  <w:r>
                    <w:rPr>
                      <w:color w:val="000000"/>
                      <w:szCs w:val="21"/>
                      <w:u w:val="wave"/>
                      <w:vertAlign w:val="superscript"/>
                    </w:rPr>
                    <w:t>3</w:t>
                  </w:r>
                  <w:r>
                    <w:rPr>
                      <w:color w:val="000000"/>
                      <w:szCs w:val="21"/>
                      <w:u w:val="wave"/>
                    </w:rPr>
                    <w:t>）</w:t>
                  </w:r>
                </w:p>
              </w:tc>
              <w:tc>
                <w:tcPr>
                  <w:tcW w:w="1126"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jc w:val="center"/>
              </w:trPr>
              <w:tc>
                <w:tcPr>
                  <w:tcW w:w="170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rPr>
                    <w:t>25</w:t>
                  </w:r>
                </w:p>
              </w:tc>
              <w:tc>
                <w:tcPr>
                  <w:tcW w:w="1418"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0.0004</w:t>
                  </w:r>
                </w:p>
              </w:tc>
              <w:tc>
                <w:tcPr>
                  <w:tcW w:w="99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0.04</w:t>
                  </w:r>
                </w:p>
              </w:tc>
              <w:tc>
                <w:tcPr>
                  <w:tcW w:w="1419"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0.0073</w:t>
                  </w:r>
                </w:p>
              </w:tc>
              <w:tc>
                <w:tcPr>
                  <w:tcW w:w="992"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0.81</w:t>
                  </w:r>
                </w:p>
              </w:tc>
              <w:tc>
                <w:tcPr>
                  <w:tcW w:w="1425"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0.00007</w:t>
                  </w:r>
                </w:p>
              </w:tc>
              <w:tc>
                <w:tcPr>
                  <w:tcW w:w="1126"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jc w:val="center"/>
              </w:trPr>
              <w:tc>
                <w:tcPr>
                  <w:tcW w:w="170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50</w:t>
                  </w:r>
                </w:p>
              </w:tc>
              <w:tc>
                <w:tcPr>
                  <w:tcW w:w="1418"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0.0011</w:t>
                  </w:r>
                </w:p>
              </w:tc>
              <w:tc>
                <w:tcPr>
                  <w:tcW w:w="99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0.12</w:t>
                  </w:r>
                </w:p>
              </w:tc>
              <w:tc>
                <w:tcPr>
                  <w:tcW w:w="1419"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0.022</w:t>
                  </w:r>
                </w:p>
              </w:tc>
              <w:tc>
                <w:tcPr>
                  <w:tcW w:w="992"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2.4</w:t>
                  </w:r>
                </w:p>
              </w:tc>
              <w:tc>
                <w:tcPr>
                  <w:tcW w:w="1425"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0.00022</w:t>
                  </w:r>
                </w:p>
              </w:tc>
              <w:tc>
                <w:tcPr>
                  <w:tcW w:w="1126"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jc w:val="center"/>
              </w:trPr>
              <w:tc>
                <w:tcPr>
                  <w:tcW w:w="170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100</w:t>
                  </w:r>
                </w:p>
              </w:tc>
              <w:tc>
                <w:tcPr>
                  <w:tcW w:w="1418"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0.0020</w:t>
                  </w:r>
                </w:p>
              </w:tc>
              <w:tc>
                <w:tcPr>
                  <w:tcW w:w="99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0.22</w:t>
                  </w:r>
                </w:p>
              </w:tc>
              <w:tc>
                <w:tcPr>
                  <w:tcW w:w="1419"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0.039</w:t>
                  </w:r>
                </w:p>
              </w:tc>
              <w:tc>
                <w:tcPr>
                  <w:tcW w:w="992"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4.3</w:t>
                  </w:r>
                </w:p>
              </w:tc>
              <w:tc>
                <w:tcPr>
                  <w:tcW w:w="1425"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0.00039</w:t>
                  </w:r>
                </w:p>
              </w:tc>
              <w:tc>
                <w:tcPr>
                  <w:tcW w:w="1126"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jc w:val="center"/>
              </w:trPr>
              <w:tc>
                <w:tcPr>
                  <w:tcW w:w="170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200</w:t>
                  </w:r>
                </w:p>
              </w:tc>
              <w:tc>
                <w:tcPr>
                  <w:tcW w:w="1418"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0.0015</w:t>
                  </w:r>
                </w:p>
              </w:tc>
              <w:tc>
                <w:tcPr>
                  <w:tcW w:w="99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0.17</w:t>
                  </w:r>
                </w:p>
              </w:tc>
              <w:tc>
                <w:tcPr>
                  <w:tcW w:w="1419"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0.030</w:t>
                  </w:r>
                </w:p>
              </w:tc>
              <w:tc>
                <w:tcPr>
                  <w:tcW w:w="992"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3.3</w:t>
                  </w:r>
                </w:p>
              </w:tc>
              <w:tc>
                <w:tcPr>
                  <w:tcW w:w="1425"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0.00030</w:t>
                  </w:r>
                </w:p>
              </w:tc>
              <w:tc>
                <w:tcPr>
                  <w:tcW w:w="1126"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jc w:val="center"/>
              </w:trPr>
              <w:tc>
                <w:tcPr>
                  <w:tcW w:w="170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300</w:t>
                  </w:r>
                </w:p>
              </w:tc>
              <w:tc>
                <w:tcPr>
                  <w:tcW w:w="1418"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0.0011</w:t>
                  </w:r>
                </w:p>
              </w:tc>
              <w:tc>
                <w:tcPr>
                  <w:tcW w:w="99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0.12</w:t>
                  </w:r>
                </w:p>
              </w:tc>
              <w:tc>
                <w:tcPr>
                  <w:tcW w:w="1419"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0.022</w:t>
                  </w:r>
                </w:p>
              </w:tc>
              <w:tc>
                <w:tcPr>
                  <w:tcW w:w="992"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2.4</w:t>
                  </w:r>
                </w:p>
              </w:tc>
              <w:tc>
                <w:tcPr>
                  <w:tcW w:w="1425"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0.00022</w:t>
                  </w:r>
                </w:p>
              </w:tc>
              <w:tc>
                <w:tcPr>
                  <w:tcW w:w="1126"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jc w:val="center"/>
              </w:trPr>
              <w:tc>
                <w:tcPr>
                  <w:tcW w:w="170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rPr>
                    <w:t>400</w:t>
                  </w:r>
                </w:p>
              </w:tc>
              <w:tc>
                <w:tcPr>
                  <w:tcW w:w="1418"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0.0009</w:t>
                  </w:r>
                </w:p>
              </w:tc>
              <w:tc>
                <w:tcPr>
                  <w:tcW w:w="99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0.10</w:t>
                  </w:r>
                </w:p>
              </w:tc>
              <w:tc>
                <w:tcPr>
                  <w:tcW w:w="1419"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0.018</w:t>
                  </w:r>
                </w:p>
              </w:tc>
              <w:tc>
                <w:tcPr>
                  <w:tcW w:w="992"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2.0</w:t>
                  </w:r>
                </w:p>
              </w:tc>
              <w:tc>
                <w:tcPr>
                  <w:tcW w:w="1425"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0.00018</w:t>
                  </w:r>
                </w:p>
              </w:tc>
              <w:tc>
                <w:tcPr>
                  <w:tcW w:w="1126"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jc w:val="center"/>
              </w:trPr>
              <w:tc>
                <w:tcPr>
                  <w:tcW w:w="170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500</w:t>
                  </w:r>
                </w:p>
              </w:tc>
              <w:tc>
                <w:tcPr>
                  <w:tcW w:w="1418"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0.0008</w:t>
                  </w:r>
                </w:p>
              </w:tc>
              <w:tc>
                <w:tcPr>
                  <w:tcW w:w="99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0.09</w:t>
                  </w:r>
                </w:p>
              </w:tc>
              <w:tc>
                <w:tcPr>
                  <w:tcW w:w="1419"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0.015</w:t>
                  </w:r>
                </w:p>
              </w:tc>
              <w:tc>
                <w:tcPr>
                  <w:tcW w:w="992"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1.7</w:t>
                  </w:r>
                </w:p>
              </w:tc>
              <w:tc>
                <w:tcPr>
                  <w:tcW w:w="1425"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0.00015</w:t>
                  </w:r>
                </w:p>
              </w:tc>
              <w:tc>
                <w:tcPr>
                  <w:tcW w:w="1126"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jc w:val="center"/>
              </w:trPr>
              <w:tc>
                <w:tcPr>
                  <w:tcW w:w="170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1000</w:t>
                  </w:r>
                </w:p>
              </w:tc>
              <w:tc>
                <w:tcPr>
                  <w:tcW w:w="1418"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0.0004</w:t>
                  </w:r>
                </w:p>
              </w:tc>
              <w:tc>
                <w:tcPr>
                  <w:tcW w:w="99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0.04</w:t>
                  </w:r>
                </w:p>
              </w:tc>
              <w:tc>
                <w:tcPr>
                  <w:tcW w:w="1419"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0.0089</w:t>
                  </w:r>
                </w:p>
              </w:tc>
              <w:tc>
                <w:tcPr>
                  <w:tcW w:w="992"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0.99</w:t>
                  </w:r>
                </w:p>
              </w:tc>
              <w:tc>
                <w:tcPr>
                  <w:tcW w:w="1425"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0.00009</w:t>
                  </w:r>
                </w:p>
              </w:tc>
              <w:tc>
                <w:tcPr>
                  <w:tcW w:w="1126"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jc w:val="center"/>
              </w:trPr>
              <w:tc>
                <w:tcPr>
                  <w:tcW w:w="170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下风向最大质量浓度及占标率/%</w:t>
                  </w:r>
                </w:p>
              </w:tc>
              <w:tc>
                <w:tcPr>
                  <w:tcW w:w="1418"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eastAsia="宋体" w:cs="Times New Roman"/>
                      <w:color w:val="000000"/>
                      <w:kern w:val="2"/>
                      <w:sz w:val="21"/>
                      <w:szCs w:val="21"/>
                      <w:u w:val="wave"/>
                      <w:lang w:val="en-US" w:eastAsia="zh-CN" w:bidi="ar-SA"/>
                    </w:rPr>
                  </w:pPr>
                  <w:r>
                    <w:rPr>
                      <w:rFonts w:hint="eastAsia"/>
                      <w:color w:val="000000"/>
                      <w:szCs w:val="21"/>
                      <w:u w:val="wave"/>
                      <w:lang w:val="en-US" w:eastAsia="zh-CN"/>
                    </w:rPr>
                    <w:t>0.0020</w:t>
                  </w:r>
                </w:p>
              </w:tc>
              <w:tc>
                <w:tcPr>
                  <w:tcW w:w="991"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eastAsia="宋体" w:cs="Times New Roman"/>
                      <w:color w:val="000000"/>
                      <w:kern w:val="2"/>
                      <w:sz w:val="21"/>
                      <w:szCs w:val="21"/>
                      <w:u w:val="wave"/>
                      <w:lang w:val="en-US" w:eastAsia="zh-CN" w:bidi="ar-SA"/>
                    </w:rPr>
                  </w:pPr>
                  <w:r>
                    <w:rPr>
                      <w:rFonts w:hint="eastAsia"/>
                      <w:color w:val="000000"/>
                      <w:szCs w:val="21"/>
                      <w:u w:val="wave"/>
                      <w:lang w:val="en-US" w:eastAsia="zh-CN"/>
                    </w:rPr>
                    <w:t>0.22</w:t>
                  </w:r>
                </w:p>
              </w:tc>
              <w:tc>
                <w:tcPr>
                  <w:tcW w:w="1419"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eastAsia="宋体" w:cs="Times New Roman"/>
                      <w:color w:val="000000"/>
                      <w:kern w:val="2"/>
                      <w:sz w:val="21"/>
                      <w:szCs w:val="21"/>
                      <w:u w:val="wave"/>
                      <w:lang w:val="en-US" w:eastAsia="zh-CN" w:bidi="ar-SA"/>
                    </w:rPr>
                  </w:pPr>
                  <w:r>
                    <w:rPr>
                      <w:rFonts w:hint="eastAsia"/>
                      <w:color w:val="000000"/>
                      <w:szCs w:val="21"/>
                      <w:u w:val="wave"/>
                      <w:lang w:val="en-US" w:eastAsia="zh-CN"/>
                    </w:rPr>
                    <w:t>0.039</w:t>
                  </w:r>
                </w:p>
              </w:tc>
              <w:tc>
                <w:tcPr>
                  <w:tcW w:w="992"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eastAsia="宋体" w:cs="Times New Roman"/>
                      <w:color w:val="000000"/>
                      <w:kern w:val="2"/>
                      <w:sz w:val="21"/>
                      <w:szCs w:val="21"/>
                      <w:u w:val="wave"/>
                      <w:lang w:val="en-US" w:eastAsia="zh-CN" w:bidi="ar-SA"/>
                    </w:rPr>
                  </w:pPr>
                  <w:r>
                    <w:rPr>
                      <w:rFonts w:hint="eastAsia"/>
                      <w:color w:val="000000"/>
                      <w:szCs w:val="21"/>
                      <w:u w:val="wave"/>
                      <w:lang w:val="en-US" w:eastAsia="zh-CN"/>
                    </w:rPr>
                    <w:t>4.3</w:t>
                  </w:r>
                </w:p>
              </w:tc>
              <w:tc>
                <w:tcPr>
                  <w:tcW w:w="1425"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eastAsia="宋体" w:cs="Times New Roman"/>
                      <w:color w:val="000000"/>
                      <w:kern w:val="2"/>
                      <w:sz w:val="21"/>
                      <w:szCs w:val="21"/>
                      <w:u w:val="wave"/>
                      <w:lang w:val="en-US" w:eastAsia="zh-CN" w:bidi="ar-SA"/>
                    </w:rPr>
                  </w:pPr>
                  <w:r>
                    <w:rPr>
                      <w:rFonts w:hint="eastAsia"/>
                      <w:color w:val="000000"/>
                      <w:szCs w:val="21"/>
                      <w:u w:val="wave"/>
                      <w:lang w:val="en-US" w:eastAsia="zh-CN"/>
                    </w:rPr>
                    <w:t>0.00039</w:t>
                  </w:r>
                </w:p>
              </w:tc>
              <w:tc>
                <w:tcPr>
                  <w:tcW w:w="1126" w:type="dxa"/>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eastAsia="宋体" w:cs="Times New Roman"/>
                      <w:color w:val="000000"/>
                      <w:kern w:val="2"/>
                      <w:sz w:val="21"/>
                      <w:szCs w:val="21"/>
                      <w:u w:val="wave"/>
                      <w:lang w:val="en-US" w:eastAsia="zh-CN" w:bidi="ar-SA"/>
                    </w:rPr>
                  </w:pPr>
                  <w:r>
                    <w:rPr>
                      <w:rFonts w:hint="eastAsia"/>
                      <w:color w:val="000000"/>
                      <w:szCs w:val="21"/>
                      <w:u w:val="wave"/>
                      <w:lang w:val="en-US" w:eastAsia="zh-CN"/>
                    </w:rPr>
                    <w:t>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1" w:type="dxa"/>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D</w:t>
                  </w:r>
                  <w:r>
                    <w:rPr>
                      <w:color w:val="000000"/>
                      <w:szCs w:val="21"/>
                      <w:u w:val="wave"/>
                      <w:vertAlign w:val="subscript"/>
                    </w:rPr>
                    <w:t>max%</w:t>
                  </w:r>
                  <w:r>
                    <w:rPr>
                      <w:color w:val="000000"/>
                      <w:szCs w:val="21"/>
                      <w:u w:val="wave"/>
                    </w:rPr>
                    <w:t>最远距离/m</w:t>
                  </w:r>
                </w:p>
              </w:tc>
              <w:tc>
                <w:tcPr>
                  <w:tcW w:w="2409" w:type="dxa"/>
                  <w:gridSpan w:val="2"/>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100</w:t>
                  </w:r>
                </w:p>
              </w:tc>
              <w:tc>
                <w:tcPr>
                  <w:tcW w:w="2411" w:type="dxa"/>
                  <w:gridSpan w:val="2"/>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100</w:t>
                  </w:r>
                </w:p>
              </w:tc>
              <w:tc>
                <w:tcPr>
                  <w:tcW w:w="2551" w:type="dxa"/>
                  <w:gridSpan w:val="2"/>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100</w:t>
                  </w:r>
                </w:p>
              </w:tc>
            </w:tr>
          </w:tbl>
          <w:p>
            <w:pPr>
              <w:spacing w:after="0" w:line="360" w:lineRule="auto"/>
              <w:jc w:val="center"/>
              <w:rPr>
                <w:b/>
                <w:bCs/>
                <w:sz w:val="24"/>
                <w:u w:val="wave"/>
              </w:rPr>
            </w:pPr>
          </w:p>
          <w:p>
            <w:pPr>
              <w:spacing w:after="0" w:line="360" w:lineRule="auto"/>
              <w:jc w:val="center"/>
              <w:rPr>
                <w:b/>
                <w:bCs/>
                <w:sz w:val="24"/>
                <w:u w:val="wave"/>
              </w:rPr>
            </w:pPr>
          </w:p>
          <w:p>
            <w:pPr>
              <w:spacing w:after="0" w:line="360" w:lineRule="auto"/>
              <w:jc w:val="center"/>
              <w:rPr>
                <w:b/>
                <w:bCs/>
                <w:sz w:val="24"/>
                <w:u w:val="wave"/>
              </w:rPr>
            </w:pPr>
            <w:r>
              <w:rPr>
                <w:b/>
                <w:bCs/>
                <w:sz w:val="24"/>
                <w:u w:val="wave"/>
              </w:rPr>
              <w:t>表7-</w:t>
            </w:r>
            <w:r>
              <w:rPr>
                <w:rFonts w:hint="eastAsia"/>
                <w:b/>
                <w:bCs/>
                <w:sz w:val="24"/>
                <w:u w:val="wave"/>
                <w:lang w:val="en-US" w:eastAsia="zh-CN"/>
              </w:rPr>
              <w:t>7</w:t>
            </w:r>
            <w:r>
              <w:rPr>
                <w:b/>
                <w:bCs/>
                <w:sz w:val="24"/>
                <w:u w:val="wave"/>
              </w:rPr>
              <w:t xml:space="preserve">  颗粒物排放估算模型计算结果表</w:t>
            </w:r>
            <w:r>
              <w:rPr>
                <w:rFonts w:hint="eastAsia"/>
                <w:b/>
                <w:bCs/>
                <w:sz w:val="24"/>
                <w:u w:val="wave"/>
              </w:rPr>
              <w:t>（</w:t>
            </w:r>
            <w:r>
              <w:rPr>
                <w:b/>
                <w:bCs/>
                <w:sz w:val="24"/>
                <w:u w:val="wave"/>
              </w:rPr>
              <w:t>2</w:t>
            </w:r>
            <w:r>
              <w:rPr>
                <w:rFonts w:hint="eastAsia"/>
                <w:b/>
                <w:bCs/>
                <w:sz w:val="24"/>
                <w:u w:val="wave"/>
              </w:rPr>
              <w:t>）</w:t>
            </w: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3"/>
              <w:gridCol w:w="1426"/>
              <w:gridCol w:w="990"/>
              <w:gridCol w:w="1410"/>
              <w:gridCol w:w="990"/>
              <w:gridCol w:w="1425"/>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34" w:type="pct"/>
                  <w:vMerge w:val="restar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下风向距离/m</w:t>
                  </w:r>
                </w:p>
              </w:tc>
              <w:tc>
                <w:tcPr>
                  <w:tcW w:w="1333" w:type="pct"/>
                  <w:gridSpan w:val="2"/>
                  <w:tcBorders>
                    <w:top w:val="single" w:color="auto" w:sz="6" w:space="0"/>
                    <w:left w:val="single" w:color="auto" w:sz="6" w:space="0"/>
                    <w:bottom w:val="single" w:color="auto" w:sz="6" w:space="0"/>
                    <w:right w:val="single" w:color="auto" w:sz="6" w:space="0"/>
                  </w:tcBorders>
                  <w:vAlign w:val="center"/>
                </w:tcPr>
                <w:p>
                  <w:pPr>
                    <w:spacing w:after="0"/>
                    <w:jc w:val="center"/>
                    <w:rPr>
                      <w:kern w:val="0"/>
                      <w:szCs w:val="21"/>
                      <w:u w:val="wave"/>
                    </w:rPr>
                  </w:pPr>
                  <w:r>
                    <w:rPr>
                      <w:szCs w:val="21"/>
                      <w:u w:val="wave"/>
                    </w:rPr>
                    <w:t>P12</w:t>
                  </w:r>
                  <w:r>
                    <w:rPr>
                      <w:rFonts w:hint="eastAsia"/>
                      <w:szCs w:val="21"/>
                      <w:u w:val="wave"/>
                    </w:rPr>
                    <w:t>~P1</w:t>
                  </w:r>
                  <w:r>
                    <w:rPr>
                      <w:szCs w:val="21"/>
                      <w:u w:val="wave"/>
                    </w:rPr>
                    <w:t>3排气筒（</w:t>
                  </w:r>
                  <w:r>
                    <w:rPr>
                      <w:rFonts w:hint="eastAsia"/>
                      <w:szCs w:val="21"/>
                      <w:u w:val="wave"/>
                    </w:rPr>
                    <w:t>中联1</w:t>
                  </w:r>
                  <w:r>
                    <w:rPr>
                      <w:szCs w:val="21"/>
                      <w:u w:val="wave"/>
                    </w:rPr>
                    <w:t>80</w:t>
                  </w:r>
                  <w:r>
                    <w:rPr>
                      <w:rFonts w:hint="eastAsia"/>
                      <w:szCs w:val="21"/>
                      <w:u w:val="wave"/>
                    </w:rPr>
                    <w:t>线/润天9</w:t>
                  </w:r>
                  <w:r>
                    <w:rPr>
                      <w:szCs w:val="21"/>
                      <w:u w:val="wave"/>
                    </w:rPr>
                    <w:t>0</w:t>
                  </w:r>
                  <w:r>
                    <w:rPr>
                      <w:rFonts w:hint="eastAsia"/>
                      <w:szCs w:val="21"/>
                      <w:u w:val="wave"/>
                    </w:rPr>
                    <w:t>线</w:t>
                  </w:r>
                  <w:r>
                    <w:rPr>
                      <w:szCs w:val="21"/>
                      <w:u w:val="wave"/>
                    </w:rPr>
                    <w:t>）</w:t>
                  </w:r>
                </w:p>
              </w:tc>
              <w:tc>
                <w:tcPr>
                  <w:tcW w:w="1324" w:type="pct"/>
                  <w:gridSpan w:val="2"/>
                  <w:tcBorders>
                    <w:top w:val="single" w:color="auto" w:sz="6" w:space="0"/>
                    <w:left w:val="single" w:color="auto" w:sz="6" w:space="0"/>
                    <w:bottom w:val="single" w:color="auto" w:sz="6" w:space="0"/>
                    <w:right w:val="single" w:color="auto" w:sz="6" w:space="0"/>
                  </w:tcBorders>
                  <w:vAlign w:val="center"/>
                </w:tcPr>
                <w:p>
                  <w:pPr>
                    <w:spacing w:after="0"/>
                    <w:jc w:val="center"/>
                    <w:rPr>
                      <w:szCs w:val="21"/>
                      <w:u w:val="wave"/>
                    </w:rPr>
                  </w:pPr>
                  <w:r>
                    <w:rPr>
                      <w:rFonts w:hint="eastAsia"/>
                      <w:szCs w:val="21"/>
                      <w:u w:val="wave"/>
                    </w:rPr>
                    <w:t>P1</w:t>
                  </w:r>
                  <w:r>
                    <w:rPr>
                      <w:szCs w:val="21"/>
                      <w:u w:val="wave"/>
                    </w:rPr>
                    <w:t>4排气筒（</w:t>
                  </w:r>
                  <w:r>
                    <w:rPr>
                      <w:rFonts w:hint="eastAsia"/>
                      <w:szCs w:val="21"/>
                      <w:u w:val="wave"/>
                    </w:rPr>
                    <w:t>柳城6</w:t>
                  </w:r>
                  <w:r>
                    <w:rPr>
                      <w:szCs w:val="21"/>
                      <w:u w:val="wave"/>
                    </w:rPr>
                    <w:t>00</w:t>
                  </w:r>
                  <w:r>
                    <w:rPr>
                      <w:rFonts w:hint="eastAsia"/>
                      <w:szCs w:val="21"/>
                      <w:u w:val="wave"/>
                    </w:rPr>
                    <w:t>线</w:t>
                  </w:r>
                  <w:r>
                    <w:rPr>
                      <w:szCs w:val="21"/>
                      <w:u w:val="wave"/>
                    </w:rPr>
                    <w:t>）</w:t>
                  </w:r>
                </w:p>
              </w:tc>
              <w:tc>
                <w:tcPr>
                  <w:tcW w:w="1407" w:type="pct"/>
                  <w:gridSpan w:val="2"/>
                  <w:tcBorders>
                    <w:top w:val="single" w:color="auto" w:sz="6" w:space="0"/>
                    <w:left w:val="single" w:color="auto" w:sz="6" w:space="0"/>
                    <w:bottom w:val="single" w:color="auto" w:sz="6" w:space="0"/>
                    <w:right w:val="single" w:color="auto" w:sz="6" w:space="0"/>
                  </w:tcBorders>
                  <w:vAlign w:val="center"/>
                </w:tcPr>
                <w:p>
                  <w:pPr>
                    <w:spacing w:after="0"/>
                    <w:jc w:val="center"/>
                    <w:rPr>
                      <w:rFonts w:hint="eastAsia"/>
                      <w:szCs w:val="21"/>
                      <w:u w:val="wave"/>
                    </w:rPr>
                  </w:pPr>
                  <w:r>
                    <w:rPr>
                      <w:rFonts w:hint="eastAsia"/>
                      <w:szCs w:val="21"/>
                      <w:u w:val="wave"/>
                      <w:lang w:val="en-US" w:eastAsia="zh-CN"/>
                    </w:rPr>
                    <w:t>原料堆场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934" w:type="pct"/>
                  <w:vMerge w:val="continue"/>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预测质量浓度（mg/m</w:t>
                  </w:r>
                  <w:r>
                    <w:rPr>
                      <w:color w:val="000000"/>
                      <w:szCs w:val="21"/>
                      <w:u w:val="wave"/>
                      <w:vertAlign w:val="superscript"/>
                    </w:rPr>
                    <w:t>3</w:t>
                  </w:r>
                  <w:r>
                    <w:rPr>
                      <w:color w:val="000000"/>
                      <w:szCs w:val="21"/>
                      <w:u w:val="wave"/>
                    </w:rPr>
                    <w:t>）</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占标率%</w:t>
                  </w:r>
                </w:p>
              </w:tc>
              <w:tc>
                <w:tcPr>
                  <w:tcW w:w="778"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预测质量浓度（mg/m</w:t>
                  </w:r>
                  <w:r>
                    <w:rPr>
                      <w:color w:val="000000"/>
                      <w:szCs w:val="21"/>
                      <w:u w:val="wave"/>
                      <w:vertAlign w:val="superscript"/>
                    </w:rPr>
                    <w:t>3</w:t>
                  </w:r>
                  <w:r>
                    <w:rPr>
                      <w:color w:val="000000"/>
                      <w:szCs w:val="21"/>
                      <w:u w:val="wave"/>
                    </w:rPr>
                    <w:t>）</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占标率%</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eastAsia="宋体" w:cs="Times New Roman"/>
                      <w:color w:val="000000"/>
                      <w:kern w:val="2"/>
                      <w:sz w:val="21"/>
                      <w:szCs w:val="21"/>
                      <w:u w:val="wave"/>
                      <w:lang w:val="en-US" w:eastAsia="zh-CN" w:bidi="ar-SA"/>
                    </w:rPr>
                  </w:pPr>
                  <w:r>
                    <w:rPr>
                      <w:color w:val="000000"/>
                      <w:szCs w:val="21"/>
                      <w:u w:val="wave"/>
                    </w:rPr>
                    <w:t>预测质量浓度（mg/m</w:t>
                  </w:r>
                  <w:r>
                    <w:rPr>
                      <w:color w:val="000000"/>
                      <w:szCs w:val="21"/>
                      <w:u w:val="wave"/>
                      <w:vertAlign w:val="superscript"/>
                    </w:rPr>
                    <w:t>3</w:t>
                  </w:r>
                  <w:r>
                    <w:rPr>
                      <w:color w:val="000000"/>
                      <w:szCs w:val="21"/>
                      <w:u w:val="wave"/>
                    </w:rPr>
                    <w:t>）</w:t>
                  </w:r>
                </w:p>
              </w:tc>
              <w:tc>
                <w:tcPr>
                  <w:tcW w:w="621" w:type="pct"/>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eastAsia="宋体" w:cs="Times New Roman"/>
                      <w:color w:val="000000"/>
                      <w:kern w:val="2"/>
                      <w:sz w:val="21"/>
                      <w:szCs w:val="21"/>
                      <w:u w:val="wave"/>
                      <w:lang w:val="en-US" w:eastAsia="zh-CN" w:bidi="ar-SA"/>
                    </w:rPr>
                  </w:pPr>
                  <w:r>
                    <w:rPr>
                      <w:color w:val="000000"/>
                      <w:szCs w:val="21"/>
                      <w:u w:val="wave"/>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jc w:val="center"/>
              </w:trPr>
              <w:tc>
                <w:tcPr>
                  <w:tcW w:w="934"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rPr>
                    <w:t>25</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0.0228</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2.5</w:t>
                  </w:r>
                </w:p>
              </w:tc>
              <w:tc>
                <w:tcPr>
                  <w:tcW w:w="778"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0.0066</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0.73</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0.050</w:t>
                  </w:r>
                </w:p>
              </w:tc>
              <w:tc>
                <w:tcPr>
                  <w:tcW w:w="621"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jc w:val="center"/>
              </w:trPr>
              <w:tc>
                <w:tcPr>
                  <w:tcW w:w="934"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50</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0.0101</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1.1</w:t>
                  </w:r>
                </w:p>
              </w:tc>
              <w:tc>
                <w:tcPr>
                  <w:tcW w:w="778"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0.0029</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0.32</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0.058</w:t>
                  </w:r>
                </w:p>
              </w:tc>
              <w:tc>
                <w:tcPr>
                  <w:tcW w:w="621"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jc w:val="center"/>
              </w:trPr>
              <w:tc>
                <w:tcPr>
                  <w:tcW w:w="934"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100</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0.0036</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0.4</w:t>
                  </w:r>
                </w:p>
              </w:tc>
              <w:tc>
                <w:tcPr>
                  <w:tcW w:w="778"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0.0010</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0.11</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0.073</w:t>
                  </w:r>
                </w:p>
              </w:tc>
              <w:tc>
                <w:tcPr>
                  <w:tcW w:w="621"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jc w:val="center"/>
              </w:trPr>
              <w:tc>
                <w:tcPr>
                  <w:tcW w:w="934"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200</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0.0018</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0.2</w:t>
                  </w:r>
                </w:p>
              </w:tc>
              <w:tc>
                <w:tcPr>
                  <w:tcW w:w="778"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0.0005</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0.06</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0.041</w:t>
                  </w:r>
                </w:p>
              </w:tc>
              <w:tc>
                <w:tcPr>
                  <w:tcW w:w="621"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jc w:val="center"/>
              </w:trPr>
              <w:tc>
                <w:tcPr>
                  <w:tcW w:w="934"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300</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0.0014</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0.15</w:t>
                  </w:r>
                </w:p>
              </w:tc>
              <w:tc>
                <w:tcPr>
                  <w:tcW w:w="778"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0.0004</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0.04</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0.031</w:t>
                  </w:r>
                </w:p>
              </w:tc>
              <w:tc>
                <w:tcPr>
                  <w:tcW w:w="621"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jc w:val="center"/>
              </w:trPr>
              <w:tc>
                <w:tcPr>
                  <w:tcW w:w="934"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rPr>
                    <w:t>400</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0.0011</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0.12</w:t>
                  </w:r>
                </w:p>
              </w:tc>
              <w:tc>
                <w:tcPr>
                  <w:tcW w:w="778"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0.0003</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0.03</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0.025</w:t>
                  </w:r>
                </w:p>
              </w:tc>
              <w:tc>
                <w:tcPr>
                  <w:tcW w:w="621"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jc w:val="center"/>
              </w:trPr>
              <w:tc>
                <w:tcPr>
                  <w:tcW w:w="934"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500</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0.0009</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0.10</w:t>
                  </w:r>
                </w:p>
              </w:tc>
              <w:tc>
                <w:tcPr>
                  <w:tcW w:w="778"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0.0003</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0.03</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0.021</w:t>
                  </w:r>
                </w:p>
              </w:tc>
              <w:tc>
                <w:tcPr>
                  <w:tcW w:w="621"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jc w:val="center"/>
              </w:trPr>
              <w:tc>
                <w:tcPr>
                  <w:tcW w:w="934"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1000</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0.0006</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0.07</w:t>
                  </w:r>
                </w:p>
              </w:tc>
              <w:tc>
                <w:tcPr>
                  <w:tcW w:w="778"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0.0002</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0.02</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0.013</w:t>
                  </w:r>
                </w:p>
              </w:tc>
              <w:tc>
                <w:tcPr>
                  <w:tcW w:w="621"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jc w:val="center"/>
              </w:trPr>
              <w:tc>
                <w:tcPr>
                  <w:tcW w:w="934"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下风向最大质量浓度及占标率/%</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eastAsia="宋体" w:cs="Times New Roman"/>
                      <w:color w:val="000000"/>
                      <w:kern w:val="2"/>
                      <w:sz w:val="21"/>
                      <w:szCs w:val="21"/>
                      <w:u w:val="wave"/>
                      <w:lang w:val="en-US" w:eastAsia="zh-CN" w:bidi="ar-SA"/>
                    </w:rPr>
                  </w:pPr>
                  <w:r>
                    <w:rPr>
                      <w:rFonts w:hint="eastAsia"/>
                      <w:color w:val="000000"/>
                      <w:szCs w:val="21"/>
                      <w:u w:val="wave"/>
                      <w:lang w:val="en-US" w:eastAsia="zh-CN"/>
                    </w:rPr>
                    <w:t>0.0228</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eastAsia="宋体" w:cs="Times New Roman"/>
                      <w:color w:val="000000"/>
                      <w:kern w:val="2"/>
                      <w:sz w:val="21"/>
                      <w:szCs w:val="21"/>
                      <w:u w:val="wave"/>
                      <w:lang w:val="en-US" w:eastAsia="zh-CN" w:bidi="ar-SA"/>
                    </w:rPr>
                  </w:pPr>
                  <w:r>
                    <w:rPr>
                      <w:rFonts w:hint="eastAsia"/>
                      <w:color w:val="000000"/>
                      <w:szCs w:val="21"/>
                      <w:u w:val="wave"/>
                      <w:lang w:val="en-US" w:eastAsia="zh-CN"/>
                    </w:rPr>
                    <w:t>2.5</w:t>
                  </w:r>
                </w:p>
              </w:tc>
              <w:tc>
                <w:tcPr>
                  <w:tcW w:w="778" w:type="pct"/>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eastAsia="宋体" w:cs="Times New Roman"/>
                      <w:color w:val="000000"/>
                      <w:kern w:val="2"/>
                      <w:sz w:val="21"/>
                      <w:szCs w:val="21"/>
                      <w:u w:val="wave"/>
                      <w:lang w:val="en-US" w:eastAsia="zh-CN" w:bidi="ar-SA"/>
                    </w:rPr>
                  </w:pPr>
                  <w:r>
                    <w:rPr>
                      <w:rFonts w:hint="eastAsia"/>
                      <w:color w:val="000000"/>
                      <w:szCs w:val="21"/>
                      <w:u w:val="wave"/>
                      <w:lang w:val="en-US" w:eastAsia="zh-CN"/>
                    </w:rPr>
                    <w:t>0.0066</w:t>
                  </w:r>
                </w:p>
              </w:tc>
              <w:tc>
                <w:tcPr>
                  <w:tcW w:w="546" w:type="pct"/>
                  <w:tcBorders>
                    <w:top w:val="single" w:color="auto" w:sz="6" w:space="0"/>
                    <w:left w:val="single" w:color="auto" w:sz="6" w:space="0"/>
                    <w:bottom w:val="single" w:color="auto" w:sz="6" w:space="0"/>
                    <w:right w:val="single" w:color="auto" w:sz="6" w:space="0"/>
                  </w:tcBorders>
                  <w:vAlign w:val="center"/>
                </w:tcPr>
                <w:p>
                  <w:pPr>
                    <w:spacing w:after="0"/>
                    <w:jc w:val="center"/>
                    <w:rPr>
                      <w:rFonts w:ascii="Times New Roman" w:hAnsi="Times New Roman" w:eastAsia="宋体" w:cs="Times New Roman"/>
                      <w:color w:val="000000"/>
                      <w:kern w:val="2"/>
                      <w:sz w:val="21"/>
                      <w:szCs w:val="21"/>
                      <w:u w:val="wave"/>
                      <w:lang w:val="en-US" w:eastAsia="zh-CN" w:bidi="ar-SA"/>
                    </w:rPr>
                  </w:pPr>
                  <w:r>
                    <w:rPr>
                      <w:rFonts w:hint="eastAsia"/>
                      <w:color w:val="000000"/>
                      <w:szCs w:val="21"/>
                      <w:u w:val="wave"/>
                      <w:lang w:val="en-US" w:eastAsia="zh-CN"/>
                    </w:rPr>
                    <w:t>0.73</w:t>
                  </w:r>
                </w:p>
              </w:tc>
              <w:tc>
                <w:tcPr>
                  <w:tcW w:w="786"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0.078</w:t>
                  </w:r>
                </w:p>
              </w:tc>
              <w:tc>
                <w:tcPr>
                  <w:tcW w:w="621" w:type="pct"/>
                  <w:tcBorders>
                    <w:top w:val="single" w:color="auto" w:sz="6" w:space="0"/>
                    <w:left w:val="single" w:color="auto" w:sz="6" w:space="0"/>
                    <w:bottom w:val="single" w:color="auto" w:sz="6" w:space="0"/>
                    <w:right w:val="single" w:color="auto" w:sz="6" w:space="0"/>
                  </w:tcBorders>
                  <w:vAlign w:val="center"/>
                </w:tcPr>
                <w:p>
                  <w:pPr>
                    <w:spacing w:after="0"/>
                    <w:jc w:val="center"/>
                    <w:rPr>
                      <w:rFonts w:hint="default" w:eastAsia="宋体"/>
                      <w:color w:val="000000"/>
                      <w:szCs w:val="21"/>
                      <w:u w:val="wave"/>
                      <w:lang w:val="en-US" w:eastAsia="zh-CN"/>
                    </w:rPr>
                  </w:pPr>
                  <w:r>
                    <w:rPr>
                      <w:rFonts w:hint="eastAsia"/>
                      <w:color w:val="000000"/>
                      <w:szCs w:val="21"/>
                      <w:u w:val="wave"/>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4" w:type="pct"/>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color w:val="000000"/>
                      <w:szCs w:val="21"/>
                      <w:u w:val="wave"/>
                    </w:rPr>
                    <w:t>D</w:t>
                  </w:r>
                  <w:r>
                    <w:rPr>
                      <w:color w:val="000000"/>
                      <w:szCs w:val="21"/>
                      <w:u w:val="wave"/>
                      <w:vertAlign w:val="subscript"/>
                    </w:rPr>
                    <w:t>max%</w:t>
                  </w:r>
                  <w:r>
                    <w:rPr>
                      <w:color w:val="000000"/>
                      <w:szCs w:val="21"/>
                      <w:u w:val="wave"/>
                    </w:rPr>
                    <w:t>最远距离/m</w:t>
                  </w:r>
                </w:p>
              </w:tc>
              <w:tc>
                <w:tcPr>
                  <w:tcW w:w="1333" w:type="pct"/>
                  <w:gridSpan w:val="2"/>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25</w:t>
                  </w:r>
                </w:p>
              </w:tc>
              <w:tc>
                <w:tcPr>
                  <w:tcW w:w="1324" w:type="pct"/>
                  <w:gridSpan w:val="2"/>
                  <w:tcBorders>
                    <w:top w:val="single" w:color="auto" w:sz="6" w:space="0"/>
                    <w:left w:val="single" w:color="auto" w:sz="6" w:space="0"/>
                    <w:bottom w:val="single" w:color="auto" w:sz="6" w:space="0"/>
                    <w:right w:val="single" w:color="auto" w:sz="6" w:space="0"/>
                  </w:tcBorders>
                  <w:vAlign w:val="center"/>
                </w:tcPr>
                <w:p>
                  <w:pPr>
                    <w:spacing w:after="0"/>
                    <w:jc w:val="center"/>
                    <w:rPr>
                      <w:color w:val="000000"/>
                      <w:szCs w:val="21"/>
                      <w:u w:val="wave"/>
                    </w:rPr>
                  </w:pPr>
                  <w:r>
                    <w:rPr>
                      <w:rFonts w:hint="eastAsia"/>
                      <w:color w:val="000000"/>
                      <w:szCs w:val="21"/>
                      <w:u w:val="wave"/>
                      <w:lang w:val="en-US" w:eastAsia="zh-CN"/>
                    </w:rPr>
                    <w:t>25</w:t>
                  </w:r>
                </w:p>
              </w:tc>
              <w:tc>
                <w:tcPr>
                  <w:tcW w:w="1407" w:type="pct"/>
                  <w:gridSpan w:val="2"/>
                  <w:tcBorders>
                    <w:top w:val="single" w:color="auto" w:sz="6" w:space="0"/>
                    <w:left w:val="single" w:color="auto" w:sz="6" w:space="0"/>
                    <w:bottom w:val="single" w:color="auto" w:sz="6" w:space="0"/>
                    <w:right w:val="single" w:color="auto" w:sz="6" w:space="0"/>
                  </w:tcBorders>
                  <w:vAlign w:val="center"/>
                </w:tcPr>
                <w:p>
                  <w:pPr>
                    <w:spacing w:after="0"/>
                    <w:jc w:val="center"/>
                    <w:rPr>
                      <w:rFonts w:hint="eastAsia"/>
                      <w:color w:val="000000"/>
                      <w:szCs w:val="21"/>
                      <w:u w:val="wave"/>
                    </w:rPr>
                  </w:pPr>
                  <w:r>
                    <w:rPr>
                      <w:rFonts w:hint="eastAsia"/>
                      <w:color w:val="000000"/>
                      <w:szCs w:val="21"/>
                      <w:u w:val="wave"/>
                      <w:lang w:val="en-US" w:eastAsia="zh-CN"/>
                    </w:rPr>
                    <w:t>75</w:t>
                  </w:r>
                </w:p>
              </w:tc>
            </w:tr>
          </w:tbl>
          <w:p>
            <w:pPr>
              <w:spacing w:after="0" w:line="360" w:lineRule="auto"/>
              <w:ind w:firstLine="480" w:firstLineChars="200"/>
              <w:rPr>
                <w:sz w:val="24"/>
                <w:u w:val="wave"/>
              </w:rPr>
            </w:pPr>
            <w:r>
              <w:rPr>
                <w:sz w:val="24"/>
                <w:u w:val="wave"/>
              </w:rPr>
              <w:t>对于同一个项目有多个污染源时，按各污染源分别确定评价等级，并取评价等级最高者作为项目的评价等级。综上计算可知，本项目评价等级为二级。</w:t>
            </w:r>
          </w:p>
          <w:p>
            <w:pPr>
              <w:pStyle w:val="35"/>
              <w:spacing w:after="0" w:line="360" w:lineRule="auto"/>
              <w:ind w:firstLine="480" w:firstLineChars="200"/>
              <w:jc w:val="both"/>
              <w:rPr>
                <w:rFonts w:ascii="Times New Roman" w:cs="Times New Roman"/>
                <w:color w:val="auto"/>
                <w:szCs w:val="32"/>
                <w:u w:val="wave"/>
              </w:rPr>
            </w:pPr>
            <w:r>
              <w:rPr>
                <w:rFonts w:ascii="Times New Roman" w:cs="Times New Roman"/>
                <w:color w:val="auto"/>
                <w:szCs w:val="32"/>
                <w:u w:val="wave"/>
              </w:rPr>
              <w:t>2、污染物排放达标分析</w:t>
            </w:r>
          </w:p>
          <w:p>
            <w:pPr>
              <w:pStyle w:val="35"/>
              <w:spacing w:after="0" w:line="360" w:lineRule="auto"/>
              <w:ind w:firstLine="480" w:firstLineChars="200"/>
              <w:jc w:val="both"/>
              <w:rPr>
                <w:rFonts w:ascii="Times New Roman" w:cs="Times New Roman"/>
                <w:color w:val="auto"/>
                <w:szCs w:val="32"/>
                <w:u w:val="wave"/>
              </w:rPr>
            </w:pPr>
            <w:r>
              <w:rPr>
                <w:rFonts w:ascii="Times New Roman" w:cs="Times New Roman"/>
                <w:color w:val="auto"/>
                <w:szCs w:val="32"/>
                <w:u w:val="wave"/>
              </w:rPr>
              <w:t>（1）有组织粉尘达标分析</w:t>
            </w:r>
          </w:p>
          <w:p>
            <w:pPr>
              <w:spacing w:after="0" w:line="360" w:lineRule="auto"/>
              <w:ind w:firstLine="480" w:firstLineChars="200"/>
              <w:rPr>
                <w:sz w:val="24"/>
                <w:u w:val="wave"/>
              </w:rPr>
            </w:pPr>
            <w:r>
              <w:rPr>
                <w:sz w:val="24"/>
                <w:u w:val="wave"/>
              </w:rPr>
              <w:t>本项目混凝土搅拌区的水泥筒仓呼吸粉尘通过脉冲除尘器处理，处理后通过25m</w:t>
            </w:r>
            <w:r>
              <w:rPr>
                <w:rFonts w:hint="eastAsia"/>
                <w:sz w:val="24"/>
                <w:u w:val="wave"/>
              </w:rPr>
              <w:t>且高于周边建筑3m</w:t>
            </w:r>
            <w:r>
              <w:rPr>
                <w:sz w:val="24"/>
                <w:u w:val="wave"/>
              </w:rPr>
              <w:t>的P1~P</w:t>
            </w:r>
            <w:r>
              <w:rPr>
                <w:rFonts w:hint="eastAsia"/>
                <w:sz w:val="24"/>
                <w:u w:val="wave"/>
              </w:rPr>
              <w:t>9</w:t>
            </w:r>
            <w:r>
              <w:rPr>
                <w:sz w:val="24"/>
                <w:u w:val="wave"/>
              </w:rPr>
              <w:t>排气筒排放，</w:t>
            </w:r>
            <w:r>
              <w:rPr>
                <w:rFonts w:hint="eastAsia"/>
                <w:sz w:val="24"/>
                <w:u w:val="wave"/>
              </w:rPr>
              <w:t>单个200t水泥筒仓的排气筒的</w:t>
            </w:r>
            <w:r>
              <w:rPr>
                <w:sz w:val="24"/>
                <w:u w:val="wave"/>
              </w:rPr>
              <w:t>排放速率及排放浓度为0.0</w:t>
            </w:r>
            <w:r>
              <w:rPr>
                <w:rFonts w:hint="eastAsia"/>
                <w:sz w:val="24"/>
                <w:u w:val="wave"/>
                <w:lang w:val="en-US" w:eastAsia="zh-CN"/>
              </w:rPr>
              <w:t>125</w:t>
            </w:r>
            <w:r>
              <w:rPr>
                <w:sz w:val="24"/>
                <w:u w:val="wave"/>
              </w:rPr>
              <w:t>kg/h、</w:t>
            </w:r>
            <w:r>
              <w:rPr>
                <w:rFonts w:hint="eastAsia"/>
                <w:sz w:val="24"/>
                <w:u w:val="wave"/>
                <w:lang w:val="en-US" w:eastAsia="zh-CN"/>
              </w:rPr>
              <w:t>6.25</w:t>
            </w:r>
            <w:r>
              <w:rPr>
                <w:sz w:val="24"/>
                <w:u w:val="wave"/>
              </w:rPr>
              <w:t>mg/m</w:t>
            </w:r>
            <w:r>
              <w:rPr>
                <w:sz w:val="24"/>
                <w:u w:val="wave"/>
                <w:vertAlign w:val="superscript"/>
              </w:rPr>
              <w:t>3</w:t>
            </w:r>
            <w:r>
              <w:rPr>
                <w:sz w:val="24"/>
                <w:u w:val="wave"/>
              </w:rPr>
              <w:t>，</w:t>
            </w:r>
            <w:r>
              <w:rPr>
                <w:rFonts w:hint="eastAsia"/>
                <w:sz w:val="24"/>
                <w:u w:val="wave"/>
              </w:rPr>
              <w:t>单个3000t水泥筒仓的排气筒的</w:t>
            </w:r>
            <w:r>
              <w:rPr>
                <w:sz w:val="24"/>
                <w:u w:val="wave"/>
              </w:rPr>
              <w:t>排放速率及排放浓度为0.0</w:t>
            </w:r>
            <w:r>
              <w:rPr>
                <w:rFonts w:hint="eastAsia"/>
                <w:sz w:val="24"/>
                <w:u w:val="wave"/>
                <w:lang w:val="en-US" w:eastAsia="zh-CN"/>
              </w:rPr>
              <w:t>167</w:t>
            </w:r>
            <w:r>
              <w:rPr>
                <w:sz w:val="24"/>
                <w:u w:val="wave"/>
              </w:rPr>
              <w:t>kg/h、</w:t>
            </w:r>
            <w:r>
              <w:rPr>
                <w:rFonts w:hint="eastAsia"/>
                <w:sz w:val="24"/>
                <w:u w:val="wave"/>
                <w:lang w:val="en-US" w:eastAsia="zh-CN"/>
              </w:rPr>
              <w:t>8.3</w:t>
            </w:r>
            <w:r>
              <w:rPr>
                <w:sz w:val="24"/>
                <w:u w:val="wave"/>
              </w:rPr>
              <w:t>mg/m</w:t>
            </w:r>
            <w:r>
              <w:rPr>
                <w:sz w:val="24"/>
                <w:u w:val="wave"/>
                <w:vertAlign w:val="superscript"/>
              </w:rPr>
              <w:t>3</w:t>
            </w:r>
            <w:r>
              <w:rPr>
                <w:sz w:val="24"/>
                <w:u w:val="wave"/>
              </w:rPr>
              <w:t>；粉煤灰筒仓呼吸粉尘通过脉冲除尘器处理，处理后通过25m</w:t>
            </w:r>
            <w:r>
              <w:rPr>
                <w:rFonts w:hint="eastAsia"/>
                <w:sz w:val="24"/>
                <w:u w:val="wave"/>
              </w:rPr>
              <w:t>且高于周边建筑3m</w:t>
            </w:r>
            <w:r>
              <w:rPr>
                <w:sz w:val="24"/>
                <w:u w:val="wave"/>
              </w:rPr>
              <w:t>的P1</w:t>
            </w:r>
            <w:r>
              <w:rPr>
                <w:rFonts w:hint="eastAsia"/>
                <w:sz w:val="24"/>
                <w:u w:val="wave"/>
              </w:rPr>
              <w:t>0</w:t>
            </w:r>
            <w:r>
              <w:rPr>
                <w:sz w:val="24"/>
                <w:u w:val="wave"/>
              </w:rPr>
              <w:t>、P1</w:t>
            </w:r>
            <w:r>
              <w:rPr>
                <w:rFonts w:hint="eastAsia"/>
                <w:sz w:val="24"/>
                <w:u w:val="wave"/>
              </w:rPr>
              <w:t>1</w:t>
            </w:r>
            <w:r>
              <w:rPr>
                <w:sz w:val="24"/>
                <w:u w:val="wave"/>
              </w:rPr>
              <w:t>排气筒排放，</w:t>
            </w:r>
            <w:r>
              <w:rPr>
                <w:rFonts w:hint="eastAsia"/>
                <w:sz w:val="24"/>
                <w:u w:val="wave"/>
              </w:rPr>
              <w:t>单个排气筒的</w:t>
            </w:r>
            <w:r>
              <w:rPr>
                <w:sz w:val="24"/>
                <w:u w:val="wave"/>
              </w:rPr>
              <w:t>排放速率及排放浓度为0.00</w:t>
            </w:r>
            <w:r>
              <w:rPr>
                <w:rFonts w:hint="eastAsia"/>
                <w:sz w:val="24"/>
                <w:u w:val="wave"/>
                <w:lang w:val="en-US" w:eastAsia="zh-CN"/>
              </w:rPr>
              <w:t>25</w:t>
            </w:r>
            <w:r>
              <w:rPr>
                <w:sz w:val="24"/>
                <w:u w:val="wave"/>
              </w:rPr>
              <w:t>kg/h、</w:t>
            </w:r>
            <w:r>
              <w:rPr>
                <w:rFonts w:hint="eastAsia"/>
                <w:sz w:val="24"/>
                <w:u w:val="wave"/>
                <w:lang w:val="en-US" w:eastAsia="zh-CN"/>
              </w:rPr>
              <w:t>1.25</w:t>
            </w:r>
            <w:r>
              <w:rPr>
                <w:sz w:val="24"/>
                <w:u w:val="wave"/>
              </w:rPr>
              <w:t>mg/m</w:t>
            </w:r>
            <w:r>
              <w:rPr>
                <w:sz w:val="24"/>
                <w:u w:val="wave"/>
                <w:vertAlign w:val="superscript"/>
              </w:rPr>
              <w:t>3</w:t>
            </w:r>
            <w:r>
              <w:rPr>
                <w:sz w:val="24"/>
                <w:u w:val="wave"/>
              </w:rPr>
              <w:t>；搅拌粉尘通过脉冲除尘器处理，处理后通过25m</w:t>
            </w:r>
            <w:r>
              <w:rPr>
                <w:rFonts w:hint="eastAsia"/>
                <w:sz w:val="24"/>
                <w:u w:val="wave"/>
              </w:rPr>
              <w:t>且高于周边建筑3m</w:t>
            </w:r>
            <w:r>
              <w:rPr>
                <w:sz w:val="24"/>
                <w:u w:val="wave"/>
              </w:rPr>
              <w:t>的P1</w:t>
            </w:r>
            <w:r>
              <w:rPr>
                <w:rFonts w:hint="eastAsia"/>
                <w:sz w:val="24"/>
                <w:u w:val="wave"/>
              </w:rPr>
              <w:t>2</w:t>
            </w:r>
            <w:r>
              <w:rPr>
                <w:sz w:val="24"/>
                <w:u w:val="wave"/>
              </w:rPr>
              <w:t>~P1</w:t>
            </w:r>
            <w:r>
              <w:rPr>
                <w:rFonts w:hint="eastAsia"/>
                <w:sz w:val="24"/>
                <w:u w:val="wave"/>
              </w:rPr>
              <w:t>4</w:t>
            </w:r>
            <w:r>
              <w:rPr>
                <w:sz w:val="24"/>
                <w:u w:val="wave"/>
              </w:rPr>
              <w:t>排气筒排放，</w:t>
            </w:r>
            <w:r>
              <w:rPr>
                <w:rFonts w:hint="eastAsia"/>
                <w:sz w:val="24"/>
                <w:u w:val="wave"/>
              </w:rPr>
              <w:t>P12~P13排气筒（中联180线/润天90线）</w:t>
            </w:r>
            <w:r>
              <w:rPr>
                <w:sz w:val="24"/>
                <w:u w:val="wave"/>
              </w:rPr>
              <w:t>排放速率及排放浓度为0.0</w:t>
            </w:r>
            <w:r>
              <w:rPr>
                <w:rFonts w:hint="eastAsia"/>
                <w:sz w:val="24"/>
                <w:u w:val="wave"/>
                <w:lang w:val="en-US" w:eastAsia="zh-CN"/>
              </w:rPr>
              <w:t>161</w:t>
            </w:r>
            <w:r>
              <w:rPr>
                <w:sz w:val="24"/>
                <w:u w:val="wave"/>
              </w:rPr>
              <w:t>kg/h、0.</w:t>
            </w:r>
            <w:r>
              <w:rPr>
                <w:rFonts w:hint="eastAsia"/>
                <w:sz w:val="24"/>
                <w:u w:val="wave"/>
                <w:lang w:val="en-US" w:eastAsia="zh-CN"/>
              </w:rPr>
              <w:t>81</w:t>
            </w:r>
            <w:r>
              <w:rPr>
                <w:sz w:val="24"/>
                <w:u w:val="wave"/>
              </w:rPr>
              <w:t>mg/m</w:t>
            </w:r>
            <w:r>
              <w:rPr>
                <w:sz w:val="24"/>
                <w:u w:val="wave"/>
                <w:vertAlign w:val="superscript"/>
              </w:rPr>
              <w:t>3</w:t>
            </w:r>
            <w:r>
              <w:rPr>
                <w:rFonts w:hint="eastAsia"/>
                <w:sz w:val="24"/>
                <w:u w:val="wave"/>
              </w:rPr>
              <w:t>，P14排气筒（柳城600线）</w:t>
            </w:r>
            <w:r>
              <w:rPr>
                <w:sz w:val="24"/>
                <w:u w:val="wave"/>
              </w:rPr>
              <w:t>排放速率及排放浓度为0.00</w:t>
            </w:r>
            <w:r>
              <w:rPr>
                <w:rFonts w:hint="eastAsia"/>
                <w:sz w:val="24"/>
                <w:u w:val="wave"/>
                <w:lang w:val="en-US" w:eastAsia="zh-CN"/>
              </w:rPr>
              <w:t>46</w:t>
            </w:r>
            <w:r>
              <w:rPr>
                <w:sz w:val="24"/>
                <w:u w:val="wave"/>
              </w:rPr>
              <w:t>kg/h、0.</w:t>
            </w:r>
            <w:r>
              <w:rPr>
                <w:rFonts w:hint="eastAsia"/>
                <w:sz w:val="24"/>
                <w:u w:val="wave"/>
                <w:lang w:val="en-US" w:eastAsia="zh-CN"/>
              </w:rPr>
              <w:t>23</w:t>
            </w:r>
            <w:r>
              <w:rPr>
                <w:sz w:val="24"/>
                <w:u w:val="wave"/>
              </w:rPr>
              <w:t>mg/m</w:t>
            </w:r>
            <w:r>
              <w:rPr>
                <w:sz w:val="24"/>
                <w:u w:val="wave"/>
                <w:vertAlign w:val="superscript"/>
              </w:rPr>
              <w:t>3</w:t>
            </w:r>
            <w:r>
              <w:rPr>
                <w:sz w:val="24"/>
                <w:u w:val="wave"/>
              </w:rPr>
              <w:t>；有组织粉尘的排放均可以满足《水泥工业大气污染物排放标准》（GB4915-2013）表2中规定的排放限值</w:t>
            </w:r>
            <w:r>
              <w:rPr>
                <w:rFonts w:hint="eastAsia"/>
                <w:sz w:val="24"/>
                <w:u w:val="wave"/>
              </w:rPr>
              <w:t>，</w:t>
            </w:r>
            <w:r>
              <w:rPr>
                <w:sz w:val="24"/>
                <w:u w:val="wave"/>
              </w:rPr>
              <w:t>对周围环境影响较小。</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（2）无组织废气排放分析</w:t>
            </w:r>
          </w:p>
          <w:p>
            <w:pPr>
              <w:spacing w:after="0" w:line="360" w:lineRule="auto"/>
              <w:ind w:firstLine="480" w:firstLineChars="200"/>
              <w:rPr>
                <w:sz w:val="24"/>
                <w:u w:val="wave"/>
              </w:rPr>
            </w:pPr>
            <w:r>
              <w:rPr>
                <w:rFonts w:hint="eastAsia"/>
                <w:sz w:val="24"/>
                <w:u w:val="wave"/>
              </w:rPr>
              <w:t>①无组织</w:t>
            </w:r>
            <w:r>
              <w:rPr>
                <w:sz w:val="24"/>
                <w:u w:val="wave"/>
              </w:rPr>
              <w:t>粉尘</w:t>
            </w:r>
            <w:r>
              <w:rPr>
                <w:rFonts w:hint="eastAsia"/>
                <w:sz w:val="24"/>
                <w:u w:val="wave"/>
              </w:rPr>
              <w:t>达标分析</w:t>
            </w:r>
          </w:p>
          <w:p>
            <w:pPr>
              <w:spacing w:after="0" w:line="360" w:lineRule="auto"/>
              <w:ind w:firstLine="480" w:firstLineChars="200"/>
              <w:rPr>
                <w:sz w:val="24"/>
                <w:u w:val="wave"/>
              </w:rPr>
            </w:pPr>
            <w:r>
              <w:rPr>
                <w:sz w:val="24"/>
                <w:u w:val="wave"/>
              </w:rPr>
              <w:t>根据工程分析AERSCREEN 2018估算可知，本项目</w:t>
            </w:r>
            <w:r>
              <w:rPr>
                <w:rFonts w:hint="eastAsia"/>
                <w:sz w:val="24"/>
                <w:u w:val="wave"/>
              </w:rPr>
              <w:t>无组织粉尘经洒水降尘等措施处理后，</w:t>
            </w:r>
            <w:r>
              <w:rPr>
                <w:rFonts w:hint="eastAsia"/>
                <w:sz w:val="24"/>
                <w:u w:val="wave"/>
                <w:lang w:val="en-US" w:eastAsia="zh-CN"/>
              </w:rPr>
              <w:t>无组织</w:t>
            </w:r>
            <w:r>
              <w:rPr>
                <w:rFonts w:hint="eastAsia"/>
                <w:sz w:val="24"/>
                <w:u w:val="wave"/>
              </w:rPr>
              <w:t>粉尘最大落地浓度为0</w:t>
            </w:r>
            <w:r>
              <w:rPr>
                <w:sz w:val="24"/>
                <w:u w:val="wave"/>
              </w:rPr>
              <w:t>.07</w:t>
            </w:r>
            <w:r>
              <w:rPr>
                <w:rFonts w:hint="eastAsia"/>
                <w:sz w:val="24"/>
                <w:u w:val="wave"/>
                <w:lang w:val="en-US" w:eastAsia="zh-CN"/>
              </w:rPr>
              <w:t>8</w:t>
            </w:r>
            <w:r>
              <w:rPr>
                <w:sz w:val="24"/>
                <w:u w:val="wave"/>
              </w:rPr>
              <w:t>mg/m</w:t>
            </w:r>
            <w:r>
              <w:rPr>
                <w:sz w:val="24"/>
                <w:u w:val="wave"/>
                <w:vertAlign w:val="superscript"/>
              </w:rPr>
              <w:t>3</w:t>
            </w:r>
            <w:r>
              <w:rPr>
                <w:sz w:val="24"/>
                <w:u w:val="wave"/>
              </w:rPr>
              <w:t>，</w:t>
            </w:r>
            <w:r>
              <w:rPr>
                <w:rFonts w:hint="eastAsia"/>
                <w:sz w:val="24"/>
                <w:u w:val="wave"/>
              </w:rPr>
              <w:t>均</w:t>
            </w:r>
            <w:r>
              <w:rPr>
                <w:sz w:val="24"/>
                <w:u w:val="wave"/>
              </w:rPr>
              <w:t>满足《水泥工业大气污染物排放标准》（GB4915-2013）表3中规定的排放限值</w:t>
            </w:r>
            <w:r>
              <w:rPr>
                <w:rFonts w:hint="eastAsia"/>
                <w:sz w:val="24"/>
                <w:u w:val="wave"/>
              </w:rPr>
              <w:t>，</w:t>
            </w:r>
            <w:r>
              <w:rPr>
                <w:sz w:val="24"/>
                <w:u w:val="wave"/>
              </w:rPr>
              <w:t>无组织废气排放对周围环境影响较小。</w:t>
            </w:r>
          </w:p>
          <w:p>
            <w:pPr>
              <w:spacing w:after="0" w:line="360" w:lineRule="auto"/>
              <w:ind w:firstLine="480" w:firstLineChars="200"/>
              <w:rPr>
                <w:sz w:val="24"/>
                <w:u w:val="wave"/>
              </w:rPr>
            </w:pPr>
            <w:r>
              <w:rPr>
                <w:rFonts w:hint="eastAsia"/>
                <w:sz w:val="24"/>
                <w:u w:val="wave"/>
              </w:rPr>
              <w:t>②</w:t>
            </w:r>
            <w:r>
              <w:rPr>
                <w:sz w:val="24"/>
                <w:u w:val="wave"/>
              </w:rPr>
              <w:t>汽车尾气</w:t>
            </w:r>
          </w:p>
          <w:p>
            <w:pPr>
              <w:spacing w:after="0" w:line="360" w:lineRule="auto"/>
              <w:ind w:firstLine="480" w:firstLineChars="200"/>
              <w:rPr>
                <w:sz w:val="24"/>
                <w:u w:val="wave"/>
              </w:rPr>
            </w:pPr>
            <w:r>
              <w:rPr>
                <w:sz w:val="24"/>
                <w:u w:val="wave"/>
              </w:rPr>
              <w:t>本项目汽车运输时会产生车辆尾气，主要污染物为CO、SO</w:t>
            </w:r>
            <w:r>
              <w:rPr>
                <w:sz w:val="24"/>
                <w:u w:val="wave"/>
                <w:vertAlign w:val="subscript"/>
              </w:rPr>
              <w:t>2</w:t>
            </w:r>
            <w:r>
              <w:rPr>
                <w:sz w:val="24"/>
                <w:u w:val="wave"/>
              </w:rPr>
              <w:t>、NOx，项目运输车辆尾气排放量较少，且经大气稀释、扩散以及周边植物吸收后，对区域大气环境影响极小，故不做定量分析。</w:t>
            </w:r>
          </w:p>
          <w:p>
            <w:pPr>
              <w:pStyle w:val="35"/>
              <w:spacing w:after="0" w:line="360" w:lineRule="auto"/>
              <w:ind w:firstLine="480" w:firstLineChars="200"/>
              <w:jc w:val="both"/>
              <w:rPr>
                <w:rFonts w:ascii="Times New Roman" w:cs="Times New Roman"/>
                <w:u w:val="wave"/>
              </w:rPr>
            </w:pPr>
            <w:r>
              <w:rPr>
                <w:rFonts w:hint="eastAsia" w:ascii="Times New Roman"/>
                <w:u w:val="wave"/>
              </w:rPr>
              <w:t>③</w:t>
            </w:r>
            <w:r>
              <w:rPr>
                <w:rFonts w:ascii="Times New Roman" w:cs="Times New Roman"/>
                <w:u w:val="wave"/>
              </w:rPr>
              <w:t>柴油发电机废气</w:t>
            </w:r>
          </w:p>
          <w:p>
            <w:pPr>
              <w:pStyle w:val="35"/>
              <w:spacing w:after="0" w:line="360" w:lineRule="auto"/>
              <w:ind w:firstLine="480" w:firstLineChars="200"/>
              <w:jc w:val="both"/>
              <w:rPr>
                <w:rFonts w:ascii="Times New Roman" w:cs="Times New Roman"/>
                <w:u w:val="wave"/>
              </w:rPr>
            </w:pPr>
            <w:r>
              <w:rPr>
                <w:rFonts w:ascii="Times New Roman" w:cs="Times New Roman"/>
                <w:u w:val="wave"/>
              </w:rPr>
              <w:t>本项目备用电源为柴油发电机，年使用量及使用时间较少，故不进行定量分析。</w:t>
            </w:r>
          </w:p>
          <w:p>
            <w:pPr>
              <w:pStyle w:val="16"/>
              <w:spacing w:after="0" w:line="360" w:lineRule="auto"/>
              <w:rPr>
                <w:sz w:val="24"/>
                <w:u w:val="wave"/>
              </w:rPr>
            </w:pPr>
            <w:r>
              <w:rPr>
                <w:rFonts w:hint="eastAsia"/>
                <w:sz w:val="24"/>
                <w:u w:val="wave"/>
              </w:rPr>
              <w:t>④柴油储罐</w:t>
            </w:r>
          </w:p>
          <w:p>
            <w:pPr>
              <w:widowControl/>
              <w:spacing w:after="0" w:line="360" w:lineRule="auto"/>
              <w:ind w:firstLine="480" w:firstLineChars="200"/>
              <w:jc w:val="left"/>
              <w:rPr>
                <w:sz w:val="24"/>
                <w:u w:val="wave"/>
              </w:rPr>
            </w:pPr>
            <w:r>
              <w:rPr>
                <w:rFonts w:hint="eastAsia"/>
                <w:sz w:val="24"/>
                <w:u w:val="wave"/>
              </w:rPr>
              <w:t>本项目设有一个柴油储罐，用于车辆加油，年使用量为200t/a。年使用量较少，故不进行定量分析。</w:t>
            </w:r>
          </w:p>
          <w:p>
            <w:pPr>
              <w:pStyle w:val="49"/>
              <w:spacing w:after="0" w:line="360" w:lineRule="auto"/>
              <w:ind w:firstLine="480"/>
              <w:rPr>
                <w:u w:val="wave"/>
              </w:rPr>
            </w:pPr>
            <w:r>
              <w:rPr>
                <w:rFonts w:hint="eastAsia"/>
                <w:u w:val="wave"/>
              </w:rPr>
              <w:t>（3）食堂油烟排放分析</w:t>
            </w:r>
          </w:p>
          <w:p>
            <w:pPr>
              <w:pStyle w:val="49"/>
              <w:spacing w:after="0" w:line="360" w:lineRule="auto"/>
              <w:ind w:firstLine="480"/>
              <w:rPr>
                <w:szCs w:val="21"/>
                <w:u w:val="wave"/>
              </w:rPr>
            </w:pPr>
            <w:r>
              <w:rPr>
                <w:rFonts w:hint="eastAsia" w:cs="宋体"/>
                <w:u w:val="wave"/>
              </w:rPr>
              <w:t>本项目油烟经油烟净化器处理后通过1</w:t>
            </w:r>
            <w:r>
              <w:rPr>
                <w:rFonts w:cs="宋体"/>
                <w:u w:val="wave"/>
              </w:rPr>
              <w:t>5</w:t>
            </w:r>
            <w:r>
              <w:rPr>
                <w:rFonts w:hint="eastAsia" w:cs="宋体"/>
                <w:u w:val="wave"/>
              </w:rPr>
              <w:t>m高的排气筒排放，</w:t>
            </w:r>
            <w:r>
              <w:rPr>
                <w:rFonts w:cs="宋体"/>
                <w:u w:val="wave"/>
              </w:rPr>
              <w:t>排放量为</w:t>
            </w:r>
            <w:r>
              <w:rPr>
                <w:rFonts w:hint="eastAsia" w:cs="宋体"/>
                <w:u w:val="wave"/>
              </w:rPr>
              <w:t>3.78</w:t>
            </w:r>
            <w:r>
              <w:rPr>
                <w:rFonts w:cs="宋体"/>
                <w:u w:val="wave"/>
              </w:rPr>
              <w:t>kg/a，排放浓度为0</w:t>
            </w:r>
            <w:r>
              <w:rPr>
                <w:rFonts w:hint="eastAsia" w:cs="宋体"/>
                <w:u w:val="wave"/>
              </w:rPr>
              <w:t>.39</w:t>
            </w:r>
            <w:r>
              <w:rPr>
                <w:rFonts w:cs="宋体"/>
                <w:u w:val="wave"/>
              </w:rPr>
              <w:t>mg/m³</w:t>
            </w:r>
            <w:r>
              <w:rPr>
                <w:rFonts w:hint="eastAsia" w:cs="宋体"/>
                <w:u w:val="wave"/>
              </w:rPr>
              <w:t>，满足</w:t>
            </w:r>
            <w:r>
              <w:rPr>
                <w:szCs w:val="21"/>
                <w:u w:val="wave"/>
              </w:rPr>
              <w:t>满足《饮食业油烟排放标准（试行）》（GB 18483-2001）表2中规定的排放限值</w:t>
            </w:r>
            <w:r>
              <w:rPr>
                <w:rFonts w:hint="eastAsia"/>
                <w:szCs w:val="21"/>
                <w:u w:val="wave"/>
              </w:rPr>
              <w:t>。</w:t>
            </w:r>
          </w:p>
          <w:p>
            <w:pPr>
              <w:pStyle w:val="49"/>
              <w:spacing w:after="0" w:line="360" w:lineRule="auto"/>
              <w:ind w:firstLine="480"/>
              <w:rPr>
                <w:szCs w:val="21"/>
                <w:u w:val="wave"/>
              </w:rPr>
            </w:pPr>
            <w:r>
              <w:rPr>
                <w:rFonts w:hint="eastAsia"/>
                <w:szCs w:val="21"/>
                <w:u w:val="wave"/>
              </w:rPr>
              <w:t>（4）对杨林寨水厂的影响分析</w:t>
            </w:r>
          </w:p>
          <w:p>
            <w:pPr>
              <w:pStyle w:val="49"/>
              <w:spacing w:after="0" w:line="360" w:lineRule="auto"/>
              <w:ind w:firstLine="480"/>
              <w:rPr>
                <w:szCs w:val="21"/>
                <w:u w:val="wave"/>
              </w:rPr>
            </w:pPr>
            <w:r>
              <w:rPr>
                <w:rFonts w:hint="eastAsia"/>
                <w:szCs w:val="21"/>
                <w:u w:val="wave"/>
              </w:rPr>
              <w:t>本项目南侧40m处为杨林寨水厂，经过预测可知，有组织废气粉尘的最大落地距离为125m，15根排气筒的总最大落地浓度为0.1626</w:t>
            </w:r>
            <w:r>
              <w:rPr>
                <w:u w:val="wave"/>
              </w:rPr>
              <w:t>mg/m</w:t>
            </w:r>
            <w:r>
              <w:rPr>
                <w:u w:val="wave"/>
                <w:vertAlign w:val="superscript"/>
              </w:rPr>
              <w:t>3</w:t>
            </w:r>
            <w:r>
              <w:rPr>
                <w:rFonts w:hint="eastAsia"/>
                <w:u w:val="wave"/>
              </w:rPr>
              <w:t>；无组织废气粉尘的最大落地距离为75m，</w:t>
            </w:r>
            <w:r>
              <w:rPr>
                <w:rFonts w:hint="eastAsia"/>
                <w:szCs w:val="21"/>
                <w:u w:val="wave"/>
              </w:rPr>
              <w:t>总最大落地浓度为0.1258</w:t>
            </w:r>
            <w:r>
              <w:rPr>
                <w:u w:val="wave"/>
              </w:rPr>
              <w:t>mg/m</w:t>
            </w:r>
            <w:r>
              <w:rPr>
                <w:u w:val="wave"/>
                <w:vertAlign w:val="superscript"/>
              </w:rPr>
              <w:t>3</w:t>
            </w:r>
            <w:r>
              <w:rPr>
                <w:rFonts w:hint="eastAsia"/>
                <w:u w:val="wave"/>
              </w:rPr>
              <w:t>；两者最大落地距离均大于项目与水厂之间的距离，项目产生的粉尘聚集在水厂的浓度远小于0.2884</w:t>
            </w:r>
            <w:r>
              <w:rPr>
                <w:u w:val="wave"/>
              </w:rPr>
              <w:t>mg/m</w:t>
            </w:r>
            <w:r>
              <w:rPr>
                <w:u w:val="wave"/>
                <w:vertAlign w:val="superscript"/>
              </w:rPr>
              <w:t>3</w:t>
            </w:r>
            <w:r>
              <w:rPr>
                <w:rFonts w:hint="eastAsia"/>
                <w:u w:val="wave"/>
              </w:rPr>
              <w:t>，符合《水泥工业大气污染物排放标准》（GB4915-2013）表</w:t>
            </w:r>
            <w:r>
              <w:rPr>
                <w:u w:val="wave"/>
              </w:rPr>
              <w:t>3</w:t>
            </w:r>
            <w:r>
              <w:rPr>
                <w:rFonts w:hint="eastAsia"/>
                <w:u w:val="wave"/>
              </w:rPr>
              <w:t>中规定的排放限值。本环评要求：应加强</w:t>
            </w:r>
            <w:r>
              <w:rPr>
                <w:rFonts w:hint="eastAsia"/>
                <w:szCs w:val="22"/>
                <w:u w:val="wave"/>
              </w:rPr>
              <w:t>布设</w:t>
            </w:r>
            <w:r>
              <w:rPr>
                <w:rFonts w:hint="eastAsia"/>
                <w:u w:val="wave"/>
              </w:rPr>
              <w:t>厂区南边（杨林寨水厂方向）的</w:t>
            </w:r>
            <w:r>
              <w:rPr>
                <w:rFonts w:hint="eastAsia"/>
                <w:szCs w:val="22"/>
                <w:u w:val="wave"/>
              </w:rPr>
              <w:t>喷淋洒水设施</w:t>
            </w:r>
            <w:r>
              <w:rPr>
                <w:rFonts w:hint="eastAsia"/>
                <w:u w:val="wave"/>
              </w:rPr>
              <w:t>，并设置绿化带，以减轻项目粉尘对水厂的影响。做好上述措施后本项目粉尘对杨林寨水厂的影响较小。</w:t>
            </w:r>
          </w:p>
          <w:p>
            <w:pPr>
              <w:spacing w:after="0" w:line="360" w:lineRule="auto"/>
              <w:ind w:firstLine="480" w:firstLineChars="200"/>
              <w:rPr>
                <w:sz w:val="24"/>
                <w:u w:val="wave"/>
              </w:rPr>
            </w:pPr>
            <w:r>
              <w:rPr>
                <w:sz w:val="24"/>
                <w:u w:val="wave"/>
              </w:rPr>
              <w:t>3、污染物排放量核算</w:t>
            </w:r>
          </w:p>
          <w:p>
            <w:pPr>
              <w:spacing w:after="0" w:line="360" w:lineRule="auto"/>
              <w:ind w:firstLine="480" w:firstLineChars="200"/>
              <w:rPr>
                <w:sz w:val="24"/>
                <w:u w:val="wave"/>
              </w:rPr>
            </w:pPr>
            <w:r>
              <w:rPr>
                <w:sz w:val="24"/>
                <w:u w:val="wave"/>
              </w:rPr>
              <w:t>根据《环境影响评价技术导则 大气环境》（HJ2.2-2018），本项目属于二级评价，需对废气排放量进行核算，核算情况如下。</w:t>
            </w:r>
          </w:p>
          <w:p>
            <w:pPr>
              <w:pStyle w:val="36"/>
              <w:numPr>
                <w:ilvl w:val="0"/>
                <w:numId w:val="2"/>
              </w:numPr>
              <w:spacing w:after="0" w:line="360" w:lineRule="auto"/>
              <w:ind w:firstLineChars="0"/>
              <w:rPr>
                <w:b/>
                <w:sz w:val="24"/>
                <w:u w:val="wave"/>
              </w:rPr>
            </w:pPr>
            <w:r>
              <w:rPr>
                <w:sz w:val="24"/>
                <w:u w:val="wave"/>
              </w:rPr>
              <w:t>有组织排放量核算</w:t>
            </w:r>
          </w:p>
          <w:p>
            <w:pPr>
              <w:pStyle w:val="35"/>
              <w:spacing w:after="0"/>
              <w:jc w:val="center"/>
              <w:rPr>
                <w:rFonts w:ascii="Times New Roman"/>
                <w:b/>
                <w:bCs/>
                <w:color w:val="auto"/>
                <w:sz w:val="21"/>
                <w:szCs w:val="21"/>
                <w:u w:val="wave"/>
              </w:rPr>
            </w:pPr>
            <w:r>
              <w:rPr>
                <w:rFonts w:hint="eastAsia" w:ascii="Times New Roman"/>
                <w:b/>
                <w:bCs/>
                <w:color w:val="auto"/>
                <w:sz w:val="21"/>
                <w:szCs w:val="21"/>
                <w:u w:val="wave"/>
              </w:rPr>
              <w:t>表7-</w:t>
            </w:r>
            <w:r>
              <w:rPr>
                <w:rFonts w:ascii="Times New Roman"/>
                <w:b/>
                <w:bCs/>
                <w:color w:val="auto"/>
                <w:sz w:val="21"/>
                <w:szCs w:val="21"/>
                <w:u w:val="wave"/>
              </w:rPr>
              <w:t>8</w:t>
            </w:r>
            <w:r>
              <w:rPr>
                <w:rFonts w:hint="eastAsia" w:ascii="Times New Roman"/>
                <w:b/>
                <w:bCs/>
                <w:color w:val="auto"/>
                <w:sz w:val="21"/>
                <w:szCs w:val="21"/>
                <w:u w:val="wave"/>
              </w:rPr>
              <w:t xml:space="preserve">  大气污染物有组织排放量核算表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971"/>
              <w:gridCol w:w="2069"/>
              <w:gridCol w:w="1511"/>
              <w:gridCol w:w="1511"/>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vAlign w:val="center"/>
                </w:tcPr>
                <w:p>
                  <w:pPr>
                    <w:spacing w:after="0" w:line="240" w:lineRule="exact"/>
                    <w:jc w:val="center"/>
                    <w:rPr>
                      <w:b/>
                      <w:bCs/>
                      <w:kern w:val="0"/>
                      <w:szCs w:val="21"/>
                      <w:u w:val="wave"/>
                    </w:rPr>
                  </w:pPr>
                  <w:r>
                    <w:rPr>
                      <w:b/>
                      <w:bCs/>
                      <w:kern w:val="0"/>
                      <w:szCs w:val="21"/>
                      <w:u w:val="wave"/>
                    </w:rPr>
                    <w:t>序号</w:t>
                  </w:r>
                </w:p>
              </w:tc>
              <w:tc>
                <w:tcPr>
                  <w:tcW w:w="1971" w:type="dxa"/>
                  <w:vAlign w:val="center"/>
                </w:tcPr>
                <w:p>
                  <w:pPr>
                    <w:spacing w:after="0" w:line="240" w:lineRule="exact"/>
                    <w:jc w:val="center"/>
                    <w:rPr>
                      <w:b/>
                      <w:bCs/>
                      <w:kern w:val="0"/>
                      <w:szCs w:val="21"/>
                      <w:u w:val="wave"/>
                    </w:rPr>
                  </w:pPr>
                  <w:r>
                    <w:rPr>
                      <w:b/>
                      <w:bCs/>
                      <w:kern w:val="0"/>
                      <w:szCs w:val="21"/>
                      <w:u w:val="wave"/>
                    </w:rPr>
                    <w:t>排放口编号</w:t>
                  </w:r>
                </w:p>
              </w:tc>
              <w:tc>
                <w:tcPr>
                  <w:tcW w:w="2069" w:type="dxa"/>
                  <w:vAlign w:val="center"/>
                </w:tcPr>
                <w:p>
                  <w:pPr>
                    <w:spacing w:after="0" w:line="240" w:lineRule="exact"/>
                    <w:jc w:val="center"/>
                    <w:rPr>
                      <w:b/>
                      <w:bCs/>
                      <w:kern w:val="0"/>
                      <w:szCs w:val="21"/>
                      <w:u w:val="wave"/>
                    </w:rPr>
                  </w:pPr>
                  <w:r>
                    <w:rPr>
                      <w:b/>
                      <w:bCs/>
                      <w:kern w:val="0"/>
                      <w:szCs w:val="21"/>
                      <w:u w:val="wave"/>
                    </w:rPr>
                    <w:t>污染物</w:t>
                  </w:r>
                </w:p>
              </w:tc>
              <w:tc>
                <w:tcPr>
                  <w:tcW w:w="1511" w:type="dxa"/>
                  <w:vAlign w:val="center"/>
                </w:tcPr>
                <w:p>
                  <w:pPr>
                    <w:spacing w:after="0" w:line="240" w:lineRule="exact"/>
                    <w:jc w:val="center"/>
                    <w:rPr>
                      <w:b/>
                      <w:bCs/>
                      <w:kern w:val="0"/>
                      <w:szCs w:val="21"/>
                      <w:u w:val="wave"/>
                    </w:rPr>
                  </w:pPr>
                  <w:r>
                    <w:rPr>
                      <w:b/>
                      <w:bCs/>
                      <w:kern w:val="0"/>
                      <w:szCs w:val="21"/>
                      <w:u w:val="wave"/>
                    </w:rPr>
                    <w:t>核算排放浓度/(</w:t>
                  </w:r>
                  <w:r>
                    <w:rPr>
                      <w:rFonts w:hint="eastAsia"/>
                      <w:b/>
                      <w:bCs/>
                      <w:kern w:val="0"/>
                      <w:szCs w:val="21"/>
                      <w:u w:val="wave"/>
                    </w:rPr>
                    <w:t>m</w:t>
                  </w:r>
                  <w:r>
                    <w:rPr>
                      <w:b/>
                      <w:bCs/>
                      <w:kern w:val="0"/>
                      <w:szCs w:val="21"/>
                      <w:u w:val="wave"/>
                    </w:rPr>
                    <w:t>g/m</w:t>
                  </w:r>
                  <w:r>
                    <w:rPr>
                      <w:b/>
                      <w:bCs/>
                      <w:kern w:val="0"/>
                      <w:szCs w:val="21"/>
                      <w:u w:val="wave"/>
                      <w:vertAlign w:val="superscript"/>
                    </w:rPr>
                    <w:t>3</w:t>
                  </w:r>
                  <w:r>
                    <w:rPr>
                      <w:b/>
                      <w:bCs/>
                      <w:kern w:val="0"/>
                      <w:szCs w:val="21"/>
                      <w:u w:val="wave"/>
                    </w:rPr>
                    <w:t>)</w:t>
                  </w:r>
                </w:p>
              </w:tc>
              <w:tc>
                <w:tcPr>
                  <w:tcW w:w="1511" w:type="dxa"/>
                  <w:vAlign w:val="center"/>
                </w:tcPr>
                <w:p>
                  <w:pPr>
                    <w:spacing w:after="0" w:line="240" w:lineRule="exact"/>
                    <w:jc w:val="center"/>
                    <w:rPr>
                      <w:b/>
                      <w:bCs/>
                      <w:kern w:val="0"/>
                      <w:szCs w:val="21"/>
                      <w:u w:val="wave"/>
                    </w:rPr>
                  </w:pPr>
                  <w:r>
                    <w:rPr>
                      <w:b/>
                      <w:bCs/>
                      <w:kern w:val="0"/>
                      <w:szCs w:val="21"/>
                      <w:u w:val="wave"/>
                    </w:rPr>
                    <w:t>核算排放速率/(kg/h)</w:t>
                  </w:r>
                </w:p>
              </w:tc>
              <w:tc>
                <w:tcPr>
                  <w:tcW w:w="1511" w:type="dxa"/>
                  <w:vAlign w:val="center"/>
                </w:tcPr>
                <w:p>
                  <w:pPr>
                    <w:spacing w:after="0" w:line="240" w:lineRule="exact"/>
                    <w:jc w:val="center"/>
                    <w:rPr>
                      <w:b/>
                      <w:bCs/>
                      <w:kern w:val="0"/>
                      <w:szCs w:val="21"/>
                      <w:u w:val="wave"/>
                    </w:rPr>
                  </w:pPr>
                  <w:r>
                    <w:rPr>
                      <w:b/>
                      <w:bCs/>
                      <w:kern w:val="0"/>
                      <w:szCs w:val="21"/>
                      <w:u w:val="wave"/>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2" w:type="dxa"/>
                  <w:gridSpan w:val="6"/>
                  <w:vAlign w:val="center"/>
                </w:tcPr>
                <w:p>
                  <w:pPr>
                    <w:spacing w:after="0" w:line="240" w:lineRule="exact"/>
                    <w:jc w:val="center"/>
                    <w:rPr>
                      <w:kern w:val="0"/>
                      <w:szCs w:val="21"/>
                      <w:u w:val="wave"/>
                    </w:rPr>
                  </w:pPr>
                  <w:r>
                    <w:rPr>
                      <w:kern w:val="0"/>
                      <w:szCs w:val="21"/>
                      <w:u w:val="wave"/>
                    </w:rP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vAlign w:val="center"/>
                </w:tcPr>
                <w:p>
                  <w:pPr>
                    <w:spacing w:after="0" w:line="240" w:lineRule="exact"/>
                    <w:jc w:val="center"/>
                    <w:rPr>
                      <w:kern w:val="0"/>
                      <w:szCs w:val="21"/>
                      <w:u w:val="wave"/>
                    </w:rPr>
                  </w:pPr>
                  <w:r>
                    <w:rPr>
                      <w:kern w:val="0"/>
                      <w:szCs w:val="21"/>
                      <w:u w:val="wave"/>
                    </w:rPr>
                    <w:t>1</w:t>
                  </w:r>
                </w:p>
              </w:tc>
              <w:tc>
                <w:tcPr>
                  <w:tcW w:w="1971" w:type="dxa"/>
                  <w:vAlign w:val="center"/>
                </w:tcPr>
                <w:p>
                  <w:pPr>
                    <w:spacing w:after="0"/>
                    <w:jc w:val="center"/>
                    <w:rPr>
                      <w:szCs w:val="21"/>
                      <w:u w:val="wave"/>
                    </w:rPr>
                  </w:pPr>
                  <w:r>
                    <w:rPr>
                      <w:szCs w:val="21"/>
                      <w:u w:val="wave"/>
                    </w:rPr>
                    <w:t>P1~P</w:t>
                  </w:r>
                  <w:r>
                    <w:rPr>
                      <w:rFonts w:hint="eastAsia"/>
                      <w:szCs w:val="21"/>
                      <w:u w:val="wave"/>
                    </w:rPr>
                    <w:t>9</w:t>
                  </w:r>
                  <w:r>
                    <w:rPr>
                      <w:szCs w:val="21"/>
                      <w:u w:val="wave"/>
                    </w:rPr>
                    <w:t>排气筒（混凝土生产搅拌区水泥筒仓）</w:t>
                  </w:r>
                </w:p>
              </w:tc>
              <w:tc>
                <w:tcPr>
                  <w:tcW w:w="2069" w:type="dxa"/>
                  <w:vAlign w:val="center"/>
                </w:tcPr>
                <w:p>
                  <w:pPr>
                    <w:spacing w:after="0" w:line="240" w:lineRule="exact"/>
                    <w:jc w:val="center"/>
                    <w:rPr>
                      <w:kern w:val="0"/>
                      <w:szCs w:val="21"/>
                      <w:u w:val="wave"/>
                    </w:rPr>
                  </w:pPr>
                  <w:r>
                    <w:rPr>
                      <w:kern w:val="0"/>
                      <w:szCs w:val="21"/>
                      <w:u w:val="wave"/>
                    </w:rPr>
                    <w:t>颗粒物</w:t>
                  </w:r>
                </w:p>
              </w:tc>
              <w:tc>
                <w:tcPr>
                  <w:tcW w:w="1511" w:type="dxa"/>
                  <w:vAlign w:val="center"/>
                </w:tcPr>
                <w:p>
                  <w:pPr>
                    <w:pStyle w:val="35"/>
                    <w:spacing w:after="0"/>
                    <w:jc w:val="center"/>
                    <w:rPr>
                      <w:rFonts w:ascii="Times New Roman" w:cs="Times New Roman"/>
                      <w:sz w:val="21"/>
                      <w:szCs w:val="21"/>
                      <w:u w:val="wave"/>
                    </w:rPr>
                  </w:pPr>
                  <w:r>
                    <w:rPr>
                      <w:rFonts w:hint="eastAsia" w:ascii="Times New Roman" w:cs="Times New Roman"/>
                      <w:sz w:val="21"/>
                      <w:szCs w:val="21"/>
                      <w:u w:val="wave"/>
                      <w:lang w:val="en-US" w:eastAsia="zh-CN"/>
                    </w:rPr>
                    <w:t>6.9</w:t>
                  </w:r>
                </w:p>
              </w:tc>
              <w:tc>
                <w:tcPr>
                  <w:tcW w:w="1511" w:type="dxa"/>
                  <w:vAlign w:val="center"/>
                </w:tcPr>
                <w:p>
                  <w:pPr>
                    <w:spacing w:after="0"/>
                    <w:jc w:val="center"/>
                    <w:rPr>
                      <w:szCs w:val="21"/>
                      <w:u w:val="wave"/>
                    </w:rPr>
                  </w:pPr>
                  <w:r>
                    <w:rPr>
                      <w:rFonts w:hint="eastAsia"/>
                      <w:szCs w:val="21"/>
                      <w:u w:val="wave"/>
                      <w:lang w:val="en-US" w:eastAsia="zh-CN"/>
                    </w:rPr>
                    <w:t>0.125</w:t>
                  </w:r>
                </w:p>
              </w:tc>
              <w:tc>
                <w:tcPr>
                  <w:tcW w:w="1511" w:type="dxa"/>
                  <w:vAlign w:val="center"/>
                </w:tcPr>
                <w:p>
                  <w:pPr>
                    <w:spacing w:after="0"/>
                    <w:jc w:val="center"/>
                    <w:rPr>
                      <w:rFonts w:hint="default" w:eastAsia="宋体"/>
                      <w:szCs w:val="21"/>
                      <w:u w:val="wave"/>
                      <w:lang w:val="en-US" w:eastAsia="zh-CN"/>
                    </w:rPr>
                  </w:pPr>
                  <w:r>
                    <w:rPr>
                      <w:rFonts w:hint="eastAsia"/>
                      <w:szCs w:val="21"/>
                      <w:u w:val="wav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vAlign w:val="center"/>
                </w:tcPr>
                <w:p>
                  <w:pPr>
                    <w:spacing w:after="0" w:line="240" w:lineRule="exact"/>
                    <w:jc w:val="center"/>
                    <w:rPr>
                      <w:kern w:val="0"/>
                      <w:szCs w:val="21"/>
                      <w:u w:val="wave"/>
                    </w:rPr>
                  </w:pPr>
                  <w:r>
                    <w:rPr>
                      <w:rFonts w:hint="eastAsia"/>
                      <w:kern w:val="0"/>
                      <w:szCs w:val="21"/>
                      <w:u w:val="wave"/>
                    </w:rPr>
                    <w:t>2</w:t>
                  </w:r>
                </w:p>
              </w:tc>
              <w:tc>
                <w:tcPr>
                  <w:tcW w:w="1971" w:type="dxa"/>
                  <w:vAlign w:val="center"/>
                </w:tcPr>
                <w:p>
                  <w:pPr>
                    <w:spacing w:after="0"/>
                    <w:jc w:val="center"/>
                    <w:rPr>
                      <w:szCs w:val="21"/>
                      <w:u w:val="wave"/>
                    </w:rPr>
                  </w:pPr>
                  <w:r>
                    <w:rPr>
                      <w:szCs w:val="21"/>
                      <w:u w:val="wave"/>
                    </w:rPr>
                    <w:t>P1</w:t>
                  </w:r>
                  <w:r>
                    <w:rPr>
                      <w:rFonts w:hint="eastAsia"/>
                      <w:szCs w:val="21"/>
                      <w:u w:val="wave"/>
                    </w:rPr>
                    <w:t>0</w:t>
                  </w:r>
                  <w:r>
                    <w:rPr>
                      <w:szCs w:val="21"/>
                      <w:u w:val="wave"/>
                    </w:rPr>
                    <w:t>、P1</w:t>
                  </w:r>
                  <w:r>
                    <w:rPr>
                      <w:rFonts w:hint="eastAsia"/>
                      <w:szCs w:val="21"/>
                      <w:u w:val="wave"/>
                    </w:rPr>
                    <w:t>1</w:t>
                  </w:r>
                  <w:r>
                    <w:rPr>
                      <w:szCs w:val="21"/>
                      <w:u w:val="wave"/>
                    </w:rPr>
                    <w:t>排气筒（混凝土生产搅拌区粉煤灰筒仓）</w:t>
                  </w:r>
                </w:p>
              </w:tc>
              <w:tc>
                <w:tcPr>
                  <w:tcW w:w="2069" w:type="dxa"/>
                  <w:vAlign w:val="center"/>
                </w:tcPr>
                <w:p>
                  <w:pPr>
                    <w:spacing w:after="0" w:line="240" w:lineRule="exact"/>
                    <w:jc w:val="center"/>
                    <w:rPr>
                      <w:kern w:val="0"/>
                      <w:szCs w:val="21"/>
                      <w:u w:val="wave"/>
                    </w:rPr>
                  </w:pPr>
                  <w:r>
                    <w:rPr>
                      <w:rFonts w:hint="eastAsia"/>
                      <w:kern w:val="0"/>
                      <w:szCs w:val="21"/>
                      <w:u w:val="wave"/>
                    </w:rPr>
                    <w:t>颗粒物</w:t>
                  </w:r>
                </w:p>
              </w:tc>
              <w:tc>
                <w:tcPr>
                  <w:tcW w:w="1511" w:type="dxa"/>
                  <w:vAlign w:val="center"/>
                </w:tcPr>
                <w:p>
                  <w:pPr>
                    <w:pStyle w:val="35"/>
                    <w:spacing w:after="0"/>
                    <w:jc w:val="center"/>
                    <w:rPr>
                      <w:rFonts w:ascii="Times New Roman" w:cs="Times New Roman"/>
                      <w:sz w:val="21"/>
                      <w:szCs w:val="21"/>
                      <w:u w:val="wave"/>
                    </w:rPr>
                  </w:pPr>
                  <w:r>
                    <w:rPr>
                      <w:rFonts w:hint="eastAsia" w:ascii="Times New Roman" w:cs="Times New Roman"/>
                      <w:sz w:val="21"/>
                      <w:szCs w:val="21"/>
                      <w:u w:val="wave"/>
                      <w:lang w:val="en-US" w:eastAsia="zh-CN"/>
                    </w:rPr>
                    <w:t>1.25</w:t>
                  </w:r>
                </w:p>
              </w:tc>
              <w:tc>
                <w:tcPr>
                  <w:tcW w:w="1511" w:type="dxa"/>
                  <w:vAlign w:val="center"/>
                </w:tcPr>
                <w:p>
                  <w:pPr>
                    <w:spacing w:after="0"/>
                    <w:jc w:val="center"/>
                    <w:rPr>
                      <w:szCs w:val="21"/>
                      <w:u w:val="wave"/>
                    </w:rPr>
                  </w:pPr>
                  <w:r>
                    <w:rPr>
                      <w:rFonts w:hint="eastAsia"/>
                      <w:szCs w:val="21"/>
                      <w:u w:val="wave"/>
                      <w:lang w:val="en-US" w:eastAsia="zh-CN"/>
                    </w:rPr>
                    <w:t>0.005</w:t>
                  </w:r>
                </w:p>
              </w:tc>
              <w:tc>
                <w:tcPr>
                  <w:tcW w:w="1511" w:type="dxa"/>
                  <w:vAlign w:val="center"/>
                </w:tcPr>
                <w:p>
                  <w:pPr>
                    <w:spacing w:after="0"/>
                    <w:jc w:val="center"/>
                    <w:rPr>
                      <w:szCs w:val="21"/>
                      <w:u w:val="wave"/>
                    </w:rPr>
                  </w:pPr>
                  <w:r>
                    <w:rPr>
                      <w:rFonts w:hint="eastAsia"/>
                      <w:szCs w:val="21"/>
                      <w:u w:val="wave"/>
                      <w:lang w:val="en-US" w:eastAsia="zh-CN"/>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vAlign w:val="center"/>
                </w:tcPr>
                <w:p>
                  <w:pPr>
                    <w:spacing w:after="0" w:line="240" w:lineRule="exact"/>
                    <w:jc w:val="center"/>
                    <w:rPr>
                      <w:kern w:val="0"/>
                      <w:szCs w:val="21"/>
                      <w:u w:val="wave"/>
                    </w:rPr>
                  </w:pPr>
                  <w:r>
                    <w:rPr>
                      <w:kern w:val="0"/>
                      <w:szCs w:val="21"/>
                      <w:u w:val="wave"/>
                    </w:rPr>
                    <w:t>3</w:t>
                  </w:r>
                </w:p>
              </w:tc>
              <w:tc>
                <w:tcPr>
                  <w:tcW w:w="1971" w:type="dxa"/>
                  <w:vAlign w:val="center"/>
                </w:tcPr>
                <w:p>
                  <w:pPr>
                    <w:spacing w:after="0"/>
                    <w:jc w:val="center"/>
                    <w:rPr>
                      <w:szCs w:val="21"/>
                      <w:u w:val="wave"/>
                    </w:rPr>
                  </w:pPr>
                  <w:r>
                    <w:rPr>
                      <w:szCs w:val="21"/>
                      <w:u w:val="wave"/>
                    </w:rPr>
                    <w:t>P12</w:t>
                  </w:r>
                  <w:r>
                    <w:rPr>
                      <w:rFonts w:hint="eastAsia"/>
                      <w:szCs w:val="21"/>
                      <w:u w:val="wave"/>
                    </w:rPr>
                    <w:t>~P1</w:t>
                  </w:r>
                  <w:r>
                    <w:rPr>
                      <w:szCs w:val="21"/>
                      <w:u w:val="wave"/>
                    </w:rPr>
                    <w:t>3排气筒（</w:t>
                  </w:r>
                  <w:r>
                    <w:rPr>
                      <w:rFonts w:hint="eastAsia"/>
                      <w:szCs w:val="21"/>
                      <w:u w:val="wave"/>
                    </w:rPr>
                    <w:t>中联1</w:t>
                  </w:r>
                  <w:r>
                    <w:rPr>
                      <w:szCs w:val="21"/>
                      <w:u w:val="wave"/>
                    </w:rPr>
                    <w:t>80</w:t>
                  </w:r>
                  <w:r>
                    <w:rPr>
                      <w:rFonts w:hint="eastAsia"/>
                      <w:szCs w:val="21"/>
                      <w:u w:val="wave"/>
                    </w:rPr>
                    <w:t>线/润天9</w:t>
                  </w:r>
                  <w:r>
                    <w:rPr>
                      <w:szCs w:val="21"/>
                      <w:u w:val="wave"/>
                    </w:rPr>
                    <w:t>0</w:t>
                  </w:r>
                  <w:r>
                    <w:rPr>
                      <w:rFonts w:hint="eastAsia"/>
                      <w:szCs w:val="21"/>
                      <w:u w:val="wave"/>
                    </w:rPr>
                    <w:t>线</w:t>
                  </w:r>
                  <w:r>
                    <w:rPr>
                      <w:szCs w:val="21"/>
                      <w:u w:val="wave"/>
                    </w:rPr>
                    <w:t>）</w:t>
                  </w:r>
                </w:p>
              </w:tc>
              <w:tc>
                <w:tcPr>
                  <w:tcW w:w="2069" w:type="dxa"/>
                  <w:vAlign w:val="center"/>
                </w:tcPr>
                <w:p>
                  <w:pPr>
                    <w:spacing w:after="0" w:line="240" w:lineRule="exact"/>
                    <w:jc w:val="center"/>
                    <w:rPr>
                      <w:kern w:val="0"/>
                      <w:szCs w:val="21"/>
                      <w:u w:val="wave"/>
                    </w:rPr>
                  </w:pPr>
                  <w:r>
                    <w:rPr>
                      <w:rFonts w:hint="eastAsia"/>
                      <w:kern w:val="0"/>
                      <w:szCs w:val="21"/>
                      <w:u w:val="wave"/>
                    </w:rPr>
                    <w:t>颗粒物</w:t>
                  </w:r>
                </w:p>
              </w:tc>
              <w:tc>
                <w:tcPr>
                  <w:tcW w:w="1511" w:type="dxa"/>
                  <w:vAlign w:val="center"/>
                </w:tcPr>
                <w:p>
                  <w:pPr>
                    <w:pStyle w:val="35"/>
                    <w:spacing w:after="0"/>
                    <w:jc w:val="center"/>
                    <w:rPr>
                      <w:rFonts w:ascii="Times New Roman" w:cs="Times New Roman"/>
                      <w:sz w:val="21"/>
                      <w:szCs w:val="21"/>
                      <w:u w:val="wave"/>
                    </w:rPr>
                  </w:pPr>
                  <w:r>
                    <w:rPr>
                      <w:rFonts w:hint="eastAsia" w:ascii="Times New Roman" w:cs="Times New Roman"/>
                      <w:sz w:val="21"/>
                      <w:szCs w:val="21"/>
                      <w:u w:val="wave"/>
                      <w:lang w:val="en-US" w:eastAsia="zh-CN"/>
                    </w:rPr>
                    <w:t>0.81</w:t>
                  </w:r>
                </w:p>
              </w:tc>
              <w:tc>
                <w:tcPr>
                  <w:tcW w:w="1511" w:type="dxa"/>
                  <w:vAlign w:val="center"/>
                </w:tcPr>
                <w:p>
                  <w:pPr>
                    <w:spacing w:after="0"/>
                    <w:jc w:val="center"/>
                    <w:rPr>
                      <w:szCs w:val="21"/>
                      <w:u w:val="wave"/>
                    </w:rPr>
                  </w:pPr>
                  <w:r>
                    <w:rPr>
                      <w:rFonts w:hint="eastAsia"/>
                      <w:szCs w:val="21"/>
                      <w:u w:val="wave"/>
                      <w:lang w:val="en-US" w:eastAsia="zh-CN"/>
                    </w:rPr>
                    <w:t>0.0161</w:t>
                  </w:r>
                </w:p>
              </w:tc>
              <w:tc>
                <w:tcPr>
                  <w:tcW w:w="1511" w:type="dxa"/>
                  <w:vAlign w:val="center"/>
                </w:tcPr>
                <w:p>
                  <w:pPr>
                    <w:spacing w:after="0"/>
                    <w:jc w:val="center"/>
                    <w:rPr>
                      <w:szCs w:val="21"/>
                      <w:u w:val="wave"/>
                    </w:rPr>
                  </w:pPr>
                  <w:r>
                    <w:rPr>
                      <w:rFonts w:hint="eastAsia"/>
                      <w:szCs w:val="21"/>
                      <w:u w:val="wave"/>
                      <w:lang w:val="en-US" w:eastAsia="zh-CN"/>
                    </w:rPr>
                    <w:t>0.03865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vAlign w:val="center"/>
                </w:tcPr>
                <w:p>
                  <w:pPr>
                    <w:spacing w:after="0" w:line="240" w:lineRule="exact"/>
                    <w:jc w:val="center"/>
                    <w:rPr>
                      <w:kern w:val="0"/>
                      <w:szCs w:val="21"/>
                      <w:u w:val="wave"/>
                    </w:rPr>
                  </w:pPr>
                  <w:r>
                    <w:rPr>
                      <w:rFonts w:hint="eastAsia"/>
                      <w:kern w:val="0"/>
                      <w:szCs w:val="21"/>
                      <w:u w:val="wave"/>
                    </w:rPr>
                    <w:t>4</w:t>
                  </w:r>
                </w:p>
              </w:tc>
              <w:tc>
                <w:tcPr>
                  <w:tcW w:w="1971" w:type="dxa"/>
                  <w:vAlign w:val="center"/>
                </w:tcPr>
                <w:p>
                  <w:pPr>
                    <w:spacing w:after="0"/>
                    <w:jc w:val="center"/>
                    <w:rPr>
                      <w:szCs w:val="21"/>
                      <w:u w:val="wave"/>
                    </w:rPr>
                  </w:pPr>
                  <w:r>
                    <w:rPr>
                      <w:rFonts w:hint="eastAsia"/>
                      <w:szCs w:val="21"/>
                      <w:u w:val="wave"/>
                    </w:rPr>
                    <w:t>P1</w:t>
                  </w:r>
                  <w:r>
                    <w:rPr>
                      <w:szCs w:val="21"/>
                      <w:u w:val="wave"/>
                    </w:rPr>
                    <w:t>4排气筒（</w:t>
                  </w:r>
                  <w:r>
                    <w:rPr>
                      <w:rFonts w:hint="eastAsia"/>
                      <w:szCs w:val="21"/>
                      <w:u w:val="wave"/>
                    </w:rPr>
                    <w:t>柳城6</w:t>
                  </w:r>
                  <w:r>
                    <w:rPr>
                      <w:szCs w:val="21"/>
                      <w:u w:val="wave"/>
                    </w:rPr>
                    <w:t>00</w:t>
                  </w:r>
                  <w:r>
                    <w:rPr>
                      <w:rFonts w:hint="eastAsia"/>
                      <w:szCs w:val="21"/>
                      <w:u w:val="wave"/>
                    </w:rPr>
                    <w:t>线</w:t>
                  </w:r>
                  <w:r>
                    <w:rPr>
                      <w:szCs w:val="21"/>
                      <w:u w:val="wave"/>
                    </w:rPr>
                    <w:t>）</w:t>
                  </w:r>
                </w:p>
              </w:tc>
              <w:tc>
                <w:tcPr>
                  <w:tcW w:w="2069" w:type="dxa"/>
                  <w:vAlign w:val="center"/>
                </w:tcPr>
                <w:p>
                  <w:pPr>
                    <w:spacing w:after="0" w:line="240" w:lineRule="exact"/>
                    <w:jc w:val="center"/>
                    <w:rPr>
                      <w:kern w:val="0"/>
                      <w:szCs w:val="21"/>
                      <w:u w:val="wave"/>
                    </w:rPr>
                  </w:pPr>
                  <w:r>
                    <w:rPr>
                      <w:rFonts w:hint="eastAsia"/>
                      <w:kern w:val="0"/>
                      <w:szCs w:val="21"/>
                      <w:u w:val="wave"/>
                    </w:rPr>
                    <w:t>颗粒物</w:t>
                  </w:r>
                </w:p>
              </w:tc>
              <w:tc>
                <w:tcPr>
                  <w:tcW w:w="1511" w:type="dxa"/>
                  <w:vAlign w:val="center"/>
                </w:tcPr>
                <w:p>
                  <w:pPr>
                    <w:pStyle w:val="35"/>
                    <w:spacing w:after="0"/>
                    <w:jc w:val="center"/>
                    <w:rPr>
                      <w:rFonts w:ascii="Times New Roman" w:cs="Times New Roman"/>
                      <w:sz w:val="21"/>
                      <w:szCs w:val="21"/>
                      <w:u w:val="wave"/>
                    </w:rPr>
                  </w:pPr>
                  <w:r>
                    <w:rPr>
                      <w:rFonts w:hint="eastAsia" w:ascii="Times New Roman" w:cs="Times New Roman"/>
                      <w:sz w:val="21"/>
                      <w:szCs w:val="21"/>
                      <w:u w:val="wave"/>
                      <w:lang w:val="en-US" w:eastAsia="zh-CN"/>
                    </w:rPr>
                    <w:t>0.23</w:t>
                  </w:r>
                </w:p>
              </w:tc>
              <w:tc>
                <w:tcPr>
                  <w:tcW w:w="1511" w:type="dxa"/>
                  <w:vAlign w:val="center"/>
                </w:tcPr>
                <w:p>
                  <w:pPr>
                    <w:spacing w:after="0"/>
                    <w:jc w:val="center"/>
                    <w:rPr>
                      <w:szCs w:val="21"/>
                      <w:u w:val="wave"/>
                    </w:rPr>
                  </w:pPr>
                  <w:r>
                    <w:rPr>
                      <w:rFonts w:hint="eastAsia"/>
                      <w:szCs w:val="21"/>
                      <w:u w:val="wave"/>
                      <w:lang w:val="en-US" w:eastAsia="zh-CN"/>
                    </w:rPr>
                    <w:t>0.0046</w:t>
                  </w:r>
                </w:p>
              </w:tc>
              <w:tc>
                <w:tcPr>
                  <w:tcW w:w="1511" w:type="dxa"/>
                  <w:vAlign w:val="center"/>
                </w:tcPr>
                <w:p>
                  <w:pPr>
                    <w:spacing w:after="0"/>
                    <w:jc w:val="center"/>
                    <w:rPr>
                      <w:szCs w:val="21"/>
                      <w:u w:val="wave"/>
                    </w:rPr>
                  </w:pPr>
                  <w:r>
                    <w:rPr>
                      <w:rFonts w:hint="eastAsia"/>
                      <w:szCs w:val="21"/>
                      <w:u w:val="wave"/>
                      <w:lang w:val="en-US" w:eastAsia="zh-CN"/>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60" w:type="dxa"/>
                  <w:gridSpan w:val="2"/>
                  <w:vAlign w:val="center"/>
                </w:tcPr>
                <w:p>
                  <w:pPr>
                    <w:spacing w:after="0" w:line="240" w:lineRule="exact"/>
                    <w:jc w:val="center"/>
                    <w:rPr>
                      <w:kern w:val="0"/>
                      <w:szCs w:val="21"/>
                      <w:u w:val="wave"/>
                    </w:rPr>
                  </w:pPr>
                  <w:r>
                    <w:rPr>
                      <w:kern w:val="0"/>
                      <w:szCs w:val="21"/>
                      <w:u w:val="wave"/>
                    </w:rPr>
                    <w:t>主要排放口合计</w:t>
                  </w:r>
                </w:p>
              </w:tc>
              <w:tc>
                <w:tcPr>
                  <w:tcW w:w="5091" w:type="dxa"/>
                  <w:gridSpan w:val="3"/>
                  <w:vAlign w:val="center"/>
                </w:tcPr>
                <w:p>
                  <w:pPr>
                    <w:spacing w:after="0" w:line="240" w:lineRule="exact"/>
                    <w:jc w:val="center"/>
                    <w:rPr>
                      <w:kern w:val="0"/>
                      <w:szCs w:val="21"/>
                      <w:u w:val="wave"/>
                    </w:rPr>
                  </w:pPr>
                  <w:r>
                    <w:rPr>
                      <w:kern w:val="0"/>
                      <w:szCs w:val="21"/>
                      <w:u w:val="wave"/>
                    </w:rPr>
                    <w:t>颗粒物</w:t>
                  </w:r>
                </w:p>
              </w:tc>
              <w:tc>
                <w:tcPr>
                  <w:tcW w:w="1511" w:type="dxa"/>
                  <w:vAlign w:val="center"/>
                </w:tcPr>
                <w:p>
                  <w:pPr>
                    <w:spacing w:after="0" w:line="240" w:lineRule="exact"/>
                    <w:jc w:val="center"/>
                    <w:rPr>
                      <w:kern w:val="0"/>
                      <w:szCs w:val="21"/>
                      <w:u w:val="wave"/>
                    </w:rPr>
                  </w:pPr>
                  <w:r>
                    <w:rPr>
                      <w:rFonts w:hint="eastAsia"/>
                      <w:szCs w:val="21"/>
                      <w:u w:val="wave"/>
                      <w:lang w:val="en-US" w:eastAsia="zh-CN"/>
                    </w:rPr>
                    <w:t>0.36165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2" w:type="dxa"/>
                  <w:gridSpan w:val="6"/>
                  <w:vAlign w:val="center"/>
                </w:tcPr>
                <w:p>
                  <w:pPr>
                    <w:spacing w:after="0" w:line="240" w:lineRule="exact"/>
                    <w:jc w:val="center"/>
                    <w:rPr>
                      <w:kern w:val="0"/>
                      <w:szCs w:val="21"/>
                      <w:u w:val="wave"/>
                    </w:rPr>
                  </w:pPr>
                  <w:r>
                    <w:rPr>
                      <w:kern w:val="0"/>
                      <w:szCs w:val="21"/>
                      <w:u w:val="wave"/>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9" w:type="dxa"/>
                  <w:vAlign w:val="center"/>
                </w:tcPr>
                <w:p>
                  <w:pPr>
                    <w:spacing w:after="0" w:line="240" w:lineRule="exact"/>
                    <w:jc w:val="center"/>
                    <w:rPr>
                      <w:kern w:val="0"/>
                      <w:szCs w:val="21"/>
                      <w:u w:val="wave"/>
                    </w:rPr>
                  </w:pPr>
                  <w:r>
                    <w:rPr>
                      <w:rFonts w:hint="eastAsia"/>
                      <w:kern w:val="0"/>
                      <w:szCs w:val="21"/>
                      <w:u w:val="wave"/>
                    </w:rPr>
                    <w:t>4</w:t>
                  </w:r>
                </w:p>
              </w:tc>
              <w:tc>
                <w:tcPr>
                  <w:tcW w:w="1971" w:type="dxa"/>
                  <w:vAlign w:val="center"/>
                </w:tcPr>
                <w:p>
                  <w:pPr>
                    <w:spacing w:after="0" w:line="240" w:lineRule="exact"/>
                    <w:jc w:val="center"/>
                    <w:rPr>
                      <w:kern w:val="0"/>
                      <w:szCs w:val="21"/>
                      <w:u w:val="wave"/>
                    </w:rPr>
                  </w:pPr>
                  <w:r>
                    <w:rPr>
                      <w:kern w:val="0"/>
                      <w:szCs w:val="21"/>
                      <w:u w:val="wave"/>
                    </w:rPr>
                    <w:t>油烟</w:t>
                  </w:r>
                </w:p>
              </w:tc>
              <w:tc>
                <w:tcPr>
                  <w:tcW w:w="2069" w:type="dxa"/>
                  <w:vAlign w:val="center"/>
                </w:tcPr>
                <w:p>
                  <w:pPr>
                    <w:spacing w:after="0" w:line="240" w:lineRule="exact"/>
                    <w:jc w:val="center"/>
                    <w:rPr>
                      <w:kern w:val="0"/>
                      <w:szCs w:val="21"/>
                      <w:u w:val="wave"/>
                    </w:rPr>
                  </w:pPr>
                  <w:r>
                    <w:rPr>
                      <w:kern w:val="0"/>
                      <w:szCs w:val="21"/>
                      <w:u w:val="wave"/>
                    </w:rPr>
                    <w:t>油烟</w:t>
                  </w:r>
                </w:p>
              </w:tc>
              <w:tc>
                <w:tcPr>
                  <w:tcW w:w="1511" w:type="dxa"/>
                  <w:vAlign w:val="center"/>
                </w:tcPr>
                <w:p>
                  <w:pPr>
                    <w:spacing w:after="0" w:line="240" w:lineRule="exact"/>
                    <w:jc w:val="center"/>
                    <w:rPr>
                      <w:kern w:val="0"/>
                      <w:szCs w:val="21"/>
                      <w:u w:val="wave"/>
                    </w:rPr>
                  </w:pPr>
                  <w:r>
                    <w:rPr>
                      <w:kern w:val="0"/>
                      <w:szCs w:val="21"/>
                      <w:u w:val="wave"/>
                    </w:rPr>
                    <w:t>0.39</w:t>
                  </w:r>
                </w:p>
              </w:tc>
              <w:tc>
                <w:tcPr>
                  <w:tcW w:w="1511" w:type="dxa"/>
                  <w:vAlign w:val="center"/>
                </w:tcPr>
                <w:p>
                  <w:pPr>
                    <w:spacing w:after="0" w:line="240" w:lineRule="exact"/>
                    <w:jc w:val="center"/>
                    <w:rPr>
                      <w:kern w:val="0"/>
                      <w:szCs w:val="21"/>
                      <w:u w:val="wave"/>
                    </w:rPr>
                  </w:pPr>
                  <w:r>
                    <w:rPr>
                      <w:kern w:val="0"/>
                      <w:szCs w:val="21"/>
                      <w:u w:val="wave"/>
                    </w:rPr>
                    <w:t>0.009</w:t>
                  </w:r>
                </w:p>
              </w:tc>
              <w:tc>
                <w:tcPr>
                  <w:tcW w:w="1511" w:type="dxa"/>
                  <w:vAlign w:val="center"/>
                </w:tcPr>
                <w:p>
                  <w:pPr>
                    <w:spacing w:after="0" w:line="240" w:lineRule="exact"/>
                    <w:jc w:val="center"/>
                    <w:rPr>
                      <w:kern w:val="0"/>
                      <w:szCs w:val="21"/>
                      <w:u w:val="wave"/>
                    </w:rPr>
                  </w:pPr>
                  <w:r>
                    <w:rPr>
                      <w:szCs w:val="21"/>
                      <w:u w:val="wave"/>
                    </w:rPr>
                    <w:t>0.00378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60" w:type="dxa"/>
                  <w:gridSpan w:val="2"/>
                  <w:vAlign w:val="center"/>
                </w:tcPr>
                <w:p>
                  <w:pPr>
                    <w:spacing w:after="0" w:line="240" w:lineRule="exact"/>
                    <w:jc w:val="center"/>
                    <w:rPr>
                      <w:kern w:val="0"/>
                      <w:szCs w:val="21"/>
                      <w:u w:val="wave"/>
                    </w:rPr>
                  </w:pPr>
                  <w:r>
                    <w:rPr>
                      <w:kern w:val="0"/>
                      <w:szCs w:val="21"/>
                      <w:u w:val="wave"/>
                    </w:rPr>
                    <w:t>一般排放口合计</w:t>
                  </w:r>
                </w:p>
              </w:tc>
              <w:tc>
                <w:tcPr>
                  <w:tcW w:w="5091" w:type="dxa"/>
                  <w:gridSpan w:val="3"/>
                  <w:vAlign w:val="center"/>
                </w:tcPr>
                <w:p>
                  <w:pPr>
                    <w:spacing w:after="0" w:line="240" w:lineRule="exact"/>
                    <w:jc w:val="center"/>
                    <w:rPr>
                      <w:kern w:val="0"/>
                      <w:szCs w:val="21"/>
                      <w:u w:val="wave"/>
                    </w:rPr>
                  </w:pPr>
                  <w:r>
                    <w:rPr>
                      <w:kern w:val="0"/>
                      <w:szCs w:val="21"/>
                      <w:u w:val="wave"/>
                    </w:rPr>
                    <w:t>油烟</w:t>
                  </w:r>
                </w:p>
              </w:tc>
              <w:tc>
                <w:tcPr>
                  <w:tcW w:w="1511" w:type="dxa"/>
                  <w:vAlign w:val="center"/>
                </w:tcPr>
                <w:p>
                  <w:pPr>
                    <w:spacing w:after="0" w:line="240" w:lineRule="exact"/>
                    <w:jc w:val="center"/>
                    <w:rPr>
                      <w:kern w:val="0"/>
                      <w:szCs w:val="21"/>
                      <w:u w:val="wave"/>
                    </w:rPr>
                  </w:pPr>
                  <w:r>
                    <w:rPr>
                      <w:szCs w:val="21"/>
                      <w:u w:val="wave"/>
                    </w:rPr>
                    <w:t>0.00378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2" w:type="dxa"/>
                  <w:gridSpan w:val="6"/>
                  <w:vAlign w:val="center"/>
                </w:tcPr>
                <w:p>
                  <w:pPr>
                    <w:spacing w:after="0" w:line="240" w:lineRule="exact"/>
                    <w:jc w:val="center"/>
                    <w:rPr>
                      <w:kern w:val="0"/>
                      <w:szCs w:val="21"/>
                      <w:u w:val="wave"/>
                    </w:rPr>
                  </w:pPr>
                  <w:r>
                    <w:rPr>
                      <w:kern w:val="0"/>
                      <w:szCs w:val="21"/>
                      <w:u w:val="wave"/>
                    </w:rPr>
                    <w:t>有组织排放总计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60" w:type="dxa"/>
                  <w:gridSpan w:val="2"/>
                  <w:vMerge w:val="restart"/>
                  <w:vAlign w:val="center"/>
                </w:tcPr>
                <w:p>
                  <w:pPr>
                    <w:spacing w:after="0" w:line="240" w:lineRule="exact"/>
                    <w:jc w:val="center"/>
                    <w:rPr>
                      <w:kern w:val="0"/>
                      <w:szCs w:val="21"/>
                      <w:u w:val="wave"/>
                    </w:rPr>
                  </w:pPr>
                  <w:r>
                    <w:rPr>
                      <w:kern w:val="0"/>
                      <w:szCs w:val="21"/>
                      <w:u w:val="wave"/>
                    </w:rPr>
                    <w:t>有组织排放总计</w:t>
                  </w:r>
                </w:p>
              </w:tc>
              <w:tc>
                <w:tcPr>
                  <w:tcW w:w="5091" w:type="dxa"/>
                  <w:gridSpan w:val="3"/>
                  <w:vAlign w:val="center"/>
                </w:tcPr>
                <w:p>
                  <w:pPr>
                    <w:spacing w:after="0" w:line="240" w:lineRule="exact"/>
                    <w:jc w:val="center"/>
                    <w:rPr>
                      <w:kern w:val="0"/>
                      <w:szCs w:val="21"/>
                      <w:u w:val="wave"/>
                    </w:rPr>
                  </w:pPr>
                  <w:r>
                    <w:rPr>
                      <w:kern w:val="0"/>
                      <w:szCs w:val="21"/>
                      <w:u w:val="wave"/>
                    </w:rPr>
                    <w:t>颗粒物</w:t>
                  </w:r>
                </w:p>
              </w:tc>
              <w:tc>
                <w:tcPr>
                  <w:tcW w:w="1511" w:type="dxa"/>
                  <w:vAlign w:val="center"/>
                </w:tcPr>
                <w:p>
                  <w:pPr>
                    <w:spacing w:after="0" w:line="240" w:lineRule="exact"/>
                    <w:jc w:val="center"/>
                    <w:rPr>
                      <w:rFonts w:hint="default" w:eastAsia="宋体"/>
                      <w:kern w:val="0"/>
                      <w:szCs w:val="21"/>
                      <w:u w:val="wave"/>
                      <w:lang w:val="en-US" w:eastAsia="zh-CN"/>
                    </w:rPr>
                  </w:pPr>
                  <w:r>
                    <w:rPr>
                      <w:rFonts w:hint="eastAsia"/>
                      <w:kern w:val="0"/>
                      <w:szCs w:val="21"/>
                      <w:u w:val="wave"/>
                    </w:rPr>
                    <w:t>0.</w:t>
                  </w:r>
                  <w:r>
                    <w:rPr>
                      <w:rFonts w:hint="eastAsia"/>
                      <w:kern w:val="0"/>
                      <w:szCs w:val="21"/>
                      <w:u w:val="wave"/>
                      <w:lang w:val="en-US" w:eastAsia="zh-CN"/>
                    </w:rPr>
                    <w:t>36165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60" w:type="dxa"/>
                  <w:gridSpan w:val="2"/>
                  <w:vMerge w:val="continue"/>
                  <w:vAlign w:val="center"/>
                </w:tcPr>
                <w:p>
                  <w:pPr>
                    <w:spacing w:after="0" w:line="240" w:lineRule="exact"/>
                    <w:jc w:val="center"/>
                    <w:rPr>
                      <w:kern w:val="0"/>
                      <w:szCs w:val="21"/>
                      <w:u w:val="wave"/>
                    </w:rPr>
                  </w:pPr>
                </w:p>
              </w:tc>
              <w:tc>
                <w:tcPr>
                  <w:tcW w:w="5091" w:type="dxa"/>
                  <w:gridSpan w:val="3"/>
                  <w:vAlign w:val="center"/>
                </w:tcPr>
                <w:p>
                  <w:pPr>
                    <w:spacing w:after="0" w:line="240" w:lineRule="exact"/>
                    <w:jc w:val="center"/>
                    <w:rPr>
                      <w:kern w:val="0"/>
                      <w:szCs w:val="21"/>
                      <w:u w:val="wave"/>
                    </w:rPr>
                  </w:pPr>
                  <w:r>
                    <w:rPr>
                      <w:kern w:val="0"/>
                      <w:szCs w:val="21"/>
                      <w:u w:val="wave"/>
                    </w:rPr>
                    <w:t>油烟</w:t>
                  </w:r>
                </w:p>
              </w:tc>
              <w:tc>
                <w:tcPr>
                  <w:tcW w:w="1511" w:type="dxa"/>
                  <w:vAlign w:val="center"/>
                </w:tcPr>
                <w:p>
                  <w:pPr>
                    <w:spacing w:after="0" w:line="240" w:lineRule="exact"/>
                    <w:jc w:val="center"/>
                    <w:rPr>
                      <w:kern w:val="0"/>
                      <w:szCs w:val="21"/>
                      <w:u w:val="wave"/>
                    </w:rPr>
                  </w:pPr>
                  <w:r>
                    <w:rPr>
                      <w:szCs w:val="21"/>
                      <w:u w:val="wave"/>
                    </w:rPr>
                    <w:t>0.00378</w:t>
                  </w:r>
                </w:p>
              </w:tc>
            </w:tr>
          </w:tbl>
          <w:p>
            <w:pPr>
              <w:spacing w:after="0" w:line="360" w:lineRule="auto"/>
              <w:ind w:firstLine="480" w:firstLineChars="200"/>
              <w:jc w:val="left"/>
              <w:rPr>
                <w:sz w:val="24"/>
                <w:u w:val="wave"/>
              </w:rPr>
            </w:pPr>
            <w:r>
              <w:rPr>
                <w:rFonts w:ascii="Cambria Math" w:hAnsi="Cambria Math" w:cs="Cambria Math"/>
                <w:sz w:val="24"/>
                <w:u w:val="wave"/>
              </w:rPr>
              <w:t>②</w:t>
            </w:r>
            <w:r>
              <w:rPr>
                <w:sz w:val="24"/>
                <w:u w:val="wave"/>
              </w:rPr>
              <w:t xml:space="preserve"> 无组织排放量核算</w:t>
            </w:r>
          </w:p>
          <w:p>
            <w:pPr>
              <w:spacing w:after="0" w:line="360" w:lineRule="auto"/>
              <w:jc w:val="center"/>
              <w:rPr>
                <w:b/>
                <w:sz w:val="24"/>
                <w:u w:val="wave"/>
              </w:rPr>
            </w:pPr>
            <w:r>
              <w:rPr>
                <w:b/>
                <w:sz w:val="24"/>
                <w:u w:val="wave"/>
              </w:rPr>
              <w:t>表7-9  大气污染物无组织排放量核算表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165"/>
              <w:gridCol w:w="1134"/>
              <w:gridCol w:w="851"/>
              <w:gridCol w:w="1559"/>
              <w:gridCol w:w="1559"/>
              <w:gridCol w:w="113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vMerge w:val="restart"/>
                  <w:vAlign w:val="center"/>
                </w:tcPr>
                <w:p>
                  <w:pPr>
                    <w:spacing w:after="0"/>
                    <w:jc w:val="center"/>
                    <w:rPr>
                      <w:b/>
                      <w:bCs/>
                      <w:kern w:val="0"/>
                      <w:szCs w:val="21"/>
                      <w:u w:val="wave"/>
                    </w:rPr>
                  </w:pPr>
                  <w:r>
                    <w:rPr>
                      <w:b/>
                      <w:bCs/>
                      <w:kern w:val="0"/>
                      <w:szCs w:val="21"/>
                      <w:u w:val="wave"/>
                    </w:rPr>
                    <w:t>序号</w:t>
                  </w:r>
                </w:p>
              </w:tc>
              <w:tc>
                <w:tcPr>
                  <w:tcW w:w="1165" w:type="dxa"/>
                  <w:vMerge w:val="restart"/>
                  <w:vAlign w:val="center"/>
                </w:tcPr>
                <w:p>
                  <w:pPr>
                    <w:spacing w:after="0"/>
                    <w:jc w:val="center"/>
                    <w:rPr>
                      <w:b/>
                      <w:bCs/>
                      <w:kern w:val="0"/>
                      <w:szCs w:val="21"/>
                      <w:u w:val="wave"/>
                    </w:rPr>
                  </w:pPr>
                  <w:r>
                    <w:rPr>
                      <w:b/>
                      <w:bCs/>
                      <w:kern w:val="0"/>
                      <w:szCs w:val="21"/>
                      <w:u w:val="wave"/>
                    </w:rPr>
                    <w:t>排放口编号</w:t>
                  </w:r>
                </w:p>
              </w:tc>
              <w:tc>
                <w:tcPr>
                  <w:tcW w:w="1134" w:type="dxa"/>
                  <w:vMerge w:val="restart"/>
                  <w:vAlign w:val="center"/>
                </w:tcPr>
                <w:p>
                  <w:pPr>
                    <w:spacing w:after="0"/>
                    <w:jc w:val="center"/>
                    <w:rPr>
                      <w:b/>
                      <w:bCs/>
                      <w:kern w:val="0"/>
                      <w:szCs w:val="21"/>
                      <w:u w:val="wave"/>
                    </w:rPr>
                  </w:pPr>
                  <w:r>
                    <w:rPr>
                      <w:b/>
                      <w:bCs/>
                      <w:kern w:val="0"/>
                      <w:szCs w:val="21"/>
                      <w:u w:val="wave"/>
                    </w:rPr>
                    <w:t>产污环节</w:t>
                  </w:r>
                </w:p>
              </w:tc>
              <w:tc>
                <w:tcPr>
                  <w:tcW w:w="851" w:type="dxa"/>
                  <w:vMerge w:val="restart"/>
                  <w:vAlign w:val="center"/>
                </w:tcPr>
                <w:p>
                  <w:pPr>
                    <w:spacing w:after="0"/>
                    <w:jc w:val="center"/>
                    <w:rPr>
                      <w:b/>
                      <w:bCs/>
                      <w:kern w:val="0"/>
                      <w:szCs w:val="21"/>
                      <w:u w:val="wave"/>
                    </w:rPr>
                  </w:pPr>
                  <w:r>
                    <w:rPr>
                      <w:b/>
                      <w:bCs/>
                      <w:kern w:val="0"/>
                      <w:szCs w:val="21"/>
                      <w:u w:val="wave"/>
                    </w:rPr>
                    <w:t>污染物</w:t>
                  </w:r>
                </w:p>
              </w:tc>
              <w:tc>
                <w:tcPr>
                  <w:tcW w:w="1559" w:type="dxa"/>
                  <w:vMerge w:val="restart"/>
                  <w:vAlign w:val="center"/>
                </w:tcPr>
                <w:p>
                  <w:pPr>
                    <w:spacing w:after="0"/>
                    <w:jc w:val="center"/>
                    <w:rPr>
                      <w:b/>
                      <w:bCs/>
                      <w:kern w:val="0"/>
                      <w:szCs w:val="21"/>
                      <w:u w:val="wave"/>
                    </w:rPr>
                  </w:pPr>
                  <w:r>
                    <w:rPr>
                      <w:b/>
                      <w:bCs/>
                      <w:kern w:val="0"/>
                      <w:szCs w:val="21"/>
                      <w:u w:val="wave"/>
                    </w:rPr>
                    <w:t>主要污染防治措施</w:t>
                  </w:r>
                </w:p>
              </w:tc>
              <w:tc>
                <w:tcPr>
                  <w:tcW w:w="2689" w:type="dxa"/>
                  <w:gridSpan w:val="2"/>
                  <w:vAlign w:val="center"/>
                </w:tcPr>
                <w:p>
                  <w:pPr>
                    <w:spacing w:after="0"/>
                    <w:jc w:val="center"/>
                    <w:rPr>
                      <w:b/>
                      <w:bCs/>
                      <w:kern w:val="0"/>
                      <w:szCs w:val="21"/>
                      <w:u w:val="wave"/>
                    </w:rPr>
                  </w:pPr>
                  <w:r>
                    <w:rPr>
                      <w:b/>
                      <w:bCs/>
                      <w:kern w:val="0"/>
                      <w:szCs w:val="21"/>
                      <w:u w:val="wave"/>
                    </w:rPr>
                    <w:t>国家或地方污染物排放标准</w:t>
                  </w:r>
                </w:p>
              </w:tc>
              <w:tc>
                <w:tcPr>
                  <w:tcW w:w="1133" w:type="dxa"/>
                  <w:vMerge w:val="restart"/>
                  <w:vAlign w:val="center"/>
                </w:tcPr>
                <w:p>
                  <w:pPr>
                    <w:spacing w:after="0"/>
                    <w:jc w:val="center"/>
                    <w:rPr>
                      <w:b/>
                      <w:bCs/>
                      <w:kern w:val="0"/>
                      <w:szCs w:val="21"/>
                      <w:u w:val="wave"/>
                    </w:rPr>
                  </w:pPr>
                  <w:r>
                    <w:rPr>
                      <w:b/>
                      <w:bCs/>
                      <w:kern w:val="0"/>
                      <w:szCs w:val="21"/>
                      <w:u w:val="wave"/>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31" w:type="dxa"/>
                  <w:vMerge w:val="continue"/>
                  <w:vAlign w:val="center"/>
                </w:tcPr>
                <w:p>
                  <w:pPr>
                    <w:spacing w:after="0"/>
                    <w:jc w:val="center"/>
                    <w:rPr>
                      <w:kern w:val="0"/>
                      <w:szCs w:val="21"/>
                      <w:u w:val="wave"/>
                    </w:rPr>
                  </w:pPr>
                </w:p>
              </w:tc>
              <w:tc>
                <w:tcPr>
                  <w:tcW w:w="1165" w:type="dxa"/>
                  <w:vMerge w:val="continue"/>
                  <w:vAlign w:val="center"/>
                </w:tcPr>
                <w:p>
                  <w:pPr>
                    <w:spacing w:after="0"/>
                    <w:jc w:val="center"/>
                    <w:rPr>
                      <w:kern w:val="0"/>
                      <w:szCs w:val="21"/>
                      <w:u w:val="wave"/>
                    </w:rPr>
                  </w:pPr>
                </w:p>
              </w:tc>
              <w:tc>
                <w:tcPr>
                  <w:tcW w:w="1134" w:type="dxa"/>
                  <w:vMerge w:val="continue"/>
                  <w:vAlign w:val="center"/>
                </w:tcPr>
                <w:p>
                  <w:pPr>
                    <w:spacing w:after="0"/>
                    <w:jc w:val="center"/>
                    <w:rPr>
                      <w:kern w:val="0"/>
                      <w:szCs w:val="21"/>
                      <w:u w:val="wave"/>
                    </w:rPr>
                  </w:pPr>
                </w:p>
              </w:tc>
              <w:tc>
                <w:tcPr>
                  <w:tcW w:w="851" w:type="dxa"/>
                  <w:vMerge w:val="continue"/>
                  <w:vAlign w:val="center"/>
                </w:tcPr>
                <w:p>
                  <w:pPr>
                    <w:spacing w:after="0"/>
                    <w:jc w:val="center"/>
                    <w:rPr>
                      <w:kern w:val="0"/>
                      <w:szCs w:val="21"/>
                      <w:u w:val="wave"/>
                    </w:rPr>
                  </w:pPr>
                </w:p>
              </w:tc>
              <w:tc>
                <w:tcPr>
                  <w:tcW w:w="1559" w:type="dxa"/>
                  <w:vMerge w:val="continue"/>
                  <w:vAlign w:val="center"/>
                </w:tcPr>
                <w:p>
                  <w:pPr>
                    <w:spacing w:after="0"/>
                    <w:jc w:val="center"/>
                    <w:rPr>
                      <w:kern w:val="0"/>
                      <w:szCs w:val="21"/>
                      <w:u w:val="wave"/>
                    </w:rPr>
                  </w:pPr>
                </w:p>
              </w:tc>
              <w:tc>
                <w:tcPr>
                  <w:tcW w:w="1559" w:type="dxa"/>
                  <w:vAlign w:val="center"/>
                </w:tcPr>
                <w:p>
                  <w:pPr>
                    <w:spacing w:after="0"/>
                    <w:jc w:val="center"/>
                    <w:rPr>
                      <w:b/>
                      <w:bCs/>
                      <w:kern w:val="0"/>
                      <w:szCs w:val="21"/>
                      <w:u w:val="wave"/>
                    </w:rPr>
                  </w:pPr>
                  <w:r>
                    <w:rPr>
                      <w:b/>
                      <w:bCs/>
                      <w:kern w:val="0"/>
                      <w:szCs w:val="21"/>
                      <w:u w:val="wave"/>
                    </w:rPr>
                    <w:t>标准名称</w:t>
                  </w:r>
                </w:p>
              </w:tc>
              <w:tc>
                <w:tcPr>
                  <w:tcW w:w="1130" w:type="dxa"/>
                  <w:vAlign w:val="center"/>
                </w:tcPr>
                <w:p>
                  <w:pPr>
                    <w:spacing w:after="0"/>
                    <w:jc w:val="center"/>
                    <w:rPr>
                      <w:b/>
                      <w:bCs/>
                      <w:kern w:val="0"/>
                      <w:szCs w:val="21"/>
                      <w:u w:val="wave"/>
                    </w:rPr>
                  </w:pPr>
                  <w:r>
                    <w:rPr>
                      <w:b/>
                      <w:bCs/>
                      <w:kern w:val="0"/>
                      <w:szCs w:val="21"/>
                      <w:u w:val="wave"/>
                    </w:rPr>
                    <w:t>浓度限值/(ug/m</w:t>
                  </w:r>
                  <w:r>
                    <w:rPr>
                      <w:b/>
                      <w:bCs/>
                      <w:kern w:val="0"/>
                      <w:szCs w:val="21"/>
                      <w:u w:val="wave"/>
                      <w:vertAlign w:val="superscript"/>
                    </w:rPr>
                    <w:t>3</w:t>
                  </w:r>
                  <w:r>
                    <w:rPr>
                      <w:b/>
                      <w:bCs/>
                      <w:kern w:val="0"/>
                      <w:szCs w:val="21"/>
                      <w:u w:val="wave"/>
                    </w:rPr>
                    <w:t>)</w:t>
                  </w:r>
                </w:p>
              </w:tc>
              <w:tc>
                <w:tcPr>
                  <w:tcW w:w="1133" w:type="dxa"/>
                  <w:vMerge w:val="continue"/>
                  <w:vAlign w:val="center"/>
                </w:tcPr>
                <w:p>
                  <w:pPr>
                    <w:spacing w:after="0"/>
                    <w:jc w:val="center"/>
                    <w:rPr>
                      <w:kern w:val="0"/>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vAlign w:val="center"/>
                </w:tcPr>
                <w:p>
                  <w:pPr>
                    <w:spacing w:after="0"/>
                    <w:jc w:val="center"/>
                    <w:rPr>
                      <w:kern w:val="0"/>
                      <w:szCs w:val="21"/>
                      <w:u w:val="wave"/>
                    </w:rPr>
                  </w:pPr>
                  <w:r>
                    <w:rPr>
                      <w:rFonts w:hint="eastAsia"/>
                      <w:kern w:val="0"/>
                      <w:szCs w:val="21"/>
                      <w:u w:val="wave"/>
                    </w:rPr>
                    <w:t>1</w:t>
                  </w:r>
                </w:p>
              </w:tc>
              <w:tc>
                <w:tcPr>
                  <w:tcW w:w="1165" w:type="dxa"/>
                  <w:vAlign w:val="center"/>
                </w:tcPr>
                <w:p>
                  <w:pPr>
                    <w:spacing w:after="0"/>
                    <w:jc w:val="center"/>
                    <w:rPr>
                      <w:kern w:val="0"/>
                      <w:szCs w:val="21"/>
                      <w:u w:val="wave"/>
                    </w:rPr>
                  </w:pPr>
                  <w:r>
                    <w:rPr>
                      <w:rFonts w:hint="eastAsia"/>
                      <w:kern w:val="0"/>
                      <w:szCs w:val="21"/>
                      <w:u w:val="wave"/>
                    </w:rPr>
                    <w:t>原料堆场</w:t>
                  </w:r>
                </w:p>
              </w:tc>
              <w:tc>
                <w:tcPr>
                  <w:tcW w:w="1134" w:type="dxa"/>
                  <w:vAlign w:val="center"/>
                </w:tcPr>
                <w:p>
                  <w:pPr>
                    <w:spacing w:after="0"/>
                    <w:jc w:val="center"/>
                    <w:rPr>
                      <w:kern w:val="0"/>
                      <w:szCs w:val="21"/>
                      <w:u w:val="wave"/>
                    </w:rPr>
                  </w:pPr>
                  <w:r>
                    <w:rPr>
                      <w:rFonts w:hint="eastAsia"/>
                      <w:kern w:val="0"/>
                      <w:szCs w:val="21"/>
                      <w:u w:val="wave"/>
                    </w:rPr>
                    <w:t>卸料粉尘</w:t>
                  </w:r>
                </w:p>
              </w:tc>
              <w:tc>
                <w:tcPr>
                  <w:tcW w:w="851" w:type="dxa"/>
                  <w:vAlign w:val="center"/>
                </w:tcPr>
                <w:p>
                  <w:pPr>
                    <w:spacing w:after="0"/>
                    <w:jc w:val="center"/>
                    <w:rPr>
                      <w:kern w:val="0"/>
                      <w:szCs w:val="21"/>
                      <w:u w:val="wave"/>
                    </w:rPr>
                  </w:pPr>
                  <w:r>
                    <w:rPr>
                      <w:kern w:val="0"/>
                      <w:szCs w:val="21"/>
                      <w:u w:val="wave"/>
                    </w:rPr>
                    <w:t>颗粒物</w:t>
                  </w:r>
                </w:p>
              </w:tc>
              <w:tc>
                <w:tcPr>
                  <w:tcW w:w="1559" w:type="dxa"/>
                  <w:vAlign w:val="center"/>
                </w:tcPr>
                <w:p>
                  <w:pPr>
                    <w:spacing w:after="0"/>
                    <w:jc w:val="center"/>
                    <w:rPr>
                      <w:szCs w:val="21"/>
                      <w:u w:val="wave"/>
                    </w:rPr>
                  </w:pPr>
                  <w:r>
                    <w:rPr>
                      <w:szCs w:val="21"/>
                      <w:u w:val="wave"/>
                    </w:rPr>
                    <w:t>喷水雾化器</w:t>
                  </w:r>
                </w:p>
              </w:tc>
              <w:tc>
                <w:tcPr>
                  <w:tcW w:w="1559" w:type="dxa"/>
                  <w:vMerge w:val="restart"/>
                  <w:vAlign w:val="center"/>
                </w:tcPr>
                <w:p>
                  <w:pPr>
                    <w:spacing w:after="0"/>
                    <w:jc w:val="center"/>
                    <w:rPr>
                      <w:kern w:val="0"/>
                      <w:szCs w:val="21"/>
                      <w:u w:val="wave"/>
                    </w:rPr>
                  </w:pPr>
                  <w:r>
                    <w:rPr>
                      <w:kern w:val="0"/>
                      <w:szCs w:val="21"/>
                      <w:u w:val="wave"/>
                    </w:rPr>
                    <w:t>《水泥工业大气污染物排放标准》(GB 4915-2013)</w:t>
                  </w:r>
                </w:p>
              </w:tc>
              <w:tc>
                <w:tcPr>
                  <w:tcW w:w="1130" w:type="dxa"/>
                  <w:vMerge w:val="restart"/>
                  <w:vAlign w:val="center"/>
                </w:tcPr>
                <w:p>
                  <w:pPr>
                    <w:spacing w:after="0"/>
                    <w:jc w:val="center"/>
                    <w:rPr>
                      <w:kern w:val="0"/>
                      <w:szCs w:val="21"/>
                      <w:u w:val="wave"/>
                    </w:rPr>
                  </w:pPr>
                  <w:r>
                    <w:rPr>
                      <w:kern w:val="0"/>
                      <w:szCs w:val="21"/>
                      <w:u w:val="wave"/>
                    </w:rPr>
                    <w:t>0.5</w:t>
                  </w:r>
                </w:p>
              </w:tc>
              <w:tc>
                <w:tcPr>
                  <w:tcW w:w="1133" w:type="dxa"/>
                  <w:vAlign w:val="center"/>
                </w:tcPr>
                <w:p>
                  <w:pPr>
                    <w:spacing w:after="0"/>
                    <w:jc w:val="center"/>
                    <w:rPr>
                      <w:kern w:val="0"/>
                      <w:szCs w:val="21"/>
                      <w:u w:val="wave"/>
                    </w:rPr>
                  </w:pPr>
                  <w:r>
                    <w:rPr>
                      <w:kern w:val="0"/>
                      <w:szCs w:val="21"/>
                      <w:u w:val="wave"/>
                    </w:rPr>
                    <w:t>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vAlign w:val="center"/>
                </w:tcPr>
                <w:p>
                  <w:pPr>
                    <w:spacing w:after="0"/>
                    <w:jc w:val="center"/>
                    <w:rPr>
                      <w:kern w:val="0"/>
                      <w:szCs w:val="21"/>
                      <w:u w:val="wave"/>
                    </w:rPr>
                  </w:pPr>
                  <w:r>
                    <w:rPr>
                      <w:rFonts w:hint="eastAsia"/>
                      <w:kern w:val="0"/>
                      <w:szCs w:val="21"/>
                      <w:u w:val="wave"/>
                    </w:rPr>
                    <w:t>2</w:t>
                  </w:r>
                </w:p>
              </w:tc>
              <w:tc>
                <w:tcPr>
                  <w:tcW w:w="1165" w:type="dxa"/>
                  <w:vAlign w:val="center"/>
                </w:tcPr>
                <w:p>
                  <w:pPr>
                    <w:spacing w:after="0"/>
                    <w:jc w:val="center"/>
                    <w:rPr>
                      <w:kern w:val="0"/>
                      <w:szCs w:val="21"/>
                      <w:u w:val="wave"/>
                    </w:rPr>
                  </w:pPr>
                  <w:r>
                    <w:rPr>
                      <w:rFonts w:hint="eastAsia"/>
                      <w:kern w:val="0"/>
                      <w:szCs w:val="21"/>
                      <w:u w:val="wave"/>
                    </w:rPr>
                    <w:t>原料堆场</w:t>
                  </w:r>
                </w:p>
              </w:tc>
              <w:tc>
                <w:tcPr>
                  <w:tcW w:w="1134" w:type="dxa"/>
                  <w:vAlign w:val="center"/>
                </w:tcPr>
                <w:p>
                  <w:pPr>
                    <w:spacing w:after="0"/>
                    <w:jc w:val="center"/>
                    <w:rPr>
                      <w:kern w:val="0"/>
                      <w:szCs w:val="21"/>
                      <w:u w:val="wave"/>
                    </w:rPr>
                  </w:pPr>
                  <w:r>
                    <w:rPr>
                      <w:rFonts w:hint="eastAsia"/>
                      <w:kern w:val="0"/>
                      <w:szCs w:val="21"/>
                      <w:u w:val="wave"/>
                    </w:rPr>
                    <w:t>下料粉尘</w:t>
                  </w:r>
                </w:p>
              </w:tc>
              <w:tc>
                <w:tcPr>
                  <w:tcW w:w="851" w:type="dxa"/>
                  <w:vAlign w:val="center"/>
                </w:tcPr>
                <w:p>
                  <w:pPr>
                    <w:spacing w:after="0"/>
                    <w:jc w:val="center"/>
                    <w:rPr>
                      <w:kern w:val="0"/>
                      <w:szCs w:val="21"/>
                      <w:u w:val="wave"/>
                    </w:rPr>
                  </w:pPr>
                  <w:r>
                    <w:rPr>
                      <w:rFonts w:hint="eastAsia"/>
                      <w:kern w:val="0"/>
                      <w:szCs w:val="21"/>
                      <w:u w:val="wave"/>
                    </w:rPr>
                    <w:t>颗粒物</w:t>
                  </w:r>
                </w:p>
              </w:tc>
              <w:tc>
                <w:tcPr>
                  <w:tcW w:w="1559" w:type="dxa"/>
                  <w:vAlign w:val="center"/>
                </w:tcPr>
                <w:p>
                  <w:pPr>
                    <w:spacing w:after="0"/>
                    <w:jc w:val="center"/>
                    <w:rPr>
                      <w:szCs w:val="21"/>
                      <w:u w:val="wave"/>
                    </w:rPr>
                  </w:pPr>
                  <w:r>
                    <w:rPr>
                      <w:szCs w:val="21"/>
                      <w:u w:val="wave"/>
                    </w:rPr>
                    <w:t>喷水雾化器</w:t>
                  </w:r>
                </w:p>
              </w:tc>
              <w:tc>
                <w:tcPr>
                  <w:tcW w:w="1559" w:type="dxa"/>
                  <w:vMerge w:val="continue"/>
                  <w:vAlign w:val="center"/>
                </w:tcPr>
                <w:p>
                  <w:pPr>
                    <w:spacing w:after="0"/>
                    <w:jc w:val="center"/>
                    <w:rPr>
                      <w:kern w:val="0"/>
                      <w:szCs w:val="21"/>
                      <w:u w:val="wave"/>
                    </w:rPr>
                  </w:pPr>
                </w:p>
              </w:tc>
              <w:tc>
                <w:tcPr>
                  <w:tcW w:w="1130" w:type="dxa"/>
                  <w:vMerge w:val="continue"/>
                  <w:vAlign w:val="center"/>
                </w:tcPr>
                <w:p>
                  <w:pPr>
                    <w:spacing w:after="0"/>
                    <w:jc w:val="center"/>
                    <w:rPr>
                      <w:kern w:val="0"/>
                      <w:szCs w:val="21"/>
                      <w:u w:val="wave"/>
                    </w:rPr>
                  </w:pPr>
                </w:p>
              </w:tc>
              <w:tc>
                <w:tcPr>
                  <w:tcW w:w="1133" w:type="dxa"/>
                  <w:vAlign w:val="center"/>
                </w:tcPr>
                <w:p>
                  <w:pPr>
                    <w:spacing w:after="0"/>
                    <w:jc w:val="center"/>
                    <w:rPr>
                      <w:kern w:val="0"/>
                      <w:szCs w:val="21"/>
                      <w:u w:val="wave"/>
                    </w:rPr>
                  </w:pPr>
                  <w:r>
                    <w:rPr>
                      <w:rFonts w:hint="eastAsia"/>
                      <w:kern w:val="0"/>
                      <w:szCs w:val="21"/>
                      <w:u w:val="wave"/>
                    </w:rPr>
                    <w:t>0.1</w:t>
                  </w:r>
                  <w:r>
                    <w:rPr>
                      <w:kern w:val="0"/>
                      <w:szCs w:val="21"/>
                      <w:u w:val="wav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vAlign w:val="center"/>
                </w:tcPr>
                <w:p>
                  <w:pPr>
                    <w:spacing w:after="0"/>
                    <w:jc w:val="center"/>
                    <w:rPr>
                      <w:kern w:val="0"/>
                      <w:szCs w:val="21"/>
                      <w:u w:val="wave"/>
                    </w:rPr>
                  </w:pPr>
                  <w:r>
                    <w:rPr>
                      <w:kern w:val="0"/>
                      <w:szCs w:val="21"/>
                      <w:u w:val="wave"/>
                    </w:rPr>
                    <w:t>3</w:t>
                  </w:r>
                </w:p>
              </w:tc>
              <w:tc>
                <w:tcPr>
                  <w:tcW w:w="1165" w:type="dxa"/>
                  <w:vAlign w:val="center"/>
                </w:tcPr>
                <w:p>
                  <w:pPr>
                    <w:spacing w:after="0"/>
                    <w:jc w:val="center"/>
                    <w:rPr>
                      <w:kern w:val="0"/>
                      <w:szCs w:val="21"/>
                      <w:u w:val="wave"/>
                    </w:rPr>
                  </w:pPr>
                  <w:r>
                    <w:rPr>
                      <w:rFonts w:hint="eastAsia"/>
                      <w:kern w:val="0"/>
                      <w:szCs w:val="21"/>
                      <w:u w:val="wave"/>
                    </w:rPr>
                    <w:t>原料堆场</w:t>
                  </w:r>
                </w:p>
              </w:tc>
              <w:tc>
                <w:tcPr>
                  <w:tcW w:w="1134" w:type="dxa"/>
                  <w:vAlign w:val="center"/>
                </w:tcPr>
                <w:p>
                  <w:pPr>
                    <w:spacing w:after="0"/>
                    <w:jc w:val="center"/>
                    <w:rPr>
                      <w:kern w:val="0"/>
                      <w:szCs w:val="21"/>
                      <w:u w:val="wave"/>
                    </w:rPr>
                  </w:pPr>
                  <w:r>
                    <w:rPr>
                      <w:rFonts w:hint="eastAsia"/>
                      <w:kern w:val="0"/>
                      <w:szCs w:val="21"/>
                      <w:u w:val="wave"/>
                    </w:rPr>
                    <w:t>堆场扬尘</w:t>
                  </w:r>
                </w:p>
              </w:tc>
              <w:tc>
                <w:tcPr>
                  <w:tcW w:w="851" w:type="dxa"/>
                  <w:vAlign w:val="center"/>
                </w:tcPr>
                <w:p>
                  <w:pPr>
                    <w:spacing w:after="0"/>
                    <w:jc w:val="center"/>
                    <w:rPr>
                      <w:kern w:val="0"/>
                      <w:szCs w:val="21"/>
                      <w:u w:val="wave"/>
                    </w:rPr>
                  </w:pPr>
                  <w:r>
                    <w:rPr>
                      <w:kern w:val="0"/>
                      <w:szCs w:val="21"/>
                      <w:u w:val="wave"/>
                    </w:rPr>
                    <w:t>颗粒物</w:t>
                  </w:r>
                </w:p>
              </w:tc>
              <w:tc>
                <w:tcPr>
                  <w:tcW w:w="1559" w:type="dxa"/>
                  <w:vAlign w:val="center"/>
                </w:tcPr>
                <w:p>
                  <w:pPr>
                    <w:spacing w:after="0"/>
                    <w:jc w:val="center"/>
                    <w:rPr>
                      <w:kern w:val="0"/>
                      <w:szCs w:val="21"/>
                      <w:u w:val="wave"/>
                    </w:rPr>
                  </w:pPr>
                  <w:r>
                    <w:rPr>
                      <w:szCs w:val="21"/>
                      <w:u w:val="wave"/>
                    </w:rPr>
                    <w:t>喷水雾化器</w:t>
                  </w:r>
                </w:p>
              </w:tc>
              <w:tc>
                <w:tcPr>
                  <w:tcW w:w="1559" w:type="dxa"/>
                  <w:vMerge w:val="continue"/>
                  <w:vAlign w:val="center"/>
                </w:tcPr>
                <w:p>
                  <w:pPr>
                    <w:spacing w:after="0"/>
                    <w:jc w:val="center"/>
                    <w:rPr>
                      <w:kern w:val="0"/>
                      <w:szCs w:val="21"/>
                      <w:u w:val="wave"/>
                    </w:rPr>
                  </w:pPr>
                </w:p>
              </w:tc>
              <w:tc>
                <w:tcPr>
                  <w:tcW w:w="1130" w:type="dxa"/>
                  <w:vMerge w:val="continue"/>
                  <w:vAlign w:val="center"/>
                </w:tcPr>
                <w:p>
                  <w:pPr>
                    <w:spacing w:after="0"/>
                    <w:jc w:val="center"/>
                    <w:rPr>
                      <w:kern w:val="0"/>
                      <w:szCs w:val="21"/>
                      <w:u w:val="wave"/>
                    </w:rPr>
                  </w:pPr>
                </w:p>
              </w:tc>
              <w:tc>
                <w:tcPr>
                  <w:tcW w:w="1133" w:type="dxa"/>
                  <w:vAlign w:val="center"/>
                </w:tcPr>
                <w:p>
                  <w:pPr>
                    <w:spacing w:after="0"/>
                    <w:jc w:val="center"/>
                    <w:rPr>
                      <w:kern w:val="0"/>
                      <w:szCs w:val="21"/>
                      <w:u w:val="wave"/>
                    </w:rPr>
                  </w:pPr>
                  <w:r>
                    <w:rPr>
                      <w:kern w:val="0"/>
                      <w:szCs w:val="21"/>
                      <w:u w:val="wave"/>
                    </w:rPr>
                    <w:t>0.</w:t>
                  </w:r>
                  <w:r>
                    <w:rPr>
                      <w:rFonts w:hint="eastAsia"/>
                      <w:kern w:val="0"/>
                      <w:szCs w:val="21"/>
                      <w:u w:val="wave"/>
                    </w:rPr>
                    <w:t>0</w:t>
                  </w:r>
                  <w:r>
                    <w:rPr>
                      <w:kern w:val="0"/>
                      <w:szCs w:val="21"/>
                      <w:u w:val="wav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2" w:type="dxa"/>
                  <w:gridSpan w:val="8"/>
                  <w:vAlign w:val="center"/>
                </w:tcPr>
                <w:p>
                  <w:pPr>
                    <w:spacing w:after="0"/>
                    <w:jc w:val="center"/>
                    <w:rPr>
                      <w:kern w:val="0"/>
                      <w:szCs w:val="21"/>
                      <w:u w:val="wave"/>
                    </w:rPr>
                  </w:pPr>
                  <w:r>
                    <w:rPr>
                      <w:kern w:val="0"/>
                      <w:szCs w:val="21"/>
                      <w:u w:val="wave"/>
                    </w:rPr>
                    <w:t>无组织排放总计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40" w:type="dxa"/>
                  <w:gridSpan w:val="5"/>
                  <w:vAlign w:val="center"/>
                </w:tcPr>
                <w:p>
                  <w:pPr>
                    <w:spacing w:after="0"/>
                    <w:jc w:val="center"/>
                    <w:rPr>
                      <w:kern w:val="0"/>
                      <w:szCs w:val="21"/>
                      <w:u w:val="wave"/>
                    </w:rPr>
                  </w:pPr>
                  <w:r>
                    <w:rPr>
                      <w:kern w:val="0"/>
                      <w:szCs w:val="21"/>
                      <w:u w:val="wave"/>
                    </w:rPr>
                    <w:t>无组织排放总计</w:t>
                  </w:r>
                </w:p>
              </w:tc>
              <w:tc>
                <w:tcPr>
                  <w:tcW w:w="2689" w:type="dxa"/>
                  <w:gridSpan w:val="2"/>
                  <w:vAlign w:val="center"/>
                </w:tcPr>
                <w:p>
                  <w:pPr>
                    <w:spacing w:after="0"/>
                    <w:jc w:val="center"/>
                    <w:rPr>
                      <w:kern w:val="0"/>
                      <w:szCs w:val="21"/>
                      <w:u w:val="wave"/>
                    </w:rPr>
                  </w:pPr>
                  <w:r>
                    <w:rPr>
                      <w:kern w:val="0"/>
                      <w:szCs w:val="21"/>
                      <w:u w:val="wave"/>
                    </w:rPr>
                    <w:t>颗粒物</w:t>
                  </w:r>
                </w:p>
              </w:tc>
              <w:tc>
                <w:tcPr>
                  <w:tcW w:w="1133" w:type="dxa"/>
                  <w:vAlign w:val="center"/>
                </w:tcPr>
                <w:p>
                  <w:pPr>
                    <w:spacing w:after="0"/>
                    <w:jc w:val="center"/>
                    <w:rPr>
                      <w:kern w:val="0"/>
                      <w:szCs w:val="21"/>
                      <w:u w:val="wave"/>
                    </w:rPr>
                  </w:pPr>
                  <w:r>
                    <w:rPr>
                      <w:kern w:val="0"/>
                      <w:szCs w:val="21"/>
                      <w:u w:val="wave"/>
                    </w:rPr>
                    <w:t>0.272</w:t>
                  </w:r>
                </w:p>
              </w:tc>
            </w:tr>
          </w:tbl>
          <w:p>
            <w:pPr>
              <w:spacing w:after="0" w:line="360" w:lineRule="auto"/>
              <w:ind w:firstLine="480" w:firstLineChars="200"/>
              <w:rPr>
                <w:sz w:val="24"/>
                <w:u w:val="wave"/>
              </w:rPr>
            </w:pPr>
            <w:r>
              <w:rPr>
                <w:rFonts w:ascii="Cambria Math" w:hAnsi="Cambria Math" w:cs="Cambria Math"/>
                <w:sz w:val="24"/>
                <w:u w:val="wave"/>
              </w:rPr>
              <w:t>③</w:t>
            </w:r>
            <w:r>
              <w:rPr>
                <w:sz w:val="24"/>
                <w:u w:val="wave"/>
              </w:rPr>
              <w:t xml:space="preserve"> 项目大气污染物年排放量核算</w:t>
            </w:r>
          </w:p>
          <w:p>
            <w:pPr>
              <w:spacing w:after="0" w:line="360" w:lineRule="auto"/>
              <w:jc w:val="center"/>
              <w:rPr>
                <w:b/>
                <w:color w:val="0000FF"/>
                <w:sz w:val="24"/>
                <w:u w:val="wave"/>
              </w:rPr>
            </w:pPr>
            <w:r>
              <w:rPr>
                <w:b/>
                <w:sz w:val="24"/>
                <w:u w:val="wave"/>
              </w:rPr>
              <w:t>表7-10  大气污染物年排放量核算表</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84"/>
              <w:gridCol w:w="2674"/>
              <w:gridCol w:w="441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84" w:type="dxa"/>
                  <w:tcBorders>
                    <w:top w:val="single" w:color="auto" w:sz="8" w:space="0"/>
                    <w:left w:val="single" w:color="auto" w:sz="8" w:space="0"/>
                    <w:bottom w:val="single" w:color="auto" w:sz="6" w:space="0"/>
                    <w:right w:val="single" w:color="auto" w:sz="6" w:space="0"/>
                  </w:tcBorders>
                  <w:vAlign w:val="center"/>
                </w:tcPr>
                <w:p>
                  <w:pPr>
                    <w:spacing w:after="0"/>
                    <w:jc w:val="center"/>
                    <w:rPr>
                      <w:b/>
                      <w:szCs w:val="21"/>
                      <w:u w:val="wave"/>
                    </w:rPr>
                  </w:pPr>
                  <w:r>
                    <w:rPr>
                      <w:b/>
                      <w:szCs w:val="21"/>
                      <w:u w:val="wave"/>
                    </w:rPr>
                    <w:t>序号</w:t>
                  </w:r>
                </w:p>
              </w:tc>
              <w:tc>
                <w:tcPr>
                  <w:tcW w:w="2674" w:type="dxa"/>
                  <w:tcBorders>
                    <w:top w:val="single" w:color="auto" w:sz="8" w:space="0"/>
                    <w:left w:val="single" w:color="auto" w:sz="6" w:space="0"/>
                    <w:bottom w:val="single" w:color="auto" w:sz="6" w:space="0"/>
                    <w:right w:val="single" w:color="auto" w:sz="6" w:space="0"/>
                  </w:tcBorders>
                  <w:vAlign w:val="center"/>
                </w:tcPr>
                <w:p>
                  <w:pPr>
                    <w:spacing w:after="0"/>
                    <w:jc w:val="center"/>
                    <w:rPr>
                      <w:b/>
                      <w:szCs w:val="21"/>
                      <w:u w:val="wave"/>
                    </w:rPr>
                  </w:pPr>
                  <w:r>
                    <w:rPr>
                      <w:b/>
                      <w:szCs w:val="21"/>
                      <w:u w:val="wave"/>
                    </w:rPr>
                    <w:t>污染物</w:t>
                  </w:r>
                </w:p>
              </w:tc>
              <w:tc>
                <w:tcPr>
                  <w:tcW w:w="4413" w:type="dxa"/>
                  <w:tcBorders>
                    <w:top w:val="single" w:color="auto" w:sz="8" w:space="0"/>
                    <w:left w:val="single" w:color="auto" w:sz="6" w:space="0"/>
                    <w:bottom w:val="single" w:color="auto" w:sz="6" w:space="0"/>
                    <w:right w:val="single" w:color="auto" w:sz="8" w:space="0"/>
                  </w:tcBorders>
                  <w:vAlign w:val="center"/>
                </w:tcPr>
                <w:p>
                  <w:pPr>
                    <w:spacing w:after="0"/>
                    <w:jc w:val="center"/>
                    <w:rPr>
                      <w:b/>
                      <w:szCs w:val="21"/>
                      <w:u w:val="wave"/>
                    </w:rPr>
                  </w:pPr>
                  <w:r>
                    <w:rPr>
                      <w:b/>
                      <w:szCs w:val="21"/>
                      <w:u w:val="wave"/>
                    </w:rPr>
                    <w:t>年排放量（t/a）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84" w:type="dxa"/>
                  <w:tcBorders>
                    <w:top w:val="single" w:color="auto" w:sz="6" w:space="0"/>
                    <w:left w:val="single" w:color="auto" w:sz="8" w:space="0"/>
                    <w:bottom w:val="single" w:color="auto" w:sz="6" w:space="0"/>
                    <w:right w:val="single" w:color="auto" w:sz="6" w:space="0"/>
                  </w:tcBorders>
                  <w:vAlign w:val="center"/>
                </w:tcPr>
                <w:p>
                  <w:pPr>
                    <w:spacing w:after="0"/>
                    <w:jc w:val="center"/>
                    <w:rPr>
                      <w:szCs w:val="21"/>
                      <w:u w:val="wave"/>
                    </w:rPr>
                  </w:pPr>
                  <w:r>
                    <w:rPr>
                      <w:szCs w:val="21"/>
                      <w:u w:val="wave"/>
                    </w:rPr>
                    <w:t>1</w:t>
                  </w:r>
                </w:p>
              </w:tc>
              <w:tc>
                <w:tcPr>
                  <w:tcW w:w="2674"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u w:val="wave"/>
                    </w:rPr>
                  </w:pPr>
                  <w:r>
                    <w:rPr>
                      <w:szCs w:val="21"/>
                      <w:u w:val="wave"/>
                    </w:rPr>
                    <w:t>粉尘</w:t>
                  </w:r>
                </w:p>
              </w:tc>
              <w:tc>
                <w:tcPr>
                  <w:tcW w:w="4413" w:type="dxa"/>
                  <w:tcBorders>
                    <w:top w:val="single" w:color="auto" w:sz="6" w:space="0"/>
                    <w:left w:val="single" w:color="auto" w:sz="6" w:space="0"/>
                    <w:bottom w:val="single" w:color="auto" w:sz="6" w:space="0"/>
                    <w:right w:val="single" w:color="auto" w:sz="8" w:space="0"/>
                  </w:tcBorders>
                  <w:vAlign w:val="center"/>
                </w:tcPr>
                <w:p>
                  <w:pPr>
                    <w:spacing w:after="0"/>
                    <w:jc w:val="center"/>
                    <w:rPr>
                      <w:rFonts w:hint="default" w:eastAsia="宋体"/>
                      <w:szCs w:val="21"/>
                      <w:u w:val="wave"/>
                      <w:lang w:val="en-US" w:eastAsia="zh-CN"/>
                    </w:rPr>
                  </w:pPr>
                  <w:r>
                    <w:rPr>
                      <w:szCs w:val="21"/>
                      <w:u w:val="wave"/>
                    </w:rPr>
                    <w:t>0.</w:t>
                  </w:r>
                  <w:r>
                    <w:rPr>
                      <w:rFonts w:hint="eastAsia"/>
                      <w:szCs w:val="21"/>
                      <w:u w:val="wave"/>
                      <w:lang w:val="en-US" w:eastAsia="zh-CN"/>
                    </w:rPr>
                    <w:t>63365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84" w:type="dxa"/>
                  <w:tcBorders>
                    <w:top w:val="single" w:color="auto" w:sz="6" w:space="0"/>
                    <w:left w:val="single" w:color="auto" w:sz="8" w:space="0"/>
                    <w:bottom w:val="single" w:color="auto" w:sz="6" w:space="0"/>
                    <w:right w:val="single" w:color="auto" w:sz="6" w:space="0"/>
                  </w:tcBorders>
                  <w:vAlign w:val="center"/>
                </w:tcPr>
                <w:p>
                  <w:pPr>
                    <w:spacing w:after="0"/>
                    <w:jc w:val="center"/>
                    <w:rPr>
                      <w:szCs w:val="21"/>
                      <w:u w:val="wave"/>
                    </w:rPr>
                  </w:pPr>
                  <w:r>
                    <w:rPr>
                      <w:szCs w:val="21"/>
                      <w:u w:val="wave"/>
                    </w:rPr>
                    <w:t>2</w:t>
                  </w:r>
                </w:p>
              </w:tc>
              <w:tc>
                <w:tcPr>
                  <w:tcW w:w="2674" w:type="dxa"/>
                  <w:tcBorders>
                    <w:top w:val="single" w:color="auto" w:sz="6" w:space="0"/>
                    <w:left w:val="single" w:color="auto" w:sz="6" w:space="0"/>
                    <w:bottom w:val="single" w:color="auto" w:sz="6" w:space="0"/>
                    <w:right w:val="single" w:color="auto" w:sz="6" w:space="0"/>
                  </w:tcBorders>
                  <w:vAlign w:val="center"/>
                </w:tcPr>
                <w:p>
                  <w:pPr>
                    <w:spacing w:after="0"/>
                    <w:jc w:val="center"/>
                    <w:rPr>
                      <w:szCs w:val="21"/>
                      <w:u w:val="wave"/>
                    </w:rPr>
                  </w:pPr>
                  <w:r>
                    <w:rPr>
                      <w:rFonts w:hint="eastAsia"/>
                      <w:szCs w:val="21"/>
                      <w:u w:val="wave"/>
                    </w:rPr>
                    <w:t>油烟</w:t>
                  </w:r>
                </w:p>
              </w:tc>
              <w:tc>
                <w:tcPr>
                  <w:tcW w:w="4413" w:type="dxa"/>
                  <w:tcBorders>
                    <w:top w:val="single" w:color="auto" w:sz="6" w:space="0"/>
                    <w:left w:val="single" w:color="auto" w:sz="6" w:space="0"/>
                    <w:bottom w:val="single" w:color="auto" w:sz="6" w:space="0"/>
                    <w:right w:val="single" w:color="auto" w:sz="8" w:space="0"/>
                  </w:tcBorders>
                  <w:vAlign w:val="center"/>
                </w:tcPr>
                <w:p>
                  <w:pPr>
                    <w:spacing w:after="0"/>
                    <w:jc w:val="center"/>
                    <w:rPr>
                      <w:szCs w:val="21"/>
                      <w:u w:val="wave"/>
                    </w:rPr>
                  </w:pPr>
                  <w:r>
                    <w:rPr>
                      <w:szCs w:val="21"/>
                      <w:u w:val="wave"/>
                    </w:rPr>
                    <w:t>0.00378</w:t>
                  </w:r>
                </w:p>
              </w:tc>
            </w:tr>
          </w:tbl>
          <w:p>
            <w:pPr>
              <w:pStyle w:val="35"/>
              <w:spacing w:after="0" w:line="360" w:lineRule="auto"/>
              <w:jc w:val="both"/>
              <w:rPr>
                <w:rFonts w:ascii="Times New Roman" w:cs="Times New Roman"/>
                <w:color w:val="auto"/>
                <w:szCs w:val="32"/>
              </w:rPr>
            </w:pPr>
            <w:r>
              <w:rPr>
                <w:rFonts w:ascii="Times New Roman" w:cs="Times New Roman"/>
                <w:b/>
                <w:bCs/>
                <w:color w:val="auto"/>
                <w:szCs w:val="32"/>
              </w:rPr>
              <w:t>二、水环境影响分析</w:t>
            </w:r>
          </w:p>
          <w:p>
            <w:pPr>
              <w:spacing w:after="0" w:line="360" w:lineRule="auto"/>
              <w:ind w:firstLine="480" w:firstLineChars="200"/>
              <w:rPr>
                <w:sz w:val="24"/>
              </w:rPr>
            </w:pPr>
            <w:r>
              <w:rPr>
                <w:sz w:val="24"/>
              </w:rPr>
              <w:t>（1）评价等级确定</w:t>
            </w:r>
          </w:p>
          <w:p>
            <w:pPr>
              <w:adjustRightInd w:val="0"/>
              <w:snapToGrid w:val="0"/>
              <w:spacing w:after="0" w:line="360" w:lineRule="auto"/>
              <w:ind w:firstLine="480" w:firstLineChars="200"/>
              <w:rPr>
                <w:sz w:val="24"/>
              </w:rPr>
            </w:pPr>
            <w:r>
              <w:rPr>
                <w:sz w:val="24"/>
              </w:rPr>
              <w:t>本项目营运期产生的废水主要为生产废水和生活废水。生产废水</w:t>
            </w:r>
            <w:r>
              <w:rPr>
                <w:kern w:val="0"/>
                <w:sz w:val="24"/>
                <w:lang w:bidi="ar"/>
              </w:rPr>
              <w:t>经沉淀池沉淀处理后</w:t>
            </w:r>
            <w:r>
              <w:rPr>
                <w:sz w:val="24"/>
              </w:rPr>
              <w:t>循环使用</w:t>
            </w:r>
            <w:r>
              <w:rPr>
                <w:kern w:val="0"/>
                <w:sz w:val="24"/>
                <w:lang w:bidi="ar"/>
              </w:rPr>
              <w:t>不外排</w:t>
            </w:r>
            <w:r>
              <w:rPr>
                <w:rFonts w:hint="eastAsia"/>
                <w:kern w:val="0"/>
                <w:sz w:val="24"/>
                <w:lang w:bidi="ar"/>
              </w:rPr>
              <w:t>；</w:t>
            </w:r>
            <w:r>
              <w:rPr>
                <w:kern w:val="0"/>
                <w:sz w:val="24"/>
                <w:lang w:bidi="ar"/>
              </w:rPr>
              <w:t>生活废水经隔油器</w:t>
            </w:r>
            <w:r>
              <w:rPr>
                <w:rFonts w:hint="eastAsia"/>
                <w:kern w:val="0"/>
                <w:sz w:val="24"/>
                <w:lang w:bidi="ar"/>
              </w:rPr>
              <w:t>及</w:t>
            </w:r>
            <w:r>
              <w:rPr>
                <w:kern w:val="0"/>
                <w:sz w:val="24"/>
                <w:lang w:bidi="ar"/>
              </w:rPr>
              <w:t>化粪池处理后用于周边农田灌溉，不外排。</w:t>
            </w:r>
            <w:r>
              <w:rPr>
                <w:color w:val="000000"/>
                <w:kern w:val="0"/>
                <w:sz w:val="24"/>
              </w:rPr>
              <w:t>按照</w:t>
            </w:r>
            <w:r>
              <w:rPr>
                <w:color w:val="000000"/>
                <w:sz w:val="24"/>
              </w:rPr>
              <w:t>《环境影响评价技术导则 地表水环境》（HJ 2.3-2018）评价等级划分</w:t>
            </w:r>
            <w:r>
              <w:rPr>
                <w:color w:val="000000"/>
                <w:kern w:val="0"/>
                <w:sz w:val="24"/>
              </w:rPr>
              <w:t>的规定，</w:t>
            </w:r>
            <w:r>
              <w:rPr>
                <w:sz w:val="24"/>
              </w:rPr>
              <w:t>确定水环境评价工作等级为三级B，不进行水环境影响预测，仅对项目水污染控制措施和水环境影响减缓措施有效性评价。</w:t>
            </w:r>
          </w:p>
          <w:p>
            <w:pPr>
              <w:spacing w:after="0" w:line="360" w:lineRule="auto"/>
              <w:ind w:firstLine="480" w:firstLineChars="200"/>
              <w:rPr>
                <w:sz w:val="24"/>
              </w:rPr>
            </w:pPr>
            <w:r>
              <w:rPr>
                <w:sz w:val="24"/>
              </w:rPr>
              <w:t>（2）地表水环境影响分析</w:t>
            </w:r>
          </w:p>
          <w:p>
            <w:pPr>
              <w:spacing w:after="0" w:line="360" w:lineRule="auto"/>
              <w:ind w:firstLine="480" w:firstLineChars="200"/>
              <w:rPr>
                <w:sz w:val="24"/>
              </w:rPr>
            </w:pPr>
            <w:r>
              <w:rPr>
                <w:sz w:val="24"/>
              </w:rPr>
              <w:t>本项目清洗废水产生量为39.2m</w:t>
            </w:r>
            <w:r>
              <w:rPr>
                <w:sz w:val="24"/>
                <w:vertAlign w:val="superscript"/>
              </w:rPr>
              <w:t>3</w:t>
            </w:r>
            <w:r>
              <w:rPr>
                <w:sz w:val="24"/>
              </w:rPr>
              <w:t>/d，拟在混凝土生产搅拌区东侧设一个三级沉淀池（4m×5m×3m），厂区内的清洗废水均排入三级沉淀池内，本项目三级沉淀池的容积可满足每日清洗废水的收集。清洗废水主要污染物为SS，成分较简单，不含有毒有害污染因子，经三级沉淀池沉淀处理后可循环使用，不外排；本项目生活废水产生量为3.2m</w:t>
            </w:r>
            <w:r>
              <w:rPr>
                <w:sz w:val="24"/>
                <w:vertAlign w:val="superscript"/>
              </w:rPr>
              <w:t>3</w:t>
            </w:r>
            <w:r>
              <w:rPr>
                <w:sz w:val="24"/>
              </w:rPr>
              <w:t>/d，主要污染因子为COD、BOD</w:t>
            </w:r>
            <w:r>
              <w:rPr>
                <w:sz w:val="24"/>
                <w:vertAlign w:val="subscript"/>
              </w:rPr>
              <w:t>5</w:t>
            </w:r>
            <w:r>
              <w:rPr>
                <w:sz w:val="24"/>
              </w:rPr>
              <w:t>、SS、NH</w:t>
            </w:r>
            <w:r>
              <w:rPr>
                <w:sz w:val="24"/>
                <w:vertAlign w:val="subscript"/>
              </w:rPr>
              <w:t>3</w:t>
            </w:r>
            <w:r>
              <w:rPr>
                <w:sz w:val="24"/>
              </w:rPr>
              <w:t>-N、动植物油，经隔油器</w:t>
            </w:r>
            <w:r>
              <w:rPr>
                <w:rFonts w:hint="eastAsia"/>
                <w:sz w:val="24"/>
              </w:rPr>
              <w:t>及</w:t>
            </w:r>
            <w:r>
              <w:rPr>
                <w:sz w:val="24"/>
              </w:rPr>
              <w:t>化粪池处理后用于周边农田灌溉。</w:t>
            </w:r>
          </w:p>
          <w:p>
            <w:pPr>
              <w:spacing w:after="0" w:line="360" w:lineRule="auto"/>
              <w:ind w:firstLine="480" w:firstLineChars="200"/>
            </w:pPr>
            <w:r>
              <w:rPr>
                <w:sz w:val="24"/>
              </w:rPr>
              <w:t>综上所述，本项目对周围地表水环境影响较小。</w:t>
            </w:r>
          </w:p>
          <w:p>
            <w:pPr>
              <w:pStyle w:val="35"/>
              <w:spacing w:after="0" w:line="360" w:lineRule="auto"/>
              <w:rPr>
                <w:rFonts w:ascii="Times New Roman" w:cs="Times New Roman"/>
                <w:b/>
                <w:bCs/>
                <w:color w:val="auto"/>
                <w:szCs w:val="32"/>
              </w:rPr>
            </w:pPr>
            <w:r>
              <w:rPr>
                <w:rFonts w:ascii="Times New Roman" w:cs="Times New Roman"/>
                <w:b/>
                <w:bCs/>
                <w:color w:val="auto"/>
                <w:szCs w:val="32"/>
              </w:rPr>
              <w:t>三、声环境影响分析</w:t>
            </w:r>
          </w:p>
          <w:p>
            <w:pPr>
              <w:widowControl/>
              <w:adjustRightInd w:val="0"/>
              <w:snapToGrid w:val="0"/>
              <w:spacing w:after="0" w:line="360" w:lineRule="auto"/>
              <w:ind w:firstLine="480" w:firstLineChars="200"/>
              <w:rPr>
                <w:color w:val="000000"/>
                <w:kern w:val="0"/>
                <w:sz w:val="24"/>
                <w:szCs w:val="20"/>
              </w:rPr>
            </w:pPr>
            <w:r>
              <w:rPr>
                <w:sz w:val="24"/>
                <w:szCs w:val="21"/>
              </w:rPr>
              <w:t>项目主要噪声源为生产设备运行过程产生的机械噪声及车辆交通噪声，噪声源强为70～90dB（A）</w:t>
            </w:r>
            <w:r>
              <w:rPr>
                <w:rFonts w:hint="eastAsia"/>
                <w:sz w:val="24"/>
                <w:szCs w:val="21"/>
              </w:rPr>
              <w:t>，</w:t>
            </w:r>
            <w:r>
              <w:rPr>
                <w:color w:val="000000"/>
                <w:kern w:val="0"/>
                <w:sz w:val="24"/>
                <w:szCs w:val="20"/>
              </w:rPr>
              <w:t>本项目均使用低噪声设备，</w:t>
            </w:r>
            <w:r>
              <w:rPr>
                <w:rFonts w:hint="eastAsia"/>
                <w:color w:val="000000"/>
                <w:kern w:val="0"/>
                <w:sz w:val="24"/>
                <w:szCs w:val="20"/>
              </w:rPr>
              <w:t>并采取了减振、厂区设置绿化带及厂房隔声等措施。经上述处理后减噪量约为</w:t>
            </w:r>
            <w:r>
              <w:rPr>
                <w:color w:val="000000"/>
                <w:kern w:val="0"/>
                <w:sz w:val="24"/>
                <w:szCs w:val="20"/>
              </w:rPr>
              <w:t>20dB（A）。</w:t>
            </w:r>
          </w:p>
          <w:p>
            <w:pPr>
              <w:spacing w:after="0" w:line="360" w:lineRule="auto"/>
              <w:ind w:firstLine="480" w:firstLineChars="200"/>
              <w:rPr>
                <w:sz w:val="24"/>
              </w:rPr>
            </w:pPr>
            <w:r>
              <w:rPr>
                <w:sz w:val="24"/>
              </w:rPr>
              <w:t>（2）噪声预测与评价</w:t>
            </w:r>
          </w:p>
          <w:p>
            <w:pPr>
              <w:snapToGrid w:val="0"/>
              <w:spacing w:after="0" w:line="360" w:lineRule="auto"/>
              <w:ind w:firstLine="470" w:firstLineChars="196"/>
              <w:rPr>
                <w:sz w:val="24"/>
              </w:rPr>
            </w:pPr>
            <w:r>
              <w:rPr>
                <w:bCs/>
                <w:sz w:val="24"/>
                <w:szCs w:val="32"/>
              </w:rPr>
              <w:t>噪声预测采用《环境影响评价技术导则  声环境》（HJ2.4-2009）推荐的模式。</w:t>
            </w:r>
            <w:r>
              <w:rPr>
                <w:sz w:val="24"/>
              </w:rPr>
              <w:t>本次评价具体预测模式如下：</w:t>
            </w:r>
          </w:p>
          <w:p>
            <w:pPr>
              <w:snapToGrid w:val="0"/>
              <w:spacing w:after="0" w:line="360" w:lineRule="auto"/>
              <w:ind w:firstLine="470" w:firstLineChars="196"/>
              <w:rPr>
                <w:sz w:val="24"/>
              </w:rPr>
            </w:pPr>
            <w:r>
              <w:rPr>
                <w:sz w:val="24"/>
              </w:rPr>
              <w:t>a. 建设项目声源在预测点产生的等效连续A声级贡献值：</w:t>
            </w:r>
          </w:p>
          <w:p>
            <w:pPr>
              <w:snapToGrid w:val="0"/>
              <w:spacing w:after="0" w:line="360" w:lineRule="auto"/>
              <w:jc w:val="center"/>
              <w:rPr>
                <w:sz w:val="24"/>
              </w:rPr>
            </w:pPr>
            <w:r>
              <w:rPr>
                <w:position w:val="-30"/>
              </w:rPr>
              <w:drawing>
                <wp:inline distT="0" distB="0" distL="114300" distR="114300">
                  <wp:extent cx="1314450" cy="357505"/>
                  <wp:effectExtent l="0" t="0" r="0" b="4445"/>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6"/>
                          <a:stretch>
                            <a:fillRect/>
                          </a:stretch>
                        </pic:blipFill>
                        <pic:spPr>
                          <a:xfrm>
                            <a:off x="0" y="0"/>
                            <a:ext cx="1314450" cy="357505"/>
                          </a:xfrm>
                          <a:prstGeom prst="rect">
                            <a:avLst/>
                          </a:prstGeom>
                          <a:noFill/>
                          <a:ln>
                            <a:noFill/>
                          </a:ln>
                        </pic:spPr>
                      </pic:pic>
                    </a:graphicData>
                  </a:graphic>
                </wp:inline>
              </w:drawing>
            </w:r>
          </w:p>
          <w:p>
            <w:pPr>
              <w:spacing w:after="0" w:line="360" w:lineRule="auto"/>
              <w:ind w:firstLine="480" w:firstLineChars="200"/>
              <w:rPr>
                <w:sz w:val="24"/>
              </w:rPr>
            </w:pPr>
            <w:r>
              <w:rPr>
                <w:sz w:val="24"/>
              </w:rPr>
              <w:t>式中：Leqg——建设项目声源在预测点的等效连续A声级贡献值，dB（A）；</w:t>
            </w:r>
          </w:p>
          <w:p>
            <w:pPr>
              <w:spacing w:after="0" w:line="360" w:lineRule="auto"/>
              <w:ind w:firstLine="1200" w:firstLineChars="500"/>
              <w:outlineLvl w:val="0"/>
              <w:rPr>
                <w:sz w:val="24"/>
              </w:rPr>
            </w:pPr>
            <w:bookmarkStart w:id="91" w:name="_Toc12770"/>
            <w:bookmarkStart w:id="92" w:name="_Toc10788"/>
            <w:bookmarkStart w:id="93" w:name="_Toc30651"/>
            <w:r>
              <w:rPr>
                <w:sz w:val="24"/>
              </w:rPr>
              <w:t>LAi-i——声源在预测点产生的A声级，dB（A）；</w:t>
            </w:r>
            <w:bookmarkEnd w:id="91"/>
            <w:bookmarkEnd w:id="92"/>
            <w:bookmarkEnd w:id="93"/>
          </w:p>
          <w:p>
            <w:pPr>
              <w:spacing w:after="0" w:line="360" w:lineRule="auto"/>
              <w:ind w:firstLine="1200" w:firstLineChars="500"/>
              <w:rPr>
                <w:sz w:val="24"/>
              </w:rPr>
            </w:pPr>
            <w:r>
              <w:rPr>
                <w:sz w:val="24"/>
              </w:rPr>
              <w:t>T——预测计算的时间段，S；</w:t>
            </w:r>
          </w:p>
          <w:p>
            <w:pPr>
              <w:spacing w:after="0" w:line="360" w:lineRule="auto"/>
              <w:ind w:firstLine="1200" w:firstLineChars="500"/>
              <w:rPr>
                <w:sz w:val="24"/>
              </w:rPr>
            </w:pPr>
            <w:r>
              <w:rPr>
                <w:sz w:val="24"/>
              </w:rPr>
              <w:t>Ti-i——声源在T时段内的运行时间。</w:t>
            </w:r>
          </w:p>
          <w:p>
            <w:pPr>
              <w:snapToGrid w:val="0"/>
              <w:spacing w:after="0" w:line="360" w:lineRule="auto"/>
              <w:ind w:firstLine="470" w:firstLineChars="196"/>
              <w:rPr>
                <w:sz w:val="24"/>
              </w:rPr>
            </w:pPr>
            <w:r>
              <w:rPr>
                <w:sz w:val="24"/>
              </w:rPr>
              <w:t>b. 预测点的预测等效连续A声级计算</w:t>
            </w:r>
          </w:p>
          <w:p>
            <w:pPr>
              <w:snapToGrid w:val="0"/>
              <w:spacing w:after="0" w:line="360" w:lineRule="auto"/>
              <w:jc w:val="center"/>
              <w:rPr>
                <w:kern w:val="0"/>
                <w:sz w:val="24"/>
                <w:szCs w:val="32"/>
                <w:lang w:val="pt-BR"/>
              </w:rPr>
            </w:pPr>
            <w:r>
              <w:rPr>
                <w:position w:val="-14"/>
              </w:rPr>
              <w:drawing>
                <wp:inline distT="0" distB="0" distL="114300" distR="114300">
                  <wp:extent cx="1762125" cy="276225"/>
                  <wp:effectExtent l="0" t="0" r="9525" b="9525"/>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pic:cNvPicPr>
                        </pic:nvPicPr>
                        <pic:blipFill>
                          <a:blip r:embed="rId17"/>
                          <a:stretch>
                            <a:fillRect/>
                          </a:stretch>
                        </pic:blipFill>
                        <pic:spPr>
                          <a:xfrm>
                            <a:off x="0" y="0"/>
                            <a:ext cx="1762125" cy="276225"/>
                          </a:xfrm>
                          <a:prstGeom prst="rect">
                            <a:avLst/>
                          </a:prstGeom>
                          <a:noFill/>
                          <a:ln>
                            <a:noFill/>
                          </a:ln>
                        </pic:spPr>
                      </pic:pic>
                    </a:graphicData>
                  </a:graphic>
                </wp:inline>
              </w:drawing>
            </w:r>
          </w:p>
          <w:p>
            <w:pPr>
              <w:spacing w:after="0" w:line="360" w:lineRule="auto"/>
              <w:ind w:firstLine="480" w:firstLineChars="200"/>
              <w:rPr>
                <w:sz w:val="24"/>
              </w:rPr>
            </w:pPr>
            <w:r>
              <w:rPr>
                <w:sz w:val="24"/>
              </w:rPr>
              <w:t>（3）预测结果</w:t>
            </w:r>
          </w:p>
          <w:p>
            <w:pPr>
              <w:widowControl/>
              <w:adjustRightInd w:val="0"/>
              <w:snapToGrid w:val="0"/>
              <w:spacing w:after="0"/>
              <w:ind w:firstLine="482" w:firstLineChars="200"/>
              <w:jc w:val="center"/>
              <w:rPr>
                <w:b/>
                <w:bCs/>
                <w:kern w:val="0"/>
                <w:sz w:val="24"/>
              </w:rPr>
            </w:pPr>
            <w:r>
              <w:rPr>
                <w:b/>
                <w:bCs/>
                <w:kern w:val="0"/>
                <w:sz w:val="24"/>
              </w:rPr>
              <w:t>表7-11  厂房厂界噪声预测值</w:t>
            </w:r>
          </w:p>
          <w:tbl>
            <w:tblPr>
              <w:tblStyle w:val="22"/>
              <w:tblW w:w="911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013"/>
              <w:gridCol w:w="733"/>
              <w:gridCol w:w="942"/>
              <w:gridCol w:w="804"/>
              <w:gridCol w:w="806"/>
              <w:gridCol w:w="802"/>
              <w:gridCol w:w="806"/>
              <w:gridCol w:w="802"/>
              <w:gridCol w:w="804"/>
              <w:gridCol w:w="802"/>
              <w:gridCol w:w="8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82" w:hRule="atLeast"/>
                <w:jc w:val="center"/>
              </w:trPr>
              <w:tc>
                <w:tcPr>
                  <w:tcW w:w="556" w:type="pct"/>
                  <w:vMerge w:val="restart"/>
                  <w:vAlign w:val="center"/>
                </w:tcPr>
                <w:p>
                  <w:pPr>
                    <w:pStyle w:val="50"/>
                    <w:spacing w:after="0"/>
                  </w:pPr>
                  <w:r>
                    <w:t>噪声源</w:t>
                  </w:r>
                </w:p>
              </w:tc>
              <w:tc>
                <w:tcPr>
                  <w:tcW w:w="402" w:type="pct"/>
                  <w:vMerge w:val="restart"/>
                  <w:vAlign w:val="center"/>
                </w:tcPr>
                <w:p>
                  <w:pPr>
                    <w:pStyle w:val="50"/>
                    <w:spacing w:after="0"/>
                  </w:pPr>
                  <w:r>
                    <w:t>数量</w:t>
                  </w:r>
                </w:p>
              </w:tc>
              <w:tc>
                <w:tcPr>
                  <w:tcW w:w="517" w:type="pct"/>
                  <w:vMerge w:val="restart"/>
                  <w:vAlign w:val="center"/>
                </w:tcPr>
                <w:p>
                  <w:pPr>
                    <w:pStyle w:val="50"/>
                    <w:spacing w:after="0"/>
                  </w:pPr>
                  <w:r>
                    <w:t xml:space="preserve">治理后声级dB(A) </w:t>
                  </w:r>
                </w:p>
              </w:tc>
              <w:tc>
                <w:tcPr>
                  <w:tcW w:w="883" w:type="pct"/>
                  <w:gridSpan w:val="2"/>
                  <w:vAlign w:val="center"/>
                </w:tcPr>
                <w:p>
                  <w:pPr>
                    <w:pStyle w:val="50"/>
                    <w:spacing w:after="0"/>
                  </w:pPr>
                  <w:r>
                    <w:t>厂界东</w:t>
                  </w:r>
                </w:p>
              </w:tc>
              <w:tc>
                <w:tcPr>
                  <w:tcW w:w="882" w:type="pct"/>
                  <w:gridSpan w:val="2"/>
                  <w:vAlign w:val="center"/>
                </w:tcPr>
                <w:p>
                  <w:pPr>
                    <w:pStyle w:val="50"/>
                    <w:spacing w:after="0"/>
                  </w:pPr>
                  <w:r>
                    <w:t>厂界南</w:t>
                  </w:r>
                </w:p>
              </w:tc>
              <w:tc>
                <w:tcPr>
                  <w:tcW w:w="881" w:type="pct"/>
                  <w:gridSpan w:val="2"/>
                  <w:vAlign w:val="center"/>
                </w:tcPr>
                <w:p>
                  <w:pPr>
                    <w:pStyle w:val="50"/>
                    <w:spacing w:after="0"/>
                  </w:pPr>
                  <w:r>
                    <w:t>厂界西</w:t>
                  </w:r>
                </w:p>
              </w:tc>
              <w:tc>
                <w:tcPr>
                  <w:tcW w:w="879" w:type="pct"/>
                  <w:gridSpan w:val="2"/>
                  <w:vAlign w:val="center"/>
                </w:tcPr>
                <w:p>
                  <w:pPr>
                    <w:pStyle w:val="50"/>
                    <w:spacing w:after="0"/>
                  </w:pPr>
                  <w:r>
                    <w:t>厂界北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82" w:hRule="atLeast"/>
                <w:jc w:val="center"/>
              </w:trPr>
              <w:tc>
                <w:tcPr>
                  <w:tcW w:w="556" w:type="pct"/>
                  <w:vMerge w:val="continue"/>
                  <w:vAlign w:val="center"/>
                </w:tcPr>
                <w:p>
                  <w:pPr>
                    <w:pStyle w:val="50"/>
                    <w:spacing w:after="0"/>
                  </w:pPr>
                </w:p>
              </w:tc>
              <w:tc>
                <w:tcPr>
                  <w:tcW w:w="402" w:type="pct"/>
                  <w:vMerge w:val="continue"/>
                  <w:vAlign w:val="center"/>
                </w:tcPr>
                <w:p>
                  <w:pPr>
                    <w:pStyle w:val="50"/>
                    <w:spacing w:after="0"/>
                  </w:pPr>
                </w:p>
              </w:tc>
              <w:tc>
                <w:tcPr>
                  <w:tcW w:w="517" w:type="pct"/>
                  <w:vMerge w:val="continue"/>
                  <w:vAlign w:val="center"/>
                </w:tcPr>
                <w:p>
                  <w:pPr>
                    <w:pStyle w:val="50"/>
                    <w:spacing w:after="0"/>
                  </w:pPr>
                </w:p>
              </w:tc>
              <w:tc>
                <w:tcPr>
                  <w:tcW w:w="441" w:type="pct"/>
                  <w:vAlign w:val="center"/>
                </w:tcPr>
                <w:p>
                  <w:pPr>
                    <w:pStyle w:val="50"/>
                    <w:spacing w:after="0"/>
                  </w:pPr>
                  <w:r>
                    <w:t>距离</w:t>
                  </w:r>
                </w:p>
              </w:tc>
              <w:tc>
                <w:tcPr>
                  <w:tcW w:w="442" w:type="pct"/>
                  <w:vAlign w:val="center"/>
                </w:tcPr>
                <w:p>
                  <w:pPr>
                    <w:pStyle w:val="50"/>
                    <w:spacing w:after="0"/>
                  </w:pPr>
                  <w:r>
                    <w:t>贡献值</w:t>
                  </w:r>
                </w:p>
              </w:tc>
              <w:tc>
                <w:tcPr>
                  <w:tcW w:w="440" w:type="pct"/>
                  <w:vAlign w:val="center"/>
                </w:tcPr>
                <w:p>
                  <w:pPr>
                    <w:pStyle w:val="50"/>
                    <w:spacing w:after="0"/>
                  </w:pPr>
                  <w:r>
                    <w:t>距离</w:t>
                  </w:r>
                </w:p>
              </w:tc>
              <w:tc>
                <w:tcPr>
                  <w:tcW w:w="442" w:type="pct"/>
                  <w:vAlign w:val="center"/>
                </w:tcPr>
                <w:p>
                  <w:pPr>
                    <w:pStyle w:val="50"/>
                    <w:spacing w:after="0"/>
                  </w:pPr>
                  <w:r>
                    <w:t>贡献值</w:t>
                  </w:r>
                </w:p>
              </w:tc>
              <w:tc>
                <w:tcPr>
                  <w:tcW w:w="440" w:type="pct"/>
                  <w:vAlign w:val="center"/>
                </w:tcPr>
                <w:p>
                  <w:pPr>
                    <w:pStyle w:val="50"/>
                    <w:spacing w:after="0"/>
                  </w:pPr>
                  <w:r>
                    <w:t>距离</w:t>
                  </w:r>
                </w:p>
              </w:tc>
              <w:tc>
                <w:tcPr>
                  <w:tcW w:w="441" w:type="pct"/>
                  <w:vAlign w:val="center"/>
                </w:tcPr>
                <w:p>
                  <w:pPr>
                    <w:pStyle w:val="50"/>
                    <w:spacing w:after="0"/>
                  </w:pPr>
                  <w:r>
                    <w:t>贡献值</w:t>
                  </w:r>
                </w:p>
              </w:tc>
              <w:tc>
                <w:tcPr>
                  <w:tcW w:w="440" w:type="pct"/>
                  <w:vAlign w:val="center"/>
                </w:tcPr>
                <w:p>
                  <w:pPr>
                    <w:pStyle w:val="50"/>
                    <w:spacing w:after="0"/>
                  </w:pPr>
                  <w:r>
                    <w:t>距离</w:t>
                  </w:r>
                </w:p>
              </w:tc>
              <w:tc>
                <w:tcPr>
                  <w:tcW w:w="439" w:type="pct"/>
                  <w:vAlign w:val="center"/>
                </w:tcPr>
                <w:p>
                  <w:pPr>
                    <w:pStyle w:val="50"/>
                    <w:spacing w:after="0"/>
                  </w:pPr>
                  <w:r>
                    <w:t>贡献值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82" w:hRule="atLeast"/>
                <w:jc w:val="center"/>
              </w:trPr>
              <w:tc>
                <w:tcPr>
                  <w:tcW w:w="556" w:type="pct"/>
                  <w:vAlign w:val="center"/>
                </w:tcPr>
                <w:p>
                  <w:pPr>
                    <w:pStyle w:val="50"/>
                    <w:spacing w:after="0"/>
                  </w:pPr>
                  <w:r>
                    <w:rPr>
                      <w:szCs w:val="21"/>
                    </w:rPr>
                    <w:t>搅拌主机</w:t>
                  </w:r>
                </w:p>
              </w:tc>
              <w:tc>
                <w:tcPr>
                  <w:tcW w:w="402" w:type="pct"/>
                  <w:vAlign w:val="center"/>
                </w:tcPr>
                <w:p>
                  <w:pPr>
                    <w:pStyle w:val="50"/>
                    <w:spacing w:after="0"/>
                  </w:pPr>
                  <w:r>
                    <w:t>3</w:t>
                  </w:r>
                </w:p>
              </w:tc>
              <w:tc>
                <w:tcPr>
                  <w:tcW w:w="517" w:type="pct"/>
                  <w:vAlign w:val="center"/>
                </w:tcPr>
                <w:p>
                  <w:pPr>
                    <w:pStyle w:val="50"/>
                    <w:spacing w:after="0"/>
                  </w:pPr>
                  <w:r>
                    <w:rPr>
                      <w:bCs/>
                      <w:lang w:bidi="ar"/>
                    </w:rPr>
                    <w:t>65</w:t>
                  </w:r>
                </w:p>
              </w:tc>
              <w:tc>
                <w:tcPr>
                  <w:tcW w:w="441" w:type="pct"/>
                  <w:vAlign w:val="center"/>
                </w:tcPr>
                <w:p>
                  <w:pPr>
                    <w:pStyle w:val="50"/>
                    <w:spacing w:after="0"/>
                  </w:pPr>
                  <w:r>
                    <w:t>20</w:t>
                  </w:r>
                  <w:r>
                    <w:rPr>
                      <w:rFonts w:hint="eastAsia"/>
                    </w:rPr>
                    <w:t>m</w:t>
                  </w:r>
                </w:p>
              </w:tc>
              <w:tc>
                <w:tcPr>
                  <w:tcW w:w="442" w:type="pct"/>
                  <w:vAlign w:val="center"/>
                </w:tcPr>
                <w:p>
                  <w:pPr>
                    <w:pStyle w:val="50"/>
                    <w:spacing w:after="0"/>
                  </w:pPr>
                  <w:r>
                    <w:t>39.0</w:t>
                  </w:r>
                </w:p>
              </w:tc>
              <w:tc>
                <w:tcPr>
                  <w:tcW w:w="440" w:type="pct"/>
                  <w:vAlign w:val="center"/>
                </w:tcPr>
                <w:p>
                  <w:pPr>
                    <w:pStyle w:val="50"/>
                    <w:spacing w:after="0"/>
                  </w:pPr>
                  <w:r>
                    <w:t>40</w:t>
                  </w:r>
                  <w:r>
                    <w:rPr>
                      <w:rFonts w:hint="eastAsia"/>
                    </w:rPr>
                    <w:t>m</w:t>
                  </w:r>
                </w:p>
              </w:tc>
              <w:tc>
                <w:tcPr>
                  <w:tcW w:w="442" w:type="pct"/>
                  <w:vAlign w:val="center"/>
                </w:tcPr>
                <w:p>
                  <w:pPr>
                    <w:pStyle w:val="50"/>
                    <w:spacing w:after="0"/>
                  </w:pPr>
                  <w:r>
                    <w:t>33.0</w:t>
                  </w:r>
                </w:p>
              </w:tc>
              <w:tc>
                <w:tcPr>
                  <w:tcW w:w="440" w:type="pct"/>
                  <w:vAlign w:val="center"/>
                </w:tcPr>
                <w:p>
                  <w:pPr>
                    <w:pStyle w:val="50"/>
                    <w:spacing w:after="0"/>
                  </w:pPr>
                  <w:r>
                    <w:t>20</w:t>
                  </w:r>
                  <w:r>
                    <w:rPr>
                      <w:rFonts w:hint="eastAsia"/>
                    </w:rPr>
                    <w:t>m</w:t>
                  </w:r>
                </w:p>
              </w:tc>
              <w:tc>
                <w:tcPr>
                  <w:tcW w:w="441" w:type="pct"/>
                  <w:vAlign w:val="center"/>
                </w:tcPr>
                <w:p>
                  <w:pPr>
                    <w:pStyle w:val="50"/>
                    <w:spacing w:after="0"/>
                  </w:pPr>
                  <w:r>
                    <w:t>39.0</w:t>
                  </w:r>
                </w:p>
              </w:tc>
              <w:tc>
                <w:tcPr>
                  <w:tcW w:w="440" w:type="pct"/>
                  <w:vAlign w:val="center"/>
                </w:tcPr>
                <w:p>
                  <w:pPr>
                    <w:pStyle w:val="50"/>
                    <w:spacing w:after="0"/>
                  </w:pPr>
                  <w:r>
                    <w:t>40</w:t>
                  </w:r>
                  <w:r>
                    <w:rPr>
                      <w:rFonts w:hint="eastAsia"/>
                    </w:rPr>
                    <w:t>m</w:t>
                  </w:r>
                </w:p>
              </w:tc>
              <w:tc>
                <w:tcPr>
                  <w:tcW w:w="439" w:type="pct"/>
                  <w:vAlign w:val="center"/>
                </w:tcPr>
                <w:p>
                  <w:pPr>
                    <w:pStyle w:val="50"/>
                    <w:spacing w:after="0"/>
                  </w:pPr>
                  <w:r>
                    <w:t>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82" w:hRule="atLeast"/>
                <w:jc w:val="center"/>
              </w:trPr>
              <w:tc>
                <w:tcPr>
                  <w:tcW w:w="556" w:type="pct"/>
                  <w:vAlign w:val="center"/>
                </w:tcPr>
                <w:p>
                  <w:pPr>
                    <w:pStyle w:val="50"/>
                    <w:spacing w:after="0"/>
                  </w:pPr>
                  <w:r>
                    <w:rPr>
                      <w:szCs w:val="21"/>
                    </w:rPr>
                    <w:t>配料系统</w:t>
                  </w:r>
                </w:p>
              </w:tc>
              <w:tc>
                <w:tcPr>
                  <w:tcW w:w="402" w:type="pct"/>
                  <w:vAlign w:val="center"/>
                </w:tcPr>
                <w:p>
                  <w:pPr>
                    <w:pStyle w:val="50"/>
                    <w:spacing w:after="0"/>
                  </w:pPr>
                  <w:r>
                    <w:t>3</w:t>
                  </w:r>
                </w:p>
              </w:tc>
              <w:tc>
                <w:tcPr>
                  <w:tcW w:w="517" w:type="pct"/>
                  <w:vAlign w:val="center"/>
                </w:tcPr>
                <w:p>
                  <w:pPr>
                    <w:pStyle w:val="50"/>
                    <w:spacing w:after="0"/>
                  </w:pPr>
                  <w:r>
                    <w:rPr>
                      <w:bCs/>
                      <w:lang w:bidi="ar"/>
                    </w:rPr>
                    <w:t>65</w:t>
                  </w:r>
                </w:p>
              </w:tc>
              <w:tc>
                <w:tcPr>
                  <w:tcW w:w="441" w:type="pct"/>
                  <w:vAlign w:val="center"/>
                </w:tcPr>
                <w:p>
                  <w:pPr>
                    <w:pStyle w:val="50"/>
                    <w:spacing w:after="0"/>
                  </w:pPr>
                  <w:r>
                    <w:t>18</w:t>
                  </w:r>
                  <w:r>
                    <w:rPr>
                      <w:rFonts w:hint="eastAsia"/>
                    </w:rPr>
                    <w:t>m</w:t>
                  </w:r>
                </w:p>
              </w:tc>
              <w:tc>
                <w:tcPr>
                  <w:tcW w:w="442" w:type="pct"/>
                  <w:vAlign w:val="center"/>
                </w:tcPr>
                <w:p>
                  <w:pPr>
                    <w:pStyle w:val="50"/>
                    <w:spacing w:after="0"/>
                  </w:pPr>
                  <w:r>
                    <w:t>40.0</w:t>
                  </w:r>
                </w:p>
              </w:tc>
              <w:tc>
                <w:tcPr>
                  <w:tcW w:w="440" w:type="pct"/>
                  <w:vAlign w:val="center"/>
                </w:tcPr>
                <w:p>
                  <w:pPr>
                    <w:pStyle w:val="50"/>
                    <w:spacing w:after="0"/>
                  </w:pPr>
                  <w:r>
                    <w:t>40</w:t>
                  </w:r>
                  <w:r>
                    <w:rPr>
                      <w:rFonts w:hint="eastAsia"/>
                    </w:rPr>
                    <w:t>m</w:t>
                  </w:r>
                </w:p>
              </w:tc>
              <w:tc>
                <w:tcPr>
                  <w:tcW w:w="442" w:type="pct"/>
                  <w:vAlign w:val="center"/>
                </w:tcPr>
                <w:p>
                  <w:pPr>
                    <w:pStyle w:val="50"/>
                    <w:spacing w:after="0"/>
                  </w:pPr>
                  <w:r>
                    <w:t>33.0</w:t>
                  </w:r>
                </w:p>
              </w:tc>
              <w:tc>
                <w:tcPr>
                  <w:tcW w:w="440" w:type="pct"/>
                  <w:vAlign w:val="center"/>
                </w:tcPr>
                <w:p>
                  <w:pPr>
                    <w:pStyle w:val="50"/>
                    <w:spacing w:after="0"/>
                  </w:pPr>
                  <w:r>
                    <w:t>22</w:t>
                  </w:r>
                  <w:r>
                    <w:rPr>
                      <w:rFonts w:hint="eastAsia"/>
                    </w:rPr>
                    <w:t>m</w:t>
                  </w:r>
                </w:p>
              </w:tc>
              <w:tc>
                <w:tcPr>
                  <w:tcW w:w="441" w:type="pct"/>
                  <w:vAlign w:val="center"/>
                </w:tcPr>
                <w:p>
                  <w:pPr>
                    <w:pStyle w:val="50"/>
                    <w:spacing w:after="0"/>
                  </w:pPr>
                  <w:r>
                    <w:t>38.1</w:t>
                  </w:r>
                </w:p>
              </w:tc>
              <w:tc>
                <w:tcPr>
                  <w:tcW w:w="440" w:type="pct"/>
                  <w:vAlign w:val="center"/>
                </w:tcPr>
                <w:p>
                  <w:pPr>
                    <w:pStyle w:val="50"/>
                    <w:spacing w:after="0"/>
                  </w:pPr>
                  <w:r>
                    <w:t>40</w:t>
                  </w:r>
                  <w:r>
                    <w:rPr>
                      <w:rFonts w:hint="eastAsia"/>
                    </w:rPr>
                    <w:t>m</w:t>
                  </w:r>
                </w:p>
              </w:tc>
              <w:tc>
                <w:tcPr>
                  <w:tcW w:w="439" w:type="pct"/>
                  <w:vAlign w:val="center"/>
                </w:tcPr>
                <w:p>
                  <w:pPr>
                    <w:pStyle w:val="50"/>
                    <w:spacing w:after="0"/>
                  </w:pPr>
                  <w:r>
                    <w:t>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82" w:hRule="atLeast"/>
                <w:jc w:val="center"/>
              </w:trPr>
              <w:tc>
                <w:tcPr>
                  <w:tcW w:w="556" w:type="pct"/>
                  <w:vAlign w:val="center"/>
                </w:tcPr>
                <w:p>
                  <w:pPr>
                    <w:pStyle w:val="50"/>
                    <w:spacing w:after="0"/>
                    <w:rPr>
                      <w:szCs w:val="21"/>
                    </w:rPr>
                  </w:pPr>
                  <w:r>
                    <w:rPr>
                      <w:szCs w:val="21"/>
                    </w:rPr>
                    <w:t>提升机</w:t>
                  </w:r>
                </w:p>
              </w:tc>
              <w:tc>
                <w:tcPr>
                  <w:tcW w:w="402" w:type="pct"/>
                  <w:vAlign w:val="center"/>
                </w:tcPr>
                <w:p>
                  <w:pPr>
                    <w:pStyle w:val="50"/>
                    <w:spacing w:after="0"/>
                  </w:pPr>
                  <w:r>
                    <w:t>3</w:t>
                  </w:r>
                </w:p>
              </w:tc>
              <w:tc>
                <w:tcPr>
                  <w:tcW w:w="517" w:type="pct"/>
                  <w:vAlign w:val="center"/>
                </w:tcPr>
                <w:p>
                  <w:pPr>
                    <w:pStyle w:val="50"/>
                    <w:spacing w:after="0"/>
                  </w:pPr>
                  <w:r>
                    <w:rPr>
                      <w:bCs/>
                      <w:lang w:bidi="ar"/>
                    </w:rPr>
                    <w:t>60</w:t>
                  </w:r>
                </w:p>
              </w:tc>
              <w:tc>
                <w:tcPr>
                  <w:tcW w:w="441" w:type="pct"/>
                  <w:vAlign w:val="center"/>
                </w:tcPr>
                <w:p>
                  <w:pPr>
                    <w:pStyle w:val="50"/>
                    <w:spacing w:after="0"/>
                  </w:pPr>
                  <w:r>
                    <w:t>20</w:t>
                  </w:r>
                  <w:r>
                    <w:rPr>
                      <w:rFonts w:hint="eastAsia"/>
                    </w:rPr>
                    <w:t>m</w:t>
                  </w:r>
                </w:p>
              </w:tc>
              <w:tc>
                <w:tcPr>
                  <w:tcW w:w="442" w:type="pct"/>
                  <w:vAlign w:val="center"/>
                </w:tcPr>
                <w:p>
                  <w:pPr>
                    <w:pStyle w:val="50"/>
                    <w:spacing w:after="0"/>
                  </w:pPr>
                  <w:r>
                    <w:t>34.0</w:t>
                  </w:r>
                </w:p>
              </w:tc>
              <w:tc>
                <w:tcPr>
                  <w:tcW w:w="440" w:type="pct"/>
                  <w:vAlign w:val="center"/>
                </w:tcPr>
                <w:p>
                  <w:pPr>
                    <w:pStyle w:val="50"/>
                    <w:spacing w:after="0"/>
                  </w:pPr>
                  <w:r>
                    <w:t>33</w:t>
                  </w:r>
                  <w:r>
                    <w:rPr>
                      <w:rFonts w:hint="eastAsia"/>
                    </w:rPr>
                    <w:t>m</w:t>
                  </w:r>
                </w:p>
              </w:tc>
              <w:tc>
                <w:tcPr>
                  <w:tcW w:w="442" w:type="pct"/>
                  <w:vAlign w:val="center"/>
                </w:tcPr>
                <w:p>
                  <w:pPr>
                    <w:pStyle w:val="50"/>
                    <w:spacing w:after="0"/>
                  </w:pPr>
                  <w:r>
                    <w:t>29.6</w:t>
                  </w:r>
                </w:p>
              </w:tc>
              <w:tc>
                <w:tcPr>
                  <w:tcW w:w="440" w:type="pct"/>
                  <w:vAlign w:val="center"/>
                </w:tcPr>
                <w:p>
                  <w:pPr>
                    <w:pStyle w:val="50"/>
                    <w:spacing w:after="0"/>
                  </w:pPr>
                  <w:r>
                    <w:t>20</w:t>
                  </w:r>
                  <w:r>
                    <w:rPr>
                      <w:rFonts w:hint="eastAsia"/>
                    </w:rPr>
                    <w:t>m</w:t>
                  </w:r>
                </w:p>
              </w:tc>
              <w:tc>
                <w:tcPr>
                  <w:tcW w:w="441" w:type="pct"/>
                  <w:vAlign w:val="center"/>
                </w:tcPr>
                <w:p>
                  <w:pPr>
                    <w:pStyle w:val="50"/>
                    <w:spacing w:after="0"/>
                  </w:pPr>
                  <w:r>
                    <w:t>34.0</w:t>
                  </w:r>
                </w:p>
              </w:tc>
              <w:tc>
                <w:tcPr>
                  <w:tcW w:w="440" w:type="pct"/>
                  <w:vAlign w:val="center"/>
                </w:tcPr>
                <w:p>
                  <w:pPr>
                    <w:pStyle w:val="50"/>
                    <w:spacing w:after="0"/>
                  </w:pPr>
                  <w:r>
                    <w:t>47</w:t>
                  </w:r>
                  <w:r>
                    <w:rPr>
                      <w:rFonts w:hint="eastAsia"/>
                    </w:rPr>
                    <w:t>m</w:t>
                  </w:r>
                </w:p>
              </w:tc>
              <w:tc>
                <w:tcPr>
                  <w:tcW w:w="439" w:type="pct"/>
                  <w:vAlign w:val="center"/>
                </w:tcPr>
                <w:p>
                  <w:pPr>
                    <w:pStyle w:val="50"/>
                    <w:spacing w:after="0"/>
                  </w:pPr>
                  <w:r>
                    <w:t>26.6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82" w:hRule="atLeast"/>
                <w:jc w:val="center"/>
              </w:trPr>
              <w:tc>
                <w:tcPr>
                  <w:tcW w:w="556" w:type="pct"/>
                  <w:vAlign w:val="center"/>
                </w:tcPr>
                <w:p>
                  <w:pPr>
                    <w:pStyle w:val="50"/>
                    <w:spacing w:after="0"/>
                    <w:rPr>
                      <w:bCs/>
                      <w:kern w:val="0"/>
                      <w:szCs w:val="21"/>
                      <w:lang w:bidi="ar"/>
                    </w:rPr>
                  </w:pPr>
                  <w:r>
                    <w:rPr>
                      <w:szCs w:val="21"/>
                    </w:rPr>
                    <w:t>皮带输送机</w:t>
                  </w:r>
                </w:p>
              </w:tc>
              <w:tc>
                <w:tcPr>
                  <w:tcW w:w="402" w:type="pct"/>
                  <w:vAlign w:val="center"/>
                </w:tcPr>
                <w:p>
                  <w:pPr>
                    <w:pStyle w:val="50"/>
                    <w:spacing w:after="0"/>
                  </w:pPr>
                  <w:r>
                    <w:t>3</w:t>
                  </w:r>
                </w:p>
              </w:tc>
              <w:tc>
                <w:tcPr>
                  <w:tcW w:w="517" w:type="pct"/>
                  <w:vAlign w:val="center"/>
                </w:tcPr>
                <w:p>
                  <w:pPr>
                    <w:pStyle w:val="50"/>
                    <w:spacing w:after="0"/>
                  </w:pPr>
                  <w:r>
                    <w:rPr>
                      <w:bCs/>
                      <w:lang w:bidi="ar"/>
                    </w:rPr>
                    <w:t>50</w:t>
                  </w:r>
                </w:p>
              </w:tc>
              <w:tc>
                <w:tcPr>
                  <w:tcW w:w="441" w:type="pct"/>
                  <w:vAlign w:val="center"/>
                </w:tcPr>
                <w:p>
                  <w:pPr>
                    <w:pStyle w:val="50"/>
                    <w:spacing w:after="0"/>
                  </w:pPr>
                  <w:r>
                    <w:t>20</w:t>
                  </w:r>
                  <w:r>
                    <w:rPr>
                      <w:rFonts w:hint="eastAsia"/>
                    </w:rPr>
                    <w:t>m</w:t>
                  </w:r>
                </w:p>
              </w:tc>
              <w:tc>
                <w:tcPr>
                  <w:tcW w:w="442" w:type="pct"/>
                  <w:vAlign w:val="center"/>
                </w:tcPr>
                <w:p>
                  <w:pPr>
                    <w:pStyle w:val="50"/>
                    <w:spacing w:after="0"/>
                  </w:pPr>
                  <w:r>
                    <w:t>24.0</w:t>
                  </w:r>
                </w:p>
              </w:tc>
              <w:tc>
                <w:tcPr>
                  <w:tcW w:w="440" w:type="pct"/>
                  <w:vAlign w:val="center"/>
                </w:tcPr>
                <w:p>
                  <w:pPr>
                    <w:pStyle w:val="50"/>
                    <w:spacing w:after="0"/>
                  </w:pPr>
                  <w:r>
                    <w:t>38</w:t>
                  </w:r>
                  <w:r>
                    <w:rPr>
                      <w:rFonts w:hint="eastAsia"/>
                    </w:rPr>
                    <w:t>m</w:t>
                  </w:r>
                </w:p>
              </w:tc>
              <w:tc>
                <w:tcPr>
                  <w:tcW w:w="442" w:type="pct"/>
                  <w:vAlign w:val="center"/>
                </w:tcPr>
                <w:p>
                  <w:pPr>
                    <w:pStyle w:val="50"/>
                    <w:spacing w:after="0"/>
                  </w:pPr>
                  <w:r>
                    <w:t>18.4</w:t>
                  </w:r>
                </w:p>
              </w:tc>
              <w:tc>
                <w:tcPr>
                  <w:tcW w:w="440" w:type="pct"/>
                  <w:vAlign w:val="center"/>
                </w:tcPr>
                <w:p>
                  <w:pPr>
                    <w:pStyle w:val="50"/>
                    <w:spacing w:after="0"/>
                  </w:pPr>
                  <w:r>
                    <w:t>20</w:t>
                  </w:r>
                  <w:r>
                    <w:rPr>
                      <w:rFonts w:hint="eastAsia"/>
                    </w:rPr>
                    <w:t>m</w:t>
                  </w:r>
                </w:p>
              </w:tc>
              <w:tc>
                <w:tcPr>
                  <w:tcW w:w="441" w:type="pct"/>
                  <w:vAlign w:val="center"/>
                </w:tcPr>
                <w:p>
                  <w:pPr>
                    <w:pStyle w:val="50"/>
                    <w:spacing w:after="0"/>
                  </w:pPr>
                  <w:r>
                    <w:t>24.0</w:t>
                  </w:r>
                </w:p>
              </w:tc>
              <w:tc>
                <w:tcPr>
                  <w:tcW w:w="440" w:type="pct"/>
                  <w:vAlign w:val="center"/>
                </w:tcPr>
                <w:p>
                  <w:pPr>
                    <w:pStyle w:val="50"/>
                    <w:spacing w:after="0"/>
                  </w:pPr>
                  <w:r>
                    <w:t>42</w:t>
                  </w:r>
                  <w:r>
                    <w:rPr>
                      <w:rFonts w:hint="eastAsia"/>
                    </w:rPr>
                    <w:t>m</w:t>
                  </w:r>
                </w:p>
              </w:tc>
              <w:tc>
                <w:tcPr>
                  <w:tcW w:w="439" w:type="pct"/>
                  <w:vAlign w:val="center"/>
                </w:tcPr>
                <w:p>
                  <w:pPr>
                    <w:pStyle w:val="50"/>
                    <w:spacing w:after="0"/>
                  </w:pPr>
                  <w:r>
                    <w:t>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82" w:hRule="atLeast"/>
                <w:jc w:val="center"/>
              </w:trPr>
              <w:tc>
                <w:tcPr>
                  <w:tcW w:w="556" w:type="pct"/>
                  <w:vAlign w:val="center"/>
                </w:tcPr>
                <w:p>
                  <w:pPr>
                    <w:pStyle w:val="50"/>
                    <w:spacing w:after="0"/>
                    <w:rPr>
                      <w:bCs/>
                      <w:kern w:val="0"/>
                      <w:szCs w:val="21"/>
                      <w:lang w:bidi="ar"/>
                    </w:rPr>
                  </w:pPr>
                  <w:r>
                    <w:rPr>
                      <w:color w:val="auto"/>
                      <w:szCs w:val="21"/>
                    </w:rPr>
                    <w:t>气泵</w:t>
                  </w:r>
                </w:p>
              </w:tc>
              <w:tc>
                <w:tcPr>
                  <w:tcW w:w="402" w:type="pct"/>
                  <w:vAlign w:val="center"/>
                </w:tcPr>
                <w:p>
                  <w:pPr>
                    <w:pStyle w:val="50"/>
                    <w:spacing w:after="0"/>
                  </w:pPr>
                  <w:r>
                    <w:t>3</w:t>
                  </w:r>
                </w:p>
              </w:tc>
              <w:tc>
                <w:tcPr>
                  <w:tcW w:w="517" w:type="pct"/>
                  <w:vAlign w:val="center"/>
                </w:tcPr>
                <w:p>
                  <w:pPr>
                    <w:pStyle w:val="50"/>
                    <w:spacing w:after="0"/>
                  </w:pPr>
                  <w:r>
                    <w:rPr>
                      <w:bCs/>
                      <w:lang w:bidi="ar"/>
                    </w:rPr>
                    <w:t>60</w:t>
                  </w:r>
                </w:p>
              </w:tc>
              <w:tc>
                <w:tcPr>
                  <w:tcW w:w="441" w:type="pct"/>
                  <w:vAlign w:val="center"/>
                </w:tcPr>
                <w:p>
                  <w:pPr>
                    <w:pStyle w:val="50"/>
                    <w:spacing w:after="0"/>
                  </w:pPr>
                  <w:r>
                    <w:t>18</w:t>
                  </w:r>
                  <w:r>
                    <w:rPr>
                      <w:rFonts w:hint="eastAsia"/>
                    </w:rPr>
                    <w:t>m</w:t>
                  </w:r>
                </w:p>
              </w:tc>
              <w:tc>
                <w:tcPr>
                  <w:tcW w:w="442" w:type="pct"/>
                  <w:vAlign w:val="center"/>
                </w:tcPr>
                <w:p>
                  <w:pPr>
                    <w:pStyle w:val="50"/>
                    <w:spacing w:after="0"/>
                  </w:pPr>
                  <w:r>
                    <w:t>34.9</w:t>
                  </w:r>
                </w:p>
              </w:tc>
              <w:tc>
                <w:tcPr>
                  <w:tcW w:w="440" w:type="pct"/>
                  <w:vAlign w:val="center"/>
                </w:tcPr>
                <w:p>
                  <w:pPr>
                    <w:pStyle w:val="50"/>
                    <w:spacing w:after="0"/>
                  </w:pPr>
                  <w:r>
                    <w:t>40</w:t>
                  </w:r>
                  <w:r>
                    <w:rPr>
                      <w:rFonts w:hint="eastAsia"/>
                    </w:rPr>
                    <w:t>m</w:t>
                  </w:r>
                </w:p>
              </w:tc>
              <w:tc>
                <w:tcPr>
                  <w:tcW w:w="442" w:type="pct"/>
                  <w:vAlign w:val="center"/>
                </w:tcPr>
                <w:p>
                  <w:pPr>
                    <w:pStyle w:val="50"/>
                    <w:spacing w:after="0"/>
                  </w:pPr>
                  <w:r>
                    <w:t>28.0</w:t>
                  </w:r>
                </w:p>
              </w:tc>
              <w:tc>
                <w:tcPr>
                  <w:tcW w:w="440" w:type="pct"/>
                  <w:vAlign w:val="center"/>
                </w:tcPr>
                <w:p>
                  <w:pPr>
                    <w:pStyle w:val="50"/>
                    <w:spacing w:after="0"/>
                  </w:pPr>
                  <w:r>
                    <w:t>22</w:t>
                  </w:r>
                  <w:r>
                    <w:rPr>
                      <w:rFonts w:hint="eastAsia"/>
                    </w:rPr>
                    <w:t>m</w:t>
                  </w:r>
                </w:p>
              </w:tc>
              <w:tc>
                <w:tcPr>
                  <w:tcW w:w="441" w:type="pct"/>
                  <w:vAlign w:val="center"/>
                </w:tcPr>
                <w:p>
                  <w:pPr>
                    <w:pStyle w:val="50"/>
                    <w:spacing w:after="0"/>
                  </w:pPr>
                  <w:r>
                    <w:t>33.2</w:t>
                  </w:r>
                </w:p>
              </w:tc>
              <w:tc>
                <w:tcPr>
                  <w:tcW w:w="440" w:type="pct"/>
                  <w:vAlign w:val="center"/>
                </w:tcPr>
                <w:p>
                  <w:pPr>
                    <w:pStyle w:val="50"/>
                    <w:spacing w:after="0"/>
                  </w:pPr>
                  <w:r>
                    <w:t>40</w:t>
                  </w:r>
                  <w:r>
                    <w:rPr>
                      <w:rFonts w:hint="eastAsia"/>
                    </w:rPr>
                    <w:t>m</w:t>
                  </w:r>
                </w:p>
              </w:tc>
              <w:tc>
                <w:tcPr>
                  <w:tcW w:w="439" w:type="pct"/>
                  <w:vAlign w:val="center"/>
                </w:tcPr>
                <w:p>
                  <w:pPr>
                    <w:pStyle w:val="50"/>
                    <w:spacing w:after="0"/>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82" w:hRule="atLeast"/>
                <w:jc w:val="center"/>
              </w:trPr>
              <w:tc>
                <w:tcPr>
                  <w:tcW w:w="556" w:type="pct"/>
                  <w:vAlign w:val="center"/>
                </w:tcPr>
                <w:p>
                  <w:pPr>
                    <w:pStyle w:val="50"/>
                    <w:spacing w:after="0"/>
                    <w:rPr>
                      <w:bCs/>
                      <w:kern w:val="0"/>
                      <w:szCs w:val="21"/>
                      <w:lang w:bidi="ar"/>
                    </w:rPr>
                  </w:pPr>
                  <w:r>
                    <w:rPr>
                      <w:color w:val="auto"/>
                      <w:szCs w:val="21"/>
                    </w:rPr>
                    <w:t>水泵</w:t>
                  </w:r>
                </w:p>
              </w:tc>
              <w:tc>
                <w:tcPr>
                  <w:tcW w:w="402" w:type="pct"/>
                  <w:vAlign w:val="center"/>
                </w:tcPr>
                <w:p>
                  <w:pPr>
                    <w:pStyle w:val="50"/>
                    <w:spacing w:after="0"/>
                  </w:pPr>
                  <w:r>
                    <w:t>3</w:t>
                  </w:r>
                </w:p>
              </w:tc>
              <w:tc>
                <w:tcPr>
                  <w:tcW w:w="517" w:type="pct"/>
                  <w:vAlign w:val="center"/>
                </w:tcPr>
                <w:p>
                  <w:pPr>
                    <w:pStyle w:val="50"/>
                    <w:spacing w:after="0"/>
                  </w:pPr>
                  <w:r>
                    <w:rPr>
                      <w:bCs/>
                      <w:lang w:bidi="ar"/>
                    </w:rPr>
                    <w:t>60</w:t>
                  </w:r>
                </w:p>
              </w:tc>
              <w:tc>
                <w:tcPr>
                  <w:tcW w:w="441" w:type="pct"/>
                  <w:vAlign w:val="center"/>
                </w:tcPr>
                <w:p>
                  <w:pPr>
                    <w:pStyle w:val="50"/>
                    <w:spacing w:after="0"/>
                  </w:pPr>
                  <w:r>
                    <w:t>22</w:t>
                  </w:r>
                  <w:r>
                    <w:rPr>
                      <w:rFonts w:hint="eastAsia"/>
                    </w:rPr>
                    <w:t>m</w:t>
                  </w:r>
                </w:p>
              </w:tc>
              <w:tc>
                <w:tcPr>
                  <w:tcW w:w="442" w:type="pct"/>
                  <w:vAlign w:val="center"/>
                </w:tcPr>
                <w:p>
                  <w:pPr>
                    <w:pStyle w:val="50"/>
                    <w:spacing w:after="0"/>
                  </w:pPr>
                  <w:r>
                    <w:t>33.2</w:t>
                  </w:r>
                </w:p>
              </w:tc>
              <w:tc>
                <w:tcPr>
                  <w:tcW w:w="440" w:type="pct"/>
                  <w:vAlign w:val="center"/>
                </w:tcPr>
                <w:p>
                  <w:pPr>
                    <w:pStyle w:val="50"/>
                    <w:spacing w:after="0"/>
                  </w:pPr>
                  <w:r>
                    <w:t>40</w:t>
                  </w:r>
                  <w:r>
                    <w:rPr>
                      <w:rFonts w:hint="eastAsia"/>
                    </w:rPr>
                    <w:t>m</w:t>
                  </w:r>
                </w:p>
              </w:tc>
              <w:tc>
                <w:tcPr>
                  <w:tcW w:w="442" w:type="pct"/>
                  <w:vAlign w:val="center"/>
                </w:tcPr>
                <w:p>
                  <w:pPr>
                    <w:pStyle w:val="50"/>
                    <w:spacing w:after="0"/>
                  </w:pPr>
                  <w:r>
                    <w:t>28.0</w:t>
                  </w:r>
                </w:p>
              </w:tc>
              <w:tc>
                <w:tcPr>
                  <w:tcW w:w="440" w:type="pct"/>
                  <w:vAlign w:val="center"/>
                </w:tcPr>
                <w:p>
                  <w:pPr>
                    <w:pStyle w:val="50"/>
                    <w:spacing w:after="0"/>
                  </w:pPr>
                  <w:r>
                    <w:t>18</w:t>
                  </w:r>
                  <w:r>
                    <w:rPr>
                      <w:rFonts w:hint="eastAsia"/>
                    </w:rPr>
                    <w:t>m</w:t>
                  </w:r>
                </w:p>
              </w:tc>
              <w:tc>
                <w:tcPr>
                  <w:tcW w:w="441" w:type="pct"/>
                  <w:vAlign w:val="center"/>
                </w:tcPr>
                <w:p>
                  <w:pPr>
                    <w:pStyle w:val="50"/>
                    <w:spacing w:after="0"/>
                  </w:pPr>
                  <w:r>
                    <w:t>34.9</w:t>
                  </w:r>
                </w:p>
              </w:tc>
              <w:tc>
                <w:tcPr>
                  <w:tcW w:w="440" w:type="pct"/>
                  <w:vAlign w:val="center"/>
                </w:tcPr>
                <w:p>
                  <w:pPr>
                    <w:pStyle w:val="50"/>
                    <w:spacing w:after="0"/>
                  </w:pPr>
                  <w:r>
                    <w:t>40</w:t>
                  </w:r>
                  <w:r>
                    <w:rPr>
                      <w:rFonts w:hint="eastAsia"/>
                    </w:rPr>
                    <w:t>m</w:t>
                  </w:r>
                </w:p>
              </w:tc>
              <w:tc>
                <w:tcPr>
                  <w:tcW w:w="439" w:type="pct"/>
                  <w:vAlign w:val="center"/>
                </w:tcPr>
                <w:p>
                  <w:pPr>
                    <w:pStyle w:val="50"/>
                    <w:spacing w:after="0"/>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82" w:hRule="atLeast"/>
                <w:jc w:val="center"/>
              </w:trPr>
              <w:tc>
                <w:tcPr>
                  <w:tcW w:w="556" w:type="pct"/>
                  <w:vAlign w:val="center"/>
                </w:tcPr>
                <w:p>
                  <w:pPr>
                    <w:pStyle w:val="50"/>
                    <w:spacing w:after="0"/>
                    <w:rPr>
                      <w:bCs/>
                      <w:kern w:val="0"/>
                      <w:szCs w:val="21"/>
                      <w:lang w:bidi="ar"/>
                    </w:rPr>
                  </w:pPr>
                  <w:r>
                    <w:rPr>
                      <w:lang w:bidi="ar"/>
                    </w:rPr>
                    <w:t>车辆运行噪声</w:t>
                  </w:r>
                </w:p>
              </w:tc>
              <w:tc>
                <w:tcPr>
                  <w:tcW w:w="402" w:type="pct"/>
                  <w:vAlign w:val="center"/>
                </w:tcPr>
                <w:p>
                  <w:pPr>
                    <w:pStyle w:val="50"/>
                    <w:spacing w:after="0"/>
                  </w:pPr>
                  <w:r>
                    <w:t>20</w:t>
                  </w:r>
                </w:p>
              </w:tc>
              <w:tc>
                <w:tcPr>
                  <w:tcW w:w="517" w:type="pct"/>
                  <w:vAlign w:val="center"/>
                </w:tcPr>
                <w:p>
                  <w:pPr>
                    <w:pStyle w:val="50"/>
                    <w:spacing w:after="0"/>
                  </w:pPr>
                  <w:r>
                    <w:rPr>
                      <w:bCs/>
                      <w:lang w:bidi="ar"/>
                    </w:rPr>
                    <w:t>70</w:t>
                  </w:r>
                </w:p>
              </w:tc>
              <w:tc>
                <w:tcPr>
                  <w:tcW w:w="441" w:type="pct"/>
                  <w:vAlign w:val="center"/>
                </w:tcPr>
                <w:p>
                  <w:pPr>
                    <w:pStyle w:val="50"/>
                    <w:spacing w:after="0"/>
                  </w:pPr>
                  <w:r>
                    <w:t>5</w:t>
                  </w:r>
                  <w:r>
                    <w:rPr>
                      <w:rFonts w:hint="eastAsia"/>
                    </w:rPr>
                    <w:t>m</w:t>
                  </w:r>
                </w:p>
              </w:tc>
              <w:tc>
                <w:tcPr>
                  <w:tcW w:w="442" w:type="pct"/>
                  <w:vAlign w:val="center"/>
                </w:tcPr>
                <w:p>
                  <w:pPr>
                    <w:pStyle w:val="50"/>
                    <w:spacing w:after="0"/>
                  </w:pPr>
                  <w:r>
                    <w:t>56.0</w:t>
                  </w:r>
                </w:p>
              </w:tc>
              <w:tc>
                <w:tcPr>
                  <w:tcW w:w="440" w:type="pct"/>
                  <w:vAlign w:val="center"/>
                </w:tcPr>
                <w:p>
                  <w:pPr>
                    <w:pStyle w:val="50"/>
                    <w:spacing w:after="0"/>
                  </w:pPr>
                  <w:r>
                    <w:t>5</w:t>
                  </w:r>
                  <w:r>
                    <w:rPr>
                      <w:rFonts w:hint="eastAsia"/>
                    </w:rPr>
                    <w:t>m</w:t>
                  </w:r>
                </w:p>
              </w:tc>
              <w:tc>
                <w:tcPr>
                  <w:tcW w:w="442" w:type="pct"/>
                  <w:vAlign w:val="center"/>
                </w:tcPr>
                <w:p>
                  <w:pPr>
                    <w:pStyle w:val="50"/>
                    <w:spacing w:after="0"/>
                  </w:pPr>
                  <w:r>
                    <w:t>56.0</w:t>
                  </w:r>
                </w:p>
              </w:tc>
              <w:tc>
                <w:tcPr>
                  <w:tcW w:w="440" w:type="pct"/>
                  <w:vAlign w:val="center"/>
                </w:tcPr>
                <w:p>
                  <w:pPr>
                    <w:pStyle w:val="50"/>
                    <w:spacing w:after="0"/>
                  </w:pPr>
                  <w:r>
                    <w:t>35</w:t>
                  </w:r>
                  <w:r>
                    <w:rPr>
                      <w:rFonts w:hint="eastAsia"/>
                    </w:rPr>
                    <w:t>m</w:t>
                  </w:r>
                </w:p>
              </w:tc>
              <w:tc>
                <w:tcPr>
                  <w:tcW w:w="441" w:type="pct"/>
                  <w:vAlign w:val="center"/>
                </w:tcPr>
                <w:p>
                  <w:pPr>
                    <w:pStyle w:val="50"/>
                    <w:spacing w:after="0"/>
                  </w:pPr>
                  <w:r>
                    <w:t>39.1</w:t>
                  </w:r>
                </w:p>
              </w:tc>
              <w:tc>
                <w:tcPr>
                  <w:tcW w:w="440" w:type="pct"/>
                  <w:vAlign w:val="center"/>
                </w:tcPr>
                <w:p>
                  <w:pPr>
                    <w:pStyle w:val="50"/>
                    <w:spacing w:after="0"/>
                  </w:pPr>
                  <w:r>
                    <w:t>30</w:t>
                  </w:r>
                  <w:r>
                    <w:rPr>
                      <w:rFonts w:hint="eastAsia"/>
                    </w:rPr>
                    <w:t>m</w:t>
                  </w:r>
                </w:p>
              </w:tc>
              <w:tc>
                <w:tcPr>
                  <w:tcW w:w="439" w:type="pct"/>
                  <w:vAlign w:val="center"/>
                </w:tcPr>
                <w:p>
                  <w:pPr>
                    <w:pStyle w:val="50"/>
                    <w:spacing w:after="0"/>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82" w:hRule="atLeast"/>
                <w:jc w:val="center"/>
              </w:trPr>
              <w:tc>
                <w:tcPr>
                  <w:tcW w:w="1475" w:type="pct"/>
                  <w:gridSpan w:val="3"/>
                  <w:vAlign w:val="center"/>
                </w:tcPr>
                <w:p>
                  <w:pPr>
                    <w:pStyle w:val="50"/>
                    <w:spacing w:after="0"/>
                  </w:pPr>
                  <w:r>
                    <w:t>叠加</w:t>
                  </w:r>
                  <w:r>
                    <w:rPr>
                      <w:rFonts w:hint="eastAsia"/>
                    </w:rPr>
                    <w:t>贡献</w:t>
                  </w:r>
                  <w:r>
                    <w:t>值</w:t>
                  </w:r>
                  <w:r>
                    <w:rPr>
                      <w:rFonts w:hint="eastAsia"/>
                      <w:szCs w:val="21"/>
                    </w:rPr>
                    <w:t>dB（A）</w:t>
                  </w:r>
                </w:p>
              </w:tc>
              <w:tc>
                <w:tcPr>
                  <w:tcW w:w="883" w:type="pct"/>
                  <w:gridSpan w:val="2"/>
                  <w:vAlign w:val="center"/>
                </w:tcPr>
                <w:p>
                  <w:pPr>
                    <w:pStyle w:val="50"/>
                    <w:spacing w:after="0"/>
                  </w:pPr>
                  <w:r>
                    <w:t>56.27</w:t>
                  </w:r>
                </w:p>
              </w:tc>
              <w:tc>
                <w:tcPr>
                  <w:tcW w:w="882" w:type="pct"/>
                  <w:gridSpan w:val="2"/>
                  <w:vAlign w:val="center"/>
                </w:tcPr>
                <w:p>
                  <w:pPr>
                    <w:pStyle w:val="50"/>
                    <w:spacing w:after="0"/>
                  </w:pPr>
                  <w:r>
                    <w:t>56.07</w:t>
                  </w:r>
                </w:p>
              </w:tc>
              <w:tc>
                <w:tcPr>
                  <w:tcW w:w="881" w:type="pct"/>
                  <w:gridSpan w:val="2"/>
                  <w:vAlign w:val="center"/>
                </w:tcPr>
                <w:p>
                  <w:pPr>
                    <w:pStyle w:val="50"/>
                    <w:spacing w:after="0"/>
                  </w:pPr>
                  <w:r>
                    <w:t>44.9</w:t>
                  </w:r>
                </w:p>
              </w:tc>
              <w:tc>
                <w:tcPr>
                  <w:tcW w:w="879" w:type="pct"/>
                  <w:gridSpan w:val="2"/>
                  <w:vAlign w:val="center"/>
                </w:tcPr>
                <w:p>
                  <w:pPr>
                    <w:pStyle w:val="50"/>
                    <w:spacing w:after="0"/>
                  </w:pPr>
                  <w:r>
                    <w:t>42.3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82" w:hRule="atLeast"/>
                <w:jc w:val="center"/>
              </w:trPr>
              <w:tc>
                <w:tcPr>
                  <w:tcW w:w="1475" w:type="pct"/>
                  <w:gridSpan w:val="3"/>
                  <w:vAlign w:val="center"/>
                </w:tcPr>
                <w:p>
                  <w:pPr>
                    <w:pStyle w:val="50"/>
                    <w:spacing w:after="0"/>
                  </w:pPr>
                  <w:r>
                    <w:t>是否达标</w:t>
                  </w:r>
                </w:p>
              </w:tc>
              <w:tc>
                <w:tcPr>
                  <w:tcW w:w="883" w:type="pct"/>
                  <w:gridSpan w:val="2"/>
                  <w:vAlign w:val="center"/>
                </w:tcPr>
                <w:p>
                  <w:pPr>
                    <w:pStyle w:val="50"/>
                    <w:spacing w:after="0"/>
                  </w:pPr>
                  <w:r>
                    <w:t>达标</w:t>
                  </w:r>
                </w:p>
              </w:tc>
              <w:tc>
                <w:tcPr>
                  <w:tcW w:w="882" w:type="pct"/>
                  <w:gridSpan w:val="2"/>
                  <w:vAlign w:val="center"/>
                </w:tcPr>
                <w:p>
                  <w:pPr>
                    <w:pStyle w:val="50"/>
                    <w:spacing w:after="0"/>
                  </w:pPr>
                  <w:r>
                    <w:t>达标</w:t>
                  </w:r>
                </w:p>
              </w:tc>
              <w:tc>
                <w:tcPr>
                  <w:tcW w:w="881" w:type="pct"/>
                  <w:gridSpan w:val="2"/>
                  <w:vAlign w:val="center"/>
                </w:tcPr>
                <w:p>
                  <w:pPr>
                    <w:pStyle w:val="50"/>
                    <w:spacing w:after="0"/>
                  </w:pPr>
                  <w:r>
                    <w:t>达标</w:t>
                  </w:r>
                </w:p>
              </w:tc>
              <w:tc>
                <w:tcPr>
                  <w:tcW w:w="879" w:type="pct"/>
                  <w:gridSpan w:val="2"/>
                  <w:vAlign w:val="center"/>
                </w:tcPr>
                <w:p>
                  <w:pPr>
                    <w:pStyle w:val="50"/>
                    <w:spacing w:after="0"/>
                  </w:pPr>
                  <w:r>
                    <w:t>达标</w:t>
                  </w:r>
                </w:p>
              </w:tc>
            </w:tr>
          </w:tbl>
          <w:p>
            <w:pPr>
              <w:spacing w:after="0" w:line="360" w:lineRule="auto"/>
              <w:ind w:firstLine="480" w:firstLineChars="200"/>
              <w:rPr>
                <w:sz w:val="24"/>
              </w:rPr>
            </w:pPr>
            <w:r>
              <w:rPr>
                <w:sz w:val="24"/>
              </w:rPr>
              <w:t>由上表预测可知，项目采取合理的措施后，噪声源对四周厂界噪声贡献值较小，厂界四周噪声排放满足《工业企业厂界环境噪声排放标准》（GB12348-2008）中的2类标准要求。</w:t>
            </w:r>
          </w:p>
          <w:p>
            <w:pPr>
              <w:spacing w:after="0" w:line="360" w:lineRule="auto"/>
              <w:ind w:firstLine="480" w:firstLineChars="200"/>
            </w:pPr>
            <w:r>
              <w:rPr>
                <w:sz w:val="24"/>
              </w:rPr>
              <w:t>（</w:t>
            </w:r>
            <w:r>
              <w:rPr>
                <w:rFonts w:hint="eastAsia"/>
                <w:sz w:val="24"/>
              </w:rPr>
              <w:t>4</w:t>
            </w:r>
            <w:r>
              <w:rPr>
                <w:sz w:val="24"/>
              </w:rPr>
              <w:t>）</w:t>
            </w:r>
            <w:r>
              <w:rPr>
                <w:rFonts w:hint="eastAsia"/>
                <w:sz w:val="24"/>
              </w:rPr>
              <w:t>噪声敏感点</w:t>
            </w:r>
            <w:r>
              <w:rPr>
                <w:sz w:val="24"/>
              </w:rPr>
              <w:t>环境影响分析</w:t>
            </w:r>
          </w:p>
          <w:p>
            <w:pPr>
              <w:spacing w:after="0" w:line="360" w:lineRule="auto"/>
              <w:ind w:firstLine="480" w:firstLineChars="200"/>
            </w:pPr>
            <w:r>
              <w:rPr>
                <w:rFonts w:hint="eastAsia"/>
                <w:sz w:val="24"/>
              </w:rPr>
              <w:t>本项目敏感点为东面76m的居民点以及项目南边40m的杨林寨水厂。本项目地势较低，与居民点中间隔有小土坡，并种植了绿化，经距离衰减、绿化带和土坡隔声后，对居民点的影响较小；本项目与杨林赛水厂中种植了绿化带，且水厂地势较高，经距离衰减、绿化带隔声后，对杨林寨水厂的影响较小。</w:t>
            </w:r>
          </w:p>
          <w:p>
            <w:pPr>
              <w:pStyle w:val="2"/>
              <w:spacing w:after="0"/>
              <w:ind w:firstLine="480" w:firstLineChars="200"/>
            </w:pPr>
            <w:r>
              <w:rPr>
                <w:sz w:val="24"/>
              </w:rPr>
              <w:t>综上所述，本项目噪声对周围环境影响较小。</w:t>
            </w:r>
          </w:p>
          <w:p>
            <w:pPr>
              <w:pStyle w:val="35"/>
              <w:spacing w:after="0" w:line="360" w:lineRule="auto"/>
              <w:rPr>
                <w:rFonts w:ascii="Times New Roman" w:cs="Times New Roman"/>
                <w:b/>
                <w:bCs/>
                <w:color w:val="auto"/>
                <w:szCs w:val="32"/>
              </w:rPr>
            </w:pPr>
            <w:r>
              <w:rPr>
                <w:rFonts w:ascii="Times New Roman" w:cs="Times New Roman"/>
                <w:b/>
                <w:bCs/>
                <w:color w:val="auto"/>
                <w:szCs w:val="32"/>
              </w:rPr>
              <w:t>四、固体废物环境影响分析</w:t>
            </w:r>
          </w:p>
          <w:p>
            <w:pPr>
              <w:widowControl/>
              <w:spacing w:after="0" w:line="360" w:lineRule="auto"/>
              <w:ind w:firstLine="480" w:firstLineChars="200"/>
              <w:rPr>
                <w:sz w:val="24"/>
              </w:rPr>
            </w:pPr>
            <w:r>
              <w:rPr>
                <w:sz w:val="24"/>
              </w:rPr>
              <w:t>本</w:t>
            </w:r>
            <w:r>
              <w:rPr>
                <w:sz w:val="24"/>
                <w:lang w:val="zh-CN"/>
              </w:rPr>
              <w:t>项目</w:t>
            </w:r>
            <w:r>
              <w:rPr>
                <w:sz w:val="24"/>
              </w:rPr>
              <w:t>机械设备维修委托专门的维修机构修理，废机油、含油抹布和手套由维修机构带走，均不在厂区内贮存。项目营运期的固废主要为一般工业固废和生活垃圾。</w:t>
            </w:r>
            <w:r>
              <w:rPr>
                <w:rFonts w:ascii="Cambria Math" w:hAnsi="Cambria Math" w:cs="Cambria Math"/>
                <w:sz w:val="24"/>
              </w:rPr>
              <w:t>①</w:t>
            </w:r>
            <w:r>
              <w:rPr>
                <w:sz w:val="24"/>
              </w:rPr>
              <w:t xml:space="preserve"> 除尘设备收集的粉尘</w:t>
            </w:r>
            <w:r>
              <w:rPr>
                <w:sz w:val="24"/>
                <w:lang w:bidi="ar"/>
              </w:rPr>
              <w:t>回用于生产；</w:t>
            </w:r>
            <w:r>
              <w:rPr>
                <w:rFonts w:ascii="Cambria Math" w:hAnsi="Cambria Math" w:cs="Cambria Math"/>
                <w:sz w:val="24"/>
                <w:lang w:bidi="ar"/>
              </w:rPr>
              <w:t>②</w:t>
            </w:r>
            <w:r>
              <w:rPr>
                <w:sz w:val="24"/>
                <w:lang w:bidi="ar"/>
              </w:rPr>
              <w:t xml:space="preserve"> </w:t>
            </w:r>
            <w:r>
              <w:rPr>
                <w:sz w:val="24"/>
              </w:rPr>
              <w:t>砂石分离机产生的砂石</w:t>
            </w:r>
            <w:r>
              <w:rPr>
                <w:rFonts w:hint="eastAsia"/>
                <w:sz w:val="24"/>
              </w:rPr>
              <w:t>统一收集后</w:t>
            </w:r>
            <w:r>
              <w:rPr>
                <w:sz w:val="24"/>
              </w:rPr>
              <w:t>回用于生产</w:t>
            </w:r>
            <w:r>
              <w:rPr>
                <w:sz w:val="24"/>
                <w:lang w:bidi="ar"/>
              </w:rPr>
              <w:t>；</w:t>
            </w:r>
            <w:r>
              <w:rPr>
                <w:rFonts w:ascii="Cambria Math" w:hAnsi="Cambria Math" w:cs="Cambria Math"/>
                <w:sz w:val="24"/>
                <w:lang w:bidi="ar"/>
              </w:rPr>
              <w:t>③</w:t>
            </w:r>
            <w:r>
              <w:rPr>
                <w:sz w:val="24"/>
                <w:lang w:bidi="ar"/>
              </w:rPr>
              <w:t xml:space="preserve"> </w:t>
            </w:r>
            <w:r>
              <w:rPr>
                <w:sz w:val="24"/>
              </w:rPr>
              <w:t>三级沉淀池沉淀泥砂</w:t>
            </w:r>
            <w:r>
              <w:rPr>
                <w:bCs/>
                <w:sz w:val="24"/>
              </w:rPr>
              <w:t>可定时进行清理后返回生产工序进行生产使用；</w:t>
            </w:r>
            <w:r>
              <w:rPr>
                <w:rFonts w:ascii="Cambria Math" w:hAnsi="Cambria Math" w:cs="Cambria Math"/>
                <w:bCs/>
                <w:sz w:val="24"/>
              </w:rPr>
              <w:t>④</w:t>
            </w:r>
            <w:r>
              <w:rPr>
                <w:bCs/>
                <w:sz w:val="24"/>
              </w:rPr>
              <w:t xml:space="preserve"> </w:t>
            </w:r>
            <w:r>
              <w:rPr>
                <w:sz w:val="24"/>
              </w:rPr>
              <w:t>本项目实验室仅对混凝土强度进行检测，均为物理实验</w:t>
            </w:r>
            <w:r>
              <w:rPr>
                <w:rFonts w:hint="eastAsia"/>
                <w:sz w:val="24"/>
              </w:rPr>
              <w:t>，只产生实验后的混凝土废料，</w:t>
            </w:r>
            <w:r>
              <w:rPr>
                <w:sz w:val="24"/>
              </w:rPr>
              <w:t>废料经砂石处理机处理后回用于生产；</w:t>
            </w:r>
            <w:r>
              <w:rPr>
                <w:rFonts w:ascii="Cambria Math" w:hAnsi="Cambria Math" w:cs="Cambria Math"/>
                <w:sz w:val="24"/>
              </w:rPr>
              <w:t>⑤</w:t>
            </w:r>
            <w:r>
              <w:rPr>
                <w:sz w:val="24"/>
              </w:rPr>
              <w:t>生活垃圾经厂区垃圾桶收集后，由当地环卫部门收集处理。</w:t>
            </w:r>
          </w:p>
          <w:p>
            <w:pPr>
              <w:pStyle w:val="35"/>
              <w:spacing w:after="0" w:line="360" w:lineRule="auto"/>
              <w:rPr>
                <w:rFonts w:ascii="Times New Roman" w:cs="Times New Roman"/>
                <w:b/>
                <w:bCs/>
                <w:color w:val="auto"/>
                <w:szCs w:val="32"/>
              </w:rPr>
            </w:pPr>
            <w:r>
              <w:rPr>
                <w:rFonts w:ascii="Times New Roman" w:cs="Times New Roman"/>
                <w:b/>
                <w:bCs/>
                <w:color w:val="auto"/>
                <w:szCs w:val="32"/>
              </w:rPr>
              <w:t>五、土壤影响分析及污染防治措施</w:t>
            </w:r>
          </w:p>
          <w:p>
            <w:pPr>
              <w:spacing w:after="0" w:line="360" w:lineRule="auto"/>
              <w:ind w:firstLine="480"/>
              <w:rPr>
                <w:kern w:val="0"/>
                <w:sz w:val="24"/>
                <w:szCs w:val="20"/>
              </w:rPr>
            </w:pPr>
            <w:r>
              <w:rPr>
                <w:kern w:val="0"/>
                <w:sz w:val="24"/>
                <w:szCs w:val="20"/>
              </w:rPr>
              <w:t>根据《环境影响评价技术导则 土壤环境（试行）》（HJ 964-2018）中附录A项目类别可知，本项目为</w:t>
            </w:r>
            <w:r>
              <w:rPr>
                <w:rFonts w:hint="eastAsia"/>
                <w:kern w:val="0"/>
                <w:sz w:val="24"/>
                <w:szCs w:val="20"/>
              </w:rPr>
              <w:t>III</w:t>
            </w:r>
            <w:r>
              <w:rPr>
                <w:kern w:val="0"/>
                <w:sz w:val="24"/>
                <w:szCs w:val="20"/>
              </w:rPr>
              <w:t>类项目</w:t>
            </w:r>
            <w:r>
              <w:rPr>
                <w:rFonts w:hint="eastAsia"/>
                <w:kern w:val="0"/>
                <w:sz w:val="24"/>
                <w:szCs w:val="20"/>
              </w:rPr>
              <w:t>，项目总面积为8</w:t>
            </w:r>
            <w:r>
              <w:rPr>
                <w:kern w:val="0"/>
                <w:sz w:val="24"/>
                <w:szCs w:val="20"/>
              </w:rPr>
              <w:t>000</w:t>
            </w:r>
            <w:r>
              <w:rPr>
                <w:rFonts w:hint="eastAsia"/>
                <w:kern w:val="0"/>
                <w:sz w:val="24"/>
                <w:szCs w:val="20"/>
              </w:rPr>
              <w:t>m</w:t>
            </w:r>
            <w:r>
              <w:rPr>
                <w:kern w:val="0"/>
                <w:sz w:val="24"/>
                <w:szCs w:val="20"/>
                <w:vertAlign w:val="superscript"/>
              </w:rPr>
              <w:t>2</w:t>
            </w:r>
            <w:r>
              <w:rPr>
                <w:rFonts w:hint="eastAsia"/>
                <w:kern w:val="0"/>
                <w:sz w:val="24"/>
                <w:szCs w:val="20"/>
              </w:rPr>
              <w:t>≤5hm</w:t>
            </w:r>
            <w:r>
              <w:rPr>
                <w:rFonts w:hint="eastAsia"/>
                <w:kern w:val="0"/>
                <w:sz w:val="24"/>
                <w:szCs w:val="20"/>
                <w:vertAlign w:val="superscript"/>
              </w:rPr>
              <w:t>2</w:t>
            </w:r>
            <w:r>
              <w:rPr>
                <w:rFonts w:hint="eastAsia"/>
                <w:kern w:val="0"/>
                <w:sz w:val="24"/>
                <w:szCs w:val="20"/>
              </w:rPr>
              <w:t>，为小型建设项目占地规模，经ARESCREEN估算模式计算出的最大落地距离为1</w:t>
            </w:r>
            <w:r>
              <w:rPr>
                <w:kern w:val="0"/>
                <w:sz w:val="24"/>
                <w:szCs w:val="20"/>
              </w:rPr>
              <w:t>25</w:t>
            </w:r>
            <w:r>
              <w:rPr>
                <w:rFonts w:hint="eastAsia"/>
                <w:kern w:val="0"/>
                <w:sz w:val="24"/>
                <w:szCs w:val="20"/>
              </w:rPr>
              <w:t>m，此范围内无土壤环境敏感目标，项目评价范围内土壤敏感程度为“不敏感”。因此，根据导则表4，本环评可不开展土壤环境影响评价。</w:t>
            </w:r>
          </w:p>
          <w:p>
            <w:pPr>
              <w:pStyle w:val="35"/>
              <w:spacing w:after="0" w:line="360" w:lineRule="auto"/>
              <w:rPr>
                <w:rFonts w:ascii="Times New Roman" w:cs="Times New Roman"/>
                <w:b/>
                <w:bCs/>
                <w:color w:val="auto"/>
                <w:szCs w:val="32"/>
              </w:rPr>
            </w:pPr>
            <w:r>
              <w:rPr>
                <w:rFonts w:ascii="Times New Roman" w:cs="Times New Roman"/>
                <w:b/>
                <w:bCs/>
                <w:color w:val="auto"/>
                <w:szCs w:val="32"/>
              </w:rPr>
              <w:t>六、地下水影响分析及污染防治措施</w:t>
            </w:r>
          </w:p>
          <w:p>
            <w:pPr>
              <w:pStyle w:val="35"/>
              <w:spacing w:after="0" w:line="360" w:lineRule="auto"/>
              <w:ind w:firstLine="480"/>
              <w:rPr>
                <w:rFonts w:ascii="Times New Roman" w:cs="Times New Roman"/>
                <w:szCs w:val="20"/>
              </w:rPr>
            </w:pPr>
            <w:r>
              <w:rPr>
                <w:rFonts w:ascii="Times New Roman" w:cs="Times New Roman"/>
                <w:color w:val="auto"/>
                <w:szCs w:val="20"/>
              </w:rPr>
              <w:t>根据《环境影响评价技术导则 地下水环境》（HJ 610-2016）中附录A项目类别可知，本项目为IV类项目。不需</w:t>
            </w:r>
            <w:r>
              <w:rPr>
                <w:rFonts w:ascii="Times New Roman" w:cs="Times New Roman"/>
                <w:szCs w:val="20"/>
              </w:rPr>
              <w:t>要进行地下水评价。</w:t>
            </w:r>
            <w:r>
              <w:rPr>
                <w:rFonts w:hint="eastAsia" w:ascii="Times New Roman" w:cs="Times New Roman"/>
                <w:szCs w:val="20"/>
              </w:rPr>
              <w:t>本环评要求建设单位对厂区地面进行一般防渗处理，以防对地下水环境造成影响。</w:t>
            </w:r>
          </w:p>
          <w:p>
            <w:pPr>
              <w:pStyle w:val="35"/>
              <w:tabs>
                <w:tab w:val="left" w:pos="2076"/>
              </w:tabs>
              <w:spacing w:after="0" w:line="360" w:lineRule="auto"/>
              <w:rPr>
                <w:rFonts w:ascii="Times New Roman" w:cs="Times New Roman"/>
                <w:b/>
                <w:bCs/>
                <w:color w:val="auto"/>
                <w:szCs w:val="32"/>
              </w:rPr>
            </w:pPr>
            <w:bookmarkStart w:id="94" w:name="_Toc468803743"/>
            <w:r>
              <w:rPr>
                <w:rFonts w:hint="eastAsia" w:ascii="Times New Roman" w:cs="Times New Roman"/>
                <w:b/>
                <w:bCs/>
                <w:color w:val="auto"/>
                <w:szCs w:val="32"/>
              </w:rPr>
              <w:t>七、车辆运输对道路沿线影响分析</w:t>
            </w:r>
          </w:p>
          <w:p>
            <w:pPr>
              <w:pStyle w:val="35"/>
              <w:spacing w:after="0" w:line="360" w:lineRule="auto"/>
              <w:ind w:firstLine="480"/>
              <w:rPr>
                <w:rFonts w:ascii="Times New Roman" w:cs="Times New Roman"/>
                <w:color w:val="auto"/>
                <w:szCs w:val="20"/>
              </w:rPr>
            </w:pPr>
            <w:r>
              <w:rPr>
                <w:rFonts w:ascii="Times New Roman" w:cs="Times New Roman"/>
                <w:color w:val="auto"/>
                <w:szCs w:val="20"/>
              </w:rPr>
              <w:t>本项目营运期原料、产品需要运进运出，运输过程中将产生道路扬尘及交通噪声。</w:t>
            </w:r>
          </w:p>
          <w:p>
            <w:pPr>
              <w:pStyle w:val="35"/>
              <w:spacing w:after="0" w:line="360" w:lineRule="auto"/>
              <w:ind w:firstLine="480"/>
              <w:rPr>
                <w:rFonts w:ascii="Times New Roman" w:cs="Times New Roman"/>
                <w:color w:val="auto"/>
                <w:szCs w:val="20"/>
              </w:rPr>
            </w:pPr>
            <w:r>
              <w:rPr>
                <w:rFonts w:ascii="Times New Roman" w:cs="Times New Roman"/>
                <w:color w:val="auto"/>
                <w:szCs w:val="20"/>
              </w:rPr>
              <w:t>1、道路扬尘影响</w:t>
            </w:r>
          </w:p>
          <w:p>
            <w:pPr>
              <w:pStyle w:val="35"/>
              <w:spacing w:after="0" w:line="360" w:lineRule="auto"/>
              <w:ind w:firstLine="480"/>
              <w:rPr>
                <w:rFonts w:ascii="Times New Roman" w:cs="Times New Roman"/>
                <w:color w:val="auto"/>
                <w:szCs w:val="20"/>
              </w:rPr>
            </w:pPr>
            <w:r>
              <w:rPr>
                <w:rFonts w:ascii="Times New Roman" w:cs="Times New Roman"/>
                <w:color w:val="auto"/>
                <w:szCs w:val="20"/>
              </w:rPr>
              <w:t>道路扬尘的产生与路面情况、天气情况、风速、湿度等因素有关，与路面状况关系极大，根据现场勘查，根据现场勘察，</w:t>
            </w:r>
            <w:r>
              <w:rPr>
                <w:rFonts w:hint="eastAsia" w:ascii="Times New Roman" w:cs="Times New Roman"/>
                <w:color w:val="auto"/>
                <w:szCs w:val="20"/>
              </w:rPr>
              <w:t>南侧道路旁</w:t>
            </w:r>
            <w:r>
              <w:rPr>
                <w:rFonts w:ascii="Times New Roman" w:cs="Times New Roman"/>
                <w:color w:val="auto"/>
                <w:szCs w:val="20"/>
              </w:rPr>
              <w:t>有居民</w:t>
            </w:r>
            <w:r>
              <w:rPr>
                <w:rFonts w:hint="eastAsia" w:ascii="Times New Roman" w:cs="Times New Roman"/>
                <w:color w:val="auto"/>
                <w:szCs w:val="20"/>
              </w:rPr>
              <w:t>点</w:t>
            </w:r>
            <w:r>
              <w:rPr>
                <w:rFonts w:ascii="Times New Roman" w:cs="Times New Roman"/>
                <w:color w:val="auto"/>
                <w:szCs w:val="20"/>
              </w:rPr>
              <w:t>，项目场区</w:t>
            </w:r>
            <w:r>
              <w:rPr>
                <w:rFonts w:hint="eastAsia" w:ascii="Times New Roman" w:cs="Times New Roman"/>
                <w:color w:val="auto"/>
                <w:szCs w:val="20"/>
              </w:rPr>
              <w:t>道路及南侧道路均为</w:t>
            </w:r>
            <w:r>
              <w:rPr>
                <w:rFonts w:ascii="Times New Roman" w:cs="Times New Roman"/>
                <w:color w:val="auto"/>
                <w:szCs w:val="20"/>
              </w:rPr>
              <w:t>为水泥路面，不易起尘。</w:t>
            </w:r>
            <w:r>
              <w:rPr>
                <w:rFonts w:hint="eastAsia" w:ascii="Times New Roman" w:cs="Times New Roman"/>
                <w:color w:val="auto"/>
                <w:szCs w:val="20"/>
              </w:rPr>
              <w:t>本</w:t>
            </w:r>
            <w:r>
              <w:rPr>
                <w:rFonts w:ascii="Times New Roman" w:cs="Times New Roman"/>
                <w:color w:val="auto"/>
                <w:szCs w:val="20"/>
              </w:rPr>
              <w:t>环评要求项目原料及产品均采取篷布密闭运输，物料洒落引起的粉尘极少；建议建设单位对场区</w:t>
            </w:r>
            <w:r>
              <w:rPr>
                <w:rFonts w:hint="eastAsia" w:ascii="Times New Roman" w:cs="Times New Roman"/>
                <w:color w:val="auto"/>
                <w:szCs w:val="20"/>
              </w:rPr>
              <w:t>道路及南</w:t>
            </w:r>
            <w:r>
              <w:rPr>
                <w:rFonts w:ascii="Times New Roman" w:cs="Times New Roman"/>
                <w:color w:val="auto"/>
                <w:szCs w:val="20"/>
              </w:rPr>
              <w:t>面</w:t>
            </w:r>
            <w:r>
              <w:rPr>
                <w:rFonts w:hint="eastAsia" w:ascii="Times New Roman" w:cs="Times New Roman"/>
                <w:color w:val="auto"/>
                <w:szCs w:val="20"/>
              </w:rPr>
              <w:t>道路</w:t>
            </w:r>
            <w:r>
              <w:rPr>
                <w:rFonts w:ascii="Times New Roman" w:cs="Times New Roman"/>
                <w:color w:val="auto"/>
                <w:szCs w:val="20"/>
              </w:rPr>
              <w:t>定期洒水，减少路面扬尘，经采取措施后，车辆运输对周围大气环境影响不大。</w:t>
            </w:r>
          </w:p>
          <w:p>
            <w:pPr>
              <w:pStyle w:val="35"/>
              <w:spacing w:after="0" w:line="360" w:lineRule="auto"/>
              <w:ind w:firstLine="480"/>
              <w:rPr>
                <w:rFonts w:ascii="Times New Roman" w:cs="Times New Roman"/>
                <w:color w:val="auto"/>
                <w:szCs w:val="20"/>
              </w:rPr>
            </w:pPr>
            <w:r>
              <w:rPr>
                <w:rFonts w:ascii="Times New Roman" w:cs="Times New Roman"/>
                <w:color w:val="auto"/>
                <w:szCs w:val="20"/>
              </w:rPr>
              <w:t>本环评要求建设单位在场区出入口设置洗车台，对运输产品的车辆进行冲洗，可有效减少路面扬尘，对居民影响不大。</w:t>
            </w:r>
          </w:p>
          <w:p>
            <w:pPr>
              <w:pStyle w:val="35"/>
              <w:spacing w:after="0" w:line="360" w:lineRule="auto"/>
              <w:ind w:firstLine="480"/>
              <w:rPr>
                <w:rFonts w:ascii="Times New Roman" w:cs="Times New Roman"/>
                <w:color w:val="auto"/>
                <w:szCs w:val="20"/>
              </w:rPr>
            </w:pPr>
            <w:r>
              <w:rPr>
                <w:rFonts w:ascii="Times New Roman" w:cs="Times New Roman"/>
                <w:color w:val="auto"/>
                <w:szCs w:val="20"/>
              </w:rPr>
              <w:t>2、运输噪声</w:t>
            </w:r>
          </w:p>
          <w:p>
            <w:pPr>
              <w:pStyle w:val="35"/>
              <w:spacing w:after="0" w:line="360" w:lineRule="auto"/>
              <w:ind w:firstLine="480"/>
              <w:rPr>
                <w:rFonts w:ascii="Times New Roman" w:cs="Times New Roman"/>
                <w:color w:val="auto"/>
                <w:szCs w:val="20"/>
              </w:rPr>
            </w:pPr>
            <w:r>
              <w:rPr>
                <w:rFonts w:ascii="Times New Roman" w:cs="Times New Roman"/>
                <w:color w:val="auto"/>
                <w:szCs w:val="20"/>
              </w:rPr>
              <w:t>本项目营运期产品和原材料通过汽车进行运输，汽车运输噪声对沿线居民会产生一定的影响。本次环评要求：加强运输车辆管理，经过村庄时不得鸣笛并控制速度，可最大程度降低对沿线敏感点的影响。</w:t>
            </w:r>
          </w:p>
          <w:p>
            <w:pPr>
              <w:pStyle w:val="35"/>
              <w:spacing w:after="0" w:line="360" w:lineRule="auto"/>
              <w:ind w:firstLine="480"/>
              <w:rPr>
                <w:rFonts w:ascii="Times New Roman" w:cs="Times New Roman"/>
                <w:color w:val="auto"/>
                <w:szCs w:val="20"/>
              </w:rPr>
            </w:pPr>
            <w:r>
              <w:rPr>
                <w:rFonts w:ascii="Times New Roman" w:cs="Times New Roman"/>
                <w:color w:val="auto"/>
                <w:szCs w:val="20"/>
              </w:rPr>
              <w:t>综上，本项目在实施本次环评提出的措施后，项目交通运输对周围环境影响不大。</w:t>
            </w:r>
          </w:p>
          <w:p>
            <w:pPr>
              <w:pStyle w:val="35"/>
              <w:spacing w:after="0" w:line="360" w:lineRule="auto"/>
              <w:rPr>
                <w:rFonts w:ascii="Times New Roman" w:cs="Times New Roman"/>
                <w:b/>
                <w:bCs/>
                <w:color w:val="auto"/>
                <w:szCs w:val="32"/>
                <w:u w:val="wave"/>
              </w:rPr>
            </w:pPr>
            <w:r>
              <w:rPr>
                <w:rFonts w:hint="eastAsia" w:ascii="Times New Roman" w:cs="Times New Roman"/>
                <w:b/>
                <w:bCs/>
                <w:color w:val="auto"/>
                <w:szCs w:val="32"/>
                <w:u w:val="wave"/>
              </w:rPr>
              <w:t>八</w:t>
            </w:r>
            <w:r>
              <w:rPr>
                <w:rFonts w:ascii="Times New Roman" w:cs="Times New Roman"/>
                <w:b/>
                <w:bCs/>
                <w:color w:val="auto"/>
                <w:szCs w:val="32"/>
                <w:u w:val="wave"/>
              </w:rPr>
              <w:t>、环境风险分析</w:t>
            </w:r>
            <w:bookmarkEnd w:id="94"/>
          </w:p>
          <w:p>
            <w:pPr>
              <w:widowControl/>
              <w:spacing w:after="0" w:line="360" w:lineRule="auto"/>
              <w:ind w:firstLine="480" w:firstLineChars="200"/>
              <w:rPr>
                <w:color w:val="000000"/>
                <w:kern w:val="0"/>
                <w:sz w:val="24"/>
                <w:szCs w:val="20"/>
                <w:u w:val="wave"/>
              </w:rPr>
            </w:pPr>
            <w:r>
              <w:rPr>
                <w:sz w:val="24"/>
                <w:u w:val="wave"/>
              </w:rPr>
              <w:t>环境风险评价目的是分析和预测建设项目存在的潜在危险、有害因素，建设项目建设和运行期间可能产生的突发性事件或事故（一般不包括人为破坏及自然灾害），引起有毒有害和易燃易爆等物质泄漏，所造成的人身安全与环境影响和损害程度，提出合理可行的防范、应急减缓措施，以使建设项目的事故率、损失和环境影响降低到可接受水平。</w:t>
            </w:r>
          </w:p>
          <w:p>
            <w:pPr>
              <w:widowControl/>
              <w:numPr>
                <w:ilvl w:val="0"/>
                <w:numId w:val="3"/>
              </w:numPr>
              <w:spacing w:after="0" w:line="360" w:lineRule="auto"/>
              <w:jc w:val="left"/>
              <w:rPr>
                <w:color w:val="000000"/>
                <w:kern w:val="0"/>
                <w:sz w:val="24"/>
                <w:szCs w:val="20"/>
                <w:u w:val="wave"/>
              </w:rPr>
            </w:pPr>
            <w:r>
              <w:rPr>
                <w:rFonts w:hint="eastAsia"/>
                <w:color w:val="000000"/>
                <w:kern w:val="0"/>
                <w:sz w:val="24"/>
                <w:szCs w:val="20"/>
                <w:u w:val="wave"/>
              </w:rPr>
              <w:t>风险调查</w:t>
            </w:r>
          </w:p>
          <w:p>
            <w:pPr>
              <w:widowControl/>
              <w:spacing w:after="0" w:line="360" w:lineRule="auto"/>
              <w:ind w:firstLine="480"/>
              <w:jc w:val="left"/>
              <w:rPr>
                <w:color w:val="000000"/>
                <w:kern w:val="0"/>
                <w:sz w:val="24"/>
                <w:szCs w:val="20"/>
                <w:u w:val="wave"/>
              </w:rPr>
            </w:pPr>
            <w:r>
              <w:rPr>
                <w:color w:val="000000"/>
                <w:kern w:val="0"/>
                <w:sz w:val="24"/>
                <w:szCs w:val="20"/>
                <w:u w:val="wave"/>
              </w:rPr>
              <w:t>①</w:t>
            </w:r>
            <w:r>
              <w:rPr>
                <w:rFonts w:hint="eastAsia"/>
                <w:color w:val="000000"/>
                <w:kern w:val="0"/>
                <w:sz w:val="24"/>
                <w:szCs w:val="20"/>
                <w:u w:val="wave"/>
              </w:rPr>
              <w:t>除尘器</w:t>
            </w:r>
          </w:p>
          <w:p>
            <w:pPr>
              <w:widowControl/>
              <w:spacing w:after="0" w:line="360" w:lineRule="auto"/>
              <w:ind w:firstLine="480" w:firstLineChars="200"/>
              <w:jc w:val="left"/>
              <w:rPr>
                <w:color w:val="000000"/>
                <w:kern w:val="0"/>
                <w:sz w:val="24"/>
                <w:szCs w:val="20"/>
                <w:u w:val="wave"/>
              </w:rPr>
            </w:pPr>
            <w:r>
              <w:rPr>
                <w:color w:val="000000"/>
                <w:kern w:val="0"/>
                <w:sz w:val="24"/>
                <w:szCs w:val="20"/>
                <w:u w:val="wave"/>
              </w:rPr>
              <w:t>本项目有15台脉冲除尘器，在运行期间可能因为设计缺陷或操作失误造成除尘器冒顶事故发生，可导致大量粉尘超标排放，严重影响周边环境。</w:t>
            </w:r>
          </w:p>
          <w:p>
            <w:pPr>
              <w:pStyle w:val="16"/>
              <w:spacing w:after="0" w:line="360" w:lineRule="auto"/>
              <w:ind w:leftChars="0"/>
              <w:rPr>
                <w:kern w:val="0"/>
                <w:sz w:val="24"/>
                <w:u w:val="wave"/>
                <w:lang w:bidi="ar"/>
              </w:rPr>
            </w:pPr>
            <w:r>
              <w:rPr>
                <w:kern w:val="0"/>
                <w:sz w:val="24"/>
                <w:u w:val="wave"/>
                <w:lang w:bidi="ar"/>
              </w:rPr>
              <w:t>②柴油储罐</w:t>
            </w:r>
          </w:p>
          <w:p>
            <w:pPr>
              <w:spacing w:after="0" w:line="360" w:lineRule="auto"/>
              <w:ind w:firstLine="480"/>
              <w:rPr>
                <w:sz w:val="24"/>
                <w:u w:val="wave"/>
                <w:lang w:bidi="ar"/>
              </w:rPr>
            </w:pPr>
            <w:r>
              <w:rPr>
                <w:sz w:val="24"/>
                <w:u w:val="wave"/>
                <w:lang w:bidi="ar"/>
              </w:rPr>
              <w:t>本项目设有一个容量30t的柴油储罐，</w:t>
            </w:r>
            <w:r>
              <w:rPr>
                <w:rFonts w:hint="eastAsia"/>
                <w:sz w:val="24"/>
                <w:u w:val="wave"/>
                <w:lang w:bidi="ar"/>
              </w:rPr>
              <w:t>给车加油时可能由于操作失误造成柴油泄露以及</w:t>
            </w:r>
            <w:r>
              <w:rPr>
                <w:sz w:val="24"/>
                <w:u w:val="wave"/>
                <w:lang w:bidi="ar"/>
              </w:rPr>
              <w:t>火灾</w:t>
            </w:r>
            <w:r>
              <w:rPr>
                <w:rFonts w:hint="eastAsia"/>
                <w:sz w:val="24"/>
                <w:u w:val="wave"/>
                <w:lang w:bidi="ar"/>
              </w:rPr>
              <w:t>、</w:t>
            </w:r>
            <w:r>
              <w:rPr>
                <w:sz w:val="24"/>
                <w:u w:val="wave"/>
                <w:lang w:bidi="ar"/>
              </w:rPr>
              <w:t>爆炸等事故。</w:t>
            </w:r>
          </w:p>
          <w:p>
            <w:pPr>
              <w:pStyle w:val="2"/>
              <w:spacing w:after="0"/>
              <w:ind w:firstLine="480"/>
              <w:rPr>
                <w:rFonts w:hint="eastAsia" w:ascii="Cambria Math" w:hAnsi="Cambria Math" w:cs="Cambria Math"/>
                <w:kern w:val="0"/>
                <w:sz w:val="24"/>
                <w:u w:val="wave"/>
                <w:lang w:bidi="ar"/>
              </w:rPr>
            </w:pPr>
            <w:r>
              <w:rPr>
                <w:rFonts w:hint="eastAsia" w:ascii="Cambria Math" w:hAnsi="Cambria Math" w:cs="Cambria Math"/>
                <w:kern w:val="0"/>
                <w:sz w:val="24"/>
                <w:u w:val="wave"/>
                <w:lang w:bidi="ar"/>
              </w:rPr>
              <w:t>③水泥粉尘爆炸</w:t>
            </w:r>
          </w:p>
          <w:p>
            <w:pPr>
              <w:spacing w:after="0" w:line="360" w:lineRule="auto"/>
              <w:ind w:firstLine="480"/>
              <w:rPr>
                <w:sz w:val="24"/>
                <w:u w:val="wave"/>
                <w:lang w:bidi="ar"/>
              </w:rPr>
            </w:pPr>
            <w:r>
              <w:rPr>
                <w:sz w:val="24"/>
                <w:u w:val="wave"/>
                <w:lang w:bidi="ar"/>
              </w:rPr>
              <w:t>粉尘在除尘系统中会沉积，当受到某种冲击时，粉尘再次飞扬，在瞬间形成高浓度粉尘云，若泄露，遇上火源会导致爆炸，粉尘爆炸具有较强的破坏性</w:t>
            </w:r>
            <w:r>
              <w:rPr>
                <w:rFonts w:hint="eastAsia"/>
                <w:sz w:val="24"/>
                <w:u w:val="wave"/>
                <w:lang w:bidi="ar"/>
              </w:rPr>
              <w:t>。</w:t>
            </w:r>
          </w:p>
          <w:p>
            <w:pPr>
              <w:spacing w:after="0" w:line="360" w:lineRule="auto"/>
              <w:ind w:firstLine="480" w:firstLineChars="200"/>
              <w:rPr>
                <w:rFonts w:eastAsia="Times New Roman"/>
                <w:b/>
                <w:sz w:val="24"/>
                <w:u w:val="wave"/>
              </w:rPr>
            </w:pPr>
            <w:r>
              <w:rPr>
                <w:rFonts w:hint="eastAsia"/>
                <w:color w:val="000000"/>
                <w:kern w:val="0"/>
                <w:sz w:val="24"/>
                <w:szCs w:val="20"/>
                <w:u w:val="wave"/>
              </w:rPr>
              <w:t>本项目储存的主要为柴油，其理化性质和危险特性见表7</w:t>
            </w:r>
            <w:r>
              <w:rPr>
                <w:color w:val="000000"/>
                <w:kern w:val="0"/>
                <w:sz w:val="24"/>
                <w:szCs w:val="20"/>
                <w:u w:val="wave"/>
              </w:rPr>
              <w:t>-12</w:t>
            </w:r>
            <w:r>
              <w:rPr>
                <w:rFonts w:hint="eastAsia"/>
                <w:color w:val="000000"/>
                <w:kern w:val="0"/>
                <w:sz w:val="24"/>
                <w:szCs w:val="20"/>
                <w:u w:val="wave"/>
              </w:rPr>
              <w:t>。</w:t>
            </w:r>
          </w:p>
          <w:p>
            <w:pPr>
              <w:spacing w:after="0" w:line="360" w:lineRule="auto"/>
              <w:jc w:val="center"/>
              <w:rPr>
                <w:b/>
                <w:sz w:val="24"/>
                <w:u w:val="wave"/>
              </w:rPr>
            </w:pPr>
            <w:r>
              <w:rPr>
                <w:b/>
                <w:sz w:val="24"/>
                <w:u w:val="wave"/>
              </w:rPr>
              <w:t>表7-</w:t>
            </w:r>
            <w:r>
              <w:rPr>
                <w:rFonts w:hint="eastAsia"/>
                <w:b/>
                <w:sz w:val="24"/>
                <w:u w:val="wave"/>
              </w:rPr>
              <w:t>1</w:t>
            </w:r>
            <w:r>
              <w:rPr>
                <w:b/>
                <w:sz w:val="24"/>
                <w:u w:val="wave"/>
              </w:rPr>
              <w:t>2  柴油的理化性质和危险特性一览表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1"/>
              <w:gridCol w:w="82"/>
              <w:gridCol w:w="2146"/>
              <w:gridCol w:w="42"/>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pStyle w:val="16"/>
                    <w:spacing w:after="0"/>
                    <w:ind w:left="0" w:leftChars="0"/>
                    <w:jc w:val="center"/>
                    <w:rPr>
                      <w:sz w:val="24"/>
                      <w:u w:val="wave"/>
                    </w:rPr>
                  </w:pPr>
                  <w:r>
                    <w:rPr>
                      <w:b/>
                      <w:u w:val="wave"/>
                    </w:rPr>
                    <w:t>第一部分危险性概述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3" w:type="pct"/>
                  <w:vAlign w:val="center"/>
                </w:tcPr>
                <w:p>
                  <w:pPr>
                    <w:pStyle w:val="45"/>
                    <w:spacing w:before="26" w:after="0"/>
                    <w:ind w:left="87" w:right="100"/>
                    <w:rPr>
                      <w:u w:val="wave"/>
                    </w:rPr>
                  </w:pPr>
                  <w:r>
                    <w:rPr>
                      <w:u w:val="wave"/>
                    </w:rPr>
                    <w:t>危险性类别：</w:t>
                  </w:r>
                </w:p>
              </w:tc>
              <w:tc>
                <w:tcPr>
                  <w:tcW w:w="1016" w:type="pct"/>
                  <w:vAlign w:val="center"/>
                </w:tcPr>
                <w:p>
                  <w:pPr>
                    <w:pStyle w:val="45"/>
                    <w:spacing w:before="26" w:after="0"/>
                    <w:ind w:left="177"/>
                    <w:rPr>
                      <w:u w:val="wave"/>
                    </w:rPr>
                  </w:pPr>
                  <w:r>
                    <w:rPr>
                      <w:u w:val="wave"/>
                    </w:rPr>
                    <w:t>第</w:t>
                  </w:r>
                  <w:r>
                    <w:rPr>
                      <w:spacing w:val="-59"/>
                      <w:u w:val="wave"/>
                    </w:rPr>
                    <w:t xml:space="preserve"> </w:t>
                  </w:r>
                  <w:r>
                    <w:rPr>
                      <w:rFonts w:ascii="Times New Roman" w:eastAsia="Times New Roman"/>
                      <w:u w:val="wave"/>
                    </w:rPr>
                    <w:t xml:space="preserve">3.3 </w:t>
                  </w:r>
                  <w:r>
                    <w:rPr>
                      <w:u w:val="wave"/>
                    </w:rPr>
                    <w:t>类高闪点易燃液体</w:t>
                  </w:r>
                </w:p>
              </w:tc>
              <w:tc>
                <w:tcPr>
                  <w:tcW w:w="1252" w:type="pct"/>
                  <w:gridSpan w:val="3"/>
                  <w:vAlign w:val="center"/>
                </w:tcPr>
                <w:p>
                  <w:pPr>
                    <w:pStyle w:val="45"/>
                    <w:spacing w:before="26" w:after="0"/>
                    <w:ind w:left="376"/>
                    <w:rPr>
                      <w:u w:val="wave"/>
                    </w:rPr>
                  </w:pPr>
                  <w:r>
                    <w:rPr>
                      <w:u w:val="wave"/>
                    </w:rPr>
                    <w:t>燃爆危险：</w:t>
                  </w:r>
                </w:p>
              </w:tc>
              <w:tc>
                <w:tcPr>
                  <w:tcW w:w="1639" w:type="pct"/>
                  <w:vAlign w:val="center"/>
                </w:tcPr>
                <w:p>
                  <w:pPr>
                    <w:pStyle w:val="45"/>
                    <w:spacing w:before="26" w:after="0"/>
                    <w:ind w:left="146" w:right="148"/>
                    <w:rPr>
                      <w:u w:val="wave"/>
                    </w:rPr>
                  </w:pPr>
                  <w:r>
                    <w:rPr>
                      <w:u w:val="wave"/>
                    </w:rPr>
                    <w:t>易燃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3" w:type="pct"/>
                  <w:vAlign w:val="center"/>
                </w:tcPr>
                <w:p>
                  <w:pPr>
                    <w:pStyle w:val="45"/>
                    <w:spacing w:before="27" w:after="0"/>
                    <w:ind w:left="85" w:right="100"/>
                    <w:rPr>
                      <w:u w:val="wave"/>
                    </w:rPr>
                  </w:pPr>
                  <w:r>
                    <w:rPr>
                      <w:u w:val="wave"/>
                    </w:rPr>
                    <w:t>侵入途径：</w:t>
                  </w:r>
                </w:p>
              </w:tc>
              <w:tc>
                <w:tcPr>
                  <w:tcW w:w="1016" w:type="pct"/>
                  <w:vAlign w:val="center"/>
                </w:tcPr>
                <w:p>
                  <w:pPr>
                    <w:pStyle w:val="45"/>
                    <w:spacing w:before="27" w:after="0"/>
                    <w:ind w:left="256"/>
                    <w:rPr>
                      <w:u w:val="wave"/>
                    </w:rPr>
                  </w:pPr>
                  <w:r>
                    <w:rPr>
                      <w:u w:val="wave"/>
                    </w:rPr>
                    <w:t>吸入、食入、经皮吸收</w:t>
                  </w:r>
                </w:p>
              </w:tc>
              <w:tc>
                <w:tcPr>
                  <w:tcW w:w="1252" w:type="pct"/>
                  <w:gridSpan w:val="3"/>
                  <w:vAlign w:val="center"/>
                </w:tcPr>
                <w:p>
                  <w:pPr>
                    <w:pStyle w:val="45"/>
                    <w:spacing w:before="27" w:after="0"/>
                    <w:ind w:left="165"/>
                    <w:rPr>
                      <w:u w:val="wave"/>
                    </w:rPr>
                  </w:pPr>
                  <w:r>
                    <w:rPr>
                      <w:u w:val="wave"/>
                    </w:rPr>
                    <w:t>有害燃烧产物：</w:t>
                  </w:r>
                </w:p>
              </w:tc>
              <w:tc>
                <w:tcPr>
                  <w:tcW w:w="1639" w:type="pct"/>
                  <w:vAlign w:val="center"/>
                </w:tcPr>
                <w:p>
                  <w:pPr>
                    <w:pStyle w:val="45"/>
                    <w:spacing w:before="27" w:after="0"/>
                    <w:ind w:left="148" w:right="148"/>
                    <w:rPr>
                      <w:u w:val="wave"/>
                    </w:rPr>
                  </w:pPr>
                  <w:r>
                    <w:rPr>
                      <w:u w:val="wave"/>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vAlign w:val="center"/>
                </w:tcPr>
                <w:p>
                  <w:pPr>
                    <w:pStyle w:val="45"/>
                    <w:spacing w:before="27" w:after="0"/>
                    <w:ind w:left="85" w:right="100"/>
                    <w:rPr>
                      <w:u w:val="wave"/>
                    </w:rPr>
                  </w:pPr>
                  <w:r>
                    <w:rPr>
                      <w:u w:val="wave"/>
                    </w:rPr>
                    <w:t>环境危害：</w:t>
                  </w:r>
                </w:p>
              </w:tc>
              <w:tc>
                <w:tcPr>
                  <w:tcW w:w="3907" w:type="pct"/>
                  <w:gridSpan w:val="5"/>
                  <w:vAlign w:val="center"/>
                </w:tcPr>
                <w:p>
                  <w:pPr>
                    <w:pStyle w:val="16"/>
                    <w:spacing w:after="0"/>
                    <w:ind w:left="0" w:leftChars="0"/>
                    <w:rPr>
                      <w:sz w:val="24"/>
                      <w:u w:val="wave"/>
                    </w:rPr>
                  </w:pPr>
                  <w:r>
                    <w:rPr>
                      <w:spacing w:val="-4"/>
                      <w:u w:val="wave"/>
                    </w:rPr>
                    <w:t>该物质对环境有危害，应特别注意对地表水、土壤、大气和饮用水的污染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pStyle w:val="16"/>
                    <w:spacing w:after="0"/>
                    <w:ind w:left="0" w:leftChars="0"/>
                    <w:jc w:val="center"/>
                    <w:rPr>
                      <w:b/>
                      <w:bCs/>
                      <w:sz w:val="24"/>
                      <w:u w:val="wave"/>
                    </w:rPr>
                  </w:pPr>
                  <w:r>
                    <w:rPr>
                      <w:b/>
                      <w:bCs/>
                      <w:u w:val="wave"/>
                    </w:rPr>
                    <w:t>第二部分理化特性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vAlign w:val="center"/>
                </w:tcPr>
                <w:p>
                  <w:pPr>
                    <w:pStyle w:val="45"/>
                    <w:spacing w:before="27" w:after="0"/>
                    <w:ind w:left="87" w:right="100"/>
                    <w:rPr>
                      <w:u w:val="wave"/>
                    </w:rPr>
                  </w:pPr>
                  <w:r>
                    <w:rPr>
                      <w:u w:val="wave"/>
                    </w:rPr>
                    <w:t>外观及性状：</w:t>
                  </w:r>
                </w:p>
              </w:tc>
              <w:tc>
                <w:tcPr>
                  <w:tcW w:w="1016" w:type="pct"/>
                  <w:vAlign w:val="center"/>
                </w:tcPr>
                <w:p>
                  <w:pPr>
                    <w:pStyle w:val="45"/>
                    <w:spacing w:before="27" w:after="0"/>
                    <w:ind w:left="47"/>
                    <w:rPr>
                      <w:u w:val="wave"/>
                    </w:rPr>
                  </w:pPr>
                  <w:r>
                    <w:rPr>
                      <w:u w:val="wave"/>
                    </w:rPr>
                    <w:t>稍有粘性的棕色液体。</w:t>
                  </w:r>
                </w:p>
              </w:tc>
              <w:tc>
                <w:tcPr>
                  <w:tcW w:w="1252" w:type="pct"/>
                  <w:gridSpan w:val="3"/>
                  <w:vAlign w:val="center"/>
                </w:tcPr>
                <w:p>
                  <w:pPr>
                    <w:pStyle w:val="45"/>
                    <w:spacing w:before="27" w:after="0"/>
                    <w:ind w:left="448"/>
                    <w:rPr>
                      <w:u w:val="wave"/>
                    </w:rPr>
                  </w:pPr>
                  <w:r>
                    <w:rPr>
                      <w:u w:val="wave"/>
                    </w:rPr>
                    <w:t>主要用途：</w:t>
                  </w:r>
                </w:p>
              </w:tc>
              <w:tc>
                <w:tcPr>
                  <w:tcW w:w="1639" w:type="pct"/>
                  <w:vAlign w:val="center"/>
                </w:tcPr>
                <w:p>
                  <w:pPr>
                    <w:pStyle w:val="45"/>
                    <w:spacing w:before="27" w:after="0"/>
                    <w:ind w:left="196"/>
                    <w:rPr>
                      <w:u w:val="wave"/>
                    </w:rPr>
                  </w:pPr>
                  <w:r>
                    <w:rPr>
                      <w:u w:val="wave"/>
                    </w:rPr>
                    <w:t>用作柴油机的燃料等。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vAlign w:val="center"/>
                </w:tcPr>
                <w:p>
                  <w:pPr>
                    <w:pStyle w:val="45"/>
                    <w:spacing w:before="27" w:after="0"/>
                    <w:ind w:left="87" w:right="100"/>
                    <w:rPr>
                      <w:u w:val="wave"/>
                    </w:rPr>
                  </w:pPr>
                  <w:r>
                    <w:rPr>
                      <w:u w:val="wave"/>
                    </w:rPr>
                    <w:t>闪点（℃）：</w:t>
                  </w:r>
                </w:p>
              </w:tc>
              <w:tc>
                <w:tcPr>
                  <w:tcW w:w="1016" w:type="pct"/>
                  <w:vAlign w:val="center"/>
                </w:tcPr>
                <w:p>
                  <w:pPr>
                    <w:pStyle w:val="45"/>
                    <w:spacing w:before="27" w:after="0"/>
                    <w:ind w:left="676"/>
                    <w:rPr>
                      <w:u w:val="wave"/>
                    </w:rPr>
                  </w:pPr>
                  <w:r>
                    <w:rPr>
                      <w:rFonts w:ascii="Times New Roman" w:hAnsi="Times New Roman" w:eastAsia="Times New Roman"/>
                      <w:u w:val="wave"/>
                    </w:rPr>
                    <w:t>45</w:t>
                  </w:r>
                  <w:r>
                    <w:rPr>
                      <w:u w:val="wave"/>
                    </w:rPr>
                    <w:t>～</w:t>
                  </w:r>
                  <w:r>
                    <w:rPr>
                      <w:rFonts w:ascii="Times New Roman" w:hAnsi="Times New Roman" w:eastAsia="Times New Roman"/>
                      <w:u w:val="wave"/>
                    </w:rPr>
                    <w:t>55</w:t>
                  </w:r>
                  <w:r>
                    <w:rPr>
                      <w:u w:val="wave"/>
                    </w:rPr>
                    <w:t>℃</w:t>
                  </w:r>
                </w:p>
              </w:tc>
              <w:tc>
                <w:tcPr>
                  <w:tcW w:w="1252" w:type="pct"/>
                  <w:gridSpan w:val="3"/>
                  <w:vAlign w:val="center"/>
                </w:tcPr>
                <w:p>
                  <w:pPr>
                    <w:pStyle w:val="45"/>
                    <w:spacing w:before="27" w:after="0"/>
                    <w:ind w:left="-1"/>
                    <w:rPr>
                      <w:u w:val="wave"/>
                    </w:rPr>
                  </w:pPr>
                  <w:r>
                    <w:rPr>
                      <w:u w:val="wave"/>
                    </w:rPr>
                    <w:t>相对密度（水＝</w:t>
                  </w:r>
                  <w:r>
                    <w:rPr>
                      <w:rFonts w:ascii="Times New Roman" w:eastAsia="Times New Roman"/>
                      <w:u w:val="wave"/>
                    </w:rPr>
                    <w:t>1</w:t>
                  </w:r>
                  <w:r>
                    <w:rPr>
                      <w:u w:val="wave"/>
                    </w:rPr>
                    <w:t>）</w:t>
                  </w:r>
                </w:p>
              </w:tc>
              <w:tc>
                <w:tcPr>
                  <w:tcW w:w="1639" w:type="pct"/>
                  <w:vAlign w:val="center"/>
                </w:tcPr>
                <w:p>
                  <w:pPr>
                    <w:pStyle w:val="45"/>
                    <w:tabs>
                      <w:tab w:val="left" w:pos="828"/>
                    </w:tabs>
                    <w:spacing w:before="27" w:after="0"/>
                    <w:ind w:left="-178"/>
                    <w:rPr>
                      <w:rFonts w:ascii="Times New Roman" w:eastAsia="Times New Roman"/>
                      <w:u w:val="wave"/>
                    </w:rPr>
                  </w:pPr>
                  <w:r>
                    <w:rPr>
                      <w:rFonts w:ascii="Times New Roman" w:eastAsia="Times New Roman"/>
                      <w:u w:val="wave"/>
                    </w:rPr>
                    <w:t>0.87</w:t>
                  </w:r>
                  <w:r>
                    <w:rPr>
                      <w:u w:val="wave"/>
                    </w:rPr>
                    <w:t>～</w:t>
                  </w:r>
                  <w:r>
                    <w:rPr>
                      <w:rFonts w:ascii="Times New Roman" w:eastAsia="Times New Roman"/>
                      <w:u w:val="wav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3" w:type="pct"/>
                  <w:vAlign w:val="center"/>
                </w:tcPr>
                <w:p>
                  <w:pPr>
                    <w:pStyle w:val="45"/>
                    <w:spacing w:before="26" w:after="0"/>
                    <w:ind w:left="87" w:right="100"/>
                    <w:rPr>
                      <w:u w:val="wave"/>
                    </w:rPr>
                  </w:pPr>
                  <w:r>
                    <w:rPr>
                      <w:u w:val="wave"/>
                    </w:rPr>
                    <w:t>沸点（℃）：</w:t>
                  </w:r>
                </w:p>
              </w:tc>
              <w:tc>
                <w:tcPr>
                  <w:tcW w:w="1016" w:type="pct"/>
                  <w:vAlign w:val="center"/>
                </w:tcPr>
                <w:p>
                  <w:pPr>
                    <w:pStyle w:val="45"/>
                    <w:spacing w:before="26" w:after="0"/>
                    <w:ind w:left="573"/>
                    <w:rPr>
                      <w:u w:val="wave"/>
                    </w:rPr>
                  </w:pPr>
                  <w:r>
                    <w:rPr>
                      <w:rFonts w:ascii="Times New Roman" w:hAnsi="Times New Roman" w:eastAsia="Times New Roman"/>
                      <w:u w:val="wave"/>
                    </w:rPr>
                    <w:t>200</w:t>
                  </w:r>
                  <w:r>
                    <w:rPr>
                      <w:u w:val="wave"/>
                    </w:rPr>
                    <w:t>～</w:t>
                  </w:r>
                  <w:r>
                    <w:rPr>
                      <w:rFonts w:ascii="Times New Roman" w:hAnsi="Times New Roman" w:eastAsia="Times New Roman"/>
                      <w:u w:val="wave"/>
                    </w:rPr>
                    <w:t>350</w:t>
                  </w:r>
                  <w:r>
                    <w:rPr>
                      <w:u w:val="wave"/>
                    </w:rPr>
                    <w:t>℃</w:t>
                  </w:r>
                </w:p>
              </w:tc>
              <w:tc>
                <w:tcPr>
                  <w:tcW w:w="1252" w:type="pct"/>
                  <w:gridSpan w:val="3"/>
                  <w:vAlign w:val="center"/>
                </w:tcPr>
                <w:p>
                  <w:pPr>
                    <w:pStyle w:val="45"/>
                    <w:spacing w:before="26" w:after="0"/>
                    <w:ind w:left="-1"/>
                    <w:rPr>
                      <w:u w:val="wave"/>
                    </w:rPr>
                  </w:pPr>
                  <w:r>
                    <w:rPr>
                      <w:u w:val="wave"/>
                    </w:rPr>
                    <w:t>爆炸上限％（</w:t>
                  </w:r>
                  <w:r>
                    <w:rPr>
                      <w:rFonts w:ascii="Times New Roman" w:eastAsia="Times New Roman"/>
                      <w:u w:val="wave"/>
                    </w:rPr>
                    <w:t>V/V</w:t>
                  </w:r>
                  <w:r>
                    <w:rPr>
                      <w:u w:val="wave"/>
                    </w:rPr>
                    <w:t>）</w:t>
                  </w:r>
                </w:p>
              </w:tc>
              <w:tc>
                <w:tcPr>
                  <w:tcW w:w="1639" w:type="pct"/>
                  <w:vAlign w:val="center"/>
                </w:tcPr>
                <w:p>
                  <w:pPr>
                    <w:pStyle w:val="45"/>
                    <w:tabs>
                      <w:tab w:val="left" w:pos="1116"/>
                    </w:tabs>
                    <w:spacing w:before="26" w:after="0"/>
                    <w:ind w:left="-132"/>
                    <w:rPr>
                      <w:rFonts w:ascii="Times New Roman" w:eastAsia="Times New Roman"/>
                      <w:u w:val="wave"/>
                    </w:rPr>
                  </w:pPr>
                  <w:r>
                    <w:rPr>
                      <w:rFonts w:ascii="Times New Roman" w:eastAsia="Times New Roman"/>
                      <w:u w:val="wav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93" w:type="pct"/>
                  <w:vAlign w:val="center"/>
                </w:tcPr>
                <w:p>
                  <w:pPr>
                    <w:pStyle w:val="45"/>
                    <w:spacing w:before="34" w:after="0"/>
                    <w:ind w:left="197" w:right="197"/>
                    <w:rPr>
                      <w:u w:val="wave"/>
                    </w:rPr>
                  </w:pPr>
                  <w:r>
                    <w:rPr>
                      <w:u w:val="wave"/>
                    </w:rPr>
                    <w:t>自然点（℃）：</w:t>
                  </w:r>
                </w:p>
              </w:tc>
              <w:tc>
                <w:tcPr>
                  <w:tcW w:w="1016" w:type="pct"/>
                  <w:vAlign w:val="center"/>
                </w:tcPr>
                <w:p>
                  <w:pPr>
                    <w:pStyle w:val="45"/>
                    <w:spacing w:before="83" w:after="0"/>
                    <w:ind w:right="935"/>
                    <w:jc w:val="both"/>
                    <w:rPr>
                      <w:rFonts w:ascii="Times New Roman"/>
                      <w:u w:val="wave"/>
                    </w:rPr>
                  </w:pPr>
                  <w:r>
                    <w:rPr>
                      <w:rFonts w:ascii="Times New Roman"/>
                      <w:u w:val="wave"/>
                    </w:rPr>
                    <w:t xml:space="preserve">   257</w:t>
                  </w:r>
                </w:p>
              </w:tc>
              <w:tc>
                <w:tcPr>
                  <w:tcW w:w="1252" w:type="pct"/>
                  <w:gridSpan w:val="3"/>
                  <w:vAlign w:val="center"/>
                </w:tcPr>
                <w:p>
                  <w:pPr>
                    <w:pStyle w:val="45"/>
                    <w:spacing w:before="34" w:after="0"/>
                    <w:rPr>
                      <w:u w:val="wave"/>
                    </w:rPr>
                  </w:pPr>
                  <w:r>
                    <w:rPr>
                      <w:u w:val="wave"/>
                    </w:rPr>
                    <w:t>爆炸下限％（</w:t>
                  </w:r>
                  <w:r>
                    <w:rPr>
                      <w:rFonts w:ascii="Times New Roman" w:eastAsia="Times New Roman"/>
                      <w:u w:val="wave"/>
                    </w:rPr>
                    <w:t>V/V</w:t>
                  </w:r>
                  <w:r>
                    <w:rPr>
                      <w:u w:val="wave"/>
                    </w:rPr>
                    <w:t>）</w:t>
                  </w:r>
                </w:p>
              </w:tc>
              <w:tc>
                <w:tcPr>
                  <w:tcW w:w="1639" w:type="pct"/>
                  <w:vAlign w:val="center"/>
                </w:tcPr>
                <w:p>
                  <w:pPr>
                    <w:pStyle w:val="45"/>
                    <w:tabs>
                      <w:tab w:val="left" w:pos="1118"/>
                    </w:tabs>
                    <w:spacing w:before="34" w:after="0"/>
                    <w:ind w:left="-130"/>
                    <w:rPr>
                      <w:rFonts w:ascii="Times New Roman" w:eastAsia="Times New Roman"/>
                      <w:u w:val="wave"/>
                    </w:rPr>
                  </w:pPr>
                  <w:r>
                    <w:rPr>
                      <w:rFonts w:ascii="Times New Roman" w:eastAsia="Times New Roman"/>
                      <w:u w:val="wav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vAlign w:val="center"/>
                </w:tcPr>
                <w:p>
                  <w:pPr>
                    <w:pStyle w:val="45"/>
                    <w:spacing w:before="27" w:after="0"/>
                    <w:ind w:left="197" w:right="197"/>
                    <w:rPr>
                      <w:u w:val="wave"/>
                    </w:rPr>
                  </w:pPr>
                  <w:r>
                    <w:rPr>
                      <w:u w:val="wave"/>
                    </w:rPr>
                    <w:t>溶解性：</w:t>
                  </w:r>
                </w:p>
              </w:tc>
              <w:tc>
                <w:tcPr>
                  <w:tcW w:w="3907" w:type="pct"/>
                  <w:gridSpan w:val="5"/>
                  <w:vAlign w:val="center"/>
                </w:tcPr>
                <w:p>
                  <w:pPr>
                    <w:pStyle w:val="45"/>
                    <w:tabs>
                      <w:tab w:val="left" w:pos="1116"/>
                    </w:tabs>
                    <w:spacing w:before="26" w:after="0"/>
                    <w:ind w:left="-132"/>
                    <w:rPr>
                      <w:u w:val="wave"/>
                    </w:rPr>
                  </w:pPr>
                  <w:r>
                    <w:rPr>
                      <w:u w:val="wave"/>
                    </w:rPr>
                    <w:t>不溶于水，易溶于苯、二硫化碳、醇，易溶于脂肪。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pStyle w:val="45"/>
                    <w:tabs>
                      <w:tab w:val="left" w:pos="1116"/>
                    </w:tabs>
                    <w:spacing w:before="26" w:after="0"/>
                    <w:ind w:left="-132"/>
                    <w:rPr>
                      <w:b/>
                      <w:bCs/>
                      <w:u w:val="wave"/>
                    </w:rPr>
                  </w:pPr>
                  <w:r>
                    <w:rPr>
                      <w:b/>
                      <w:bCs/>
                      <w:u w:val="wave"/>
                    </w:rPr>
                    <w:t>第三部分稳定性及化学活性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vAlign w:val="center"/>
                </w:tcPr>
                <w:p>
                  <w:pPr>
                    <w:pStyle w:val="45"/>
                    <w:spacing w:before="29" w:after="0"/>
                    <w:ind w:left="197" w:right="197"/>
                    <w:rPr>
                      <w:u w:val="wave"/>
                    </w:rPr>
                  </w:pPr>
                  <w:r>
                    <w:rPr>
                      <w:u w:val="wave"/>
                    </w:rPr>
                    <w:t>稳定性：</w:t>
                  </w:r>
                </w:p>
              </w:tc>
              <w:tc>
                <w:tcPr>
                  <w:tcW w:w="1061" w:type="pct"/>
                  <w:gridSpan w:val="2"/>
                  <w:vAlign w:val="center"/>
                </w:tcPr>
                <w:p>
                  <w:pPr>
                    <w:pStyle w:val="45"/>
                    <w:spacing w:before="29" w:after="0"/>
                    <w:ind w:left="146" w:right="148"/>
                    <w:rPr>
                      <w:u w:val="wave"/>
                    </w:rPr>
                  </w:pPr>
                  <w:r>
                    <w:rPr>
                      <w:u w:val="wave"/>
                    </w:rPr>
                    <w:t>稳定</w:t>
                  </w:r>
                </w:p>
              </w:tc>
              <w:tc>
                <w:tcPr>
                  <w:tcW w:w="1184" w:type="pct"/>
                  <w:vAlign w:val="center"/>
                </w:tcPr>
                <w:p>
                  <w:pPr>
                    <w:pStyle w:val="45"/>
                    <w:spacing w:before="29" w:after="0"/>
                    <w:ind w:left="274"/>
                    <w:rPr>
                      <w:u w:val="wave"/>
                    </w:rPr>
                  </w:pPr>
                  <w:r>
                    <w:rPr>
                      <w:u w:val="wave"/>
                    </w:rPr>
                    <w:t>避免接触的条件：</w:t>
                  </w:r>
                </w:p>
              </w:tc>
              <w:tc>
                <w:tcPr>
                  <w:tcW w:w="1662" w:type="pct"/>
                  <w:gridSpan w:val="2"/>
                  <w:vAlign w:val="center"/>
                </w:tcPr>
                <w:p>
                  <w:pPr>
                    <w:pStyle w:val="45"/>
                    <w:spacing w:before="29" w:after="0"/>
                    <w:ind w:left="792"/>
                    <w:jc w:val="both"/>
                    <w:rPr>
                      <w:u w:val="wave"/>
                    </w:rPr>
                  </w:pPr>
                  <w:r>
                    <w:rPr>
                      <w:u w:val="wave"/>
                    </w:rPr>
                    <w:t>明火、高热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vAlign w:val="center"/>
                </w:tcPr>
                <w:p>
                  <w:pPr>
                    <w:pStyle w:val="45"/>
                    <w:spacing w:before="27" w:after="0"/>
                    <w:ind w:left="197" w:right="197"/>
                    <w:rPr>
                      <w:u w:val="wave"/>
                    </w:rPr>
                  </w:pPr>
                  <w:r>
                    <w:rPr>
                      <w:u w:val="wave"/>
                    </w:rPr>
                    <w:t>禁配物：</w:t>
                  </w:r>
                </w:p>
              </w:tc>
              <w:tc>
                <w:tcPr>
                  <w:tcW w:w="1061" w:type="pct"/>
                  <w:gridSpan w:val="2"/>
                  <w:vAlign w:val="center"/>
                </w:tcPr>
                <w:p>
                  <w:pPr>
                    <w:pStyle w:val="45"/>
                    <w:spacing w:before="27" w:after="0"/>
                    <w:ind w:left="148" w:right="148"/>
                    <w:rPr>
                      <w:u w:val="wave"/>
                    </w:rPr>
                  </w:pPr>
                  <w:r>
                    <w:rPr>
                      <w:u w:val="wave"/>
                    </w:rPr>
                    <w:t>强氧化剂、卤素</w:t>
                  </w:r>
                </w:p>
              </w:tc>
              <w:tc>
                <w:tcPr>
                  <w:tcW w:w="1184" w:type="pct"/>
                  <w:vAlign w:val="center"/>
                </w:tcPr>
                <w:p>
                  <w:pPr>
                    <w:pStyle w:val="45"/>
                    <w:spacing w:before="27" w:after="0"/>
                    <w:ind w:left="589"/>
                    <w:rPr>
                      <w:u w:val="wave"/>
                    </w:rPr>
                  </w:pPr>
                  <w:r>
                    <w:rPr>
                      <w:u w:val="wave"/>
                    </w:rPr>
                    <w:t>聚合危害：</w:t>
                  </w:r>
                </w:p>
              </w:tc>
              <w:tc>
                <w:tcPr>
                  <w:tcW w:w="1662" w:type="pct"/>
                  <w:gridSpan w:val="2"/>
                  <w:vAlign w:val="center"/>
                </w:tcPr>
                <w:p>
                  <w:pPr>
                    <w:pStyle w:val="45"/>
                    <w:spacing w:before="27" w:after="0"/>
                    <w:ind w:left="982" w:right="983"/>
                    <w:rPr>
                      <w:u w:val="wave"/>
                    </w:rPr>
                  </w:pPr>
                  <w:r>
                    <w:rPr>
                      <w:u w:val="wave"/>
                    </w:rPr>
                    <w:t>不聚合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3" w:type="pct"/>
                  <w:vAlign w:val="center"/>
                </w:tcPr>
                <w:p>
                  <w:pPr>
                    <w:pStyle w:val="45"/>
                    <w:spacing w:before="28" w:after="0"/>
                    <w:ind w:left="197" w:right="197"/>
                    <w:rPr>
                      <w:u w:val="wave"/>
                    </w:rPr>
                  </w:pPr>
                  <w:r>
                    <w:rPr>
                      <w:u w:val="wave"/>
                    </w:rPr>
                    <w:t>分解产物：</w:t>
                  </w:r>
                </w:p>
              </w:tc>
              <w:tc>
                <w:tcPr>
                  <w:tcW w:w="3907" w:type="pct"/>
                  <w:gridSpan w:val="5"/>
                  <w:vAlign w:val="center"/>
                </w:tcPr>
                <w:p>
                  <w:pPr>
                    <w:spacing w:before="27" w:after="0"/>
                    <w:ind w:left="982" w:right="983"/>
                    <w:jc w:val="center"/>
                    <w:rPr>
                      <w:u w:val="wave"/>
                    </w:rPr>
                  </w:pPr>
                  <w:r>
                    <w:rPr>
                      <w:u w:val="wave"/>
                    </w:rPr>
                    <w:t>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before="27" w:after="0"/>
                    <w:ind w:left="982" w:right="983"/>
                    <w:jc w:val="center"/>
                    <w:rPr>
                      <w:b/>
                      <w:bCs/>
                      <w:u w:val="wave"/>
                    </w:rPr>
                  </w:pPr>
                  <w:r>
                    <w:rPr>
                      <w:b/>
                      <w:bCs/>
                      <w:u w:val="wave"/>
                    </w:rPr>
                    <w:t>第四部分毒理学资料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vAlign w:val="center"/>
                </w:tcPr>
                <w:p>
                  <w:pPr>
                    <w:pStyle w:val="45"/>
                    <w:spacing w:before="27" w:after="0"/>
                    <w:ind w:left="197" w:right="197"/>
                    <w:rPr>
                      <w:u w:val="wave"/>
                    </w:rPr>
                  </w:pPr>
                  <w:r>
                    <w:rPr>
                      <w:u w:val="wave"/>
                    </w:rPr>
                    <w:t>急性毒性：</w:t>
                  </w:r>
                </w:p>
              </w:tc>
              <w:tc>
                <w:tcPr>
                  <w:tcW w:w="3907" w:type="pct"/>
                  <w:gridSpan w:val="5"/>
                  <w:vAlign w:val="center"/>
                </w:tcPr>
                <w:p>
                  <w:pPr>
                    <w:spacing w:before="27" w:after="0"/>
                    <w:ind w:left="982" w:right="983"/>
                    <w:jc w:val="center"/>
                    <w:rPr>
                      <w:u w:val="wave"/>
                    </w:rPr>
                  </w:pPr>
                  <w:r>
                    <w:rPr>
                      <w:u w:val="wave"/>
                    </w:rPr>
                    <w:t>LD50LC50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vAlign w:val="center"/>
                </w:tcPr>
                <w:p>
                  <w:pPr>
                    <w:pStyle w:val="45"/>
                    <w:spacing w:before="141" w:after="0"/>
                    <w:ind w:left="197" w:right="197"/>
                    <w:rPr>
                      <w:u w:val="wave"/>
                    </w:rPr>
                  </w:pPr>
                  <w:r>
                    <w:rPr>
                      <w:u w:val="wave"/>
                    </w:rPr>
                    <w:t>急性中毒：</w:t>
                  </w:r>
                </w:p>
              </w:tc>
              <w:tc>
                <w:tcPr>
                  <w:tcW w:w="3907" w:type="pct"/>
                  <w:gridSpan w:val="5"/>
                  <w:vAlign w:val="center"/>
                </w:tcPr>
                <w:p>
                  <w:pPr>
                    <w:pStyle w:val="45"/>
                    <w:spacing w:after="0" w:line="260" w:lineRule="exact"/>
                    <w:ind w:left="75" w:right="76"/>
                    <w:rPr>
                      <w:u w:val="wave"/>
                    </w:rPr>
                  </w:pPr>
                  <w:r>
                    <w:rPr>
                      <w:u w:val="wave"/>
                    </w:rPr>
                    <w:t>皮肤接触柴油可引起接触性皮炎、油性痤疮，吸入可引起吸入性肺炎，</w:t>
                  </w:r>
                </w:p>
                <w:p>
                  <w:pPr>
                    <w:spacing w:before="27" w:after="0"/>
                    <w:ind w:left="982" w:right="983"/>
                    <w:jc w:val="center"/>
                    <w:rPr>
                      <w:u w:val="wave"/>
                    </w:rPr>
                  </w:pPr>
                  <w:r>
                    <w:rPr>
                      <w:u w:val="wave"/>
                    </w:rPr>
                    <w:t>能经胎盘进入胎儿血中。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vAlign w:val="center"/>
                </w:tcPr>
                <w:p>
                  <w:pPr>
                    <w:pStyle w:val="45"/>
                    <w:spacing w:before="28" w:after="0"/>
                    <w:ind w:left="197" w:right="197"/>
                    <w:rPr>
                      <w:u w:val="wave"/>
                    </w:rPr>
                  </w:pPr>
                  <w:r>
                    <w:rPr>
                      <w:u w:val="wave"/>
                    </w:rPr>
                    <w:t>慢性中毒：</w:t>
                  </w:r>
                </w:p>
              </w:tc>
              <w:tc>
                <w:tcPr>
                  <w:tcW w:w="3907" w:type="pct"/>
                  <w:gridSpan w:val="5"/>
                  <w:vAlign w:val="center"/>
                </w:tcPr>
                <w:p>
                  <w:pPr>
                    <w:spacing w:before="27" w:after="0"/>
                    <w:ind w:left="982" w:right="983"/>
                    <w:jc w:val="center"/>
                    <w:rPr>
                      <w:u w:val="wave"/>
                    </w:rPr>
                  </w:pPr>
                  <w:r>
                    <w:rPr>
                      <w:u w:val="wave"/>
                    </w:rPr>
                    <w:t>柴油废气可引起眼、鼻刺激症状，头痛。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vAlign w:val="center"/>
                </w:tcPr>
                <w:p>
                  <w:pPr>
                    <w:pStyle w:val="45"/>
                    <w:spacing w:before="28" w:after="0"/>
                    <w:ind w:left="197" w:right="197"/>
                    <w:rPr>
                      <w:u w:val="wave"/>
                    </w:rPr>
                  </w:pPr>
                  <w:r>
                    <w:rPr>
                      <w:u w:val="wave"/>
                    </w:rPr>
                    <w:t>刺激性：</w:t>
                  </w:r>
                </w:p>
              </w:tc>
              <w:tc>
                <w:tcPr>
                  <w:tcW w:w="3907" w:type="pct"/>
                  <w:gridSpan w:val="5"/>
                  <w:vAlign w:val="center"/>
                </w:tcPr>
                <w:p>
                  <w:pPr>
                    <w:spacing w:before="27" w:after="0"/>
                    <w:ind w:left="982" w:right="983"/>
                    <w:jc w:val="center"/>
                    <w:rPr>
                      <w:u w:val="wave"/>
                    </w:rPr>
                  </w:pPr>
                  <w:r>
                    <w:rPr>
                      <w:u w:val="wave"/>
                    </w:rPr>
                    <w:t>具有刺激作用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vAlign w:val="center"/>
                </w:tcPr>
                <w:p>
                  <w:pPr>
                    <w:pStyle w:val="45"/>
                    <w:spacing w:before="27" w:after="0"/>
                    <w:ind w:left="197" w:right="197"/>
                    <w:rPr>
                      <w:u w:val="wave"/>
                    </w:rPr>
                  </w:pPr>
                  <w:r>
                    <w:rPr>
                      <w:u w:val="wave"/>
                    </w:rPr>
                    <w:t>最高容许浓度</w:t>
                  </w:r>
                </w:p>
              </w:tc>
              <w:tc>
                <w:tcPr>
                  <w:tcW w:w="3907" w:type="pct"/>
                  <w:gridSpan w:val="5"/>
                  <w:vAlign w:val="center"/>
                </w:tcPr>
                <w:p>
                  <w:pPr>
                    <w:spacing w:before="27" w:after="0"/>
                    <w:ind w:left="982" w:right="983"/>
                    <w:jc w:val="center"/>
                    <w:rPr>
                      <w:u w:val="wave"/>
                    </w:rPr>
                  </w:pPr>
                  <w:r>
                    <w:rPr>
                      <w:u w:val="wave"/>
                    </w:rPr>
                    <w:t>目前无标准</w:t>
                  </w:r>
                </w:p>
              </w:tc>
            </w:tr>
          </w:tbl>
          <w:p>
            <w:pPr>
              <w:widowControl/>
              <w:spacing w:after="0" w:line="360" w:lineRule="auto"/>
              <w:ind w:firstLine="480" w:firstLineChars="200"/>
              <w:jc w:val="left"/>
              <w:rPr>
                <w:color w:val="000000"/>
                <w:kern w:val="0"/>
                <w:sz w:val="24"/>
                <w:szCs w:val="20"/>
                <w:u w:val="wave"/>
              </w:rPr>
            </w:pPr>
            <w:r>
              <w:rPr>
                <w:rFonts w:hint="eastAsia"/>
                <w:color w:val="000000"/>
                <w:kern w:val="0"/>
                <w:sz w:val="24"/>
                <w:szCs w:val="20"/>
                <w:u w:val="wave"/>
              </w:rPr>
              <w:t>（2）环境</w:t>
            </w:r>
            <w:r>
              <w:rPr>
                <w:color w:val="000000"/>
                <w:kern w:val="0"/>
                <w:sz w:val="24"/>
                <w:szCs w:val="20"/>
                <w:u w:val="wave"/>
              </w:rPr>
              <w:t>风险潜势初判</w:t>
            </w:r>
          </w:p>
          <w:p>
            <w:pPr>
              <w:widowControl/>
              <w:spacing w:after="0" w:line="360" w:lineRule="auto"/>
              <w:ind w:firstLine="480" w:firstLineChars="200"/>
              <w:jc w:val="left"/>
              <w:rPr>
                <w:color w:val="000000"/>
                <w:kern w:val="0"/>
                <w:sz w:val="24"/>
                <w:szCs w:val="20"/>
                <w:u w:val="wave"/>
              </w:rPr>
            </w:pPr>
            <w:r>
              <w:rPr>
                <w:color w:val="000000"/>
                <w:kern w:val="0"/>
                <w:sz w:val="24"/>
                <w:szCs w:val="20"/>
                <w:u w:val="wave"/>
              </w:rPr>
              <w:t>本项目的</w:t>
            </w:r>
            <w:r>
              <w:rPr>
                <w:rFonts w:hint="eastAsia"/>
                <w:color w:val="000000"/>
                <w:kern w:val="0"/>
                <w:sz w:val="24"/>
                <w:szCs w:val="20"/>
                <w:u w:val="wave"/>
              </w:rPr>
              <w:t>风险物质</w:t>
            </w:r>
            <w:r>
              <w:rPr>
                <w:color w:val="000000"/>
                <w:kern w:val="0"/>
                <w:sz w:val="24"/>
                <w:szCs w:val="20"/>
                <w:u w:val="wave"/>
              </w:rPr>
              <w:t>主要为柴油。根据《建设项目环境风险评价技术导则》（HJ169-2018）中附录B对柴油临界量判定，序号381油类物质（矿物油类，如石油、汽油、柴油等；生物柴油等）临界量为2500t，本项目柴油储罐容量为30t，故该项目环境风险潜势为Ⅰ，只需做简单分析。</w:t>
            </w:r>
          </w:p>
          <w:p>
            <w:pPr>
              <w:pStyle w:val="32"/>
              <w:tabs>
                <w:tab w:val="left" w:pos="8820"/>
                <w:tab w:val="left" w:pos="9000"/>
                <w:tab w:val="clear" w:pos="1021"/>
              </w:tabs>
              <w:spacing w:after="0"/>
              <w:rPr>
                <w:u w:val="wave"/>
              </w:rPr>
            </w:pPr>
            <w:r>
              <w:rPr>
                <w:rFonts w:hint="eastAsia"/>
                <w:u w:val="wave"/>
              </w:rPr>
              <w:t>（</w:t>
            </w:r>
            <w:r>
              <w:rPr>
                <w:u w:val="wave"/>
              </w:rPr>
              <w:t>3</w:t>
            </w:r>
            <w:r>
              <w:rPr>
                <w:rFonts w:hint="eastAsia"/>
                <w:u w:val="wave"/>
              </w:rPr>
              <w:t>）简单分析基本内容</w:t>
            </w:r>
          </w:p>
          <w:p>
            <w:pPr>
              <w:widowControl/>
              <w:spacing w:after="0" w:line="360" w:lineRule="auto"/>
              <w:ind w:firstLine="480" w:firstLineChars="200"/>
              <w:jc w:val="left"/>
              <w:rPr>
                <w:color w:val="000000"/>
                <w:kern w:val="0"/>
                <w:sz w:val="24"/>
                <w:szCs w:val="20"/>
                <w:u w:val="wave"/>
              </w:rPr>
            </w:pPr>
            <w:r>
              <w:rPr>
                <w:rFonts w:hint="eastAsia"/>
                <w:color w:val="000000"/>
                <w:kern w:val="0"/>
                <w:sz w:val="24"/>
                <w:szCs w:val="20"/>
                <w:u w:val="wave"/>
              </w:rPr>
              <w:t>本</w:t>
            </w:r>
            <w:r>
              <w:rPr>
                <w:color w:val="000000"/>
                <w:kern w:val="0"/>
                <w:sz w:val="24"/>
                <w:szCs w:val="20"/>
                <w:u w:val="wave"/>
              </w:rPr>
              <w:t>项目环境风险潜势为Ⅰ，只需做简单分析</w:t>
            </w:r>
            <w:r>
              <w:rPr>
                <w:rFonts w:hint="eastAsia"/>
                <w:color w:val="000000"/>
                <w:kern w:val="0"/>
                <w:sz w:val="24"/>
                <w:szCs w:val="20"/>
                <w:u w:val="wave"/>
              </w:rPr>
              <w:t>详见表7</w:t>
            </w:r>
            <w:r>
              <w:rPr>
                <w:color w:val="000000"/>
                <w:kern w:val="0"/>
                <w:sz w:val="24"/>
                <w:szCs w:val="20"/>
                <w:u w:val="wave"/>
              </w:rPr>
              <w:t>-13</w:t>
            </w:r>
            <w:r>
              <w:rPr>
                <w:rFonts w:hint="eastAsia"/>
                <w:color w:val="000000"/>
                <w:kern w:val="0"/>
                <w:sz w:val="24"/>
                <w:szCs w:val="20"/>
                <w:u w:val="wave"/>
              </w:rPr>
              <w:t>。</w:t>
            </w:r>
          </w:p>
          <w:p>
            <w:pPr>
              <w:spacing w:after="0" w:line="360" w:lineRule="auto"/>
              <w:jc w:val="center"/>
              <w:rPr>
                <w:b/>
                <w:sz w:val="24"/>
                <w:u w:val="wave"/>
              </w:rPr>
            </w:pPr>
            <w:r>
              <w:rPr>
                <w:b/>
                <w:sz w:val="24"/>
                <w:u w:val="wave"/>
              </w:rPr>
              <w:t>表7-13 建设项目环境风险简单分析内容表</w:t>
            </w:r>
          </w:p>
          <w:tbl>
            <w:tblPr>
              <w:tblStyle w:val="2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58"/>
              <w:gridCol w:w="2625"/>
              <w:gridCol w:w="36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2558" w:type="dxa"/>
                  <w:tcBorders>
                    <w:bottom w:val="single" w:color="000000" w:sz="4" w:space="0"/>
                    <w:right w:val="single" w:color="000000" w:sz="4" w:space="0"/>
                  </w:tcBorders>
                  <w:vAlign w:val="center"/>
                </w:tcPr>
                <w:p>
                  <w:pPr>
                    <w:spacing w:before="11" w:after="0"/>
                    <w:jc w:val="center"/>
                    <w:rPr>
                      <w:szCs w:val="21"/>
                      <w:u w:val="wave"/>
                    </w:rPr>
                  </w:pPr>
                  <w:r>
                    <w:rPr>
                      <w:szCs w:val="21"/>
                      <w:u w:val="wave"/>
                    </w:rPr>
                    <w:t>建设项目名称</w:t>
                  </w:r>
                </w:p>
              </w:tc>
              <w:tc>
                <w:tcPr>
                  <w:tcW w:w="6229" w:type="dxa"/>
                  <w:gridSpan w:val="2"/>
                  <w:tcBorders>
                    <w:left w:val="single" w:color="000000" w:sz="4" w:space="0"/>
                    <w:bottom w:val="single" w:color="000000" w:sz="4" w:space="0"/>
                  </w:tcBorders>
                  <w:vAlign w:val="center"/>
                </w:tcPr>
                <w:p>
                  <w:pPr>
                    <w:spacing w:before="11" w:after="0"/>
                    <w:jc w:val="center"/>
                    <w:rPr>
                      <w:szCs w:val="21"/>
                      <w:u w:val="wave"/>
                    </w:rPr>
                  </w:pPr>
                  <w:r>
                    <w:rPr>
                      <w:szCs w:val="21"/>
                      <w:u w:val="wave"/>
                    </w:rPr>
                    <w:t>年产20万立方商品混凝土建设项目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2558" w:type="dxa"/>
                  <w:tcBorders>
                    <w:top w:val="single" w:color="000000" w:sz="4" w:space="0"/>
                    <w:bottom w:val="single" w:color="000000" w:sz="4" w:space="0"/>
                    <w:right w:val="single" w:color="000000" w:sz="4" w:space="0"/>
                  </w:tcBorders>
                  <w:vAlign w:val="center"/>
                </w:tcPr>
                <w:p>
                  <w:pPr>
                    <w:spacing w:before="11" w:after="0"/>
                    <w:jc w:val="center"/>
                    <w:rPr>
                      <w:szCs w:val="21"/>
                      <w:u w:val="wave"/>
                    </w:rPr>
                  </w:pPr>
                  <w:r>
                    <w:rPr>
                      <w:szCs w:val="21"/>
                      <w:u w:val="wave"/>
                    </w:rPr>
                    <w:t>建设地点</w:t>
                  </w:r>
                </w:p>
              </w:tc>
              <w:tc>
                <w:tcPr>
                  <w:tcW w:w="6229" w:type="dxa"/>
                  <w:gridSpan w:val="2"/>
                  <w:tcBorders>
                    <w:top w:val="single" w:color="000000" w:sz="4" w:space="0"/>
                    <w:left w:val="single" w:color="000000" w:sz="4" w:space="0"/>
                    <w:bottom w:val="single" w:color="000000" w:sz="4" w:space="0"/>
                  </w:tcBorders>
                  <w:vAlign w:val="center"/>
                </w:tcPr>
                <w:p>
                  <w:pPr>
                    <w:spacing w:before="11" w:after="0"/>
                    <w:jc w:val="center"/>
                    <w:rPr>
                      <w:szCs w:val="21"/>
                      <w:u w:val="wave"/>
                    </w:rPr>
                  </w:pPr>
                  <w:r>
                    <w:rPr>
                      <w:u w:val="wave"/>
                    </w:rPr>
                    <w:t>湖南省岳阳市湘阴县杨林寨乡沅潭村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5" w:hRule="atLeast"/>
                <w:jc w:val="center"/>
              </w:trPr>
              <w:tc>
                <w:tcPr>
                  <w:tcW w:w="2558" w:type="dxa"/>
                  <w:tcBorders>
                    <w:top w:val="single" w:color="000000" w:sz="4" w:space="0"/>
                    <w:bottom w:val="single" w:color="000000" w:sz="4" w:space="0"/>
                    <w:right w:val="single" w:color="000000" w:sz="4" w:space="0"/>
                  </w:tcBorders>
                  <w:vAlign w:val="center"/>
                </w:tcPr>
                <w:p>
                  <w:pPr>
                    <w:spacing w:before="11" w:after="0"/>
                    <w:jc w:val="center"/>
                    <w:rPr>
                      <w:szCs w:val="21"/>
                      <w:u w:val="wave"/>
                    </w:rPr>
                  </w:pPr>
                  <w:r>
                    <w:rPr>
                      <w:szCs w:val="21"/>
                      <w:u w:val="wave"/>
                    </w:rPr>
                    <w:t>地理坐标</w:t>
                  </w:r>
                </w:p>
              </w:tc>
              <w:tc>
                <w:tcPr>
                  <w:tcW w:w="2625" w:type="dxa"/>
                  <w:tcBorders>
                    <w:top w:val="single" w:color="000000" w:sz="4" w:space="0"/>
                    <w:left w:val="single" w:color="000000" w:sz="4" w:space="0"/>
                    <w:bottom w:val="single" w:color="000000" w:sz="4" w:space="0"/>
                    <w:right w:val="single" w:color="000000" w:sz="4" w:space="0"/>
                  </w:tcBorders>
                  <w:vAlign w:val="center"/>
                </w:tcPr>
                <w:p>
                  <w:pPr>
                    <w:spacing w:before="11" w:after="0"/>
                    <w:jc w:val="center"/>
                    <w:rPr>
                      <w:szCs w:val="21"/>
                      <w:u w:val="wave"/>
                    </w:rPr>
                  </w:pPr>
                  <w:r>
                    <w:rPr>
                      <w:szCs w:val="21"/>
                      <w:u w:val="wave"/>
                    </w:rPr>
                    <w:t>E：112°45′57′′</w:t>
                  </w:r>
                </w:p>
              </w:tc>
              <w:tc>
                <w:tcPr>
                  <w:tcW w:w="3604" w:type="dxa"/>
                  <w:tcBorders>
                    <w:top w:val="single" w:color="000000" w:sz="4" w:space="0"/>
                    <w:left w:val="single" w:color="000000" w:sz="4" w:space="0"/>
                    <w:bottom w:val="single" w:color="000000" w:sz="4" w:space="0"/>
                  </w:tcBorders>
                  <w:vAlign w:val="center"/>
                </w:tcPr>
                <w:p>
                  <w:pPr>
                    <w:spacing w:before="11" w:after="0"/>
                    <w:jc w:val="center"/>
                    <w:rPr>
                      <w:szCs w:val="21"/>
                      <w:u w:val="wave"/>
                    </w:rPr>
                  </w:pPr>
                  <w:r>
                    <w:rPr>
                      <w:szCs w:val="21"/>
                      <w:u w:val="wave"/>
                    </w:rPr>
                    <w:t>N：28°42′38′′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2558" w:type="dxa"/>
                  <w:tcBorders>
                    <w:top w:val="single" w:color="000000" w:sz="4" w:space="0"/>
                    <w:bottom w:val="single" w:color="000000" w:sz="4" w:space="0"/>
                    <w:right w:val="single" w:color="000000" w:sz="4" w:space="0"/>
                  </w:tcBorders>
                  <w:vAlign w:val="center"/>
                </w:tcPr>
                <w:p>
                  <w:pPr>
                    <w:spacing w:before="11" w:after="0"/>
                    <w:jc w:val="center"/>
                    <w:rPr>
                      <w:szCs w:val="21"/>
                      <w:u w:val="wave"/>
                    </w:rPr>
                  </w:pPr>
                  <w:r>
                    <w:rPr>
                      <w:szCs w:val="21"/>
                      <w:u w:val="wave"/>
                    </w:rPr>
                    <w:t>主要危险物质及分布</w:t>
                  </w:r>
                </w:p>
              </w:tc>
              <w:tc>
                <w:tcPr>
                  <w:tcW w:w="6229" w:type="dxa"/>
                  <w:gridSpan w:val="2"/>
                  <w:tcBorders>
                    <w:top w:val="single" w:color="000000" w:sz="4" w:space="0"/>
                    <w:left w:val="single" w:color="000000" w:sz="4" w:space="0"/>
                    <w:bottom w:val="single" w:color="000000" w:sz="4" w:space="0"/>
                  </w:tcBorders>
                  <w:vAlign w:val="center"/>
                </w:tcPr>
                <w:p>
                  <w:pPr>
                    <w:spacing w:before="11" w:after="0"/>
                    <w:jc w:val="center"/>
                    <w:rPr>
                      <w:szCs w:val="21"/>
                      <w:u w:val="wave"/>
                    </w:rPr>
                  </w:pPr>
                  <w:r>
                    <w:rPr>
                      <w:szCs w:val="21"/>
                      <w:u w:val="wave"/>
                    </w:rPr>
                    <w:t>柴油</w:t>
                  </w:r>
                  <w:r>
                    <w:rPr>
                      <w:rFonts w:hint="eastAsia"/>
                      <w:szCs w:val="21"/>
                      <w:u w:val="wave"/>
                    </w:rPr>
                    <w:t>、柴油储罐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2558" w:type="dxa"/>
                  <w:tcBorders>
                    <w:top w:val="single" w:color="000000" w:sz="4" w:space="0"/>
                    <w:bottom w:val="single" w:color="000000" w:sz="4" w:space="0"/>
                    <w:right w:val="single" w:color="000000" w:sz="4" w:space="0"/>
                  </w:tcBorders>
                  <w:vAlign w:val="center"/>
                </w:tcPr>
                <w:p>
                  <w:pPr>
                    <w:spacing w:before="11" w:after="0"/>
                    <w:jc w:val="center"/>
                    <w:rPr>
                      <w:szCs w:val="21"/>
                      <w:u w:val="wave"/>
                    </w:rPr>
                  </w:pPr>
                  <w:r>
                    <w:rPr>
                      <w:szCs w:val="21"/>
                      <w:u w:val="wave"/>
                    </w:rPr>
                    <w:t>环境影响途径及危害后果</w:t>
                  </w:r>
                </w:p>
                <w:p>
                  <w:pPr>
                    <w:spacing w:before="11" w:after="0"/>
                    <w:jc w:val="center"/>
                    <w:rPr>
                      <w:szCs w:val="21"/>
                      <w:u w:val="wave"/>
                    </w:rPr>
                  </w:pPr>
                  <w:r>
                    <w:rPr>
                      <w:szCs w:val="21"/>
                      <w:u w:val="wave"/>
                    </w:rPr>
                    <w:t>（大气、地表水、地下水等）</w:t>
                  </w:r>
                </w:p>
              </w:tc>
              <w:tc>
                <w:tcPr>
                  <w:tcW w:w="6229" w:type="dxa"/>
                  <w:gridSpan w:val="2"/>
                  <w:tcBorders>
                    <w:top w:val="single" w:color="000000" w:sz="4" w:space="0"/>
                    <w:left w:val="single" w:color="000000" w:sz="4" w:space="0"/>
                    <w:bottom w:val="single" w:color="000000" w:sz="4" w:space="0"/>
                  </w:tcBorders>
                  <w:vAlign w:val="center"/>
                </w:tcPr>
                <w:p>
                  <w:pPr>
                    <w:spacing w:before="11" w:after="0"/>
                    <w:rPr>
                      <w:u w:val="wave"/>
                    </w:rPr>
                  </w:pPr>
                  <w:r>
                    <w:rPr>
                      <w:u w:val="wave"/>
                    </w:rPr>
                    <w:t>（1）脉冲除尘器发生故障，造成大量粉尘未经处理超标排放；</w:t>
                  </w:r>
                </w:p>
                <w:p>
                  <w:pPr>
                    <w:pStyle w:val="16"/>
                    <w:spacing w:after="0"/>
                    <w:ind w:left="0" w:leftChars="0"/>
                    <w:rPr>
                      <w:u w:val="wave"/>
                    </w:rPr>
                  </w:pPr>
                  <w:r>
                    <w:rPr>
                      <w:u w:val="wave"/>
                    </w:rPr>
                    <w:t>（2）</w:t>
                  </w:r>
                  <w:r>
                    <w:rPr>
                      <w:rFonts w:hint="eastAsia"/>
                      <w:u w:val="wave"/>
                    </w:rPr>
                    <w:t>柴油遇明火</w:t>
                  </w:r>
                  <w:r>
                    <w:rPr>
                      <w:u w:val="wave"/>
                    </w:rPr>
                    <w:t>发生火灾爆炸造成的次生环境风险事件，产生大量浓烟及有害气体，污染大气环境，消防废</w:t>
                  </w:r>
                  <w:r>
                    <w:rPr>
                      <w:rFonts w:hint="eastAsia"/>
                      <w:u w:val="wave"/>
                    </w:rPr>
                    <w:t>水会污染周边水环境；</w:t>
                  </w:r>
                </w:p>
                <w:p>
                  <w:pPr>
                    <w:spacing w:after="0"/>
                    <w:rPr>
                      <w:u w:val="wave"/>
                    </w:rPr>
                  </w:pPr>
                  <w:r>
                    <w:rPr>
                      <w:rFonts w:hint="eastAsia"/>
                      <w:u w:val="wave"/>
                    </w:rPr>
                    <w:t>（3）柴油泄露会污染周边水环境及土壤。</w:t>
                  </w:r>
                </w:p>
                <w:p>
                  <w:pPr>
                    <w:pStyle w:val="2"/>
                    <w:spacing w:after="0"/>
                    <w:rPr>
                      <w:u w:val="wave"/>
                    </w:rPr>
                  </w:pPr>
                  <w:r>
                    <w:rPr>
                      <w:rFonts w:hint="eastAsia"/>
                      <w:szCs w:val="21"/>
                      <w:u w:val="wave"/>
                    </w:rPr>
                    <w:t>（4）粉</w:t>
                  </w:r>
                  <w:r>
                    <w:rPr>
                      <w:rFonts w:hint="eastAsia"/>
                      <w:u w:val="wave"/>
                    </w:rPr>
                    <w:t>尘爆炸会</w:t>
                  </w:r>
                  <w:r>
                    <w:rPr>
                      <w:u w:val="wave"/>
                    </w:rPr>
                    <w:t>产生的冲击波</w:t>
                  </w:r>
                  <w:r>
                    <w:rPr>
                      <w:rFonts w:hint="eastAsia"/>
                      <w:u w:val="wave"/>
                    </w:rPr>
                    <w:t>并</w:t>
                  </w:r>
                  <w:r>
                    <w:rPr>
                      <w:u w:val="wave"/>
                    </w:rPr>
                    <w:t>造成厂房破坏及人员伤亡，爆发扩散的粉尘也会造成大气环境污染、大气环境质量下降等</w:t>
                  </w:r>
                  <w:r>
                    <w:rPr>
                      <w:rFonts w:hint="eastAsia"/>
                      <w:u w:val="wav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jc w:val="center"/>
              </w:trPr>
              <w:tc>
                <w:tcPr>
                  <w:tcW w:w="2558" w:type="dxa"/>
                  <w:tcBorders>
                    <w:top w:val="single" w:color="000000" w:sz="4" w:space="0"/>
                    <w:bottom w:val="single" w:color="000000" w:sz="4" w:space="0"/>
                    <w:right w:val="single" w:color="000000" w:sz="4" w:space="0"/>
                  </w:tcBorders>
                  <w:vAlign w:val="center"/>
                </w:tcPr>
                <w:p>
                  <w:pPr>
                    <w:spacing w:before="11" w:after="0"/>
                    <w:jc w:val="center"/>
                    <w:rPr>
                      <w:szCs w:val="21"/>
                      <w:u w:val="wave"/>
                    </w:rPr>
                  </w:pPr>
                  <w:r>
                    <w:rPr>
                      <w:szCs w:val="21"/>
                      <w:u w:val="wave"/>
                    </w:rPr>
                    <w:t>风险防范措施要求</w:t>
                  </w:r>
                </w:p>
              </w:tc>
              <w:tc>
                <w:tcPr>
                  <w:tcW w:w="6229" w:type="dxa"/>
                  <w:gridSpan w:val="2"/>
                  <w:tcBorders>
                    <w:top w:val="single" w:color="000000" w:sz="4" w:space="0"/>
                    <w:left w:val="single" w:color="000000" w:sz="4" w:space="0"/>
                    <w:bottom w:val="single" w:color="000000" w:sz="4" w:space="0"/>
                  </w:tcBorders>
                  <w:vAlign w:val="center"/>
                </w:tcPr>
                <w:p>
                  <w:pPr>
                    <w:spacing w:before="11" w:after="0" w:line="240" w:lineRule="auto"/>
                    <w:jc w:val="left"/>
                    <w:rPr>
                      <w:szCs w:val="21"/>
                      <w:u w:val="wave"/>
                    </w:rPr>
                  </w:pPr>
                  <w:r>
                    <w:rPr>
                      <w:rFonts w:hint="eastAsia"/>
                      <w:szCs w:val="21"/>
                      <w:u w:val="wave"/>
                    </w:rPr>
                    <w:t>（1）加强对设备的维护及管理，减少设备故障率；当设备发生故障时，应关闭设备，尽快派人维修。</w:t>
                  </w:r>
                </w:p>
                <w:p>
                  <w:pPr>
                    <w:pStyle w:val="2"/>
                    <w:spacing w:after="0" w:line="240" w:lineRule="auto"/>
                    <w:rPr>
                      <w:szCs w:val="21"/>
                      <w:u w:val="wave"/>
                    </w:rPr>
                  </w:pPr>
                  <w:r>
                    <w:rPr>
                      <w:rFonts w:hint="eastAsia"/>
                      <w:szCs w:val="21"/>
                      <w:u w:val="wave"/>
                    </w:rPr>
                    <w:t>（2）</w:t>
                  </w:r>
                  <w:r>
                    <w:rPr>
                      <w:szCs w:val="21"/>
                      <w:u w:val="wave"/>
                    </w:rPr>
                    <w:t>建设单位应定期检查除尘系统的运行状态、清运除尘系统内沉积的粉尘等</w:t>
                  </w:r>
                  <w:r>
                    <w:rPr>
                      <w:rFonts w:hint="eastAsia"/>
                      <w:szCs w:val="21"/>
                      <w:u w:val="wave"/>
                    </w:rPr>
                    <w:t>。</w:t>
                  </w:r>
                </w:p>
                <w:p>
                  <w:pPr>
                    <w:pStyle w:val="2"/>
                    <w:spacing w:after="0" w:line="240" w:lineRule="auto"/>
                    <w:rPr>
                      <w:szCs w:val="21"/>
                      <w:u w:val="wave"/>
                    </w:rPr>
                  </w:pPr>
                  <w:r>
                    <w:rPr>
                      <w:rFonts w:hint="eastAsia"/>
                      <w:szCs w:val="21"/>
                      <w:u w:val="wave"/>
                    </w:rPr>
                    <w:t>（3）柴油储存区域应做好地面硬化及防渗，设置围堰，防治柴油泄露影响周边环境。</w:t>
                  </w:r>
                </w:p>
                <w:p>
                  <w:pPr>
                    <w:spacing w:after="0"/>
                    <w:rPr>
                      <w:szCs w:val="21"/>
                      <w:u w:val="wave"/>
                    </w:rPr>
                  </w:pPr>
                  <w:r>
                    <w:rPr>
                      <w:rFonts w:hint="eastAsia"/>
                      <w:szCs w:val="21"/>
                      <w:u w:val="wave"/>
                    </w:rPr>
                    <w:t>（4）建设单位应常备灭火器、灭火沙等灭火器材，发生火灾时能第一时间扑灭。</w:t>
                  </w:r>
                </w:p>
                <w:p>
                  <w:pPr>
                    <w:pStyle w:val="16"/>
                    <w:spacing w:after="0"/>
                    <w:ind w:left="0" w:leftChars="0"/>
                    <w:rPr>
                      <w:sz w:val="24"/>
                      <w:u w:val="wave"/>
                    </w:rPr>
                  </w:pPr>
                  <w:r>
                    <w:rPr>
                      <w:rFonts w:hint="eastAsia"/>
                      <w:szCs w:val="21"/>
                      <w:u w:val="wave"/>
                    </w:rPr>
                    <w:t>（5）加强职工的安全教育，提高安全防范意识，并尽快编制突发环境风险应急预案。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jc w:val="center"/>
              </w:trPr>
              <w:tc>
                <w:tcPr>
                  <w:tcW w:w="8787" w:type="dxa"/>
                  <w:gridSpan w:val="3"/>
                  <w:tcBorders>
                    <w:top w:val="single" w:color="000000" w:sz="4" w:space="0"/>
                  </w:tcBorders>
                </w:tcPr>
                <w:p>
                  <w:pPr>
                    <w:spacing w:before="11" w:after="0"/>
                    <w:rPr>
                      <w:szCs w:val="21"/>
                      <w:u w:val="wave"/>
                    </w:rPr>
                  </w:pPr>
                  <w:r>
                    <w:rPr>
                      <w:szCs w:val="21"/>
                      <w:u w:val="wave"/>
                    </w:rPr>
                    <w:t>填表说明（列出项目相关信息及评价说明）：</w:t>
                  </w:r>
                </w:p>
                <w:p>
                  <w:pPr>
                    <w:spacing w:before="11" w:after="0"/>
                    <w:jc w:val="center"/>
                    <w:rPr>
                      <w:szCs w:val="21"/>
                      <w:u w:val="wave"/>
                    </w:rPr>
                  </w:pPr>
                  <w:r>
                    <w:rPr>
                      <w:szCs w:val="21"/>
                      <w:u w:val="wave"/>
                    </w:rPr>
                    <w:t>/</w:t>
                  </w:r>
                </w:p>
              </w:tc>
            </w:tr>
          </w:tbl>
          <w:p>
            <w:pPr>
              <w:pStyle w:val="32"/>
              <w:tabs>
                <w:tab w:val="left" w:pos="8820"/>
                <w:tab w:val="left" w:pos="9000"/>
                <w:tab w:val="clear" w:pos="1021"/>
              </w:tabs>
              <w:spacing w:after="0"/>
              <w:rPr>
                <w:u w:val="wave"/>
                <w:lang w:val="en-US"/>
              </w:rPr>
            </w:pPr>
            <w:r>
              <w:rPr>
                <w:rFonts w:hint="eastAsia"/>
                <w:u w:val="wave"/>
              </w:rPr>
              <w:t>（</w:t>
            </w:r>
            <w:r>
              <w:rPr>
                <w:rFonts w:hint="eastAsia"/>
                <w:u w:val="wave"/>
                <w:lang w:val="en-US"/>
              </w:rPr>
              <w:t>4</w:t>
            </w:r>
            <w:r>
              <w:rPr>
                <w:rFonts w:hint="eastAsia"/>
                <w:u w:val="wave"/>
              </w:rPr>
              <w:t>）</w:t>
            </w:r>
            <w:r>
              <w:rPr>
                <w:rFonts w:hint="eastAsia"/>
                <w:u w:val="wave"/>
                <w:lang w:val="en-US"/>
              </w:rPr>
              <w:t>对杨林寨水厂及饮用水源地的影响</w:t>
            </w:r>
          </w:p>
          <w:p>
            <w:pPr>
              <w:pStyle w:val="32"/>
              <w:tabs>
                <w:tab w:val="left" w:pos="8820"/>
                <w:tab w:val="left" w:pos="9000"/>
                <w:tab w:val="clear" w:pos="1021"/>
              </w:tabs>
              <w:spacing w:after="0"/>
              <w:rPr>
                <w:u w:val="wave"/>
                <w:lang w:val="en-US"/>
              </w:rPr>
            </w:pPr>
            <w:r>
              <w:rPr>
                <w:rFonts w:hint="eastAsia"/>
                <w:u w:val="wave"/>
                <w:lang w:val="en-US"/>
              </w:rPr>
              <w:t>本项目地面已做好硬化，且柴油储存区已做好地面防渗及围堰，柴油泄漏不会影响到水厂且不会污染地下水，故主要影响周边环境的为火灾及爆炸事故。</w:t>
            </w:r>
          </w:p>
          <w:p>
            <w:pPr>
              <w:pStyle w:val="32"/>
              <w:tabs>
                <w:tab w:val="left" w:pos="8820"/>
                <w:tab w:val="left" w:pos="9000"/>
                <w:tab w:val="clear" w:pos="1021"/>
              </w:tabs>
              <w:spacing w:after="0"/>
              <w:rPr>
                <w:u w:val="wave"/>
                <w:lang w:val="en-US"/>
              </w:rPr>
            </w:pPr>
            <w:r>
              <w:rPr>
                <w:rFonts w:hint="eastAsia"/>
                <w:u w:val="wave"/>
                <w:lang w:val="en-US"/>
              </w:rPr>
              <w:t>杨林寨水厂取水口距离本项目857m，中间隔有住宅区及树木，当发生爆炸或火灾时，因距离较远，消防废水对其造成的影响较小，只有产生的烟尘才可能会其产生影响；杨林寨水厂距离本项目较近，因水厂地势较高，消防废水对其影响较小，也只有事故发生产生的烟尘会对其产生影响。</w:t>
            </w:r>
          </w:p>
          <w:p>
            <w:pPr>
              <w:pStyle w:val="32"/>
              <w:tabs>
                <w:tab w:val="left" w:pos="8820"/>
                <w:tab w:val="left" w:pos="9000"/>
                <w:tab w:val="clear" w:pos="1021"/>
              </w:tabs>
              <w:spacing w:after="0"/>
              <w:rPr>
                <w:u w:val="wave"/>
                <w:lang w:val="en-US"/>
              </w:rPr>
            </w:pPr>
            <w:r>
              <w:rPr>
                <w:rFonts w:hint="eastAsia"/>
                <w:u w:val="wave"/>
                <w:lang w:val="en-US"/>
              </w:rPr>
              <w:t>建设单位需发生事故时能及时并妥当处理，且处理事故时及事故处理完后，及时进行洒水降尘，防治烟尘对周边产生影响。建设单位只要能按本环评的要求进行防范并处理，对杨林寨水厂及饮用水源地的影响较小。</w:t>
            </w:r>
          </w:p>
          <w:p>
            <w:pPr>
              <w:pStyle w:val="17"/>
              <w:widowControl w:val="0"/>
              <w:autoSpaceDE w:val="0"/>
              <w:autoSpaceDN w:val="0"/>
              <w:adjustRightInd w:val="0"/>
              <w:spacing w:before="0" w:beforeAutospacing="0" w:after="0" w:afterAutospacing="0" w:line="360" w:lineRule="auto"/>
              <w:rPr>
                <w:rFonts w:ascii="Times New Roman" w:hAnsi="Times New Roman" w:cs="Times New Roman"/>
              </w:rPr>
            </w:pPr>
            <w:r>
              <w:rPr>
                <w:rFonts w:hint="eastAsia" w:ascii="Times New Roman" w:hAnsi="Times New Roman" w:cs="Times New Roman"/>
                <w:b/>
                <w:bCs/>
                <w:color w:val="auto"/>
                <w:szCs w:val="32"/>
              </w:rPr>
              <w:t>九</w:t>
            </w:r>
            <w:r>
              <w:rPr>
                <w:rFonts w:ascii="Times New Roman" w:hAnsi="Times New Roman" w:cs="Times New Roman"/>
                <w:b/>
                <w:bCs/>
                <w:color w:val="auto"/>
                <w:szCs w:val="32"/>
              </w:rPr>
              <w:t>、</w:t>
            </w:r>
            <w:r>
              <w:rPr>
                <w:rFonts w:ascii="Times New Roman" w:hAnsi="Times New Roman" w:cs="Times New Roman"/>
                <w:b/>
                <w:kern w:val="2"/>
              </w:rPr>
              <w:t>产业政策符合性分析</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kern w:val="2"/>
              </w:rPr>
              <w:t>本项目属于</w:t>
            </w:r>
            <w:r>
              <w:rPr>
                <w:rFonts w:ascii="Times New Roman" w:hAnsi="Times New Roman" w:cs="Times New Roman"/>
                <w:color w:val="auto"/>
                <w:szCs w:val="32"/>
              </w:rPr>
              <w:t>水泥制品制造</w:t>
            </w:r>
            <w:r>
              <w:rPr>
                <w:rFonts w:ascii="Times New Roman" w:hAnsi="Times New Roman" w:cs="Times New Roman"/>
                <w:kern w:val="2"/>
              </w:rPr>
              <w:t>项目。根据国家《产业结构调整指导目录》(2019年本)</w:t>
            </w:r>
            <w:r>
              <w:rPr>
                <w:rFonts w:hint="eastAsia" w:ascii="Times New Roman" w:hAnsi="Times New Roman" w:cs="Times New Roman"/>
                <w:kern w:val="2"/>
              </w:rPr>
              <w:t>，</w:t>
            </w:r>
            <w:r>
              <w:rPr>
                <w:rFonts w:ascii="Times New Roman" w:hAnsi="Times New Roman" w:cs="Times New Roman"/>
                <w:kern w:val="2"/>
              </w:rPr>
              <w:t>本项目不属于该目录中的鼓励类、淘汰类、限制类，视为允许类。因此本项目的建设符合国家现行产业政策要求。</w:t>
            </w:r>
          </w:p>
          <w:p>
            <w:pPr>
              <w:pStyle w:val="17"/>
              <w:widowControl w:val="0"/>
              <w:autoSpaceDE w:val="0"/>
              <w:autoSpaceDN w:val="0"/>
              <w:adjustRightInd w:val="0"/>
              <w:spacing w:before="0" w:beforeAutospacing="0" w:after="0" w:afterAutospacing="0" w:line="360" w:lineRule="auto"/>
              <w:rPr>
                <w:rFonts w:ascii="Times New Roman" w:hAnsi="Times New Roman" w:cs="Times New Roman"/>
                <w:b/>
                <w:kern w:val="2"/>
              </w:rPr>
            </w:pPr>
            <w:r>
              <w:rPr>
                <w:rFonts w:hint="eastAsia" w:ascii="Times New Roman" w:hAnsi="Times New Roman" w:cs="Times New Roman"/>
                <w:b/>
                <w:kern w:val="2"/>
              </w:rPr>
              <w:t>十</w:t>
            </w:r>
            <w:r>
              <w:rPr>
                <w:rFonts w:ascii="Times New Roman" w:hAnsi="Times New Roman" w:cs="Times New Roman"/>
                <w:b/>
                <w:kern w:val="2"/>
              </w:rPr>
              <w:t>、平面布置合理性分析</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color w:val="auto"/>
                <w:szCs w:val="32"/>
              </w:rPr>
              <w:t>本项目厂区南侧为入口，且紧邻道路，便于物料及产品的运输；原料堆场位于厂区南侧紧挨道路，原料堆场北侧为生产区，原料堆场与生产区相隔很近，便于上料进行生产作业，三级沉淀池位于生产区东侧；厂区北侧为员工生活区及实验室，办公室位于厂区西南角，项目分区较明确，布局较合理，充分的利用了其所在的地理位置，交通十分便利，且厂区四周均有绿化，能适当地减低</w:t>
            </w:r>
            <w:r>
              <w:rPr>
                <w:rFonts w:ascii="Times New Roman" w:hAnsi="Times New Roman" w:cs="Times New Roman"/>
                <w:kern w:val="2"/>
                <w:szCs w:val="22"/>
              </w:rPr>
              <w:t>噪声强度，降低混凝土搅拌机械噪声，</w:t>
            </w:r>
            <w:r>
              <w:rPr>
                <w:rFonts w:ascii="Times New Roman" w:hAnsi="Times New Roman" w:cs="Times New Roman"/>
                <w:kern w:val="2"/>
                <w:szCs w:val="20"/>
              </w:rPr>
              <w:t>该建设项目厂区平面布局合理可行。</w:t>
            </w:r>
          </w:p>
          <w:p>
            <w:pPr>
              <w:pStyle w:val="17"/>
              <w:widowControl w:val="0"/>
              <w:autoSpaceDE w:val="0"/>
              <w:autoSpaceDN w:val="0"/>
              <w:adjustRightInd w:val="0"/>
              <w:spacing w:before="0" w:beforeAutospacing="0" w:after="0" w:afterAutospacing="0" w:line="360" w:lineRule="auto"/>
              <w:rPr>
                <w:rFonts w:ascii="Times New Roman" w:hAnsi="Times New Roman" w:cs="Times New Roman"/>
                <w:b/>
                <w:color w:val="auto"/>
                <w:kern w:val="2"/>
                <w:u w:val="wave"/>
              </w:rPr>
            </w:pPr>
            <w:r>
              <w:rPr>
                <w:rFonts w:ascii="Times New Roman" w:hAnsi="Times New Roman" w:cs="Times New Roman"/>
                <w:b/>
                <w:color w:val="auto"/>
                <w:kern w:val="2"/>
                <w:u w:val="wave"/>
              </w:rPr>
              <w:t>十</w:t>
            </w:r>
            <w:r>
              <w:rPr>
                <w:rFonts w:hint="eastAsia" w:ascii="Times New Roman" w:hAnsi="Times New Roman" w:cs="Times New Roman"/>
                <w:b/>
                <w:color w:val="auto"/>
                <w:kern w:val="2"/>
                <w:u w:val="wave"/>
              </w:rPr>
              <w:t>一</w:t>
            </w:r>
            <w:r>
              <w:rPr>
                <w:rFonts w:ascii="Times New Roman" w:hAnsi="Times New Roman" w:cs="Times New Roman"/>
                <w:b/>
                <w:color w:val="auto"/>
                <w:kern w:val="2"/>
                <w:u w:val="wave"/>
              </w:rPr>
              <w:t>、规划及选址合理性分析</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本项目</w:t>
            </w:r>
            <w:r>
              <w:rPr>
                <w:rFonts w:hint="eastAsia" w:ascii="Times New Roman" w:cs="Times New Roman"/>
                <w:color w:val="auto"/>
                <w:u w:val="wave"/>
              </w:rPr>
              <w:t>按湘阴县最近的规划要求，</w:t>
            </w:r>
            <w:r>
              <w:rPr>
                <w:rFonts w:ascii="Times New Roman" w:cs="Times New Roman"/>
                <w:color w:val="auto"/>
                <w:u w:val="wave"/>
              </w:rPr>
              <w:t>选址于</w:t>
            </w:r>
            <w:r>
              <w:rPr>
                <w:rFonts w:ascii="Times New Roman"/>
                <w:color w:val="auto"/>
                <w:u w:val="wave"/>
              </w:rPr>
              <w:t>湖南省</w:t>
            </w:r>
            <w:r>
              <w:rPr>
                <w:rFonts w:hint="eastAsia" w:ascii="Times New Roman"/>
                <w:color w:val="auto"/>
                <w:u w:val="wave"/>
              </w:rPr>
              <w:t>岳阳市湘阴县杨林寨乡沅潭村</w:t>
            </w:r>
            <w:r>
              <w:rPr>
                <w:rFonts w:ascii="Times New Roman" w:cs="Times New Roman"/>
                <w:color w:val="auto"/>
                <w:u w:val="wave"/>
              </w:rPr>
              <w:t>。</w:t>
            </w:r>
            <w:r>
              <w:rPr>
                <w:rFonts w:hint="eastAsia" w:ascii="Times New Roman" w:cs="Times New Roman"/>
                <w:color w:val="auto"/>
                <w:u w:val="wave"/>
              </w:rPr>
              <w:t>由联审表（附件5）可知，各局均已同意本项目选址。</w:t>
            </w:r>
            <w:r>
              <w:rPr>
                <w:rFonts w:ascii="Times New Roman" w:cs="Times New Roman"/>
                <w:color w:val="auto"/>
                <w:u w:val="wave"/>
              </w:rPr>
              <w:t>本项目</w:t>
            </w:r>
            <w:r>
              <w:rPr>
                <w:rFonts w:hint="eastAsia" w:ascii="Times New Roman" w:cs="Times New Roman"/>
                <w:color w:val="auto"/>
                <w:u w:val="wave"/>
              </w:rPr>
              <w:t>建设符合当地环境功能区划分要求；</w:t>
            </w:r>
            <w:r>
              <w:rPr>
                <w:rFonts w:ascii="Times New Roman" w:cs="Times New Roman"/>
                <w:color w:val="auto"/>
                <w:u w:val="wave"/>
              </w:rPr>
              <w:t>所在地交通条件优越，</w:t>
            </w:r>
            <w:r>
              <w:rPr>
                <w:rFonts w:hint="eastAsia" w:ascii="Times New Roman" w:cs="Times New Roman"/>
                <w:color w:val="auto"/>
                <w:u w:val="wave"/>
              </w:rPr>
              <w:t>便于原料以及成品运输；</w:t>
            </w:r>
            <w:r>
              <w:rPr>
                <w:rFonts w:ascii="Times New Roman" w:cs="Times New Roman"/>
                <w:color w:val="auto"/>
                <w:u w:val="wave"/>
              </w:rPr>
              <w:t>区域内水、电、路、通讯等基础配套设施均已</w:t>
            </w:r>
            <w:r>
              <w:rPr>
                <w:rFonts w:hint="eastAsia" w:ascii="Times New Roman" w:cs="Times New Roman"/>
                <w:color w:val="auto"/>
                <w:u w:val="wave"/>
              </w:rPr>
              <w:t>完善；本项目距离杨林寨水厂地下水取水点887m，不在饮用水水源保护区一级保护区（30m）以及二级保护区（500m）内；项目运营过程中污染物能够实现达标排放，经分析，项目对周围环境敏感目标影</w:t>
            </w:r>
            <w:r>
              <w:rPr>
                <w:rFonts w:ascii="Times New Roman" w:cs="Times New Roman"/>
                <w:color w:val="auto"/>
                <w:u w:val="wave"/>
              </w:rPr>
              <w:t>响较小。</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综上所述，项目所在区域环境具有相容性，无重大外环境制约因素，从环境保护的角度而言，本项目的选址合理可行。</w:t>
            </w:r>
          </w:p>
          <w:p>
            <w:pPr>
              <w:pStyle w:val="35"/>
              <w:spacing w:after="0" w:line="360" w:lineRule="auto"/>
              <w:rPr>
                <w:rFonts w:ascii="Times New Roman" w:cs="Times New Roman"/>
                <w:b/>
                <w:color w:val="auto"/>
                <w:kern w:val="2"/>
                <w:u w:val="wave"/>
              </w:rPr>
            </w:pPr>
            <w:r>
              <w:rPr>
                <w:rFonts w:hint="eastAsia" w:ascii="Times New Roman" w:cs="Times New Roman"/>
                <w:b/>
                <w:color w:val="auto"/>
                <w:kern w:val="2"/>
                <w:u w:val="wave"/>
              </w:rPr>
              <w:t>十二、</w:t>
            </w:r>
            <w:r>
              <w:rPr>
                <w:rFonts w:ascii="Times New Roman" w:cs="Times New Roman"/>
                <w:b/>
                <w:color w:val="auto"/>
                <w:kern w:val="2"/>
                <w:u w:val="wave"/>
              </w:rPr>
              <w:t>项目建设与“三线一单”符合性分析</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根据环保部发布的《关于以改善环境质量为核心加强环境影响评价管理的通知》（以下简称《通知》），《通知》要求切实加强环境影响评价管理，落实“生态保护红线、环境质量底线、资源利用上线和环境准入负面清单”约束，建立项目环评审批与规划环评、现有项目环境管理、区域环境质量联动机制，更好地发挥环评制度从源头防范环境污染和生态破坏的作用，加快推进改善环境质量。</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1、生态红线</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需依法在重点生态功能区、生态环境敏感区和脆弱区等区域划定的严格管控边界，是国家和区域生态安全的底线，对于维护生态安全格局、保障生态服务功能、支撑经济社会可持续发展具有重要作用。根据《湖南省人民政府关于印发&lt;湖南省生态保护红线&gt;的通知》湘政发【2018】20号，生态保护红线划定结果：湖南省生态保护红线划定面积为4.28万平方公里，占全省国土面积的20.23%。全省生态保护红线空间格局为“一湖三山四水”：“一湖”为洞庭湖(主要包括东洞庭湖、南洞庭湖、横岭湖、西洞庭湖等自然保护区和长江岸线)，主要生态功】能为生物多样性维护、洪水调蓄。“三山”包括武陵-雪峰山脉生态屏障，主要生态功能为生物多样性维护与水土保持；罗霄-幕阜山脉生态屏障，主要生态功能为生物多样性维护、水源涵养和水土保持;南岭山脉生态屏障，主要生态功能为水源涵养和生物多样性维护，其中南岭山脉生态屏障是南方丘陵山地带的重要组成部分。“四水”为湘资沅澧(湘江、资水、沅江、澧水)的源头区及重要水域。项目位于湘阴县杨林寨乡沅潭村，该区域属湘阴县乡镇的边远地区，与湘阴县总体规划不冲突，选址符合要求，未违背生态保护红线空间管控要求，因此项目建设符合生态红线要求。</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2、环境质量底线</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根据岳阳市人民政府关于印发《岳阳市水环境功能区管理规定》、《岳阳市水环境功能区划分》、《岳阳市环境空气质量功能区划分》、《岳阳市城市区域环境噪声标准适用区域划分规定》的通知（岳政发[2002]18号），对全市的环境空气、地表水、声环境功能区进行了划分。</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项目选址产生的废气废水及固废在采取相关措施后，不会对外环境产生不良影响。且项目地根据现场踏勘水质符合相关标准，因此，本项目建设符合环境质量底线要求的。</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3、资源利用上线</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项目为新型材料烧结砖制造，主要利用水和电等资源。因此，项目资源利用满足要求。</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4、环境准入负面清单</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根据《关于印发&lt;湖南省新增19个国家重点生态功能区产业准入负面清单（试行）&gt;的通知，湘发改规划〔2018〕972号》、《湖南省发展和改革委员会关于印发&lt;湖南省国家重点生态功能区产业准入负面清单&gt;的通知，湘发改规划〔2018〕373号》，岳阳市湘阴县尚无环境准入负面清单，本项目位于湘阴县杨林寨乡沅潭村，符合区域发展和产业定位要求。</w:t>
            </w:r>
          </w:p>
          <w:p>
            <w:pPr>
              <w:pStyle w:val="35"/>
              <w:spacing w:after="0" w:line="360" w:lineRule="auto"/>
              <w:ind w:firstLine="480" w:firstLineChars="200"/>
              <w:jc w:val="both"/>
              <w:rPr>
                <w:rFonts w:ascii="Times New Roman" w:cs="Times New Roman"/>
                <w:color w:val="auto"/>
                <w:u w:val="wave"/>
              </w:rPr>
            </w:pPr>
            <w:r>
              <w:rPr>
                <w:rFonts w:ascii="Times New Roman" w:cs="Times New Roman"/>
                <w:color w:val="auto"/>
                <w:u w:val="wave"/>
              </w:rPr>
              <w:t>综上所述，项目建设符合“三线一单”的相关要求。</w:t>
            </w:r>
          </w:p>
          <w:p>
            <w:pPr>
              <w:pStyle w:val="35"/>
              <w:spacing w:after="0" w:line="360" w:lineRule="auto"/>
              <w:rPr>
                <w:rFonts w:ascii="Times New Roman" w:cs="Times New Roman"/>
                <w:b/>
                <w:color w:val="auto"/>
                <w:kern w:val="2"/>
                <w:u w:val="wave"/>
              </w:rPr>
            </w:pPr>
            <w:r>
              <w:rPr>
                <w:rFonts w:hint="eastAsia" w:ascii="Times New Roman" w:cs="Times New Roman"/>
                <w:b/>
                <w:color w:val="auto"/>
                <w:kern w:val="2"/>
                <w:u w:val="wave"/>
              </w:rPr>
              <w:t>十三、与《湖南省长江经济带发展负面清单实施细则（试行）》的符合性分析</w:t>
            </w:r>
          </w:p>
          <w:p>
            <w:pPr>
              <w:spacing w:after="0" w:line="360" w:lineRule="auto"/>
              <w:ind w:firstLine="480" w:firstLineChars="200"/>
              <w:rPr>
                <w:sz w:val="24"/>
                <w:u w:val="wave"/>
              </w:rPr>
            </w:pPr>
            <w:r>
              <w:rPr>
                <w:rFonts w:hint="eastAsia"/>
                <w:sz w:val="24"/>
                <w:u w:val="wave"/>
              </w:rPr>
              <w:t>《湖南省长江经济带发展负面清单实施细则（试行）》与本项目相关条款见下表。</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4157"/>
              <w:gridCol w:w="2416"/>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pct"/>
                  <w:vAlign w:val="center"/>
                </w:tcPr>
                <w:p>
                  <w:pPr>
                    <w:pStyle w:val="2"/>
                    <w:spacing w:after="0" w:line="240" w:lineRule="auto"/>
                    <w:jc w:val="center"/>
                    <w:rPr>
                      <w:u w:val="wave"/>
                    </w:rPr>
                  </w:pPr>
                  <w:r>
                    <w:rPr>
                      <w:u w:val="wave"/>
                    </w:rPr>
                    <w:t>“细则”条款</w:t>
                  </w:r>
                </w:p>
              </w:tc>
              <w:tc>
                <w:tcPr>
                  <w:tcW w:w="2294" w:type="pct"/>
                  <w:vAlign w:val="center"/>
                </w:tcPr>
                <w:p>
                  <w:pPr>
                    <w:pStyle w:val="2"/>
                    <w:spacing w:after="0" w:line="240" w:lineRule="auto"/>
                    <w:jc w:val="center"/>
                    <w:rPr>
                      <w:u w:val="wave"/>
                    </w:rPr>
                  </w:pPr>
                  <w:r>
                    <w:rPr>
                      <w:u w:val="wave"/>
                    </w:rPr>
                    <w:t>条款内容</w:t>
                  </w:r>
                </w:p>
              </w:tc>
              <w:tc>
                <w:tcPr>
                  <w:tcW w:w="1333" w:type="pct"/>
                  <w:vAlign w:val="center"/>
                </w:tcPr>
                <w:p>
                  <w:pPr>
                    <w:pStyle w:val="2"/>
                    <w:spacing w:after="0" w:line="240" w:lineRule="auto"/>
                    <w:jc w:val="center"/>
                    <w:rPr>
                      <w:u w:val="wave"/>
                    </w:rPr>
                  </w:pPr>
                  <w:r>
                    <w:rPr>
                      <w:u w:val="wave"/>
                    </w:rPr>
                    <w:t>本项目实际内容</w:t>
                  </w:r>
                </w:p>
              </w:tc>
              <w:tc>
                <w:tcPr>
                  <w:tcW w:w="586" w:type="pct"/>
                  <w:vAlign w:val="center"/>
                </w:tcPr>
                <w:p>
                  <w:pPr>
                    <w:pStyle w:val="2"/>
                    <w:spacing w:after="0" w:line="240" w:lineRule="auto"/>
                    <w:jc w:val="center"/>
                    <w:rPr>
                      <w:u w:val="wave"/>
                    </w:rPr>
                  </w:pPr>
                  <w:r>
                    <w:rPr>
                      <w:u w:val="wave"/>
                    </w:rPr>
                    <w:t>是否违规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pct"/>
                  <w:vAlign w:val="center"/>
                </w:tcPr>
                <w:p>
                  <w:pPr>
                    <w:pStyle w:val="2"/>
                    <w:spacing w:after="0" w:line="240" w:lineRule="auto"/>
                    <w:jc w:val="center"/>
                    <w:rPr>
                      <w:u w:val="wave"/>
                    </w:rPr>
                  </w:pPr>
                  <w:r>
                    <w:rPr>
                      <w:u w:val="wave"/>
                    </w:rPr>
                    <w:t>第十八条</w:t>
                  </w:r>
                </w:p>
              </w:tc>
              <w:tc>
                <w:tcPr>
                  <w:tcW w:w="2294" w:type="pct"/>
                  <w:vAlign w:val="center"/>
                </w:tcPr>
                <w:p>
                  <w:pPr>
                    <w:pStyle w:val="2"/>
                    <w:spacing w:after="0" w:line="240" w:lineRule="auto"/>
                    <w:jc w:val="center"/>
                    <w:rPr>
                      <w:u w:val="wave"/>
                    </w:rPr>
                  </w:pPr>
                  <w:r>
                    <w:rPr>
                      <w:u w:val="wave"/>
                    </w:rPr>
                    <w:t>禁止在长江干支流(长江干流湖南段、湘江沅江干流及洞庭湖)岸线1公里范围(指长江干支流岸线边界向陆域纵深1公里，边界指水利部门河道管理范围边界)内新建、扩建化工园区和化工项目。禁止在《中国开发区审核公告目录》公布的园区或省人民政府批准设立的园区外新建、扩建钢铁、石化、化工、焦化、</w:t>
                  </w:r>
                  <w:r>
                    <w:rPr>
                      <w:highlight w:val="none"/>
                      <w:u w:val="wave"/>
                    </w:rPr>
                    <w:t>建材、</w:t>
                  </w:r>
                  <w:r>
                    <w:rPr>
                      <w:u w:val="wave"/>
                    </w:rPr>
                    <w:t>有色等高污染项目。</w:t>
                  </w:r>
                </w:p>
              </w:tc>
              <w:tc>
                <w:tcPr>
                  <w:tcW w:w="1333" w:type="pct"/>
                  <w:vAlign w:val="center"/>
                </w:tcPr>
                <w:p>
                  <w:pPr>
                    <w:pStyle w:val="2"/>
                    <w:spacing w:after="120" w:line="259" w:lineRule="auto"/>
                    <w:jc w:val="both"/>
                    <w:rPr>
                      <w:u w:val="wave"/>
                    </w:rPr>
                  </w:pPr>
                  <w:r>
                    <w:rPr>
                      <w:u w:val="wave"/>
                    </w:rPr>
                    <w:t>本项目属于水泥制品制造，</w:t>
                  </w:r>
                  <w:r>
                    <w:rPr>
                      <w:rFonts w:hint="eastAsia"/>
                    </w:rPr>
                    <w:t>属于建材行业，但根据《环境保护综合名录（2017年版）》，本项目不属于其中的高污染项目</w:t>
                  </w:r>
                </w:p>
              </w:tc>
              <w:tc>
                <w:tcPr>
                  <w:tcW w:w="586" w:type="pct"/>
                  <w:vAlign w:val="center"/>
                </w:tcPr>
                <w:p>
                  <w:pPr>
                    <w:pStyle w:val="2"/>
                    <w:spacing w:after="0" w:line="240" w:lineRule="auto"/>
                    <w:jc w:val="center"/>
                    <w:rPr>
                      <w:u w:val="wave"/>
                    </w:rPr>
                  </w:pPr>
                  <w:r>
                    <w:rPr>
                      <w:u w:val="wav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pct"/>
                  <w:vAlign w:val="center"/>
                </w:tcPr>
                <w:p>
                  <w:pPr>
                    <w:pStyle w:val="2"/>
                    <w:spacing w:after="0" w:line="240" w:lineRule="auto"/>
                    <w:jc w:val="center"/>
                    <w:rPr>
                      <w:u w:val="wave"/>
                    </w:rPr>
                  </w:pPr>
                  <w:r>
                    <w:rPr>
                      <w:u w:val="wave"/>
                    </w:rPr>
                    <w:t>第二十二条</w:t>
                  </w:r>
                </w:p>
              </w:tc>
              <w:tc>
                <w:tcPr>
                  <w:tcW w:w="2294" w:type="pct"/>
                  <w:vAlign w:val="center"/>
                </w:tcPr>
                <w:p>
                  <w:pPr>
                    <w:pStyle w:val="2"/>
                    <w:spacing w:after="0" w:line="240" w:lineRule="auto"/>
                    <w:jc w:val="center"/>
                    <w:rPr>
                      <w:u w:val="wave"/>
                    </w:rPr>
                  </w:pPr>
                  <w:r>
                    <w:rPr>
                      <w:u w:val="wave"/>
                    </w:rPr>
                    <w:t>禁止新建、扩建法律法规和相关政策明令禁止的落后产能项目;对不符合要求的落后产能项目，依法依规退出。</w:t>
                  </w:r>
                </w:p>
              </w:tc>
              <w:tc>
                <w:tcPr>
                  <w:tcW w:w="1333" w:type="pct"/>
                  <w:vAlign w:val="center"/>
                </w:tcPr>
                <w:p>
                  <w:pPr>
                    <w:pStyle w:val="2"/>
                    <w:spacing w:after="0" w:line="240" w:lineRule="auto"/>
                    <w:jc w:val="center"/>
                    <w:rPr>
                      <w:u w:val="wave"/>
                    </w:rPr>
                  </w:pPr>
                  <w:r>
                    <w:rPr>
                      <w:u w:val="wave"/>
                    </w:rPr>
                    <w:t>本项目不属于落后产能项目</w:t>
                  </w:r>
                </w:p>
              </w:tc>
              <w:tc>
                <w:tcPr>
                  <w:tcW w:w="586" w:type="pct"/>
                  <w:vAlign w:val="center"/>
                </w:tcPr>
                <w:p>
                  <w:pPr>
                    <w:pStyle w:val="2"/>
                    <w:spacing w:after="0" w:line="240" w:lineRule="auto"/>
                    <w:jc w:val="center"/>
                    <w:rPr>
                      <w:u w:val="wave"/>
                    </w:rPr>
                  </w:pPr>
                  <w:r>
                    <w:rPr>
                      <w:u w:val="wav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pct"/>
                  <w:vAlign w:val="center"/>
                </w:tcPr>
                <w:p>
                  <w:pPr>
                    <w:pStyle w:val="2"/>
                    <w:spacing w:after="0" w:line="240" w:lineRule="auto"/>
                    <w:jc w:val="center"/>
                    <w:rPr>
                      <w:u w:val="wave"/>
                    </w:rPr>
                  </w:pPr>
                  <w:r>
                    <w:rPr>
                      <w:u w:val="wave"/>
                    </w:rPr>
                    <w:t>第二十三条</w:t>
                  </w:r>
                </w:p>
              </w:tc>
              <w:tc>
                <w:tcPr>
                  <w:tcW w:w="2294" w:type="pct"/>
                  <w:vAlign w:val="center"/>
                </w:tcPr>
                <w:p>
                  <w:pPr>
                    <w:pStyle w:val="2"/>
                    <w:spacing w:after="0" w:line="240" w:lineRule="auto"/>
                    <w:jc w:val="center"/>
                    <w:rPr>
                      <w:u w:val="wave"/>
                    </w:rPr>
                  </w:pPr>
                  <w:r>
                    <w:rPr>
                      <w:u w:val="wave"/>
                    </w:rPr>
                    <w:t>对最新版《产业结构调整指导目录》中限制类的新建项目，禁止投资;对淘汰类项目，禁止投资。国家级重点生态功能区，要严格执行国家重点生态功能区产业准入负面清单。</w:t>
                  </w:r>
                </w:p>
              </w:tc>
              <w:tc>
                <w:tcPr>
                  <w:tcW w:w="1333" w:type="pct"/>
                  <w:vAlign w:val="center"/>
                </w:tcPr>
                <w:p>
                  <w:pPr>
                    <w:pStyle w:val="2"/>
                    <w:spacing w:after="0" w:line="240" w:lineRule="auto"/>
                    <w:jc w:val="center"/>
                    <w:rPr>
                      <w:u w:val="wave"/>
                    </w:rPr>
                  </w:pPr>
                  <w:r>
                    <w:rPr>
                      <w:u w:val="wave"/>
                    </w:rPr>
                    <w:t>根据国家《产业结构调整指导目录》(2019年本)，本项目不属于该目录中的鼓励类、淘汰类、限制类，视为允许类</w:t>
                  </w:r>
                </w:p>
              </w:tc>
              <w:tc>
                <w:tcPr>
                  <w:tcW w:w="586" w:type="pct"/>
                  <w:vAlign w:val="center"/>
                </w:tcPr>
                <w:p>
                  <w:pPr>
                    <w:pStyle w:val="2"/>
                    <w:spacing w:after="0" w:line="240" w:lineRule="auto"/>
                    <w:jc w:val="center"/>
                    <w:rPr>
                      <w:u w:val="wave"/>
                    </w:rPr>
                  </w:pPr>
                  <w:r>
                    <w:rPr>
                      <w:u w:val="wav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pct"/>
                  <w:vAlign w:val="center"/>
                </w:tcPr>
                <w:p>
                  <w:pPr>
                    <w:pStyle w:val="2"/>
                    <w:spacing w:after="0" w:line="240" w:lineRule="auto"/>
                    <w:jc w:val="center"/>
                    <w:rPr>
                      <w:u w:val="wave"/>
                    </w:rPr>
                  </w:pPr>
                  <w:r>
                    <w:rPr>
                      <w:u w:val="wave"/>
                    </w:rPr>
                    <w:t>第二十四条</w:t>
                  </w:r>
                </w:p>
              </w:tc>
              <w:tc>
                <w:tcPr>
                  <w:tcW w:w="2294" w:type="pct"/>
                  <w:vAlign w:val="center"/>
                </w:tcPr>
                <w:p>
                  <w:pPr>
                    <w:pStyle w:val="2"/>
                    <w:spacing w:after="0" w:line="240" w:lineRule="auto"/>
                    <w:jc w:val="center"/>
                    <w:rPr>
                      <w:u w:val="wave"/>
                    </w:rPr>
                  </w:pPr>
                  <w:r>
                    <w:rPr>
                      <w:u w:val="wave"/>
                    </w:rPr>
                    <w:t>禁止新建、扩建不符合国家产能置换要求的严重过剩产能行业(钢铁、水泥、电解铝平板玻璃、船舶等行业)的项目。</w:t>
                  </w:r>
                </w:p>
              </w:tc>
              <w:tc>
                <w:tcPr>
                  <w:tcW w:w="1333" w:type="pct"/>
                  <w:vMerge w:val="restart"/>
                  <w:vAlign w:val="center"/>
                </w:tcPr>
                <w:p>
                  <w:pPr>
                    <w:pStyle w:val="2"/>
                    <w:spacing w:after="0" w:line="240" w:lineRule="auto"/>
                    <w:jc w:val="center"/>
                    <w:rPr>
                      <w:u w:val="wave"/>
                    </w:rPr>
                  </w:pPr>
                  <w:r>
                    <w:rPr>
                      <w:u w:val="wave"/>
                    </w:rPr>
                    <w:t>本项目为湘阴县政府整治全县商品混凝土搅拌站后保留的项目，符合湘阴县发展规划要求。本项目已按要求重新申请并通过了生产资质</w:t>
                  </w:r>
                </w:p>
              </w:tc>
              <w:tc>
                <w:tcPr>
                  <w:tcW w:w="586" w:type="pct"/>
                  <w:vAlign w:val="center"/>
                </w:tcPr>
                <w:p>
                  <w:pPr>
                    <w:pStyle w:val="2"/>
                    <w:spacing w:after="0" w:line="240" w:lineRule="auto"/>
                    <w:jc w:val="center"/>
                    <w:rPr>
                      <w:u w:val="wave"/>
                    </w:rPr>
                  </w:pPr>
                  <w:r>
                    <w:rPr>
                      <w:u w:val="wav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pct"/>
                  <w:vAlign w:val="center"/>
                </w:tcPr>
                <w:p>
                  <w:pPr>
                    <w:pStyle w:val="2"/>
                    <w:spacing w:after="0" w:line="240" w:lineRule="auto"/>
                    <w:jc w:val="center"/>
                    <w:rPr>
                      <w:u w:val="wave"/>
                    </w:rPr>
                  </w:pPr>
                  <w:r>
                    <w:rPr>
                      <w:u w:val="wave"/>
                    </w:rPr>
                    <w:t>第二十五条</w:t>
                  </w:r>
                </w:p>
              </w:tc>
              <w:tc>
                <w:tcPr>
                  <w:tcW w:w="2294" w:type="pct"/>
                  <w:vAlign w:val="center"/>
                </w:tcPr>
                <w:p>
                  <w:pPr>
                    <w:pStyle w:val="2"/>
                    <w:spacing w:after="0" w:line="240" w:lineRule="auto"/>
                    <w:jc w:val="center"/>
                    <w:rPr>
                      <w:u w:val="wave"/>
                    </w:rPr>
                  </w:pPr>
                  <w:r>
                    <w:rPr>
                      <w:u w:val="wave"/>
                    </w:rPr>
                    <w:t>各级各部门不得以任何名义、任何方式办理产能严重过剩行业新增产能项目的建设审批手续，对确有必要新增产能的，必须严格执行产能置换实施办法，实施减量或等量置换，依法依规办理有关手续。</w:t>
                  </w:r>
                </w:p>
              </w:tc>
              <w:tc>
                <w:tcPr>
                  <w:tcW w:w="1333" w:type="pct"/>
                  <w:vMerge w:val="continue"/>
                  <w:vAlign w:val="center"/>
                </w:tcPr>
                <w:p>
                  <w:pPr>
                    <w:pStyle w:val="2"/>
                    <w:spacing w:after="0" w:line="240" w:lineRule="auto"/>
                    <w:jc w:val="center"/>
                    <w:rPr>
                      <w:u w:val="wave"/>
                    </w:rPr>
                  </w:pPr>
                </w:p>
              </w:tc>
              <w:tc>
                <w:tcPr>
                  <w:tcW w:w="586" w:type="pct"/>
                  <w:vAlign w:val="center"/>
                </w:tcPr>
                <w:p>
                  <w:pPr>
                    <w:pStyle w:val="2"/>
                    <w:spacing w:after="0" w:line="240" w:lineRule="auto"/>
                    <w:jc w:val="center"/>
                    <w:rPr>
                      <w:u w:val="wave"/>
                    </w:rPr>
                  </w:pPr>
                  <w:r>
                    <w:rPr>
                      <w:u w:val="wav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pct"/>
                  <w:vAlign w:val="center"/>
                </w:tcPr>
                <w:p>
                  <w:pPr>
                    <w:pStyle w:val="2"/>
                    <w:spacing w:after="0" w:line="240" w:lineRule="auto"/>
                    <w:jc w:val="center"/>
                    <w:rPr>
                      <w:u w:val="wave"/>
                    </w:rPr>
                  </w:pPr>
                  <w:r>
                    <w:rPr>
                      <w:rFonts w:hint="eastAsia"/>
                      <w:u w:val="wave"/>
                    </w:rPr>
                    <w:t>第二十六条</w:t>
                  </w:r>
                </w:p>
              </w:tc>
              <w:tc>
                <w:tcPr>
                  <w:tcW w:w="2294" w:type="pct"/>
                  <w:vAlign w:val="center"/>
                </w:tcPr>
                <w:p>
                  <w:pPr>
                    <w:pStyle w:val="2"/>
                    <w:spacing w:after="0" w:line="240" w:lineRule="auto"/>
                    <w:jc w:val="center"/>
                    <w:rPr>
                      <w:u w:val="wave"/>
                    </w:rPr>
                  </w:pPr>
                  <w:r>
                    <w:rPr>
                      <w:rFonts w:hint="eastAsia"/>
                      <w:u w:val="wave"/>
                    </w:rPr>
                    <w:t>高污染项目应严格按照环境保护综合名录等有关要求执行。</w:t>
                  </w:r>
                </w:p>
              </w:tc>
              <w:tc>
                <w:tcPr>
                  <w:tcW w:w="1333" w:type="pct"/>
                  <w:vAlign w:val="center"/>
                </w:tcPr>
                <w:p>
                  <w:pPr>
                    <w:pStyle w:val="2"/>
                    <w:spacing w:after="0" w:line="240" w:lineRule="auto"/>
                    <w:jc w:val="center"/>
                    <w:rPr>
                      <w:u w:val="wave"/>
                    </w:rPr>
                  </w:pPr>
                  <w:r>
                    <w:rPr>
                      <w:rFonts w:hint="eastAsia"/>
                      <w:u w:val="wave"/>
                    </w:rPr>
                    <w:t>本项目为水泥制品制造，根据《环境保护综合名录（2017年版）》不属于高污染项目</w:t>
                  </w:r>
                </w:p>
              </w:tc>
              <w:tc>
                <w:tcPr>
                  <w:tcW w:w="586" w:type="pct"/>
                  <w:vAlign w:val="center"/>
                </w:tcPr>
                <w:p>
                  <w:pPr>
                    <w:pStyle w:val="2"/>
                    <w:spacing w:after="0" w:line="240" w:lineRule="auto"/>
                    <w:jc w:val="center"/>
                    <w:rPr>
                      <w:u w:val="wave"/>
                    </w:rPr>
                  </w:pPr>
                  <w:r>
                    <w:rPr>
                      <w:rFonts w:hint="eastAsia"/>
                      <w:u w:val="wave"/>
                    </w:rPr>
                    <w:t>否</w:t>
                  </w:r>
                </w:p>
              </w:tc>
            </w:tr>
          </w:tbl>
          <w:p>
            <w:pPr>
              <w:pStyle w:val="35"/>
              <w:spacing w:after="0" w:line="360" w:lineRule="auto"/>
              <w:rPr>
                <w:rFonts w:ascii="Times New Roman" w:cs="Times New Roman"/>
                <w:b/>
                <w:bCs/>
                <w:color w:val="auto"/>
                <w:szCs w:val="32"/>
              </w:rPr>
            </w:pPr>
            <w:r>
              <w:rPr>
                <w:rFonts w:ascii="Times New Roman" w:cs="Times New Roman"/>
                <w:b/>
                <w:color w:val="auto"/>
                <w:kern w:val="2"/>
              </w:rPr>
              <w:t>十</w:t>
            </w:r>
            <w:r>
              <w:rPr>
                <w:rFonts w:hint="eastAsia" w:ascii="Times New Roman" w:cs="Times New Roman"/>
                <w:b/>
                <w:color w:val="auto"/>
                <w:kern w:val="2"/>
              </w:rPr>
              <w:t>四</w:t>
            </w:r>
            <w:r>
              <w:rPr>
                <w:rFonts w:ascii="Times New Roman" w:cs="Times New Roman"/>
                <w:b/>
                <w:color w:val="auto"/>
                <w:kern w:val="2"/>
              </w:rPr>
              <w:t>、</w:t>
            </w:r>
            <w:r>
              <w:rPr>
                <w:rFonts w:ascii="Times New Roman" w:cs="Times New Roman"/>
                <w:b/>
                <w:bCs/>
                <w:color w:val="auto"/>
                <w:szCs w:val="32"/>
              </w:rPr>
              <w:t>环境管理与环境监测</w:t>
            </w:r>
          </w:p>
          <w:p>
            <w:pPr>
              <w:spacing w:after="0" w:line="360" w:lineRule="auto"/>
              <w:ind w:firstLine="480" w:firstLineChars="200"/>
              <w:rPr>
                <w:sz w:val="24"/>
              </w:rPr>
            </w:pPr>
            <w:r>
              <w:rPr>
                <w:sz w:val="24"/>
              </w:rPr>
              <w:t>1、环境管理</w:t>
            </w:r>
          </w:p>
          <w:p>
            <w:pPr>
              <w:spacing w:after="0" w:line="360" w:lineRule="auto"/>
              <w:ind w:firstLine="480" w:firstLineChars="200"/>
              <w:rPr>
                <w:sz w:val="24"/>
              </w:rPr>
            </w:pPr>
            <w:r>
              <w:rPr>
                <w:sz w:val="24"/>
              </w:rPr>
              <w:t>本项目营运期环境管理由建设单位、部门管理进行管理，具体管理要求如下：</w:t>
            </w:r>
          </w:p>
          <w:p>
            <w:pPr>
              <w:spacing w:after="0" w:line="360" w:lineRule="auto"/>
              <w:ind w:firstLine="480" w:firstLineChars="200"/>
              <w:rPr>
                <w:sz w:val="24"/>
              </w:rPr>
            </w:pPr>
            <w:r>
              <w:rPr>
                <w:sz w:val="24"/>
              </w:rPr>
              <w:t>（1）根据国家环保政策、标准及环境监测要求，制定项目营运期环保管理规章制度、各种污染物排放控制指标；</w:t>
            </w:r>
          </w:p>
          <w:p>
            <w:pPr>
              <w:spacing w:after="0" w:line="360" w:lineRule="auto"/>
              <w:ind w:firstLine="480" w:firstLineChars="200"/>
              <w:rPr>
                <w:sz w:val="24"/>
              </w:rPr>
            </w:pPr>
            <w:r>
              <w:rPr>
                <w:sz w:val="24"/>
              </w:rPr>
              <w:t>（2）负责场区所有环保设施日常运行管理，保障各环保设施正常运行，并对环保设施的改进提出积极的建议；</w:t>
            </w:r>
          </w:p>
          <w:p>
            <w:pPr>
              <w:spacing w:after="0" w:line="360" w:lineRule="auto"/>
              <w:ind w:firstLine="480" w:firstLineChars="200"/>
              <w:rPr>
                <w:sz w:val="24"/>
              </w:rPr>
            </w:pPr>
            <w:r>
              <w:rPr>
                <w:sz w:val="24"/>
              </w:rPr>
              <w:t>（3）负责场区营运期环境监测工作，及时掌握项目污染状况，整理监测数据，建立污染源档案；</w:t>
            </w:r>
          </w:p>
          <w:p>
            <w:pPr>
              <w:spacing w:after="0" w:line="360" w:lineRule="auto"/>
              <w:ind w:firstLine="480" w:firstLineChars="200"/>
              <w:rPr>
                <w:sz w:val="24"/>
              </w:rPr>
            </w:pPr>
            <w:r>
              <w:rPr>
                <w:sz w:val="24"/>
              </w:rPr>
              <w:t>（4）严格执行国家及地方有关活动的法律法规，规范各种安全措施，以保证能正常安全地生产。</w:t>
            </w:r>
          </w:p>
          <w:p>
            <w:pPr>
              <w:spacing w:after="0" w:line="360" w:lineRule="auto"/>
              <w:ind w:firstLine="480" w:firstLineChars="200"/>
              <w:rPr>
                <w:sz w:val="24"/>
              </w:rPr>
            </w:pPr>
            <w:r>
              <w:rPr>
                <w:sz w:val="24"/>
              </w:rPr>
              <w:t>2、环境监测</w:t>
            </w:r>
          </w:p>
          <w:p>
            <w:pPr>
              <w:spacing w:after="0" w:line="360" w:lineRule="auto"/>
              <w:ind w:firstLine="480" w:firstLineChars="200"/>
              <w:rPr>
                <w:sz w:val="24"/>
              </w:rPr>
            </w:pPr>
            <w:r>
              <w:rPr>
                <w:sz w:val="24"/>
              </w:rPr>
              <w:t>环境监测的目的主要是及时了解本企业污染源排放状况、环保设施运转状况及本企业对厂区周边大气、水、声环境影响情况，为企业环境管理提供依据。</w:t>
            </w:r>
            <w:r>
              <w:rPr>
                <w:color w:val="000000"/>
                <w:sz w:val="24"/>
              </w:rPr>
              <w:t>根据项目污染物排放特征及《排污单位自行监测技术指南 总则》（HJ 819-2017），</w:t>
            </w:r>
            <w:r>
              <w:rPr>
                <w:sz w:val="24"/>
              </w:rPr>
              <w:t>拟定的监测计划列于下表。</w:t>
            </w:r>
          </w:p>
          <w:p>
            <w:pPr>
              <w:spacing w:after="0" w:line="360" w:lineRule="auto"/>
              <w:ind w:firstLine="480" w:firstLineChars="200"/>
              <w:rPr>
                <w:color w:val="FF0000"/>
                <w:sz w:val="24"/>
              </w:rPr>
            </w:pPr>
            <w:r>
              <w:rPr>
                <w:sz w:val="24"/>
              </w:rPr>
              <w:t>营运期环境监测计划详见下表。</w:t>
            </w:r>
          </w:p>
          <w:p>
            <w:pPr>
              <w:spacing w:after="0" w:line="360" w:lineRule="auto"/>
              <w:jc w:val="center"/>
              <w:rPr>
                <w:b/>
                <w:bCs/>
                <w:sz w:val="24"/>
                <w:u w:val="wave"/>
              </w:rPr>
            </w:pPr>
            <w:r>
              <w:rPr>
                <w:b/>
                <w:bCs/>
                <w:sz w:val="24"/>
                <w:u w:val="wave"/>
              </w:rPr>
              <w:t>表7-14  营运期环境监测计划一览表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6"/>
              <w:gridCol w:w="932"/>
              <w:gridCol w:w="2151"/>
              <w:gridCol w:w="2235"/>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06" w:type="dxa"/>
                  <w:noWrap/>
                  <w:vAlign w:val="center"/>
                </w:tcPr>
                <w:p>
                  <w:pPr>
                    <w:spacing w:after="0"/>
                    <w:jc w:val="center"/>
                    <w:rPr>
                      <w:szCs w:val="21"/>
                      <w:u w:val="wave"/>
                    </w:rPr>
                  </w:pPr>
                  <w:r>
                    <w:rPr>
                      <w:szCs w:val="21"/>
                      <w:u w:val="wave"/>
                    </w:rPr>
                    <w:t>监测计划</w:t>
                  </w:r>
                </w:p>
              </w:tc>
              <w:tc>
                <w:tcPr>
                  <w:tcW w:w="932" w:type="dxa"/>
                  <w:noWrap/>
                  <w:vAlign w:val="center"/>
                </w:tcPr>
                <w:p>
                  <w:pPr>
                    <w:spacing w:after="0"/>
                    <w:jc w:val="center"/>
                    <w:rPr>
                      <w:szCs w:val="21"/>
                      <w:u w:val="wave"/>
                    </w:rPr>
                  </w:pPr>
                  <w:r>
                    <w:rPr>
                      <w:szCs w:val="21"/>
                      <w:u w:val="wave"/>
                    </w:rPr>
                    <w:t>项目</w:t>
                  </w:r>
                </w:p>
              </w:tc>
              <w:tc>
                <w:tcPr>
                  <w:tcW w:w="2151" w:type="dxa"/>
                  <w:noWrap/>
                  <w:vAlign w:val="center"/>
                </w:tcPr>
                <w:p>
                  <w:pPr>
                    <w:spacing w:after="0"/>
                    <w:jc w:val="center"/>
                    <w:rPr>
                      <w:szCs w:val="21"/>
                      <w:u w:val="wave"/>
                    </w:rPr>
                  </w:pPr>
                  <w:r>
                    <w:rPr>
                      <w:szCs w:val="21"/>
                      <w:u w:val="wave"/>
                    </w:rPr>
                    <w:t>监测点位</w:t>
                  </w:r>
                </w:p>
              </w:tc>
              <w:tc>
                <w:tcPr>
                  <w:tcW w:w="2235" w:type="dxa"/>
                  <w:noWrap/>
                  <w:vAlign w:val="center"/>
                </w:tcPr>
                <w:p>
                  <w:pPr>
                    <w:spacing w:after="0"/>
                    <w:jc w:val="center"/>
                    <w:rPr>
                      <w:szCs w:val="21"/>
                      <w:u w:val="wave"/>
                    </w:rPr>
                  </w:pPr>
                  <w:r>
                    <w:rPr>
                      <w:szCs w:val="21"/>
                      <w:u w:val="wave"/>
                    </w:rPr>
                    <w:t>监测指标</w:t>
                  </w:r>
                </w:p>
              </w:tc>
              <w:tc>
                <w:tcPr>
                  <w:tcW w:w="2557" w:type="dxa"/>
                  <w:noWrap/>
                  <w:vAlign w:val="center"/>
                </w:tcPr>
                <w:p>
                  <w:pPr>
                    <w:spacing w:after="0"/>
                    <w:jc w:val="center"/>
                    <w:rPr>
                      <w:szCs w:val="21"/>
                      <w:u w:val="wave"/>
                    </w:rPr>
                  </w:pPr>
                  <w:r>
                    <w:rPr>
                      <w:szCs w:val="21"/>
                      <w:u w:val="wave"/>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006" w:type="dxa"/>
                  <w:vMerge w:val="restart"/>
                  <w:noWrap/>
                  <w:vAlign w:val="center"/>
                </w:tcPr>
                <w:p>
                  <w:pPr>
                    <w:spacing w:after="0"/>
                    <w:jc w:val="center"/>
                    <w:rPr>
                      <w:szCs w:val="21"/>
                      <w:u w:val="wave"/>
                    </w:rPr>
                  </w:pPr>
                  <w:r>
                    <w:rPr>
                      <w:szCs w:val="21"/>
                      <w:u w:val="wave"/>
                    </w:rPr>
                    <w:t>污染源监测计划</w:t>
                  </w:r>
                </w:p>
              </w:tc>
              <w:tc>
                <w:tcPr>
                  <w:tcW w:w="932" w:type="dxa"/>
                  <w:vMerge w:val="restart"/>
                  <w:noWrap/>
                  <w:vAlign w:val="center"/>
                </w:tcPr>
                <w:p>
                  <w:pPr>
                    <w:spacing w:after="0"/>
                    <w:jc w:val="center"/>
                    <w:rPr>
                      <w:szCs w:val="21"/>
                      <w:u w:val="wave"/>
                    </w:rPr>
                  </w:pPr>
                  <w:r>
                    <w:rPr>
                      <w:szCs w:val="21"/>
                      <w:u w:val="wave"/>
                    </w:rPr>
                    <w:t>废气</w:t>
                  </w:r>
                </w:p>
              </w:tc>
              <w:tc>
                <w:tcPr>
                  <w:tcW w:w="2151" w:type="dxa"/>
                  <w:noWrap/>
                  <w:vAlign w:val="center"/>
                </w:tcPr>
                <w:p>
                  <w:pPr>
                    <w:spacing w:after="0"/>
                    <w:jc w:val="center"/>
                    <w:rPr>
                      <w:szCs w:val="21"/>
                      <w:u w:val="wave"/>
                    </w:rPr>
                  </w:pPr>
                  <w:r>
                    <w:rPr>
                      <w:rFonts w:hint="eastAsia"/>
                      <w:szCs w:val="21"/>
                      <w:u w:val="wave"/>
                    </w:rPr>
                    <w:t>各个筒仓</w:t>
                  </w:r>
                  <w:r>
                    <w:rPr>
                      <w:szCs w:val="21"/>
                      <w:u w:val="wave"/>
                    </w:rPr>
                    <w:t>排气筒取样口</w:t>
                  </w:r>
                </w:p>
              </w:tc>
              <w:tc>
                <w:tcPr>
                  <w:tcW w:w="2235" w:type="dxa"/>
                  <w:noWrap/>
                  <w:vAlign w:val="center"/>
                </w:tcPr>
                <w:p>
                  <w:pPr>
                    <w:spacing w:after="0"/>
                    <w:jc w:val="center"/>
                    <w:rPr>
                      <w:szCs w:val="21"/>
                      <w:u w:val="wave"/>
                    </w:rPr>
                  </w:pPr>
                  <w:r>
                    <w:rPr>
                      <w:szCs w:val="21"/>
                      <w:u w:val="wave"/>
                    </w:rPr>
                    <w:t>颗粒物</w:t>
                  </w:r>
                </w:p>
              </w:tc>
              <w:tc>
                <w:tcPr>
                  <w:tcW w:w="2557" w:type="dxa"/>
                  <w:noWrap/>
                  <w:vAlign w:val="center"/>
                </w:tcPr>
                <w:p>
                  <w:pPr>
                    <w:spacing w:after="0"/>
                    <w:jc w:val="center"/>
                    <w:rPr>
                      <w:szCs w:val="21"/>
                      <w:u w:val="wave"/>
                    </w:rPr>
                  </w:pPr>
                  <w:r>
                    <w:rPr>
                      <w:szCs w:val="21"/>
                      <w:u w:val="wav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006" w:type="dxa"/>
                  <w:vMerge w:val="continue"/>
                  <w:noWrap/>
                  <w:vAlign w:val="center"/>
                </w:tcPr>
                <w:p>
                  <w:pPr>
                    <w:spacing w:after="0"/>
                    <w:jc w:val="center"/>
                    <w:rPr>
                      <w:szCs w:val="21"/>
                      <w:u w:val="wave"/>
                    </w:rPr>
                  </w:pPr>
                </w:p>
              </w:tc>
              <w:tc>
                <w:tcPr>
                  <w:tcW w:w="932" w:type="dxa"/>
                  <w:vMerge w:val="continue"/>
                  <w:noWrap/>
                  <w:vAlign w:val="center"/>
                </w:tcPr>
                <w:p>
                  <w:pPr>
                    <w:spacing w:after="0"/>
                    <w:jc w:val="center"/>
                    <w:rPr>
                      <w:szCs w:val="21"/>
                      <w:u w:val="wave"/>
                    </w:rPr>
                  </w:pPr>
                </w:p>
              </w:tc>
              <w:tc>
                <w:tcPr>
                  <w:tcW w:w="2151" w:type="dxa"/>
                  <w:noWrap/>
                  <w:vAlign w:val="center"/>
                </w:tcPr>
                <w:p>
                  <w:pPr>
                    <w:spacing w:after="0"/>
                    <w:jc w:val="center"/>
                    <w:rPr>
                      <w:szCs w:val="21"/>
                      <w:u w:val="wave"/>
                    </w:rPr>
                  </w:pPr>
                  <w:r>
                    <w:rPr>
                      <w:rFonts w:hint="eastAsia"/>
                      <w:szCs w:val="21"/>
                      <w:u w:val="wave"/>
                    </w:rPr>
                    <w:t>搅拌机</w:t>
                  </w:r>
                  <w:r>
                    <w:rPr>
                      <w:szCs w:val="21"/>
                      <w:u w:val="wave"/>
                    </w:rPr>
                    <w:t>排气筒取样口</w:t>
                  </w:r>
                </w:p>
              </w:tc>
              <w:tc>
                <w:tcPr>
                  <w:tcW w:w="2235" w:type="dxa"/>
                  <w:noWrap/>
                  <w:vAlign w:val="center"/>
                </w:tcPr>
                <w:p>
                  <w:pPr>
                    <w:spacing w:after="0"/>
                    <w:jc w:val="center"/>
                    <w:rPr>
                      <w:szCs w:val="21"/>
                      <w:u w:val="wave"/>
                    </w:rPr>
                  </w:pPr>
                  <w:r>
                    <w:rPr>
                      <w:szCs w:val="21"/>
                      <w:u w:val="wave"/>
                    </w:rPr>
                    <w:t>颗粒物</w:t>
                  </w:r>
                </w:p>
              </w:tc>
              <w:tc>
                <w:tcPr>
                  <w:tcW w:w="2557" w:type="dxa"/>
                  <w:noWrap/>
                  <w:vAlign w:val="center"/>
                </w:tcPr>
                <w:p>
                  <w:pPr>
                    <w:spacing w:after="0"/>
                    <w:jc w:val="center"/>
                    <w:rPr>
                      <w:szCs w:val="21"/>
                      <w:u w:val="wave"/>
                    </w:rPr>
                  </w:pPr>
                  <w:r>
                    <w:rPr>
                      <w:szCs w:val="21"/>
                      <w:u w:val="wav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06" w:type="dxa"/>
                  <w:vMerge w:val="continue"/>
                  <w:noWrap/>
                  <w:vAlign w:val="center"/>
                </w:tcPr>
                <w:p>
                  <w:pPr>
                    <w:spacing w:after="0"/>
                    <w:jc w:val="center"/>
                    <w:rPr>
                      <w:u w:val="wave"/>
                    </w:rPr>
                  </w:pPr>
                </w:p>
              </w:tc>
              <w:tc>
                <w:tcPr>
                  <w:tcW w:w="932" w:type="dxa"/>
                  <w:vMerge w:val="continue"/>
                  <w:noWrap/>
                  <w:vAlign w:val="center"/>
                </w:tcPr>
                <w:p>
                  <w:pPr>
                    <w:spacing w:after="0"/>
                    <w:jc w:val="center"/>
                    <w:rPr>
                      <w:u w:val="wave"/>
                    </w:rPr>
                  </w:pPr>
                </w:p>
              </w:tc>
              <w:tc>
                <w:tcPr>
                  <w:tcW w:w="2151" w:type="dxa"/>
                  <w:noWrap/>
                  <w:vAlign w:val="center"/>
                </w:tcPr>
                <w:p>
                  <w:pPr>
                    <w:spacing w:after="0"/>
                    <w:jc w:val="center"/>
                    <w:rPr>
                      <w:szCs w:val="21"/>
                      <w:u w:val="wave"/>
                    </w:rPr>
                  </w:pPr>
                  <w:r>
                    <w:rPr>
                      <w:szCs w:val="21"/>
                      <w:u w:val="wave"/>
                    </w:rPr>
                    <w:t>厂界外无组织废气</w:t>
                  </w:r>
                </w:p>
              </w:tc>
              <w:tc>
                <w:tcPr>
                  <w:tcW w:w="2235" w:type="dxa"/>
                  <w:noWrap/>
                  <w:vAlign w:val="center"/>
                </w:tcPr>
                <w:p>
                  <w:pPr>
                    <w:spacing w:after="0"/>
                    <w:jc w:val="center"/>
                    <w:rPr>
                      <w:szCs w:val="21"/>
                      <w:u w:val="wave"/>
                    </w:rPr>
                  </w:pPr>
                  <w:r>
                    <w:rPr>
                      <w:szCs w:val="21"/>
                      <w:u w:val="wave"/>
                    </w:rPr>
                    <w:t>颗粒物</w:t>
                  </w:r>
                </w:p>
              </w:tc>
              <w:tc>
                <w:tcPr>
                  <w:tcW w:w="2557" w:type="dxa"/>
                  <w:noWrap/>
                  <w:vAlign w:val="center"/>
                </w:tcPr>
                <w:p>
                  <w:pPr>
                    <w:spacing w:after="0"/>
                    <w:jc w:val="center"/>
                    <w:rPr>
                      <w:szCs w:val="21"/>
                      <w:u w:val="wave"/>
                    </w:rPr>
                  </w:pPr>
                  <w:r>
                    <w:rPr>
                      <w:szCs w:val="21"/>
                      <w:u w:val="wav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06" w:type="dxa"/>
                  <w:vMerge w:val="continue"/>
                  <w:noWrap/>
                  <w:vAlign w:val="center"/>
                </w:tcPr>
                <w:p>
                  <w:pPr>
                    <w:spacing w:after="0"/>
                    <w:jc w:val="center"/>
                    <w:rPr>
                      <w:szCs w:val="21"/>
                      <w:u w:val="wave"/>
                    </w:rPr>
                  </w:pPr>
                </w:p>
              </w:tc>
              <w:tc>
                <w:tcPr>
                  <w:tcW w:w="932" w:type="dxa"/>
                  <w:noWrap/>
                  <w:vAlign w:val="center"/>
                </w:tcPr>
                <w:p>
                  <w:pPr>
                    <w:spacing w:after="0"/>
                    <w:jc w:val="center"/>
                    <w:rPr>
                      <w:szCs w:val="21"/>
                      <w:u w:val="wave"/>
                    </w:rPr>
                  </w:pPr>
                  <w:r>
                    <w:rPr>
                      <w:szCs w:val="21"/>
                      <w:u w:val="wave"/>
                    </w:rPr>
                    <w:t>噪声</w:t>
                  </w:r>
                </w:p>
              </w:tc>
              <w:tc>
                <w:tcPr>
                  <w:tcW w:w="2151" w:type="dxa"/>
                  <w:noWrap/>
                  <w:vAlign w:val="center"/>
                </w:tcPr>
                <w:p>
                  <w:pPr>
                    <w:spacing w:after="0"/>
                    <w:jc w:val="center"/>
                    <w:rPr>
                      <w:szCs w:val="21"/>
                      <w:u w:val="wave"/>
                    </w:rPr>
                  </w:pPr>
                  <w:r>
                    <w:rPr>
                      <w:szCs w:val="21"/>
                      <w:u w:val="wave"/>
                    </w:rPr>
                    <w:t>厂界外1m处</w:t>
                  </w:r>
                </w:p>
              </w:tc>
              <w:tc>
                <w:tcPr>
                  <w:tcW w:w="2235" w:type="dxa"/>
                  <w:noWrap/>
                  <w:vAlign w:val="center"/>
                </w:tcPr>
                <w:p>
                  <w:pPr>
                    <w:spacing w:after="0"/>
                    <w:jc w:val="center"/>
                    <w:rPr>
                      <w:szCs w:val="21"/>
                      <w:u w:val="wave"/>
                    </w:rPr>
                  </w:pPr>
                  <w:r>
                    <w:rPr>
                      <w:szCs w:val="21"/>
                      <w:u w:val="wave"/>
                    </w:rPr>
                    <w:t>厂界噪声</w:t>
                  </w:r>
                </w:p>
              </w:tc>
              <w:tc>
                <w:tcPr>
                  <w:tcW w:w="2557" w:type="dxa"/>
                  <w:noWrap/>
                  <w:vAlign w:val="center"/>
                </w:tcPr>
                <w:p>
                  <w:pPr>
                    <w:spacing w:after="0"/>
                    <w:jc w:val="center"/>
                    <w:rPr>
                      <w:szCs w:val="21"/>
                      <w:u w:val="wave"/>
                    </w:rPr>
                  </w:pPr>
                  <w:r>
                    <w:rPr>
                      <w:szCs w:val="21"/>
                      <w:u w:val="wave"/>
                    </w:rPr>
                    <w:t>每季度一次</w:t>
                  </w:r>
                </w:p>
              </w:tc>
            </w:tr>
          </w:tbl>
          <w:p>
            <w:pPr>
              <w:pStyle w:val="17"/>
              <w:widowControl w:val="0"/>
              <w:autoSpaceDE w:val="0"/>
              <w:autoSpaceDN w:val="0"/>
              <w:adjustRightInd w:val="0"/>
              <w:spacing w:before="0" w:beforeAutospacing="0" w:after="0" w:afterAutospacing="0" w:line="360" w:lineRule="auto"/>
              <w:rPr>
                <w:rFonts w:ascii="Times New Roman" w:hAnsi="Times New Roman" w:cs="Times New Roman"/>
                <w:b/>
                <w:kern w:val="2"/>
              </w:rPr>
            </w:pPr>
            <w:r>
              <w:rPr>
                <w:rFonts w:ascii="Times New Roman" w:hAnsi="Times New Roman" w:cs="Times New Roman"/>
                <w:b/>
                <w:color w:val="auto"/>
                <w:kern w:val="2"/>
              </w:rPr>
              <w:t>十</w:t>
            </w:r>
            <w:r>
              <w:rPr>
                <w:rFonts w:hint="eastAsia" w:ascii="Times New Roman" w:hAnsi="Times New Roman" w:cs="Times New Roman"/>
                <w:b/>
                <w:color w:val="auto"/>
                <w:kern w:val="2"/>
              </w:rPr>
              <w:t>五</w:t>
            </w:r>
            <w:r>
              <w:rPr>
                <w:rFonts w:ascii="Times New Roman" w:hAnsi="Times New Roman" w:cs="Times New Roman"/>
                <w:b/>
                <w:color w:val="auto"/>
                <w:kern w:val="2"/>
              </w:rPr>
              <w:t>、</w:t>
            </w:r>
            <w:r>
              <w:rPr>
                <w:rFonts w:ascii="Times New Roman" w:hAnsi="Times New Roman" w:cs="Times New Roman"/>
                <w:b/>
                <w:kern w:val="2"/>
              </w:rPr>
              <w:t>环保投资</w:t>
            </w:r>
          </w:p>
          <w:p>
            <w:pPr>
              <w:adjustRightInd w:val="0"/>
              <w:snapToGrid w:val="0"/>
              <w:spacing w:after="0" w:line="360" w:lineRule="auto"/>
              <w:ind w:firstLine="480" w:firstLineChars="200"/>
              <w:rPr>
                <w:u w:val="wave"/>
                <w:lang w:bidi="ar"/>
              </w:rPr>
            </w:pPr>
            <w:r>
              <w:rPr>
                <w:sz w:val="24"/>
                <w:u w:val="wave"/>
              </w:rPr>
              <w:t>项目总投资2500元，其中环保投资为</w:t>
            </w:r>
            <w:r>
              <w:rPr>
                <w:rFonts w:hint="eastAsia"/>
                <w:sz w:val="24"/>
                <w:u w:val="wave"/>
              </w:rPr>
              <w:t>11</w:t>
            </w:r>
            <w:r>
              <w:rPr>
                <w:sz w:val="24"/>
                <w:u w:val="wave"/>
              </w:rPr>
              <w:t>2.1万元，所占比例为</w:t>
            </w:r>
            <w:r>
              <w:rPr>
                <w:rFonts w:hint="eastAsia"/>
                <w:sz w:val="24"/>
                <w:u w:val="wave"/>
              </w:rPr>
              <w:t>4.5</w:t>
            </w:r>
            <w:r>
              <w:rPr>
                <w:sz w:val="24"/>
                <w:u w:val="wave"/>
              </w:rPr>
              <w:t>%。环保投资估算表见下表。</w:t>
            </w:r>
          </w:p>
          <w:p>
            <w:pPr>
              <w:pStyle w:val="17"/>
              <w:widowControl w:val="0"/>
              <w:autoSpaceDE w:val="0"/>
              <w:autoSpaceDN w:val="0"/>
              <w:adjustRightInd w:val="0"/>
              <w:spacing w:before="0" w:beforeAutospacing="0" w:after="0" w:afterAutospacing="0" w:line="360" w:lineRule="auto"/>
              <w:jc w:val="center"/>
              <w:rPr>
                <w:rFonts w:ascii="Times New Roman" w:hAnsi="Times New Roman" w:cs="Times New Roman"/>
                <w:b/>
                <w:color w:val="auto"/>
                <w:u w:val="wave"/>
                <w:lang w:bidi="ar"/>
              </w:rPr>
            </w:pPr>
            <w:r>
              <w:rPr>
                <w:rFonts w:ascii="Times New Roman" w:hAnsi="Times New Roman" w:cs="Times New Roman"/>
                <w:b/>
                <w:color w:val="auto"/>
                <w:u w:val="wave"/>
                <w:lang w:bidi="ar"/>
              </w:rPr>
              <w:t>表7-15  项目环保投资预算一览表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158"/>
              <w:gridCol w:w="1762"/>
              <w:gridCol w:w="3569"/>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23" w:type="pct"/>
                  <w:gridSpan w:val="2"/>
                  <w:vAlign w:val="center"/>
                </w:tcPr>
                <w:p>
                  <w:pPr>
                    <w:adjustRightInd w:val="0"/>
                    <w:snapToGrid w:val="0"/>
                    <w:spacing w:after="0" w:line="240" w:lineRule="auto"/>
                    <w:jc w:val="center"/>
                    <w:rPr>
                      <w:szCs w:val="21"/>
                      <w:u w:val="wave"/>
                    </w:rPr>
                  </w:pPr>
                  <w:r>
                    <w:rPr>
                      <w:szCs w:val="21"/>
                      <w:u w:val="wave"/>
                    </w:rPr>
                    <w:t>项目</w:t>
                  </w:r>
                </w:p>
              </w:tc>
              <w:tc>
                <w:tcPr>
                  <w:tcW w:w="972" w:type="pct"/>
                  <w:vAlign w:val="center"/>
                </w:tcPr>
                <w:p>
                  <w:pPr>
                    <w:adjustRightInd w:val="0"/>
                    <w:snapToGrid w:val="0"/>
                    <w:spacing w:after="0" w:line="240" w:lineRule="auto"/>
                    <w:jc w:val="center"/>
                    <w:rPr>
                      <w:szCs w:val="21"/>
                      <w:u w:val="wave"/>
                    </w:rPr>
                  </w:pPr>
                  <w:r>
                    <w:rPr>
                      <w:szCs w:val="21"/>
                      <w:u w:val="wave"/>
                    </w:rPr>
                    <w:t>污染源</w:t>
                  </w:r>
                </w:p>
              </w:tc>
              <w:tc>
                <w:tcPr>
                  <w:tcW w:w="1969" w:type="pct"/>
                  <w:vAlign w:val="center"/>
                </w:tcPr>
                <w:p>
                  <w:pPr>
                    <w:adjustRightInd w:val="0"/>
                    <w:snapToGrid w:val="0"/>
                    <w:spacing w:after="0" w:line="240" w:lineRule="auto"/>
                    <w:jc w:val="center"/>
                    <w:rPr>
                      <w:szCs w:val="21"/>
                      <w:u w:val="wave"/>
                    </w:rPr>
                  </w:pPr>
                  <w:r>
                    <w:rPr>
                      <w:szCs w:val="21"/>
                      <w:u w:val="wave"/>
                    </w:rPr>
                    <w:t>污染处理措施</w:t>
                  </w:r>
                </w:p>
              </w:tc>
              <w:tc>
                <w:tcPr>
                  <w:tcW w:w="935" w:type="pct"/>
                  <w:vAlign w:val="center"/>
                </w:tcPr>
                <w:p>
                  <w:pPr>
                    <w:adjustRightInd w:val="0"/>
                    <w:snapToGrid w:val="0"/>
                    <w:spacing w:after="0" w:line="240" w:lineRule="auto"/>
                    <w:jc w:val="center"/>
                    <w:rPr>
                      <w:szCs w:val="21"/>
                      <w:u w:val="wave"/>
                    </w:rPr>
                  </w:pPr>
                  <w:r>
                    <w:rPr>
                      <w:szCs w:val="21"/>
                      <w:u w:val="wave"/>
                    </w:rPr>
                    <w:t>估算投资额</w:t>
                  </w:r>
                </w:p>
                <w:p>
                  <w:pPr>
                    <w:adjustRightInd w:val="0"/>
                    <w:snapToGrid w:val="0"/>
                    <w:spacing w:after="0" w:line="240" w:lineRule="auto"/>
                    <w:jc w:val="center"/>
                    <w:rPr>
                      <w:szCs w:val="21"/>
                      <w:u w:val="wave"/>
                    </w:rPr>
                  </w:pPr>
                  <w:r>
                    <w:rPr>
                      <w:szCs w:val="21"/>
                      <w:u w:val="wav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pct"/>
                  <w:vMerge w:val="restart"/>
                  <w:vAlign w:val="center"/>
                </w:tcPr>
                <w:p>
                  <w:pPr>
                    <w:adjustRightInd w:val="0"/>
                    <w:snapToGrid w:val="0"/>
                    <w:spacing w:line="240" w:lineRule="auto"/>
                    <w:jc w:val="center"/>
                    <w:rPr>
                      <w:szCs w:val="21"/>
                      <w:u w:val="wave"/>
                    </w:rPr>
                  </w:pPr>
                  <w:r>
                    <w:rPr>
                      <w:szCs w:val="21"/>
                      <w:u w:val="wave"/>
                    </w:rPr>
                    <w:t>营运期</w:t>
                  </w:r>
                </w:p>
              </w:tc>
              <w:tc>
                <w:tcPr>
                  <w:tcW w:w="638" w:type="pct"/>
                  <w:vMerge w:val="restart"/>
                  <w:vAlign w:val="center"/>
                </w:tcPr>
                <w:p>
                  <w:pPr>
                    <w:widowControl/>
                    <w:spacing w:line="240" w:lineRule="auto"/>
                    <w:jc w:val="center"/>
                    <w:rPr>
                      <w:szCs w:val="21"/>
                      <w:u w:val="wave"/>
                    </w:rPr>
                  </w:pPr>
                  <w:r>
                    <w:rPr>
                      <w:szCs w:val="21"/>
                      <w:u w:val="wave"/>
                    </w:rPr>
                    <w:t>废气处理</w:t>
                  </w:r>
                </w:p>
              </w:tc>
              <w:tc>
                <w:tcPr>
                  <w:tcW w:w="972" w:type="pct"/>
                  <w:vAlign w:val="center"/>
                </w:tcPr>
                <w:p>
                  <w:pPr>
                    <w:widowControl/>
                    <w:spacing w:line="240" w:lineRule="auto"/>
                    <w:jc w:val="center"/>
                    <w:rPr>
                      <w:szCs w:val="21"/>
                      <w:u w:val="wave"/>
                    </w:rPr>
                  </w:pPr>
                  <w:r>
                    <w:rPr>
                      <w:szCs w:val="21"/>
                      <w:u w:val="wave"/>
                    </w:rPr>
                    <w:t>混凝土生产搅拌区</w:t>
                  </w:r>
                </w:p>
              </w:tc>
              <w:tc>
                <w:tcPr>
                  <w:tcW w:w="1969" w:type="pct"/>
                  <w:vAlign w:val="center"/>
                </w:tcPr>
                <w:p>
                  <w:pPr>
                    <w:widowControl/>
                    <w:spacing w:line="240" w:lineRule="auto"/>
                    <w:jc w:val="center"/>
                    <w:rPr>
                      <w:szCs w:val="21"/>
                      <w:u w:val="wave"/>
                    </w:rPr>
                  </w:pPr>
                  <w:r>
                    <w:rPr>
                      <w:szCs w:val="21"/>
                      <w:u w:val="wave"/>
                    </w:rPr>
                    <w:t>水泥筒仓、粉煤灰筒仓、搅拌机各设1套脉冲除尘器（共15套）+15根25m高排气筒；移动式喷水雾化器</w:t>
                  </w:r>
                </w:p>
              </w:tc>
              <w:tc>
                <w:tcPr>
                  <w:tcW w:w="935" w:type="pct"/>
                  <w:vAlign w:val="center"/>
                </w:tcPr>
                <w:p>
                  <w:pPr>
                    <w:widowControl/>
                    <w:spacing w:line="240" w:lineRule="auto"/>
                    <w:jc w:val="center"/>
                    <w:rPr>
                      <w:szCs w:val="21"/>
                      <w:u w:val="wave"/>
                    </w:rPr>
                  </w:pPr>
                  <w:r>
                    <w:rPr>
                      <w:szCs w:val="21"/>
                      <w:u w:val="wav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pct"/>
                  <w:vMerge w:val="continue"/>
                  <w:vAlign w:val="center"/>
                </w:tcPr>
                <w:p>
                  <w:pPr>
                    <w:adjustRightInd w:val="0"/>
                    <w:snapToGrid w:val="0"/>
                    <w:spacing w:after="0" w:line="240" w:lineRule="auto"/>
                    <w:jc w:val="center"/>
                    <w:rPr>
                      <w:szCs w:val="21"/>
                      <w:u w:val="wave"/>
                    </w:rPr>
                  </w:pPr>
                </w:p>
              </w:tc>
              <w:tc>
                <w:tcPr>
                  <w:tcW w:w="638" w:type="pct"/>
                  <w:vMerge w:val="continue"/>
                  <w:vAlign w:val="center"/>
                </w:tcPr>
                <w:p>
                  <w:pPr>
                    <w:widowControl/>
                    <w:spacing w:after="0" w:line="240" w:lineRule="auto"/>
                    <w:jc w:val="center"/>
                    <w:rPr>
                      <w:szCs w:val="21"/>
                      <w:u w:val="wave"/>
                    </w:rPr>
                  </w:pPr>
                </w:p>
              </w:tc>
              <w:tc>
                <w:tcPr>
                  <w:tcW w:w="972" w:type="pct"/>
                  <w:vAlign w:val="center"/>
                </w:tcPr>
                <w:p>
                  <w:pPr>
                    <w:widowControl/>
                    <w:spacing w:line="240" w:lineRule="auto"/>
                    <w:jc w:val="center"/>
                    <w:rPr>
                      <w:szCs w:val="21"/>
                      <w:u w:val="wave"/>
                    </w:rPr>
                  </w:pPr>
                  <w:r>
                    <w:rPr>
                      <w:szCs w:val="21"/>
                      <w:u w:val="wave"/>
                    </w:rPr>
                    <w:t>原料堆场</w:t>
                  </w:r>
                </w:p>
              </w:tc>
              <w:tc>
                <w:tcPr>
                  <w:tcW w:w="1969" w:type="pct"/>
                  <w:vAlign w:val="center"/>
                </w:tcPr>
                <w:p>
                  <w:pPr>
                    <w:widowControl/>
                    <w:spacing w:line="240" w:lineRule="auto"/>
                    <w:jc w:val="center"/>
                    <w:rPr>
                      <w:szCs w:val="21"/>
                      <w:u w:val="wave"/>
                    </w:rPr>
                  </w:pPr>
                  <w:r>
                    <w:rPr>
                      <w:szCs w:val="21"/>
                      <w:u w:val="wave"/>
                    </w:rPr>
                    <w:t>地面硬化、喷水雾化器</w:t>
                  </w:r>
                </w:p>
              </w:tc>
              <w:tc>
                <w:tcPr>
                  <w:tcW w:w="935" w:type="pct"/>
                  <w:vAlign w:val="center"/>
                </w:tcPr>
                <w:p>
                  <w:pPr>
                    <w:widowControl/>
                    <w:spacing w:line="240" w:lineRule="auto"/>
                    <w:jc w:val="center"/>
                    <w:rPr>
                      <w:szCs w:val="21"/>
                      <w:u w:val="wave"/>
                    </w:rPr>
                  </w:pPr>
                  <w:r>
                    <w:rPr>
                      <w:szCs w:val="21"/>
                      <w:u w:val="wav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pct"/>
                  <w:vMerge w:val="continue"/>
                  <w:vAlign w:val="center"/>
                </w:tcPr>
                <w:p>
                  <w:pPr>
                    <w:adjustRightInd w:val="0"/>
                    <w:snapToGrid w:val="0"/>
                    <w:spacing w:after="0" w:line="240" w:lineRule="auto"/>
                    <w:jc w:val="center"/>
                    <w:rPr>
                      <w:szCs w:val="21"/>
                      <w:u w:val="wave"/>
                    </w:rPr>
                  </w:pPr>
                </w:p>
              </w:tc>
              <w:tc>
                <w:tcPr>
                  <w:tcW w:w="638" w:type="pct"/>
                  <w:vMerge w:val="continue"/>
                  <w:vAlign w:val="center"/>
                </w:tcPr>
                <w:p>
                  <w:pPr>
                    <w:adjustRightInd w:val="0"/>
                    <w:snapToGrid w:val="0"/>
                    <w:spacing w:after="0" w:line="240" w:lineRule="auto"/>
                    <w:jc w:val="center"/>
                    <w:rPr>
                      <w:szCs w:val="21"/>
                      <w:u w:val="wave"/>
                    </w:rPr>
                  </w:pPr>
                </w:p>
              </w:tc>
              <w:tc>
                <w:tcPr>
                  <w:tcW w:w="972" w:type="pct"/>
                  <w:vAlign w:val="center"/>
                </w:tcPr>
                <w:p>
                  <w:pPr>
                    <w:adjustRightInd w:val="0"/>
                    <w:snapToGrid w:val="0"/>
                    <w:spacing w:line="240" w:lineRule="auto"/>
                    <w:jc w:val="center"/>
                    <w:rPr>
                      <w:szCs w:val="21"/>
                      <w:u w:val="wave"/>
                    </w:rPr>
                  </w:pPr>
                  <w:r>
                    <w:rPr>
                      <w:szCs w:val="21"/>
                      <w:u w:val="wave"/>
                    </w:rPr>
                    <w:t>运输扬尘</w:t>
                  </w:r>
                </w:p>
              </w:tc>
              <w:tc>
                <w:tcPr>
                  <w:tcW w:w="1969" w:type="pct"/>
                  <w:vAlign w:val="center"/>
                </w:tcPr>
                <w:p>
                  <w:pPr>
                    <w:adjustRightInd w:val="0"/>
                    <w:snapToGrid w:val="0"/>
                    <w:spacing w:line="240" w:lineRule="auto"/>
                    <w:jc w:val="center"/>
                    <w:rPr>
                      <w:szCs w:val="21"/>
                      <w:u w:val="wave"/>
                    </w:rPr>
                  </w:pPr>
                  <w:r>
                    <w:rPr>
                      <w:szCs w:val="21"/>
                      <w:u w:val="wave"/>
                    </w:rPr>
                    <w:t>洒水降尘</w:t>
                  </w:r>
                </w:p>
              </w:tc>
              <w:tc>
                <w:tcPr>
                  <w:tcW w:w="935" w:type="pct"/>
                  <w:vAlign w:val="center"/>
                </w:tcPr>
                <w:p>
                  <w:pPr>
                    <w:adjustRightInd w:val="0"/>
                    <w:snapToGrid w:val="0"/>
                    <w:spacing w:line="240" w:lineRule="auto"/>
                    <w:jc w:val="center"/>
                    <w:rPr>
                      <w:szCs w:val="21"/>
                      <w:u w:val="wave"/>
                    </w:rPr>
                  </w:pPr>
                  <w:r>
                    <w:rPr>
                      <w:szCs w:val="21"/>
                      <w:u w:val="wav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pct"/>
                  <w:vMerge w:val="continue"/>
                  <w:vAlign w:val="center"/>
                </w:tcPr>
                <w:p>
                  <w:pPr>
                    <w:adjustRightInd w:val="0"/>
                    <w:snapToGrid w:val="0"/>
                    <w:spacing w:after="0" w:line="240" w:lineRule="auto"/>
                    <w:jc w:val="center"/>
                    <w:rPr>
                      <w:szCs w:val="21"/>
                      <w:u w:val="wave"/>
                    </w:rPr>
                  </w:pPr>
                </w:p>
              </w:tc>
              <w:tc>
                <w:tcPr>
                  <w:tcW w:w="638" w:type="pct"/>
                  <w:vMerge w:val="restart"/>
                  <w:vAlign w:val="center"/>
                </w:tcPr>
                <w:p>
                  <w:pPr>
                    <w:adjustRightInd w:val="0"/>
                    <w:snapToGrid w:val="0"/>
                    <w:spacing w:line="240" w:lineRule="auto"/>
                    <w:jc w:val="center"/>
                    <w:rPr>
                      <w:szCs w:val="21"/>
                      <w:u w:val="wave"/>
                    </w:rPr>
                  </w:pPr>
                  <w:r>
                    <w:rPr>
                      <w:szCs w:val="21"/>
                      <w:u w:val="wave"/>
                    </w:rPr>
                    <w:t>水处理</w:t>
                  </w:r>
                </w:p>
              </w:tc>
              <w:tc>
                <w:tcPr>
                  <w:tcW w:w="972" w:type="pct"/>
                  <w:vAlign w:val="center"/>
                </w:tcPr>
                <w:p>
                  <w:pPr>
                    <w:adjustRightInd w:val="0"/>
                    <w:snapToGrid w:val="0"/>
                    <w:spacing w:line="240" w:lineRule="auto"/>
                    <w:jc w:val="center"/>
                    <w:rPr>
                      <w:szCs w:val="21"/>
                      <w:u w:val="wave"/>
                    </w:rPr>
                  </w:pPr>
                  <w:r>
                    <w:rPr>
                      <w:szCs w:val="21"/>
                      <w:u w:val="wave"/>
                    </w:rPr>
                    <w:t>生产废水</w:t>
                  </w:r>
                </w:p>
              </w:tc>
              <w:tc>
                <w:tcPr>
                  <w:tcW w:w="1969" w:type="pct"/>
                  <w:vAlign w:val="center"/>
                </w:tcPr>
                <w:p>
                  <w:pPr>
                    <w:adjustRightInd w:val="0"/>
                    <w:snapToGrid w:val="0"/>
                    <w:spacing w:line="240" w:lineRule="auto"/>
                    <w:jc w:val="center"/>
                    <w:rPr>
                      <w:szCs w:val="21"/>
                      <w:u w:val="wave"/>
                    </w:rPr>
                  </w:pPr>
                  <w:r>
                    <w:rPr>
                      <w:szCs w:val="21"/>
                      <w:u w:val="wave"/>
                    </w:rPr>
                    <w:t xml:space="preserve"> 三级沉淀池</w:t>
                  </w:r>
                </w:p>
              </w:tc>
              <w:tc>
                <w:tcPr>
                  <w:tcW w:w="935" w:type="pct"/>
                  <w:vAlign w:val="center"/>
                </w:tcPr>
                <w:p>
                  <w:pPr>
                    <w:adjustRightInd w:val="0"/>
                    <w:snapToGrid w:val="0"/>
                    <w:spacing w:line="240" w:lineRule="auto"/>
                    <w:jc w:val="center"/>
                    <w:rPr>
                      <w:szCs w:val="21"/>
                      <w:u w:val="wave"/>
                    </w:rPr>
                  </w:pPr>
                  <w:r>
                    <w:rPr>
                      <w:szCs w:val="21"/>
                      <w:u w:val="wav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pct"/>
                  <w:vMerge w:val="continue"/>
                  <w:vAlign w:val="center"/>
                </w:tcPr>
                <w:p>
                  <w:pPr>
                    <w:adjustRightInd w:val="0"/>
                    <w:snapToGrid w:val="0"/>
                    <w:spacing w:after="0" w:line="240" w:lineRule="auto"/>
                    <w:jc w:val="center"/>
                    <w:rPr>
                      <w:szCs w:val="21"/>
                      <w:u w:val="wave"/>
                    </w:rPr>
                  </w:pPr>
                </w:p>
              </w:tc>
              <w:tc>
                <w:tcPr>
                  <w:tcW w:w="638" w:type="pct"/>
                  <w:vMerge w:val="continue"/>
                  <w:vAlign w:val="center"/>
                </w:tcPr>
                <w:p>
                  <w:pPr>
                    <w:adjustRightInd w:val="0"/>
                    <w:snapToGrid w:val="0"/>
                    <w:spacing w:after="0" w:line="240" w:lineRule="auto"/>
                    <w:jc w:val="center"/>
                    <w:rPr>
                      <w:szCs w:val="21"/>
                      <w:u w:val="wave"/>
                    </w:rPr>
                  </w:pPr>
                </w:p>
              </w:tc>
              <w:tc>
                <w:tcPr>
                  <w:tcW w:w="972" w:type="pct"/>
                  <w:vAlign w:val="center"/>
                </w:tcPr>
                <w:p>
                  <w:pPr>
                    <w:adjustRightInd w:val="0"/>
                    <w:snapToGrid w:val="0"/>
                    <w:spacing w:line="240" w:lineRule="auto"/>
                    <w:jc w:val="center"/>
                    <w:rPr>
                      <w:szCs w:val="21"/>
                      <w:u w:val="wave"/>
                    </w:rPr>
                  </w:pPr>
                  <w:r>
                    <w:rPr>
                      <w:szCs w:val="21"/>
                      <w:u w:val="wave"/>
                    </w:rPr>
                    <w:t>生活废水</w:t>
                  </w:r>
                </w:p>
              </w:tc>
              <w:tc>
                <w:tcPr>
                  <w:tcW w:w="1969" w:type="pct"/>
                  <w:vAlign w:val="center"/>
                </w:tcPr>
                <w:p>
                  <w:pPr>
                    <w:adjustRightInd w:val="0"/>
                    <w:snapToGrid w:val="0"/>
                    <w:spacing w:line="240" w:lineRule="auto"/>
                    <w:jc w:val="center"/>
                    <w:rPr>
                      <w:szCs w:val="21"/>
                      <w:u w:val="wave"/>
                    </w:rPr>
                  </w:pPr>
                  <w:r>
                    <w:rPr>
                      <w:szCs w:val="21"/>
                      <w:u w:val="wave"/>
                    </w:rPr>
                    <w:t>隔油池、化粪池</w:t>
                  </w:r>
                </w:p>
              </w:tc>
              <w:tc>
                <w:tcPr>
                  <w:tcW w:w="935" w:type="pct"/>
                  <w:vAlign w:val="center"/>
                </w:tcPr>
                <w:p>
                  <w:pPr>
                    <w:adjustRightInd w:val="0"/>
                    <w:snapToGrid w:val="0"/>
                    <w:spacing w:line="240" w:lineRule="auto"/>
                    <w:jc w:val="center"/>
                    <w:rPr>
                      <w:szCs w:val="21"/>
                      <w:u w:val="wave"/>
                    </w:rPr>
                  </w:pPr>
                  <w:r>
                    <w:rPr>
                      <w:szCs w:val="21"/>
                      <w:u w:val="wav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pct"/>
                  <w:vMerge w:val="continue"/>
                  <w:vAlign w:val="center"/>
                </w:tcPr>
                <w:p>
                  <w:pPr>
                    <w:adjustRightInd w:val="0"/>
                    <w:snapToGrid w:val="0"/>
                    <w:spacing w:after="0" w:line="240" w:lineRule="auto"/>
                    <w:jc w:val="center"/>
                    <w:rPr>
                      <w:szCs w:val="21"/>
                      <w:u w:val="wave"/>
                    </w:rPr>
                  </w:pPr>
                </w:p>
              </w:tc>
              <w:tc>
                <w:tcPr>
                  <w:tcW w:w="638" w:type="pct"/>
                  <w:vAlign w:val="center"/>
                </w:tcPr>
                <w:p>
                  <w:pPr>
                    <w:spacing w:line="240" w:lineRule="auto"/>
                    <w:jc w:val="center"/>
                    <w:rPr>
                      <w:szCs w:val="21"/>
                      <w:u w:val="wave"/>
                    </w:rPr>
                  </w:pPr>
                  <w:r>
                    <w:rPr>
                      <w:szCs w:val="21"/>
                      <w:u w:val="wave"/>
                    </w:rPr>
                    <w:t>噪声处理</w:t>
                  </w:r>
                </w:p>
              </w:tc>
              <w:tc>
                <w:tcPr>
                  <w:tcW w:w="972" w:type="pct"/>
                  <w:vAlign w:val="center"/>
                </w:tcPr>
                <w:p>
                  <w:pPr>
                    <w:spacing w:line="240" w:lineRule="auto"/>
                    <w:jc w:val="center"/>
                    <w:rPr>
                      <w:szCs w:val="21"/>
                      <w:u w:val="wave"/>
                    </w:rPr>
                  </w:pPr>
                  <w:r>
                    <w:rPr>
                      <w:szCs w:val="21"/>
                      <w:u w:val="wave"/>
                    </w:rPr>
                    <w:t>生产设备运行产生的噪声和车辆运输噪声</w:t>
                  </w:r>
                </w:p>
              </w:tc>
              <w:tc>
                <w:tcPr>
                  <w:tcW w:w="1969" w:type="pct"/>
                  <w:vAlign w:val="center"/>
                </w:tcPr>
                <w:p>
                  <w:pPr>
                    <w:spacing w:line="240" w:lineRule="auto"/>
                    <w:jc w:val="center"/>
                    <w:rPr>
                      <w:szCs w:val="21"/>
                      <w:u w:val="wave"/>
                    </w:rPr>
                  </w:pPr>
                  <w:r>
                    <w:rPr>
                      <w:szCs w:val="21"/>
                      <w:u w:val="wave"/>
                    </w:rPr>
                    <w:t>隔声、减震、竖立减速禁止鸣笛等警示牌</w:t>
                  </w:r>
                </w:p>
              </w:tc>
              <w:tc>
                <w:tcPr>
                  <w:tcW w:w="935" w:type="pct"/>
                  <w:vAlign w:val="center"/>
                </w:tcPr>
                <w:p>
                  <w:pPr>
                    <w:spacing w:line="240" w:lineRule="auto"/>
                    <w:jc w:val="center"/>
                    <w:rPr>
                      <w:szCs w:val="21"/>
                      <w:u w:val="wave"/>
                    </w:rPr>
                  </w:pPr>
                  <w:r>
                    <w:rPr>
                      <w:szCs w:val="21"/>
                      <w:u w:val="wav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pct"/>
                  <w:vMerge w:val="continue"/>
                  <w:vAlign w:val="center"/>
                </w:tcPr>
                <w:p>
                  <w:pPr>
                    <w:adjustRightInd w:val="0"/>
                    <w:snapToGrid w:val="0"/>
                    <w:spacing w:after="0" w:line="240" w:lineRule="auto"/>
                    <w:jc w:val="center"/>
                    <w:rPr>
                      <w:szCs w:val="21"/>
                      <w:u w:val="wave"/>
                    </w:rPr>
                  </w:pPr>
                </w:p>
              </w:tc>
              <w:tc>
                <w:tcPr>
                  <w:tcW w:w="638" w:type="pct"/>
                  <w:vAlign w:val="center"/>
                </w:tcPr>
                <w:p>
                  <w:pPr>
                    <w:spacing w:line="240" w:lineRule="auto"/>
                    <w:jc w:val="center"/>
                    <w:rPr>
                      <w:szCs w:val="21"/>
                      <w:u w:val="wave"/>
                    </w:rPr>
                  </w:pPr>
                  <w:r>
                    <w:rPr>
                      <w:szCs w:val="21"/>
                      <w:u w:val="wave"/>
                    </w:rPr>
                    <w:t>固废处理</w:t>
                  </w:r>
                </w:p>
              </w:tc>
              <w:tc>
                <w:tcPr>
                  <w:tcW w:w="972" w:type="pct"/>
                  <w:vAlign w:val="center"/>
                </w:tcPr>
                <w:p>
                  <w:pPr>
                    <w:spacing w:line="240" w:lineRule="auto"/>
                    <w:jc w:val="center"/>
                    <w:rPr>
                      <w:szCs w:val="21"/>
                      <w:u w:val="wave"/>
                    </w:rPr>
                  </w:pPr>
                  <w:r>
                    <w:rPr>
                      <w:szCs w:val="21"/>
                      <w:u w:val="wave"/>
                    </w:rPr>
                    <w:t>生活垃圾</w:t>
                  </w:r>
                </w:p>
              </w:tc>
              <w:tc>
                <w:tcPr>
                  <w:tcW w:w="1969" w:type="pct"/>
                  <w:vAlign w:val="center"/>
                </w:tcPr>
                <w:p>
                  <w:pPr>
                    <w:spacing w:line="240" w:lineRule="auto"/>
                    <w:jc w:val="center"/>
                    <w:rPr>
                      <w:szCs w:val="21"/>
                      <w:u w:val="wave"/>
                    </w:rPr>
                  </w:pPr>
                  <w:r>
                    <w:rPr>
                      <w:szCs w:val="21"/>
                      <w:u w:val="wave"/>
                    </w:rPr>
                    <w:t>垃圾桶（若干）</w:t>
                  </w:r>
                </w:p>
              </w:tc>
              <w:tc>
                <w:tcPr>
                  <w:tcW w:w="935" w:type="pct"/>
                  <w:vAlign w:val="center"/>
                </w:tcPr>
                <w:p>
                  <w:pPr>
                    <w:spacing w:line="240" w:lineRule="auto"/>
                    <w:jc w:val="center"/>
                    <w:rPr>
                      <w:szCs w:val="21"/>
                      <w:u w:val="wave"/>
                    </w:rPr>
                  </w:pPr>
                  <w:r>
                    <w:rPr>
                      <w:szCs w:val="21"/>
                      <w:u w:val="wav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pct"/>
                  <w:vMerge w:val="continue"/>
                  <w:vAlign w:val="center"/>
                </w:tcPr>
                <w:p>
                  <w:pPr>
                    <w:adjustRightInd w:val="0"/>
                    <w:snapToGrid w:val="0"/>
                    <w:spacing w:line="240" w:lineRule="auto"/>
                    <w:jc w:val="center"/>
                    <w:rPr>
                      <w:szCs w:val="21"/>
                      <w:u w:val="wave"/>
                    </w:rPr>
                  </w:pPr>
                </w:p>
              </w:tc>
              <w:tc>
                <w:tcPr>
                  <w:tcW w:w="638" w:type="pct"/>
                  <w:vAlign w:val="center"/>
                </w:tcPr>
                <w:p>
                  <w:pPr>
                    <w:spacing w:line="240" w:lineRule="auto"/>
                    <w:jc w:val="center"/>
                    <w:rPr>
                      <w:szCs w:val="21"/>
                      <w:u w:val="wave"/>
                    </w:rPr>
                  </w:pPr>
                  <w:r>
                    <w:rPr>
                      <w:szCs w:val="21"/>
                      <w:u w:val="wave"/>
                    </w:rPr>
                    <w:t>其他</w:t>
                  </w:r>
                </w:p>
              </w:tc>
              <w:tc>
                <w:tcPr>
                  <w:tcW w:w="972" w:type="pct"/>
                  <w:vAlign w:val="center"/>
                </w:tcPr>
                <w:p>
                  <w:pPr>
                    <w:spacing w:line="240" w:lineRule="auto"/>
                    <w:jc w:val="center"/>
                    <w:rPr>
                      <w:szCs w:val="21"/>
                      <w:u w:val="wave"/>
                    </w:rPr>
                  </w:pPr>
                  <w:r>
                    <w:rPr>
                      <w:szCs w:val="21"/>
                      <w:u w:val="wave"/>
                    </w:rPr>
                    <w:t>/</w:t>
                  </w:r>
                </w:p>
              </w:tc>
              <w:tc>
                <w:tcPr>
                  <w:tcW w:w="1969" w:type="pct"/>
                  <w:vAlign w:val="center"/>
                </w:tcPr>
                <w:p>
                  <w:pPr>
                    <w:spacing w:line="240" w:lineRule="auto"/>
                    <w:jc w:val="center"/>
                    <w:rPr>
                      <w:szCs w:val="21"/>
                      <w:u w:val="wave"/>
                    </w:rPr>
                  </w:pPr>
                  <w:r>
                    <w:rPr>
                      <w:szCs w:val="21"/>
                      <w:u w:val="wave"/>
                    </w:rPr>
                    <w:t>环境监测、环境管理</w:t>
                  </w:r>
                </w:p>
              </w:tc>
              <w:tc>
                <w:tcPr>
                  <w:tcW w:w="935" w:type="pct"/>
                  <w:vAlign w:val="center"/>
                </w:tcPr>
                <w:p>
                  <w:pPr>
                    <w:spacing w:line="240" w:lineRule="auto"/>
                    <w:jc w:val="center"/>
                    <w:rPr>
                      <w:szCs w:val="21"/>
                      <w:u w:val="wave"/>
                    </w:rPr>
                  </w:pPr>
                  <w:r>
                    <w:rPr>
                      <w:szCs w:val="21"/>
                      <w:u w:val="wav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95" w:type="pct"/>
                  <w:gridSpan w:val="3"/>
                  <w:vAlign w:val="center"/>
                </w:tcPr>
                <w:p>
                  <w:pPr>
                    <w:spacing w:line="240" w:lineRule="auto"/>
                    <w:jc w:val="center"/>
                    <w:rPr>
                      <w:szCs w:val="21"/>
                      <w:u w:val="wave"/>
                    </w:rPr>
                  </w:pPr>
                  <w:r>
                    <w:rPr>
                      <w:szCs w:val="21"/>
                      <w:u w:val="wave"/>
                    </w:rPr>
                    <w:t>合计</w:t>
                  </w:r>
                </w:p>
              </w:tc>
              <w:tc>
                <w:tcPr>
                  <w:tcW w:w="1969" w:type="pct"/>
                  <w:vAlign w:val="center"/>
                </w:tcPr>
                <w:p>
                  <w:pPr>
                    <w:spacing w:line="240" w:lineRule="auto"/>
                    <w:jc w:val="center"/>
                    <w:rPr>
                      <w:szCs w:val="21"/>
                      <w:u w:val="wave"/>
                    </w:rPr>
                  </w:pPr>
                  <w:r>
                    <w:rPr>
                      <w:szCs w:val="21"/>
                      <w:u w:val="wave"/>
                    </w:rPr>
                    <w:t>/</w:t>
                  </w:r>
                </w:p>
              </w:tc>
              <w:tc>
                <w:tcPr>
                  <w:tcW w:w="935" w:type="pct"/>
                  <w:vAlign w:val="center"/>
                </w:tcPr>
                <w:p>
                  <w:pPr>
                    <w:spacing w:line="240" w:lineRule="auto"/>
                    <w:jc w:val="center"/>
                    <w:rPr>
                      <w:szCs w:val="21"/>
                      <w:u w:val="wave"/>
                    </w:rPr>
                  </w:pPr>
                  <w:r>
                    <w:rPr>
                      <w:szCs w:val="21"/>
                      <w:u w:val="wave"/>
                    </w:rPr>
                    <w:t>112.1</w:t>
                  </w:r>
                </w:p>
              </w:tc>
            </w:tr>
          </w:tbl>
          <w:p>
            <w:pPr>
              <w:pStyle w:val="35"/>
              <w:spacing w:after="0" w:line="360" w:lineRule="auto"/>
              <w:rPr>
                <w:rFonts w:ascii="Times New Roman" w:cs="Times New Roman"/>
                <w:b/>
                <w:bCs/>
                <w:color w:val="auto"/>
                <w:szCs w:val="32"/>
                <w:u w:val="wave"/>
              </w:rPr>
            </w:pPr>
            <w:r>
              <w:rPr>
                <w:rFonts w:ascii="Times New Roman" w:cs="Times New Roman"/>
                <w:b/>
                <w:color w:val="auto"/>
                <w:kern w:val="2"/>
                <w:u w:val="wave"/>
              </w:rPr>
              <w:t>十</w:t>
            </w:r>
            <w:r>
              <w:rPr>
                <w:rFonts w:hint="eastAsia" w:ascii="Times New Roman" w:cs="Times New Roman"/>
                <w:b/>
                <w:color w:val="auto"/>
                <w:kern w:val="2"/>
                <w:u w:val="wave"/>
              </w:rPr>
              <w:t>六</w:t>
            </w:r>
            <w:r>
              <w:rPr>
                <w:rFonts w:ascii="Times New Roman" w:cs="Times New Roman"/>
                <w:b/>
                <w:color w:val="auto"/>
                <w:kern w:val="2"/>
                <w:u w:val="wave"/>
              </w:rPr>
              <w:t>、</w:t>
            </w:r>
            <w:r>
              <w:rPr>
                <w:rFonts w:ascii="Times New Roman" w:cs="Times New Roman"/>
                <w:b/>
                <w:bCs/>
                <w:color w:val="auto"/>
                <w:szCs w:val="32"/>
                <w:u w:val="wave"/>
              </w:rPr>
              <w:t>竣工环境保护验收内容</w:t>
            </w:r>
          </w:p>
          <w:p>
            <w:pPr>
              <w:spacing w:after="0" w:line="360" w:lineRule="auto"/>
              <w:ind w:firstLine="480" w:firstLineChars="200"/>
              <w:rPr>
                <w:b/>
                <w:bCs/>
                <w:sz w:val="24"/>
                <w:u w:val="wave"/>
              </w:rPr>
            </w:pPr>
            <w:r>
              <w:rPr>
                <w:sz w:val="24"/>
                <w:szCs w:val="32"/>
                <w:u w:val="wave"/>
              </w:rPr>
              <w:t>根据《建设项目竣工环境保护验收暂行办法》（国环规环评〔2017〕4号）及其他环境保护法律法规规定，建设项目需要配套建设的环境保护设施，必须与主体工程同时设计、同时施工、同时投产使用。建设项目竣工后，建设单位应当如实查验、监测、记载建设项目环境保护设施的建设和调试情况，编制验收监测（调查）报告。建设项目配套建设的环境保护设施经验收合格后，其主体工程方可投入生产或者使用；未经验收或者验收不合格的，不得投入生产或者使用。项目“三同时”竣工验收见下表。</w:t>
            </w:r>
          </w:p>
          <w:p>
            <w:pPr>
              <w:spacing w:after="0" w:line="360" w:lineRule="auto"/>
              <w:jc w:val="center"/>
              <w:rPr>
                <w:b/>
                <w:bCs/>
                <w:sz w:val="24"/>
                <w:u w:val="wave"/>
              </w:rPr>
            </w:pPr>
            <w:r>
              <w:rPr>
                <w:b/>
                <w:bCs/>
                <w:sz w:val="24"/>
                <w:u w:val="wave"/>
              </w:rPr>
              <w:t>表7-16 环境保护措施及竣工验收一览表</w:t>
            </w:r>
          </w:p>
          <w:tbl>
            <w:tblPr>
              <w:tblStyle w:val="2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6"/>
              <w:gridCol w:w="1370"/>
              <w:gridCol w:w="1134"/>
              <w:gridCol w:w="1418"/>
              <w:gridCol w:w="1984"/>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326" w:type="dxa"/>
                  <w:noWrap/>
                  <w:vAlign w:val="center"/>
                </w:tcPr>
                <w:p>
                  <w:pPr>
                    <w:spacing w:after="0"/>
                    <w:jc w:val="center"/>
                    <w:rPr>
                      <w:szCs w:val="21"/>
                      <w:u w:val="wave"/>
                    </w:rPr>
                  </w:pPr>
                  <w:r>
                    <w:rPr>
                      <w:szCs w:val="21"/>
                      <w:u w:val="wave"/>
                    </w:rPr>
                    <w:t>类别</w:t>
                  </w:r>
                </w:p>
              </w:tc>
              <w:tc>
                <w:tcPr>
                  <w:tcW w:w="1370" w:type="dxa"/>
                  <w:noWrap/>
                  <w:vAlign w:val="center"/>
                </w:tcPr>
                <w:p>
                  <w:pPr>
                    <w:spacing w:after="0"/>
                    <w:jc w:val="center"/>
                    <w:rPr>
                      <w:szCs w:val="21"/>
                      <w:u w:val="wave"/>
                    </w:rPr>
                  </w:pPr>
                  <w:r>
                    <w:rPr>
                      <w:szCs w:val="21"/>
                      <w:u w:val="wave"/>
                    </w:rPr>
                    <w:t>验收项目</w:t>
                  </w:r>
                </w:p>
              </w:tc>
              <w:tc>
                <w:tcPr>
                  <w:tcW w:w="1134" w:type="dxa"/>
                  <w:noWrap/>
                  <w:vAlign w:val="center"/>
                </w:tcPr>
                <w:p>
                  <w:pPr>
                    <w:spacing w:after="0"/>
                    <w:jc w:val="center"/>
                    <w:rPr>
                      <w:szCs w:val="21"/>
                      <w:u w:val="wave"/>
                    </w:rPr>
                  </w:pPr>
                  <w:r>
                    <w:rPr>
                      <w:szCs w:val="21"/>
                      <w:u w:val="wave"/>
                    </w:rPr>
                    <w:t>监测点位</w:t>
                  </w:r>
                </w:p>
              </w:tc>
              <w:tc>
                <w:tcPr>
                  <w:tcW w:w="1418" w:type="dxa"/>
                  <w:noWrap/>
                  <w:vAlign w:val="center"/>
                </w:tcPr>
                <w:p>
                  <w:pPr>
                    <w:spacing w:after="0"/>
                    <w:jc w:val="center"/>
                    <w:rPr>
                      <w:szCs w:val="21"/>
                      <w:u w:val="wave"/>
                    </w:rPr>
                  </w:pPr>
                  <w:r>
                    <w:rPr>
                      <w:szCs w:val="21"/>
                      <w:u w:val="wave"/>
                    </w:rPr>
                    <w:t>监测项目</w:t>
                  </w:r>
                </w:p>
              </w:tc>
              <w:tc>
                <w:tcPr>
                  <w:tcW w:w="1984" w:type="dxa"/>
                  <w:noWrap/>
                  <w:vAlign w:val="center"/>
                </w:tcPr>
                <w:p>
                  <w:pPr>
                    <w:spacing w:after="0"/>
                    <w:jc w:val="center"/>
                    <w:rPr>
                      <w:szCs w:val="21"/>
                      <w:u w:val="wave"/>
                    </w:rPr>
                  </w:pPr>
                  <w:r>
                    <w:rPr>
                      <w:szCs w:val="21"/>
                      <w:u w:val="wave"/>
                    </w:rPr>
                    <w:t>环境保护措施</w:t>
                  </w:r>
                </w:p>
              </w:tc>
              <w:tc>
                <w:tcPr>
                  <w:tcW w:w="2828" w:type="dxa"/>
                  <w:noWrap/>
                  <w:vAlign w:val="center"/>
                </w:tcPr>
                <w:p>
                  <w:pPr>
                    <w:spacing w:after="0"/>
                    <w:jc w:val="center"/>
                    <w:rPr>
                      <w:szCs w:val="21"/>
                      <w:u w:val="wave"/>
                    </w:rPr>
                  </w:pPr>
                  <w:r>
                    <w:rPr>
                      <w:szCs w:val="21"/>
                      <w:u w:val="wave"/>
                    </w:rPr>
                    <w:t>执行标准及验收要求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6" w:type="dxa"/>
                  <w:vMerge w:val="restart"/>
                  <w:noWrap/>
                  <w:vAlign w:val="center"/>
                </w:tcPr>
                <w:p>
                  <w:pPr>
                    <w:spacing w:after="0"/>
                    <w:jc w:val="center"/>
                    <w:rPr>
                      <w:szCs w:val="21"/>
                      <w:u w:val="wave"/>
                    </w:rPr>
                  </w:pPr>
                  <w:r>
                    <w:rPr>
                      <w:szCs w:val="21"/>
                      <w:u w:val="wave"/>
                    </w:rPr>
                    <w:t>废水</w:t>
                  </w:r>
                </w:p>
              </w:tc>
              <w:tc>
                <w:tcPr>
                  <w:tcW w:w="1370" w:type="dxa"/>
                  <w:noWrap/>
                  <w:vAlign w:val="center"/>
                </w:tcPr>
                <w:p>
                  <w:pPr>
                    <w:spacing w:after="0"/>
                    <w:jc w:val="center"/>
                    <w:rPr>
                      <w:szCs w:val="21"/>
                      <w:u w:val="wave"/>
                    </w:rPr>
                  </w:pPr>
                  <w:r>
                    <w:rPr>
                      <w:rFonts w:hint="eastAsia"/>
                      <w:szCs w:val="21"/>
                      <w:u w:val="wave"/>
                    </w:rPr>
                    <w:t>生产</w:t>
                  </w:r>
                  <w:r>
                    <w:rPr>
                      <w:szCs w:val="21"/>
                      <w:u w:val="wave"/>
                    </w:rPr>
                    <w:t>废水</w:t>
                  </w:r>
                </w:p>
              </w:tc>
              <w:tc>
                <w:tcPr>
                  <w:tcW w:w="1134" w:type="dxa"/>
                  <w:noWrap/>
                  <w:vAlign w:val="center"/>
                </w:tcPr>
                <w:p>
                  <w:pPr>
                    <w:spacing w:after="0"/>
                    <w:jc w:val="center"/>
                    <w:rPr>
                      <w:szCs w:val="21"/>
                      <w:u w:val="wave"/>
                    </w:rPr>
                  </w:pPr>
                  <w:r>
                    <w:rPr>
                      <w:szCs w:val="21"/>
                      <w:u w:val="wave"/>
                    </w:rPr>
                    <w:t>/</w:t>
                  </w:r>
                </w:p>
              </w:tc>
              <w:tc>
                <w:tcPr>
                  <w:tcW w:w="1418" w:type="dxa"/>
                  <w:noWrap/>
                  <w:vAlign w:val="center"/>
                </w:tcPr>
                <w:p>
                  <w:pPr>
                    <w:spacing w:after="0"/>
                    <w:jc w:val="center"/>
                    <w:rPr>
                      <w:szCs w:val="21"/>
                      <w:u w:val="wave"/>
                    </w:rPr>
                  </w:pPr>
                  <w:r>
                    <w:rPr>
                      <w:szCs w:val="21"/>
                      <w:u w:val="wave"/>
                    </w:rPr>
                    <w:t>/</w:t>
                  </w:r>
                </w:p>
              </w:tc>
              <w:tc>
                <w:tcPr>
                  <w:tcW w:w="1984" w:type="dxa"/>
                  <w:noWrap/>
                  <w:vAlign w:val="center"/>
                </w:tcPr>
                <w:p>
                  <w:pPr>
                    <w:spacing w:after="0"/>
                    <w:jc w:val="center"/>
                    <w:rPr>
                      <w:szCs w:val="21"/>
                      <w:u w:val="wave"/>
                    </w:rPr>
                  </w:pPr>
                  <w:r>
                    <w:rPr>
                      <w:szCs w:val="21"/>
                      <w:u w:val="wave"/>
                    </w:rPr>
                    <w:t>/</w:t>
                  </w:r>
                </w:p>
              </w:tc>
              <w:tc>
                <w:tcPr>
                  <w:tcW w:w="2828" w:type="dxa"/>
                  <w:noWrap/>
                  <w:vAlign w:val="center"/>
                </w:tcPr>
                <w:p>
                  <w:pPr>
                    <w:spacing w:after="0"/>
                    <w:jc w:val="center"/>
                    <w:rPr>
                      <w:szCs w:val="21"/>
                      <w:u w:val="wave"/>
                    </w:rPr>
                  </w:pPr>
                  <w:r>
                    <w:rPr>
                      <w:szCs w:val="21"/>
                      <w:u w:val="wave"/>
                    </w:rPr>
                    <w:t>经三级沉淀池沉淀后循环使用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6" w:type="dxa"/>
                  <w:vMerge w:val="continue"/>
                  <w:noWrap/>
                  <w:vAlign w:val="center"/>
                </w:tcPr>
                <w:p>
                  <w:pPr>
                    <w:spacing w:after="0"/>
                    <w:jc w:val="center"/>
                    <w:rPr>
                      <w:u w:val="wave"/>
                    </w:rPr>
                  </w:pPr>
                </w:p>
              </w:tc>
              <w:tc>
                <w:tcPr>
                  <w:tcW w:w="1370" w:type="dxa"/>
                  <w:noWrap/>
                  <w:vAlign w:val="center"/>
                </w:tcPr>
                <w:p>
                  <w:pPr>
                    <w:spacing w:after="0"/>
                    <w:jc w:val="center"/>
                    <w:rPr>
                      <w:szCs w:val="21"/>
                      <w:u w:val="wave"/>
                    </w:rPr>
                  </w:pPr>
                  <w:r>
                    <w:rPr>
                      <w:szCs w:val="21"/>
                      <w:u w:val="wave"/>
                    </w:rPr>
                    <w:t>生活废水</w:t>
                  </w:r>
                </w:p>
              </w:tc>
              <w:tc>
                <w:tcPr>
                  <w:tcW w:w="1134" w:type="dxa"/>
                  <w:noWrap/>
                  <w:vAlign w:val="center"/>
                </w:tcPr>
                <w:p>
                  <w:pPr>
                    <w:spacing w:after="0"/>
                    <w:jc w:val="center"/>
                    <w:rPr>
                      <w:szCs w:val="21"/>
                      <w:u w:val="wave"/>
                    </w:rPr>
                  </w:pPr>
                  <w:r>
                    <w:rPr>
                      <w:szCs w:val="21"/>
                      <w:u w:val="wave"/>
                    </w:rPr>
                    <w:t>化粪池</w:t>
                  </w:r>
                  <w:r>
                    <w:rPr>
                      <w:rFonts w:hint="eastAsia"/>
                      <w:szCs w:val="21"/>
                      <w:u w:val="wave"/>
                    </w:rPr>
                    <w:t>出口</w:t>
                  </w:r>
                </w:p>
              </w:tc>
              <w:tc>
                <w:tcPr>
                  <w:tcW w:w="1418" w:type="dxa"/>
                  <w:noWrap/>
                  <w:vAlign w:val="center"/>
                </w:tcPr>
                <w:p>
                  <w:pPr>
                    <w:spacing w:after="0"/>
                    <w:jc w:val="center"/>
                    <w:rPr>
                      <w:szCs w:val="21"/>
                      <w:u w:val="wave"/>
                    </w:rPr>
                  </w:pPr>
                  <w:r>
                    <w:rPr>
                      <w:szCs w:val="21"/>
                      <w:u w:val="wave"/>
                    </w:rPr>
                    <w:t>pH、COD、BOD</w:t>
                  </w:r>
                  <w:r>
                    <w:rPr>
                      <w:szCs w:val="21"/>
                      <w:u w:val="wave"/>
                      <w:vertAlign w:val="subscript"/>
                    </w:rPr>
                    <w:t>5</w:t>
                  </w:r>
                  <w:r>
                    <w:rPr>
                      <w:szCs w:val="21"/>
                      <w:u w:val="wave"/>
                    </w:rPr>
                    <w:t>、NH</w:t>
                  </w:r>
                  <w:r>
                    <w:rPr>
                      <w:szCs w:val="21"/>
                      <w:u w:val="wave"/>
                      <w:vertAlign w:val="subscript"/>
                    </w:rPr>
                    <w:t>3</w:t>
                  </w:r>
                  <w:r>
                    <w:rPr>
                      <w:szCs w:val="21"/>
                      <w:u w:val="wave"/>
                    </w:rPr>
                    <w:t>-N、SS、动植物油</w:t>
                  </w:r>
                </w:p>
              </w:tc>
              <w:tc>
                <w:tcPr>
                  <w:tcW w:w="1984" w:type="dxa"/>
                  <w:noWrap/>
                  <w:vAlign w:val="center"/>
                </w:tcPr>
                <w:p>
                  <w:pPr>
                    <w:spacing w:after="0"/>
                    <w:jc w:val="center"/>
                    <w:rPr>
                      <w:szCs w:val="21"/>
                      <w:u w:val="wave"/>
                    </w:rPr>
                  </w:pPr>
                  <w:r>
                    <w:rPr>
                      <w:szCs w:val="21"/>
                      <w:u w:val="wave"/>
                    </w:rPr>
                    <w:t>隔油器、化粪池</w:t>
                  </w:r>
                </w:p>
              </w:tc>
              <w:tc>
                <w:tcPr>
                  <w:tcW w:w="2828" w:type="dxa"/>
                  <w:noWrap/>
                  <w:vAlign w:val="center"/>
                </w:tcPr>
                <w:p>
                  <w:pPr>
                    <w:spacing w:after="0"/>
                    <w:jc w:val="center"/>
                    <w:rPr>
                      <w:szCs w:val="21"/>
                      <w:u w:val="wave"/>
                    </w:rPr>
                  </w:pPr>
                  <w:r>
                    <w:rPr>
                      <w:szCs w:val="21"/>
                      <w:u w:val="wave"/>
                    </w:rPr>
                    <w:t>经隔油器</w:t>
                  </w:r>
                  <w:r>
                    <w:rPr>
                      <w:rFonts w:hint="eastAsia"/>
                      <w:szCs w:val="21"/>
                      <w:u w:val="wave"/>
                    </w:rPr>
                    <w:t>及</w:t>
                  </w:r>
                  <w:r>
                    <w:rPr>
                      <w:szCs w:val="21"/>
                      <w:u w:val="wave"/>
                    </w:rPr>
                    <w:t>化粪池处理后用于周边农田灌溉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trPr>
              <w:tc>
                <w:tcPr>
                  <w:tcW w:w="326" w:type="dxa"/>
                  <w:vMerge w:val="restart"/>
                  <w:noWrap/>
                  <w:vAlign w:val="center"/>
                </w:tcPr>
                <w:p>
                  <w:pPr>
                    <w:spacing w:after="0"/>
                    <w:jc w:val="center"/>
                    <w:rPr>
                      <w:szCs w:val="21"/>
                      <w:u w:val="wave"/>
                    </w:rPr>
                  </w:pPr>
                  <w:r>
                    <w:rPr>
                      <w:szCs w:val="21"/>
                      <w:u w:val="wave"/>
                    </w:rPr>
                    <w:t>废气</w:t>
                  </w:r>
                </w:p>
              </w:tc>
              <w:tc>
                <w:tcPr>
                  <w:tcW w:w="1370" w:type="dxa"/>
                  <w:noWrap/>
                  <w:vAlign w:val="center"/>
                </w:tcPr>
                <w:p>
                  <w:pPr>
                    <w:spacing w:after="0" w:line="240" w:lineRule="auto"/>
                    <w:jc w:val="center"/>
                    <w:rPr>
                      <w:szCs w:val="21"/>
                      <w:u w:val="wave"/>
                    </w:rPr>
                  </w:pPr>
                  <w:r>
                    <w:rPr>
                      <w:szCs w:val="21"/>
                      <w:u w:val="wave"/>
                    </w:rPr>
                    <w:t>P1~P9排气筒（混凝土生产搅拌区水泥筒仓）</w:t>
                  </w:r>
                </w:p>
              </w:tc>
              <w:tc>
                <w:tcPr>
                  <w:tcW w:w="1134" w:type="dxa"/>
                  <w:noWrap/>
                  <w:vAlign w:val="center"/>
                </w:tcPr>
                <w:p>
                  <w:pPr>
                    <w:spacing w:after="0"/>
                    <w:jc w:val="center"/>
                    <w:rPr>
                      <w:szCs w:val="21"/>
                      <w:u w:val="wave"/>
                    </w:rPr>
                  </w:pPr>
                  <w:r>
                    <w:rPr>
                      <w:szCs w:val="21"/>
                      <w:u w:val="wave"/>
                    </w:rPr>
                    <w:t>排气筒</w:t>
                  </w:r>
                </w:p>
              </w:tc>
              <w:tc>
                <w:tcPr>
                  <w:tcW w:w="1418" w:type="dxa"/>
                  <w:noWrap/>
                  <w:vAlign w:val="center"/>
                </w:tcPr>
                <w:p>
                  <w:pPr>
                    <w:pStyle w:val="35"/>
                    <w:spacing w:after="0"/>
                    <w:jc w:val="center"/>
                    <w:rPr>
                      <w:rFonts w:ascii="Times New Roman" w:cs="Times New Roman"/>
                      <w:color w:val="auto"/>
                      <w:kern w:val="2"/>
                      <w:sz w:val="21"/>
                      <w:szCs w:val="21"/>
                      <w:u w:val="wave"/>
                    </w:rPr>
                  </w:pPr>
                  <w:r>
                    <w:rPr>
                      <w:rFonts w:ascii="Times New Roman" w:cs="Times New Roman"/>
                      <w:color w:val="auto"/>
                      <w:kern w:val="2"/>
                      <w:sz w:val="21"/>
                      <w:szCs w:val="21"/>
                      <w:u w:val="wave"/>
                    </w:rPr>
                    <w:t>颗粒物</w:t>
                  </w:r>
                </w:p>
              </w:tc>
              <w:tc>
                <w:tcPr>
                  <w:tcW w:w="1984" w:type="dxa"/>
                  <w:noWrap/>
                  <w:vAlign w:val="center"/>
                </w:tcPr>
                <w:p>
                  <w:pPr>
                    <w:pStyle w:val="35"/>
                    <w:spacing w:after="0"/>
                    <w:jc w:val="center"/>
                    <w:rPr>
                      <w:rFonts w:ascii="Times New Roman" w:cs="Times New Roman"/>
                      <w:color w:val="auto"/>
                      <w:kern w:val="2"/>
                      <w:sz w:val="21"/>
                      <w:szCs w:val="21"/>
                      <w:u w:val="wave"/>
                    </w:rPr>
                  </w:pPr>
                  <w:r>
                    <w:rPr>
                      <w:rFonts w:ascii="Times New Roman" w:cs="Times New Roman"/>
                      <w:color w:val="auto"/>
                      <w:kern w:val="2"/>
                      <w:sz w:val="21"/>
                      <w:szCs w:val="21"/>
                      <w:u w:val="wave"/>
                    </w:rPr>
                    <w:t>水泥筒仓各设1套脉冲除尘器（共</w:t>
                  </w:r>
                  <w:r>
                    <w:rPr>
                      <w:rFonts w:hint="eastAsia" w:ascii="Times New Roman" w:cs="Times New Roman"/>
                      <w:color w:val="auto"/>
                      <w:kern w:val="2"/>
                      <w:sz w:val="21"/>
                      <w:szCs w:val="21"/>
                      <w:u w:val="wave"/>
                    </w:rPr>
                    <w:t>9</w:t>
                  </w:r>
                  <w:r>
                    <w:rPr>
                      <w:rFonts w:ascii="Times New Roman" w:cs="Times New Roman"/>
                      <w:color w:val="auto"/>
                      <w:kern w:val="2"/>
                      <w:sz w:val="21"/>
                      <w:szCs w:val="21"/>
                      <w:u w:val="wave"/>
                    </w:rPr>
                    <w:t>套）+</w:t>
                  </w:r>
                  <w:r>
                    <w:rPr>
                      <w:rFonts w:hint="eastAsia" w:ascii="Times New Roman" w:cs="Times New Roman"/>
                      <w:color w:val="auto"/>
                      <w:kern w:val="2"/>
                      <w:sz w:val="21"/>
                      <w:szCs w:val="21"/>
                      <w:u w:val="wave"/>
                    </w:rPr>
                    <w:t>9</w:t>
                  </w:r>
                  <w:r>
                    <w:rPr>
                      <w:rFonts w:ascii="Times New Roman" w:cs="Times New Roman"/>
                      <w:color w:val="auto"/>
                      <w:kern w:val="2"/>
                      <w:sz w:val="21"/>
                      <w:szCs w:val="21"/>
                      <w:u w:val="wave"/>
                    </w:rPr>
                    <w:t>根25m高排气筒</w:t>
                  </w:r>
                </w:p>
              </w:tc>
              <w:tc>
                <w:tcPr>
                  <w:tcW w:w="2828" w:type="dxa"/>
                  <w:vMerge w:val="restart"/>
                  <w:noWrap/>
                  <w:vAlign w:val="center"/>
                </w:tcPr>
                <w:p>
                  <w:pPr>
                    <w:spacing w:after="0"/>
                    <w:jc w:val="center"/>
                    <w:rPr>
                      <w:szCs w:val="21"/>
                      <w:u w:val="wave"/>
                    </w:rPr>
                  </w:pPr>
                  <w:r>
                    <w:rPr>
                      <w:szCs w:val="21"/>
                      <w:u w:val="wave"/>
                    </w:rPr>
                    <w:t>满足《水泥工业大气污染物排放标准》（GB4915-2013）表2中规定的排放限值</w:t>
                  </w:r>
                </w:p>
                <w:p>
                  <w:pPr>
                    <w:spacing w:after="0"/>
                    <w:jc w:val="center"/>
                    <w:rPr>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26" w:type="dxa"/>
                  <w:vMerge w:val="continue"/>
                  <w:noWrap/>
                  <w:vAlign w:val="center"/>
                </w:tcPr>
                <w:p>
                  <w:pPr>
                    <w:spacing w:after="0"/>
                    <w:jc w:val="center"/>
                    <w:rPr>
                      <w:u w:val="wave"/>
                    </w:rPr>
                  </w:pPr>
                </w:p>
              </w:tc>
              <w:tc>
                <w:tcPr>
                  <w:tcW w:w="1370" w:type="dxa"/>
                  <w:noWrap/>
                  <w:vAlign w:val="center"/>
                </w:tcPr>
                <w:p>
                  <w:pPr>
                    <w:spacing w:after="0" w:line="240" w:lineRule="auto"/>
                    <w:jc w:val="center"/>
                    <w:rPr>
                      <w:szCs w:val="21"/>
                      <w:u w:val="wave"/>
                    </w:rPr>
                  </w:pPr>
                  <w:r>
                    <w:rPr>
                      <w:szCs w:val="21"/>
                      <w:u w:val="wave"/>
                    </w:rPr>
                    <w:t>P10、P11排气筒（混凝土生产搅拌区粉煤灰筒仓）</w:t>
                  </w:r>
                </w:p>
              </w:tc>
              <w:tc>
                <w:tcPr>
                  <w:tcW w:w="1134" w:type="dxa"/>
                  <w:noWrap/>
                  <w:vAlign w:val="center"/>
                </w:tcPr>
                <w:p>
                  <w:pPr>
                    <w:spacing w:after="0"/>
                    <w:jc w:val="center"/>
                    <w:rPr>
                      <w:szCs w:val="21"/>
                      <w:u w:val="wave"/>
                    </w:rPr>
                  </w:pPr>
                  <w:r>
                    <w:rPr>
                      <w:szCs w:val="21"/>
                      <w:u w:val="wave"/>
                    </w:rPr>
                    <w:t>排气筒</w:t>
                  </w:r>
                </w:p>
              </w:tc>
              <w:tc>
                <w:tcPr>
                  <w:tcW w:w="1418" w:type="dxa"/>
                  <w:vAlign w:val="center"/>
                </w:tcPr>
                <w:p>
                  <w:pPr>
                    <w:spacing w:after="0"/>
                    <w:jc w:val="center"/>
                    <w:rPr>
                      <w:szCs w:val="21"/>
                      <w:u w:val="wave"/>
                    </w:rPr>
                  </w:pPr>
                  <w:r>
                    <w:rPr>
                      <w:szCs w:val="21"/>
                      <w:u w:val="wave"/>
                    </w:rPr>
                    <w:t>颗粒物</w:t>
                  </w:r>
                </w:p>
              </w:tc>
              <w:tc>
                <w:tcPr>
                  <w:tcW w:w="1984" w:type="dxa"/>
                  <w:noWrap/>
                  <w:vAlign w:val="center"/>
                </w:tcPr>
                <w:p>
                  <w:pPr>
                    <w:spacing w:after="0"/>
                    <w:jc w:val="center"/>
                    <w:rPr>
                      <w:szCs w:val="21"/>
                      <w:u w:val="wave"/>
                    </w:rPr>
                  </w:pPr>
                  <w:r>
                    <w:rPr>
                      <w:szCs w:val="21"/>
                      <w:u w:val="wave"/>
                    </w:rPr>
                    <w:t>粉煤灰筒仓各设1套脉冲除尘器（共2套）+2根25m高排气筒</w:t>
                  </w:r>
                </w:p>
              </w:tc>
              <w:tc>
                <w:tcPr>
                  <w:tcW w:w="2828" w:type="dxa"/>
                  <w:vMerge w:val="continue"/>
                  <w:noWrap/>
                  <w:vAlign w:val="center"/>
                </w:tcPr>
                <w:p>
                  <w:pPr>
                    <w:spacing w:after="0"/>
                    <w:jc w:val="center"/>
                    <w:rPr>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6" w:type="dxa"/>
                  <w:vMerge w:val="continue"/>
                  <w:noWrap/>
                  <w:vAlign w:val="center"/>
                </w:tcPr>
                <w:p>
                  <w:pPr>
                    <w:spacing w:after="0"/>
                    <w:jc w:val="center"/>
                    <w:rPr>
                      <w:szCs w:val="21"/>
                      <w:u w:val="wave"/>
                    </w:rPr>
                  </w:pPr>
                </w:p>
              </w:tc>
              <w:tc>
                <w:tcPr>
                  <w:tcW w:w="1370" w:type="dxa"/>
                  <w:noWrap/>
                  <w:vAlign w:val="center"/>
                </w:tcPr>
                <w:p>
                  <w:pPr>
                    <w:spacing w:after="0" w:line="240" w:lineRule="auto"/>
                    <w:jc w:val="center"/>
                    <w:rPr>
                      <w:szCs w:val="21"/>
                      <w:u w:val="wave"/>
                    </w:rPr>
                  </w:pPr>
                  <w:r>
                    <w:rPr>
                      <w:szCs w:val="21"/>
                      <w:u w:val="wave"/>
                    </w:rPr>
                    <w:t>P12</w:t>
                  </w:r>
                  <w:r>
                    <w:rPr>
                      <w:rFonts w:hint="eastAsia"/>
                      <w:szCs w:val="21"/>
                      <w:u w:val="wave"/>
                    </w:rPr>
                    <w:t>~P1</w:t>
                  </w:r>
                  <w:r>
                    <w:rPr>
                      <w:szCs w:val="21"/>
                      <w:u w:val="wave"/>
                    </w:rPr>
                    <w:t>3排气筒（</w:t>
                  </w:r>
                  <w:r>
                    <w:rPr>
                      <w:rFonts w:hint="eastAsia"/>
                      <w:szCs w:val="21"/>
                      <w:u w:val="wave"/>
                    </w:rPr>
                    <w:t>中联1</w:t>
                  </w:r>
                  <w:r>
                    <w:rPr>
                      <w:szCs w:val="21"/>
                      <w:u w:val="wave"/>
                    </w:rPr>
                    <w:t>80</w:t>
                  </w:r>
                  <w:r>
                    <w:rPr>
                      <w:rFonts w:hint="eastAsia"/>
                      <w:szCs w:val="21"/>
                      <w:u w:val="wave"/>
                    </w:rPr>
                    <w:t>线/润天9</w:t>
                  </w:r>
                  <w:r>
                    <w:rPr>
                      <w:szCs w:val="21"/>
                      <w:u w:val="wave"/>
                    </w:rPr>
                    <w:t>0</w:t>
                  </w:r>
                  <w:r>
                    <w:rPr>
                      <w:rFonts w:hint="eastAsia"/>
                      <w:szCs w:val="21"/>
                      <w:u w:val="wave"/>
                    </w:rPr>
                    <w:t>线</w:t>
                  </w:r>
                  <w:r>
                    <w:rPr>
                      <w:szCs w:val="21"/>
                      <w:u w:val="wave"/>
                    </w:rPr>
                    <w:t>）</w:t>
                  </w:r>
                </w:p>
              </w:tc>
              <w:tc>
                <w:tcPr>
                  <w:tcW w:w="1134" w:type="dxa"/>
                  <w:noWrap/>
                  <w:vAlign w:val="center"/>
                </w:tcPr>
                <w:p>
                  <w:pPr>
                    <w:spacing w:after="0"/>
                    <w:jc w:val="center"/>
                    <w:rPr>
                      <w:szCs w:val="21"/>
                      <w:u w:val="wave"/>
                    </w:rPr>
                  </w:pPr>
                  <w:r>
                    <w:rPr>
                      <w:szCs w:val="21"/>
                      <w:u w:val="wave"/>
                    </w:rPr>
                    <w:t>排气筒</w:t>
                  </w:r>
                </w:p>
              </w:tc>
              <w:tc>
                <w:tcPr>
                  <w:tcW w:w="1418" w:type="dxa"/>
                  <w:vAlign w:val="center"/>
                </w:tcPr>
                <w:p>
                  <w:pPr>
                    <w:spacing w:after="0"/>
                    <w:jc w:val="center"/>
                    <w:rPr>
                      <w:szCs w:val="21"/>
                      <w:u w:val="wave"/>
                    </w:rPr>
                  </w:pPr>
                  <w:r>
                    <w:rPr>
                      <w:szCs w:val="21"/>
                      <w:u w:val="wave"/>
                    </w:rPr>
                    <w:t>颗粒物</w:t>
                  </w:r>
                </w:p>
              </w:tc>
              <w:tc>
                <w:tcPr>
                  <w:tcW w:w="1984" w:type="dxa"/>
                  <w:noWrap/>
                  <w:vAlign w:val="center"/>
                </w:tcPr>
                <w:p>
                  <w:pPr>
                    <w:spacing w:after="0"/>
                    <w:jc w:val="center"/>
                    <w:rPr>
                      <w:szCs w:val="21"/>
                      <w:u w:val="wave"/>
                    </w:rPr>
                  </w:pPr>
                  <w:r>
                    <w:rPr>
                      <w:szCs w:val="21"/>
                      <w:u w:val="wave"/>
                    </w:rPr>
                    <w:t>封闭式搅拌楼；搅拌机设1套脉冲除尘器+25m高排气筒</w:t>
                  </w:r>
                </w:p>
              </w:tc>
              <w:tc>
                <w:tcPr>
                  <w:tcW w:w="2828" w:type="dxa"/>
                  <w:vMerge w:val="continue"/>
                  <w:noWrap/>
                  <w:vAlign w:val="center"/>
                </w:tcPr>
                <w:p>
                  <w:pPr>
                    <w:spacing w:after="0"/>
                    <w:jc w:val="center"/>
                    <w:rPr>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6" w:type="dxa"/>
                  <w:vMerge w:val="continue"/>
                  <w:noWrap/>
                  <w:vAlign w:val="center"/>
                </w:tcPr>
                <w:p>
                  <w:pPr>
                    <w:spacing w:after="0"/>
                    <w:jc w:val="center"/>
                    <w:rPr>
                      <w:szCs w:val="21"/>
                      <w:u w:val="wave"/>
                    </w:rPr>
                  </w:pPr>
                </w:p>
              </w:tc>
              <w:tc>
                <w:tcPr>
                  <w:tcW w:w="1370" w:type="dxa"/>
                  <w:noWrap/>
                  <w:vAlign w:val="center"/>
                </w:tcPr>
                <w:p>
                  <w:pPr>
                    <w:spacing w:after="0" w:line="240" w:lineRule="auto"/>
                    <w:jc w:val="center"/>
                    <w:rPr>
                      <w:szCs w:val="21"/>
                      <w:u w:val="wave"/>
                    </w:rPr>
                  </w:pPr>
                  <w:r>
                    <w:rPr>
                      <w:rFonts w:hint="eastAsia"/>
                      <w:szCs w:val="21"/>
                      <w:u w:val="wave"/>
                    </w:rPr>
                    <w:t>P1</w:t>
                  </w:r>
                  <w:r>
                    <w:rPr>
                      <w:szCs w:val="21"/>
                      <w:u w:val="wave"/>
                    </w:rPr>
                    <w:t>4排气筒（</w:t>
                  </w:r>
                  <w:r>
                    <w:rPr>
                      <w:rFonts w:hint="eastAsia"/>
                      <w:szCs w:val="21"/>
                      <w:u w:val="wave"/>
                    </w:rPr>
                    <w:t>柳城6</w:t>
                  </w:r>
                  <w:r>
                    <w:rPr>
                      <w:szCs w:val="21"/>
                      <w:u w:val="wave"/>
                    </w:rPr>
                    <w:t>00</w:t>
                  </w:r>
                  <w:r>
                    <w:rPr>
                      <w:rFonts w:hint="eastAsia"/>
                      <w:szCs w:val="21"/>
                      <w:u w:val="wave"/>
                    </w:rPr>
                    <w:t>线</w:t>
                  </w:r>
                  <w:r>
                    <w:rPr>
                      <w:szCs w:val="21"/>
                      <w:u w:val="wave"/>
                    </w:rPr>
                    <w:t>）</w:t>
                  </w:r>
                </w:p>
              </w:tc>
              <w:tc>
                <w:tcPr>
                  <w:tcW w:w="1134" w:type="dxa"/>
                  <w:noWrap/>
                  <w:vAlign w:val="center"/>
                </w:tcPr>
                <w:p>
                  <w:pPr>
                    <w:spacing w:after="0"/>
                    <w:jc w:val="center"/>
                    <w:rPr>
                      <w:szCs w:val="21"/>
                      <w:u w:val="wave"/>
                    </w:rPr>
                  </w:pPr>
                  <w:r>
                    <w:rPr>
                      <w:szCs w:val="21"/>
                      <w:u w:val="wave"/>
                    </w:rPr>
                    <w:t>排气筒</w:t>
                  </w:r>
                </w:p>
              </w:tc>
              <w:tc>
                <w:tcPr>
                  <w:tcW w:w="1418" w:type="dxa"/>
                  <w:vAlign w:val="center"/>
                </w:tcPr>
                <w:p>
                  <w:pPr>
                    <w:spacing w:after="0"/>
                    <w:jc w:val="center"/>
                    <w:rPr>
                      <w:szCs w:val="21"/>
                      <w:u w:val="wave"/>
                    </w:rPr>
                  </w:pPr>
                  <w:r>
                    <w:rPr>
                      <w:szCs w:val="21"/>
                      <w:u w:val="wave"/>
                    </w:rPr>
                    <w:t>颗粒物</w:t>
                  </w:r>
                </w:p>
              </w:tc>
              <w:tc>
                <w:tcPr>
                  <w:tcW w:w="1984" w:type="dxa"/>
                  <w:noWrap/>
                  <w:vAlign w:val="center"/>
                </w:tcPr>
                <w:p>
                  <w:pPr>
                    <w:spacing w:after="0"/>
                    <w:jc w:val="center"/>
                    <w:rPr>
                      <w:szCs w:val="21"/>
                      <w:u w:val="wave"/>
                    </w:rPr>
                  </w:pPr>
                  <w:r>
                    <w:rPr>
                      <w:szCs w:val="21"/>
                      <w:u w:val="wave"/>
                    </w:rPr>
                    <w:t>封闭式搅拌楼；搅拌机设1套脉冲除尘器+25m高排气筒</w:t>
                  </w:r>
                </w:p>
              </w:tc>
              <w:tc>
                <w:tcPr>
                  <w:tcW w:w="2828" w:type="dxa"/>
                  <w:vMerge w:val="continue"/>
                  <w:noWrap/>
                  <w:vAlign w:val="center"/>
                </w:tcPr>
                <w:p>
                  <w:pPr>
                    <w:spacing w:after="0"/>
                    <w:jc w:val="center"/>
                    <w:rPr>
                      <w:szCs w:val="21"/>
                      <w:u w:val="wav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6" w:type="dxa"/>
                  <w:vMerge w:val="continue"/>
                  <w:noWrap/>
                  <w:vAlign w:val="center"/>
                </w:tcPr>
                <w:p>
                  <w:pPr>
                    <w:spacing w:after="0"/>
                    <w:jc w:val="center"/>
                    <w:rPr>
                      <w:u w:val="wave"/>
                    </w:rPr>
                  </w:pPr>
                </w:p>
              </w:tc>
              <w:tc>
                <w:tcPr>
                  <w:tcW w:w="1370" w:type="dxa"/>
                  <w:noWrap/>
                  <w:vAlign w:val="center"/>
                </w:tcPr>
                <w:p>
                  <w:pPr>
                    <w:spacing w:after="0"/>
                    <w:jc w:val="center"/>
                    <w:rPr>
                      <w:szCs w:val="21"/>
                      <w:u w:val="wave"/>
                    </w:rPr>
                  </w:pPr>
                  <w:r>
                    <w:rPr>
                      <w:szCs w:val="21"/>
                      <w:u w:val="wave"/>
                    </w:rPr>
                    <w:t>原料堆场</w:t>
                  </w:r>
                </w:p>
              </w:tc>
              <w:tc>
                <w:tcPr>
                  <w:tcW w:w="1134" w:type="dxa"/>
                  <w:noWrap/>
                  <w:vAlign w:val="center"/>
                </w:tcPr>
                <w:p>
                  <w:pPr>
                    <w:spacing w:after="0"/>
                    <w:jc w:val="center"/>
                    <w:rPr>
                      <w:szCs w:val="21"/>
                      <w:u w:val="wave"/>
                    </w:rPr>
                  </w:pPr>
                  <w:r>
                    <w:rPr>
                      <w:szCs w:val="21"/>
                      <w:u w:val="wave"/>
                    </w:rPr>
                    <w:t>厂界监控点</w:t>
                  </w:r>
                </w:p>
              </w:tc>
              <w:tc>
                <w:tcPr>
                  <w:tcW w:w="1418" w:type="dxa"/>
                  <w:vAlign w:val="center"/>
                </w:tcPr>
                <w:p>
                  <w:pPr>
                    <w:spacing w:after="0"/>
                    <w:jc w:val="center"/>
                    <w:rPr>
                      <w:szCs w:val="21"/>
                      <w:u w:val="wave"/>
                    </w:rPr>
                  </w:pPr>
                  <w:r>
                    <w:rPr>
                      <w:szCs w:val="21"/>
                      <w:u w:val="wave"/>
                    </w:rPr>
                    <w:t>颗粒物</w:t>
                  </w:r>
                </w:p>
              </w:tc>
              <w:tc>
                <w:tcPr>
                  <w:tcW w:w="1984" w:type="dxa"/>
                  <w:noWrap/>
                  <w:vAlign w:val="center"/>
                </w:tcPr>
                <w:p>
                  <w:pPr>
                    <w:spacing w:after="0"/>
                    <w:jc w:val="center"/>
                    <w:rPr>
                      <w:szCs w:val="21"/>
                      <w:u w:val="wave"/>
                    </w:rPr>
                  </w:pPr>
                  <w:r>
                    <w:rPr>
                      <w:szCs w:val="21"/>
                      <w:u w:val="wave"/>
                    </w:rPr>
                    <w:t>地面硬化、喷水雾化器</w:t>
                  </w:r>
                </w:p>
              </w:tc>
              <w:tc>
                <w:tcPr>
                  <w:tcW w:w="2828" w:type="dxa"/>
                  <w:noWrap/>
                  <w:vAlign w:val="center"/>
                </w:tcPr>
                <w:p>
                  <w:pPr>
                    <w:spacing w:after="0"/>
                    <w:jc w:val="center"/>
                    <w:rPr>
                      <w:szCs w:val="21"/>
                      <w:u w:val="wave"/>
                    </w:rPr>
                  </w:pPr>
                  <w:r>
                    <w:rPr>
                      <w:szCs w:val="21"/>
                      <w:u w:val="wave"/>
                    </w:rPr>
                    <w:t>满足《水泥工业大气污染物排放标准》（GB4915-2013）表3中规定的排放限值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6" w:type="dxa"/>
                  <w:vMerge w:val="continue"/>
                  <w:noWrap/>
                  <w:vAlign w:val="center"/>
                </w:tcPr>
                <w:p>
                  <w:pPr>
                    <w:spacing w:after="0"/>
                    <w:jc w:val="center"/>
                    <w:rPr>
                      <w:u w:val="wave"/>
                    </w:rPr>
                  </w:pPr>
                </w:p>
              </w:tc>
              <w:tc>
                <w:tcPr>
                  <w:tcW w:w="1370" w:type="dxa"/>
                  <w:noWrap/>
                  <w:vAlign w:val="center"/>
                </w:tcPr>
                <w:p>
                  <w:pPr>
                    <w:spacing w:after="0"/>
                    <w:jc w:val="center"/>
                    <w:rPr>
                      <w:szCs w:val="21"/>
                      <w:u w:val="wave"/>
                    </w:rPr>
                  </w:pPr>
                  <w:r>
                    <w:rPr>
                      <w:szCs w:val="21"/>
                      <w:u w:val="wave"/>
                    </w:rPr>
                    <w:t>道路运输</w:t>
                  </w:r>
                </w:p>
              </w:tc>
              <w:tc>
                <w:tcPr>
                  <w:tcW w:w="1134" w:type="dxa"/>
                  <w:noWrap/>
                  <w:vAlign w:val="center"/>
                </w:tcPr>
                <w:p>
                  <w:pPr>
                    <w:spacing w:after="0"/>
                    <w:jc w:val="center"/>
                    <w:rPr>
                      <w:szCs w:val="21"/>
                      <w:u w:val="wave"/>
                    </w:rPr>
                  </w:pPr>
                  <w:r>
                    <w:rPr>
                      <w:szCs w:val="21"/>
                      <w:u w:val="wave"/>
                    </w:rPr>
                    <w:t>厂界监控点</w:t>
                  </w:r>
                </w:p>
              </w:tc>
              <w:tc>
                <w:tcPr>
                  <w:tcW w:w="1418" w:type="dxa"/>
                  <w:noWrap/>
                  <w:vAlign w:val="center"/>
                </w:tcPr>
                <w:p>
                  <w:pPr>
                    <w:spacing w:after="0"/>
                    <w:jc w:val="center"/>
                    <w:rPr>
                      <w:szCs w:val="21"/>
                      <w:u w:val="wave"/>
                    </w:rPr>
                  </w:pPr>
                  <w:r>
                    <w:rPr>
                      <w:szCs w:val="21"/>
                      <w:u w:val="wave"/>
                    </w:rPr>
                    <w:t>颗粒物</w:t>
                  </w:r>
                </w:p>
              </w:tc>
              <w:tc>
                <w:tcPr>
                  <w:tcW w:w="1984" w:type="dxa"/>
                  <w:noWrap/>
                  <w:vAlign w:val="center"/>
                </w:tcPr>
                <w:p>
                  <w:pPr>
                    <w:spacing w:after="0"/>
                    <w:jc w:val="center"/>
                    <w:rPr>
                      <w:szCs w:val="21"/>
                      <w:u w:val="wave"/>
                    </w:rPr>
                  </w:pPr>
                  <w:r>
                    <w:rPr>
                      <w:szCs w:val="21"/>
                      <w:u w:val="wave"/>
                    </w:rPr>
                    <w:t>洒水降尘</w:t>
                  </w:r>
                </w:p>
              </w:tc>
              <w:tc>
                <w:tcPr>
                  <w:tcW w:w="2828" w:type="dxa"/>
                  <w:noWrap/>
                  <w:vAlign w:val="center"/>
                </w:tcPr>
                <w:p>
                  <w:pPr>
                    <w:spacing w:after="0"/>
                    <w:jc w:val="center"/>
                    <w:rPr>
                      <w:szCs w:val="21"/>
                      <w:u w:val="wave"/>
                    </w:rPr>
                  </w:pPr>
                  <w:r>
                    <w:rPr>
                      <w:szCs w:val="21"/>
                      <w:u w:val="wav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326" w:type="dxa"/>
                  <w:vMerge w:val="continue"/>
                  <w:noWrap/>
                  <w:vAlign w:val="center"/>
                </w:tcPr>
                <w:p>
                  <w:pPr>
                    <w:spacing w:after="0"/>
                    <w:jc w:val="center"/>
                    <w:rPr>
                      <w:u w:val="wave"/>
                    </w:rPr>
                  </w:pPr>
                </w:p>
              </w:tc>
              <w:tc>
                <w:tcPr>
                  <w:tcW w:w="1370" w:type="dxa"/>
                  <w:noWrap/>
                  <w:vAlign w:val="center"/>
                </w:tcPr>
                <w:p>
                  <w:pPr>
                    <w:spacing w:after="0"/>
                    <w:jc w:val="center"/>
                    <w:rPr>
                      <w:szCs w:val="21"/>
                      <w:u w:val="wave"/>
                    </w:rPr>
                  </w:pPr>
                  <w:r>
                    <w:rPr>
                      <w:szCs w:val="21"/>
                      <w:u w:val="wave"/>
                    </w:rPr>
                    <w:t>食堂油烟</w:t>
                  </w:r>
                </w:p>
              </w:tc>
              <w:tc>
                <w:tcPr>
                  <w:tcW w:w="1134" w:type="dxa"/>
                  <w:noWrap/>
                  <w:vAlign w:val="center"/>
                </w:tcPr>
                <w:p>
                  <w:pPr>
                    <w:spacing w:after="0"/>
                    <w:jc w:val="center"/>
                    <w:rPr>
                      <w:szCs w:val="21"/>
                      <w:u w:val="wave"/>
                    </w:rPr>
                  </w:pPr>
                  <w:r>
                    <w:rPr>
                      <w:szCs w:val="21"/>
                      <w:u w:val="wave"/>
                    </w:rPr>
                    <w:t>油烟净化器出口</w:t>
                  </w:r>
                </w:p>
              </w:tc>
              <w:tc>
                <w:tcPr>
                  <w:tcW w:w="1418" w:type="dxa"/>
                  <w:noWrap/>
                  <w:vAlign w:val="center"/>
                </w:tcPr>
                <w:p>
                  <w:pPr>
                    <w:spacing w:after="0"/>
                    <w:jc w:val="center"/>
                    <w:rPr>
                      <w:szCs w:val="21"/>
                      <w:u w:val="wave"/>
                    </w:rPr>
                  </w:pPr>
                  <w:r>
                    <w:rPr>
                      <w:szCs w:val="21"/>
                      <w:u w:val="wave"/>
                    </w:rPr>
                    <w:t>油烟</w:t>
                  </w:r>
                </w:p>
              </w:tc>
              <w:tc>
                <w:tcPr>
                  <w:tcW w:w="1984" w:type="dxa"/>
                  <w:noWrap/>
                  <w:vAlign w:val="center"/>
                </w:tcPr>
                <w:p>
                  <w:pPr>
                    <w:spacing w:after="0"/>
                    <w:jc w:val="center"/>
                    <w:rPr>
                      <w:szCs w:val="21"/>
                      <w:u w:val="wave"/>
                    </w:rPr>
                  </w:pPr>
                  <w:r>
                    <w:rPr>
                      <w:szCs w:val="21"/>
                      <w:u w:val="wave"/>
                    </w:rPr>
                    <w:t>油烟净化器</w:t>
                  </w:r>
                  <w:r>
                    <w:rPr>
                      <w:rFonts w:hint="eastAsia"/>
                      <w:szCs w:val="21"/>
                      <w:u w:val="wave"/>
                    </w:rPr>
                    <w:t>+</w:t>
                  </w:r>
                  <w:r>
                    <w:rPr>
                      <w:szCs w:val="21"/>
                      <w:u w:val="wave"/>
                    </w:rPr>
                    <w:t>1</w:t>
                  </w:r>
                  <w:r>
                    <w:rPr>
                      <w:rFonts w:hint="eastAsia"/>
                      <w:szCs w:val="21"/>
                      <w:u w:val="wave"/>
                    </w:rPr>
                    <w:t>根1</w:t>
                  </w:r>
                  <w:r>
                    <w:rPr>
                      <w:szCs w:val="21"/>
                      <w:u w:val="wave"/>
                    </w:rPr>
                    <w:t>5</w:t>
                  </w:r>
                  <w:r>
                    <w:rPr>
                      <w:rFonts w:hint="eastAsia"/>
                      <w:szCs w:val="21"/>
                      <w:u w:val="wave"/>
                    </w:rPr>
                    <w:t>m高排气筒</w:t>
                  </w:r>
                </w:p>
              </w:tc>
              <w:tc>
                <w:tcPr>
                  <w:tcW w:w="2828" w:type="dxa"/>
                  <w:noWrap/>
                  <w:vAlign w:val="center"/>
                </w:tcPr>
                <w:p>
                  <w:pPr>
                    <w:spacing w:after="0"/>
                    <w:jc w:val="center"/>
                    <w:rPr>
                      <w:szCs w:val="21"/>
                      <w:u w:val="wave"/>
                    </w:rPr>
                  </w:pPr>
                  <w:r>
                    <w:rPr>
                      <w:szCs w:val="21"/>
                      <w:u w:val="wave"/>
                    </w:rPr>
                    <w:t>满足《饮食业油烟排放标准（试行）》（GB 18483-2001）表2中规定的排放限值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326" w:type="dxa"/>
                  <w:noWrap/>
                  <w:vAlign w:val="center"/>
                </w:tcPr>
                <w:p>
                  <w:pPr>
                    <w:spacing w:after="0"/>
                    <w:jc w:val="center"/>
                    <w:rPr>
                      <w:szCs w:val="21"/>
                      <w:u w:val="wave"/>
                    </w:rPr>
                  </w:pPr>
                  <w:r>
                    <w:rPr>
                      <w:szCs w:val="21"/>
                      <w:u w:val="wave"/>
                    </w:rPr>
                    <w:t>噪声</w:t>
                  </w:r>
                </w:p>
              </w:tc>
              <w:tc>
                <w:tcPr>
                  <w:tcW w:w="1370" w:type="dxa"/>
                  <w:noWrap/>
                  <w:vAlign w:val="center"/>
                </w:tcPr>
                <w:p>
                  <w:pPr>
                    <w:spacing w:after="0"/>
                    <w:jc w:val="center"/>
                    <w:rPr>
                      <w:szCs w:val="21"/>
                      <w:u w:val="wave"/>
                    </w:rPr>
                  </w:pPr>
                  <w:r>
                    <w:rPr>
                      <w:szCs w:val="21"/>
                      <w:u w:val="wave"/>
                    </w:rPr>
                    <w:t>噪声</w:t>
                  </w:r>
                </w:p>
              </w:tc>
              <w:tc>
                <w:tcPr>
                  <w:tcW w:w="1134" w:type="dxa"/>
                  <w:noWrap/>
                  <w:vAlign w:val="center"/>
                </w:tcPr>
                <w:p>
                  <w:pPr>
                    <w:spacing w:after="0"/>
                    <w:jc w:val="center"/>
                    <w:rPr>
                      <w:szCs w:val="21"/>
                      <w:u w:val="wave"/>
                    </w:rPr>
                  </w:pPr>
                  <w:r>
                    <w:rPr>
                      <w:szCs w:val="21"/>
                      <w:u w:val="wave"/>
                    </w:rPr>
                    <w:t>厂界</w:t>
                  </w:r>
                </w:p>
              </w:tc>
              <w:tc>
                <w:tcPr>
                  <w:tcW w:w="1418" w:type="dxa"/>
                  <w:noWrap/>
                  <w:vAlign w:val="center"/>
                </w:tcPr>
                <w:p>
                  <w:pPr>
                    <w:spacing w:after="0"/>
                    <w:jc w:val="center"/>
                    <w:rPr>
                      <w:szCs w:val="21"/>
                      <w:u w:val="wave"/>
                    </w:rPr>
                  </w:pPr>
                  <w:r>
                    <w:rPr>
                      <w:szCs w:val="21"/>
                      <w:u w:val="wave"/>
                    </w:rPr>
                    <w:t>噪声</w:t>
                  </w:r>
                </w:p>
              </w:tc>
              <w:tc>
                <w:tcPr>
                  <w:tcW w:w="1984" w:type="dxa"/>
                  <w:noWrap/>
                  <w:vAlign w:val="center"/>
                </w:tcPr>
                <w:p>
                  <w:pPr>
                    <w:spacing w:after="0"/>
                    <w:jc w:val="center"/>
                    <w:rPr>
                      <w:szCs w:val="21"/>
                      <w:u w:val="wave"/>
                    </w:rPr>
                  </w:pPr>
                  <w:r>
                    <w:rPr>
                      <w:color w:val="000000"/>
                      <w:szCs w:val="21"/>
                      <w:u w:val="wave"/>
                    </w:rPr>
                    <w:t>低噪声设备</w:t>
                  </w:r>
                  <w:r>
                    <w:rPr>
                      <w:rFonts w:hint="eastAsia"/>
                      <w:color w:val="000000"/>
                      <w:szCs w:val="21"/>
                      <w:u w:val="wave"/>
                    </w:rPr>
                    <w:t>，基础减振，绿化带，厂房隔声等</w:t>
                  </w:r>
                </w:p>
              </w:tc>
              <w:tc>
                <w:tcPr>
                  <w:tcW w:w="2828" w:type="dxa"/>
                  <w:noWrap/>
                  <w:vAlign w:val="center"/>
                </w:tcPr>
                <w:p>
                  <w:pPr>
                    <w:spacing w:after="0"/>
                    <w:jc w:val="center"/>
                    <w:rPr>
                      <w:szCs w:val="21"/>
                      <w:u w:val="wave"/>
                    </w:rPr>
                  </w:pPr>
                  <w:r>
                    <w:rPr>
                      <w:rFonts w:hint="eastAsia"/>
                      <w:szCs w:val="21"/>
                      <w:u w:val="wave"/>
                    </w:rPr>
                    <w:t>满足</w:t>
                  </w:r>
                  <w:r>
                    <w:rPr>
                      <w:szCs w:val="21"/>
                      <w:u w:val="wave"/>
                    </w:rPr>
                    <w:t>《工业企业厂界环境噪声排放标准》（GB12348-2008）2类标准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326" w:type="dxa"/>
                  <w:vMerge w:val="restart"/>
                  <w:noWrap/>
                  <w:vAlign w:val="center"/>
                </w:tcPr>
                <w:p>
                  <w:pPr>
                    <w:spacing w:after="0"/>
                    <w:jc w:val="center"/>
                    <w:rPr>
                      <w:szCs w:val="21"/>
                      <w:u w:val="wave"/>
                    </w:rPr>
                  </w:pPr>
                  <w:r>
                    <w:rPr>
                      <w:szCs w:val="21"/>
                      <w:u w:val="wave"/>
                    </w:rPr>
                    <w:t>固体废物</w:t>
                  </w:r>
                </w:p>
              </w:tc>
              <w:tc>
                <w:tcPr>
                  <w:tcW w:w="1370" w:type="dxa"/>
                  <w:noWrap/>
                  <w:vAlign w:val="center"/>
                </w:tcPr>
                <w:p>
                  <w:pPr>
                    <w:spacing w:after="0"/>
                    <w:jc w:val="center"/>
                    <w:rPr>
                      <w:szCs w:val="21"/>
                      <w:u w:val="wave"/>
                    </w:rPr>
                  </w:pPr>
                  <w:r>
                    <w:rPr>
                      <w:szCs w:val="21"/>
                      <w:u w:val="wave"/>
                    </w:rPr>
                    <w:t>一般固废</w:t>
                  </w:r>
                </w:p>
              </w:tc>
              <w:tc>
                <w:tcPr>
                  <w:tcW w:w="4536" w:type="dxa"/>
                  <w:gridSpan w:val="3"/>
                  <w:noWrap/>
                  <w:vAlign w:val="center"/>
                </w:tcPr>
                <w:p>
                  <w:pPr>
                    <w:spacing w:after="0"/>
                    <w:jc w:val="center"/>
                    <w:rPr>
                      <w:szCs w:val="21"/>
                      <w:u w:val="wave"/>
                    </w:rPr>
                  </w:pPr>
                  <w:r>
                    <w:rPr>
                      <w:rFonts w:hint="eastAsia"/>
                      <w:szCs w:val="21"/>
                      <w:u w:val="wave"/>
                    </w:rPr>
                    <w:t>除尘设备收集的粉尘、砂石分离机分离后的砂石、三级沉淀池沉淀泥砂及实验室废料均回用于生产</w:t>
                  </w:r>
                </w:p>
              </w:tc>
              <w:tc>
                <w:tcPr>
                  <w:tcW w:w="2828" w:type="dxa"/>
                  <w:noWrap/>
                  <w:vAlign w:val="center"/>
                </w:tcPr>
                <w:p>
                  <w:pPr>
                    <w:spacing w:after="0"/>
                    <w:jc w:val="center"/>
                    <w:rPr>
                      <w:szCs w:val="21"/>
                      <w:u w:val="wave"/>
                    </w:rPr>
                  </w:pPr>
                  <w:r>
                    <w:rPr>
                      <w:rFonts w:hint="eastAsia"/>
                      <w:szCs w:val="21"/>
                      <w:u w:val="wave"/>
                    </w:rPr>
                    <w:t>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326" w:type="dxa"/>
                  <w:vMerge w:val="continue"/>
                  <w:noWrap/>
                  <w:vAlign w:val="center"/>
                </w:tcPr>
                <w:p>
                  <w:pPr>
                    <w:spacing w:after="0"/>
                    <w:jc w:val="center"/>
                    <w:rPr>
                      <w:u w:val="wave"/>
                    </w:rPr>
                  </w:pPr>
                </w:p>
              </w:tc>
              <w:tc>
                <w:tcPr>
                  <w:tcW w:w="1370" w:type="dxa"/>
                  <w:noWrap/>
                  <w:vAlign w:val="center"/>
                </w:tcPr>
                <w:p>
                  <w:pPr>
                    <w:spacing w:after="0"/>
                    <w:jc w:val="center"/>
                    <w:rPr>
                      <w:szCs w:val="21"/>
                      <w:u w:val="wave"/>
                    </w:rPr>
                  </w:pPr>
                  <w:r>
                    <w:rPr>
                      <w:szCs w:val="21"/>
                      <w:u w:val="wave"/>
                    </w:rPr>
                    <w:t>生活垃圾</w:t>
                  </w:r>
                </w:p>
              </w:tc>
              <w:tc>
                <w:tcPr>
                  <w:tcW w:w="4536" w:type="dxa"/>
                  <w:gridSpan w:val="3"/>
                  <w:noWrap/>
                  <w:vAlign w:val="center"/>
                </w:tcPr>
                <w:p>
                  <w:pPr>
                    <w:spacing w:after="0"/>
                    <w:jc w:val="center"/>
                    <w:rPr>
                      <w:szCs w:val="21"/>
                      <w:u w:val="wave"/>
                    </w:rPr>
                  </w:pPr>
                  <w:r>
                    <w:rPr>
                      <w:szCs w:val="21"/>
                      <w:u w:val="wave"/>
                    </w:rPr>
                    <w:t>统一收集后交由环卫部门处理</w:t>
                  </w:r>
                </w:p>
              </w:tc>
              <w:tc>
                <w:tcPr>
                  <w:tcW w:w="2828" w:type="dxa"/>
                  <w:noWrap/>
                  <w:vAlign w:val="center"/>
                </w:tcPr>
                <w:p>
                  <w:pPr>
                    <w:spacing w:after="0"/>
                    <w:jc w:val="center"/>
                    <w:rPr>
                      <w:szCs w:val="21"/>
                      <w:u w:val="wave"/>
                    </w:rPr>
                  </w:pPr>
                  <w:r>
                    <w:rPr>
                      <w:szCs w:val="21"/>
                      <w:u w:val="wave"/>
                    </w:rPr>
                    <w:t>统一收集后交由环卫部门处理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trPr>
              <w:tc>
                <w:tcPr>
                  <w:tcW w:w="326" w:type="dxa"/>
                  <w:vMerge w:val="continue"/>
                  <w:noWrap/>
                  <w:vAlign w:val="center"/>
                </w:tcPr>
                <w:p>
                  <w:pPr>
                    <w:spacing w:after="0"/>
                    <w:jc w:val="center"/>
                    <w:rPr>
                      <w:szCs w:val="21"/>
                      <w:u w:val="wave"/>
                    </w:rPr>
                  </w:pPr>
                </w:p>
              </w:tc>
              <w:tc>
                <w:tcPr>
                  <w:tcW w:w="1370" w:type="dxa"/>
                  <w:noWrap/>
                  <w:vAlign w:val="center"/>
                </w:tcPr>
                <w:p>
                  <w:pPr>
                    <w:spacing w:after="0"/>
                    <w:jc w:val="center"/>
                    <w:rPr>
                      <w:szCs w:val="21"/>
                      <w:u w:val="wave"/>
                    </w:rPr>
                  </w:pPr>
                  <w:r>
                    <w:rPr>
                      <w:szCs w:val="21"/>
                      <w:u w:val="wave"/>
                    </w:rPr>
                    <w:t>危险废物</w:t>
                  </w:r>
                </w:p>
              </w:tc>
              <w:tc>
                <w:tcPr>
                  <w:tcW w:w="7364" w:type="dxa"/>
                  <w:gridSpan w:val="4"/>
                  <w:noWrap/>
                  <w:vAlign w:val="center"/>
                </w:tcPr>
                <w:p>
                  <w:pPr>
                    <w:spacing w:after="0"/>
                    <w:jc w:val="center"/>
                    <w:rPr>
                      <w:szCs w:val="21"/>
                      <w:u w:val="wave"/>
                    </w:rPr>
                  </w:pPr>
                  <w:r>
                    <w:rPr>
                      <w:szCs w:val="21"/>
                      <w:u w:val="wave"/>
                    </w:rPr>
                    <w:t>机械设备维修等均委托专门的维修机构修理，废机油、含油抹布和手套均不在厂区内贮存，由维修机构带走。</w:t>
                  </w:r>
                </w:p>
              </w:tc>
            </w:tr>
          </w:tbl>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p>
            <w:pPr>
              <w:pStyle w:val="35"/>
              <w:spacing w:after="0" w:line="360" w:lineRule="auto"/>
              <w:jc w:val="both"/>
              <w:rPr>
                <w:rFonts w:ascii="Times New Roman" w:cs="Times New Roman"/>
                <w:color w:val="auto"/>
                <w:szCs w:val="32"/>
              </w:rPr>
            </w:pPr>
          </w:p>
        </w:tc>
      </w:tr>
    </w:tbl>
    <w:p>
      <w:pPr>
        <w:pStyle w:val="35"/>
        <w:rPr>
          <w:rFonts w:ascii="Times New Roman" w:cs="Times New Roman"/>
          <w:b/>
          <w:bCs/>
          <w:color w:val="auto"/>
          <w:sz w:val="32"/>
          <w:szCs w:val="40"/>
        </w:rPr>
        <w:sectPr>
          <w:pgSz w:w="11906" w:h="16838"/>
          <w:pgMar w:top="1134" w:right="1417" w:bottom="1134" w:left="1417" w:header="851" w:footer="992" w:gutter="0"/>
          <w:cols w:space="720" w:num="1"/>
          <w:docGrid w:type="lines" w:linePitch="312" w:charSpace="0"/>
        </w:sectPr>
      </w:pPr>
    </w:p>
    <w:p>
      <w:pPr>
        <w:pStyle w:val="35"/>
        <w:outlineLvl w:val="0"/>
        <w:rPr>
          <w:rFonts w:ascii="Times New Roman" w:cs="Times New Roman"/>
          <w:b/>
          <w:bCs/>
          <w:color w:val="auto"/>
          <w:sz w:val="32"/>
          <w:szCs w:val="40"/>
        </w:rPr>
      </w:pPr>
      <w:bookmarkStart w:id="95" w:name="_Toc17058"/>
      <w:r>
        <w:rPr>
          <w:rFonts w:hint="eastAsia" w:ascii="Times New Roman" w:cs="Times New Roman"/>
          <w:b/>
          <w:bCs/>
          <w:color w:val="auto"/>
          <w:sz w:val="32"/>
          <w:szCs w:val="40"/>
        </w:rPr>
        <w:t>8建设项目拟采取的防治措施及预期治理效果</w:t>
      </w:r>
      <w:bookmarkEnd w:id="95"/>
    </w:p>
    <w:tbl>
      <w:tblPr>
        <w:tblStyle w:val="22"/>
        <w:tblW w:w="94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2"/>
        <w:gridCol w:w="522"/>
        <w:gridCol w:w="2064"/>
        <w:gridCol w:w="1560"/>
        <w:gridCol w:w="2613"/>
        <w:gridCol w:w="2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44" w:type="dxa"/>
            <w:gridSpan w:val="2"/>
            <w:tcBorders>
              <w:top w:val="single" w:color="auto" w:sz="8" w:space="0"/>
              <w:left w:val="single" w:color="auto" w:sz="8" w:space="0"/>
              <w:bottom w:val="single" w:color="auto" w:sz="6" w:space="0"/>
              <w:right w:val="single" w:color="auto" w:sz="6" w:space="0"/>
            </w:tcBorders>
            <w:vAlign w:val="center"/>
          </w:tcPr>
          <w:p>
            <w:pPr>
              <w:spacing w:line="240" w:lineRule="auto"/>
              <w:jc w:val="center"/>
              <w:rPr>
                <w:b/>
                <w:bCs/>
                <w:szCs w:val="21"/>
              </w:rPr>
            </w:pPr>
            <w:r>
              <w:rPr>
                <w:b/>
                <w:bCs/>
                <w:szCs w:val="21"/>
              </w:rPr>
              <w:t>类型</w:t>
            </w:r>
          </w:p>
        </w:tc>
        <w:tc>
          <w:tcPr>
            <w:tcW w:w="2064" w:type="dxa"/>
            <w:tcBorders>
              <w:top w:val="single" w:color="auto" w:sz="8" w:space="0"/>
              <w:left w:val="single" w:color="auto" w:sz="6" w:space="0"/>
              <w:bottom w:val="single" w:color="auto" w:sz="4" w:space="0"/>
              <w:right w:val="single" w:color="auto" w:sz="6" w:space="0"/>
            </w:tcBorders>
            <w:vAlign w:val="center"/>
          </w:tcPr>
          <w:p>
            <w:pPr>
              <w:spacing w:line="240" w:lineRule="auto"/>
              <w:jc w:val="center"/>
              <w:rPr>
                <w:b/>
                <w:bCs/>
                <w:szCs w:val="21"/>
              </w:rPr>
            </w:pPr>
            <w:r>
              <w:rPr>
                <w:b/>
                <w:bCs/>
                <w:szCs w:val="21"/>
              </w:rPr>
              <w:t>排放源</w:t>
            </w:r>
          </w:p>
        </w:tc>
        <w:tc>
          <w:tcPr>
            <w:tcW w:w="1560" w:type="dxa"/>
            <w:tcBorders>
              <w:top w:val="single" w:color="auto" w:sz="8" w:space="0"/>
              <w:left w:val="single" w:color="auto" w:sz="6" w:space="0"/>
              <w:bottom w:val="single" w:color="auto" w:sz="4" w:space="0"/>
              <w:right w:val="single" w:color="auto" w:sz="6" w:space="0"/>
            </w:tcBorders>
            <w:vAlign w:val="center"/>
          </w:tcPr>
          <w:p>
            <w:pPr>
              <w:spacing w:line="240" w:lineRule="auto"/>
              <w:jc w:val="center"/>
              <w:rPr>
                <w:b/>
                <w:bCs/>
                <w:szCs w:val="21"/>
              </w:rPr>
            </w:pPr>
            <w:r>
              <w:rPr>
                <w:b/>
                <w:bCs/>
                <w:szCs w:val="21"/>
              </w:rPr>
              <w:t>污染物名称</w:t>
            </w:r>
          </w:p>
        </w:tc>
        <w:tc>
          <w:tcPr>
            <w:tcW w:w="2613" w:type="dxa"/>
            <w:tcBorders>
              <w:top w:val="single" w:color="auto" w:sz="8" w:space="0"/>
              <w:left w:val="single" w:color="auto" w:sz="6" w:space="0"/>
              <w:bottom w:val="single" w:color="auto" w:sz="4" w:space="0"/>
              <w:right w:val="single" w:color="auto" w:sz="6" w:space="0"/>
            </w:tcBorders>
            <w:vAlign w:val="center"/>
          </w:tcPr>
          <w:p>
            <w:pPr>
              <w:spacing w:line="240" w:lineRule="auto"/>
              <w:jc w:val="center"/>
              <w:rPr>
                <w:b/>
                <w:bCs/>
                <w:szCs w:val="21"/>
              </w:rPr>
            </w:pPr>
            <w:r>
              <w:rPr>
                <w:b/>
                <w:bCs/>
                <w:szCs w:val="21"/>
              </w:rPr>
              <w:t>防治措施</w:t>
            </w:r>
          </w:p>
        </w:tc>
        <w:tc>
          <w:tcPr>
            <w:tcW w:w="2176" w:type="dxa"/>
            <w:tcBorders>
              <w:top w:val="single" w:color="auto" w:sz="8" w:space="0"/>
              <w:left w:val="single" w:color="auto" w:sz="6" w:space="0"/>
              <w:bottom w:val="single" w:color="auto" w:sz="6" w:space="0"/>
              <w:right w:val="single" w:color="auto" w:sz="8" w:space="0"/>
            </w:tcBorders>
            <w:vAlign w:val="center"/>
          </w:tcPr>
          <w:p>
            <w:pPr>
              <w:spacing w:line="240" w:lineRule="auto"/>
              <w:jc w:val="center"/>
              <w:rPr>
                <w:b/>
                <w:bCs/>
                <w:szCs w:val="21"/>
              </w:rPr>
            </w:pPr>
            <w:r>
              <w:rPr>
                <w:b/>
                <w:bCs/>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restart"/>
            <w:tcBorders>
              <w:left w:val="single" w:color="auto" w:sz="8" w:space="0"/>
              <w:right w:val="single" w:color="auto" w:sz="6" w:space="0"/>
            </w:tcBorders>
            <w:vAlign w:val="center"/>
          </w:tcPr>
          <w:p>
            <w:pPr>
              <w:pStyle w:val="50"/>
              <w:spacing w:line="240" w:lineRule="auto"/>
            </w:pPr>
            <w:r>
              <w:rPr>
                <w:rFonts w:hint="eastAsia"/>
              </w:rPr>
              <w:t>施工期</w:t>
            </w:r>
          </w:p>
        </w:tc>
        <w:tc>
          <w:tcPr>
            <w:tcW w:w="522" w:type="dxa"/>
            <w:vMerge w:val="restart"/>
            <w:tcBorders>
              <w:left w:val="single" w:color="auto" w:sz="8" w:space="0"/>
              <w:right w:val="single" w:color="auto" w:sz="6" w:space="0"/>
            </w:tcBorders>
            <w:vAlign w:val="center"/>
          </w:tcPr>
          <w:p>
            <w:pPr>
              <w:pStyle w:val="50"/>
              <w:spacing w:line="240" w:lineRule="auto"/>
            </w:pPr>
            <w:r>
              <w:rPr>
                <w:rFonts w:hint="eastAsia"/>
              </w:rPr>
              <w:t>废水</w:t>
            </w:r>
          </w:p>
        </w:tc>
        <w:tc>
          <w:tcPr>
            <w:tcW w:w="2064" w:type="dxa"/>
            <w:tcBorders>
              <w:top w:val="single" w:color="auto" w:sz="6" w:space="0"/>
              <w:left w:val="single" w:color="auto" w:sz="6" w:space="0"/>
              <w:bottom w:val="single" w:color="auto" w:sz="4" w:space="0"/>
              <w:right w:val="single" w:color="auto" w:sz="6" w:space="0"/>
            </w:tcBorders>
            <w:vAlign w:val="center"/>
          </w:tcPr>
          <w:p>
            <w:pPr>
              <w:pStyle w:val="50"/>
              <w:spacing w:line="240" w:lineRule="auto"/>
            </w:pPr>
            <w:r>
              <w:t>施工作业废水</w:t>
            </w:r>
          </w:p>
        </w:tc>
        <w:tc>
          <w:tcPr>
            <w:tcW w:w="1560" w:type="dxa"/>
            <w:tcBorders>
              <w:top w:val="single" w:color="auto" w:sz="6" w:space="0"/>
              <w:left w:val="single" w:color="auto" w:sz="6" w:space="0"/>
              <w:bottom w:val="single" w:color="auto" w:sz="4" w:space="0"/>
              <w:right w:val="single" w:color="auto" w:sz="6" w:space="0"/>
            </w:tcBorders>
            <w:vAlign w:val="center"/>
          </w:tcPr>
          <w:p>
            <w:pPr>
              <w:pStyle w:val="50"/>
              <w:spacing w:line="240" w:lineRule="auto"/>
            </w:pPr>
            <w:r>
              <w:rPr>
                <w:rFonts w:hint="eastAsia"/>
              </w:rPr>
              <w:t>SS</w:t>
            </w:r>
            <w:r>
              <w:t xml:space="preserve"> </w:t>
            </w:r>
          </w:p>
        </w:tc>
        <w:tc>
          <w:tcPr>
            <w:tcW w:w="2613" w:type="dxa"/>
            <w:tcBorders>
              <w:top w:val="single" w:color="auto" w:sz="6" w:space="0"/>
              <w:left w:val="single" w:color="auto" w:sz="6" w:space="0"/>
              <w:bottom w:val="single" w:color="auto" w:sz="6" w:space="0"/>
              <w:right w:val="single" w:color="auto" w:sz="6" w:space="0"/>
            </w:tcBorders>
            <w:vAlign w:val="center"/>
          </w:tcPr>
          <w:p>
            <w:pPr>
              <w:pStyle w:val="50"/>
              <w:spacing w:line="240" w:lineRule="auto"/>
              <w:rPr>
                <w:szCs w:val="21"/>
              </w:rPr>
            </w:pPr>
            <w:r>
              <w:rPr>
                <w:rFonts w:hint="eastAsia"/>
                <w:szCs w:val="21"/>
              </w:rPr>
              <w:t>沉淀池处理</w:t>
            </w:r>
          </w:p>
        </w:tc>
        <w:tc>
          <w:tcPr>
            <w:tcW w:w="2176" w:type="dxa"/>
            <w:tcBorders>
              <w:left w:val="single" w:color="auto" w:sz="6" w:space="0"/>
              <w:right w:val="single" w:color="auto" w:sz="8" w:space="0"/>
            </w:tcBorders>
            <w:vAlign w:val="center"/>
          </w:tcPr>
          <w:p>
            <w:pPr>
              <w:pStyle w:val="50"/>
              <w:spacing w:line="240" w:lineRule="auto"/>
            </w:pPr>
            <w:r>
              <w:rPr>
                <w:rFonts w:hint="eastAsia"/>
              </w:rPr>
              <w:t>回用，不外排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pStyle w:val="50"/>
              <w:spacing w:line="240" w:lineRule="auto"/>
            </w:pPr>
          </w:p>
        </w:tc>
        <w:tc>
          <w:tcPr>
            <w:tcW w:w="522" w:type="dxa"/>
            <w:vMerge w:val="continue"/>
            <w:tcBorders>
              <w:left w:val="single" w:color="auto" w:sz="8" w:space="0"/>
              <w:right w:val="single" w:color="auto" w:sz="6" w:space="0"/>
            </w:tcBorders>
            <w:vAlign w:val="center"/>
          </w:tcPr>
          <w:p>
            <w:pPr>
              <w:pStyle w:val="50"/>
              <w:spacing w:line="240" w:lineRule="auto"/>
            </w:pPr>
          </w:p>
        </w:tc>
        <w:tc>
          <w:tcPr>
            <w:tcW w:w="2064" w:type="dxa"/>
            <w:tcBorders>
              <w:top w:val="single" w:color="auto" w:sz="6" w:space="0"/>
              <w:left w:val="single" w:color="auto" w:sz="6" w:space="0"/>
              <w:bottom w:val="single" w:color="auto" w:sz="4" w:space="0"/>
              <w:right w:val="single" w:color="auto" w:sz="6" w:space="0"/>
            </w:tcBorders>
            <w:vAlign w:val="center"/>
          </w:tcPr>
          <w:p>
            <w:pPr>
              <w:pStyle w:val="50"/>
              <w:spacing w:line="240" w:lineRule="auto"/>
            </w:pPr>
            <w:r>
              <w:t>生活污水</w:t>
            </w:r>
          </w:p>
        </w:tc>
        <w:tc>
          <w:tcPr>
            <w:tcW w:w="1560" w:type="dxa"/>
            <w:tcBorders>
              <w:top w:val="single" w:color="auto" w:sz="6" w:space="0"/>
              <w:left w:val="single" w:color="auto" w:sz="6" w:space="0"/>
              <w:bottom w:val="single" w:color="auto" w:sz="4" w:space="0"/>
              <w:right w:val="single" w:color="auto" w:sz="6" w:space="0"/>
            </w:tcBorders>
            <w:vAlign w:val="center"/>
          </w:tcPr>
          <w:p>
            <w:pPr>
              <w:pStyle w:val="50"/>
              <w:spacing w:line="240" w:lineRule="auto"/>
            </w:pPr>
            <w:r>
              <w:t>COD</w:t>
            </w:r>
            <w:r>
              <w:rPr>
                <w:rFonts w:hint="eastAsia"/>
              </w:rPr>
              <w:t>、BOD</w:t>
            </w:r>
            <w:r>
              <w:rPr>
                <w:rFonts w:hint="eastAsia"/>
                <w:vertAlign w:val="subscript"/>
              </w:rPr>
              <w:t>5</w:t>
            </w:r>
            <w:r>
              <w:rPr>
                <w:rFonts w:hint="eastAsia"/>
              </w:rPr>
              <w:t>、</w:t>
            </w:r>
            <w:r>
              <w:t>NH</w:t>
            </w:r>
            <w:r>
              <w:rPr>
                <w:vertAlign w:val="subscript"/>
              </w:rPr>
              <w:t>3</w:t>
            </w:r>
            <w:r>
              <w:t>-N</w:t>
            </w:r>
            <w:r>
              <w:rPr>
                <w:rFonts w:hint="eastAsia"/>
              </w:rPr>
              <w:t xml:space="preserve">、SS </w:t>
            </w:r>
          </w:p>
        </w:tc>
        <w:tc>
          <w:tcPr>
            <w:tcW w:w="2613" w:type="dxa"/>
            <w:tcBorders>
              <w:top w:val="single" w:color="auto" w:sz="6" w:space="0"/>
              <w:left w:val="single" w:color="auto" w:sz="6" w:space="0"/>
              <w:bottom w:val="single" w:color="auto" w:sz="6" w:space="0"/>
              <w:right w:val="single" w:color="auto" w:sz="6" w:space="0"/>
            </w:tcBorders>
            <w:vAlign w:val="center"/>
          </w:tcPr>
          <w:p>
            <w:pPr>
              <w:pStyle w:val="50"/>
              <w:spacing w:line="240" w:lineRule="auto"/>
            </w:pPr>
            <w:r>
              <w:t>化粪池</w:t>
            </w:r>
            <w:r>
              <w:rPr>
                <w:rFonts w:hint="eastAsia"/>
              </w:rPr>
              <w:t>处理</w:t>
            </w:r>
          </w:p>
        </w:tc>
        <w:tc>
          <w:tcPr>
            <w:tcW w:w="2176" w:type="dxa"/>
            <w:tcBorders>
              <w:left w:val="single" w:color="auto" w:sz="6" w:space="0"/>
              <w:right w:val="single" w:color="auto" w:sz="8" w:space="0"/>
            </w:tcBorders>
            <w:vAlign w:val="center"/>
          </w:tcPr>
          <w:p>
            <w:pPr>
              <w:pStyle w:val="50"/>
              <w:spacing w:line="240" w:lineRule="auto"/>
            </w:pPr>
            <w:r>
              <w:rPr>
                <w:rFonts w:hint="eastAsia"/>
              </w:rPr>
              <w:t>用于周边农田灌溉，不外排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pStyle w:val="50"/>
              <w:spacing w:line="240" w:lineRule="auto"/>
            </w:pPr>
          </w:p>
        </w:tc>
        <w:tc>
          <w:tcPr>
            <w:tcW w:w="522" w:type="dxa"/>
            <w:tcBorders>
              <w:left w:val="single" w:color="auto" w:sz="8" w:space="0"/>
              <w:right w:val="single" w:color="auto" w:sz="6" w:space="0"/>
            </w:tcBorders>
            <w:vAlign w:val="center"/>
          </w:tcPr>
          <w:p>
            <w:pPr>
              <w:pStyle w:val="50"/>
              <w:spacing w:line="240" w:lineRule="auto"/>
            </w:pPr>
            <w:r>
              <w:rPr>
                <w:rFonts w:hint="eastAsia"/>
              </w:rPr>
              <w:t>废气</w:t>
            </w:r>
          </w:p>
        </w:tc>
        <w:tc>
          <w:tcPr>
            <w:tcW w:w="2064" w:type="dxa"/>
            <w:tcBorders>
              <w:top w:val="single" w:color="auto" w:sz="6" w:space="0"/>
              <w:left w:val="single" w:color="auto" w:sz="6" w:space="0"/>
              <w:bottom w:val="single" w:color="auto" w:sz="4" w:space="0"/>
              <w:right w:val="single" w:color="auto" w:sz="6" w:space="0"/>
            </w:tcBorders>
            <w:vAlign w:val="center"/>
          </w:tcPr>
          <w:p>
            <w:pPr>
              <w:pStyle w:val="50"/>
              <w:spacing w:line="240" w:lineRule="auto"/>
            </w:pPr>
            <w:r>
              <w:t>施工扬尘</w:t>
            </w:r>
          </w:p>
        </w:tc>
        <w:tc>
          <w:tcPr>
            <w:tcW w:w="1560" w:type="dxa"/>
            <w:tcBorders>
              <w:top w:val="single" w:color="auto" w:sz="6" w:space="0"/>
              <w:left w:val="single" w:color="auto" w:sz="6" w:space="0"/>
              <w:bottom w:val="single" w:color="auto" w:sz="4" w:space="0"/>
              <w:right w:val="single" w:color="auto" w:sz="6" w:space="0"/>
            </w:tcBorders>
            <w:vAlign w:val="center"/>
          </w:tcPr>
          <w:p>
            <w:pPr>
              <w:pStyle w:val="50"/>
              <w:spacing w:line="240" w:lineRule="auto"/>
            </w:pPr>
            <w:r>
              <w:rPr>
                <w:rFonts w:hint="eastAsia"/>
              </w:rPr>
              <w:t>颗粒物</w:t>
            </w:r>
          </w:p>
        </w:tc>
        <w:tc>
          <w:tcPr>
            <w:tcW w:w="2613" w:type="dxa"/>
            <w:tcBorders>
              <w:top w:val="single" w:color="auto" w:sz="6" w:space="0"/>
              <w:left w:val="single" w:color="auto" w:sz="6" w:space="0"/>
              <w:bottom w:val="single" w:color="auto" w:sz="6" w:space="0"/>
              <w:right w:val="single" w:color="auto" w:sz="6" w:space="0"/>
            </w:tcBorders>
            <w:vAlign w:val="center"/>
          </w:tcPr>
          <w:p>
            <w:pPr>
              <w:pStyle w:val="50"/>
              <w:spacing w:line="240" w:lineRule="auto"/>
              <w:rPr>
                <w:szCs w:val="21"/>
              </w:rPr>
            </w:pPr>
            <w:r>
              <w:rPr>
                <w:rFonts w:hint="eastAsia"/>
              </w:rPr>
              <w:t>设置施工围挡、洒水抑尘、车辆冲洗</w:t>
            </w:r>
          </w:p>
        </w:tc>
        <w:tc>
          <w:tcPr>
            <w:tcW w:w="2176" w:type="dxa"/>
            <w:tcBorders>
              <w:left w:val="single" w:color="auto" w:sz="6" w:space="0"/>
              <w:right w:val="single" w:color="auto" w:sz="8" w:space="0"/>
            </w:tcBorders>
            <w:vAlign w:val="center"/>
          </w:tcPr>
          <w:p>
            <w:pPr>
              <w:pStyle w:val="50"/>
              <w:spacing w:line="240" w:lineRule="auto"/>
            </w:pPr>
            <w:r>
              <w:rPr>
                <w:rFonts w:hint="eastAsia"/>
              </w:rPr>
              <w:t>满足《大气污染物综合排放标准》（GB16297-1996）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pStyle w:val="50"/>
              <w:spacing w:line="240" w:lineRule="auto"/>
            </w:pPr>
          </w:p>
        </w:tc>
        <w:tc>
          <w:tcPr>
            <w:tcW w:w="522" w:type="dxa"/>
            <w:tcBorders>
              <w:left w:val="single" w:color="auto" w:sz="8" w:space="0"/>
              <w:right w:val="single" w:color="auto" w:sz="6" w:space="0"/>
            </w:tcBorders>
            <w:vAlign w:val="center"/>
          </w:tcPr>
          <w:p>
            <w:pPr>
              <w:pStyle w:val="50"/>
              <w:spacing w:line="240" w:lineRule="auto"/>
            </w:pPr>
            <w:r>
              <w:rPr>
                <w:rFonts w:hint="eastAsia"/>
                <w:szCs w:val="21"/>
              </w:rPr>
              <w:t>噪声</w:t>
            </w:r>
          </w:p>
        </w:tc>
        <w:tc>
          <w:tcPr>
            <w:tcW w:w="2064" w:type="dxa"/>
            <w:tcBorders>
              <w:top w:val="single" w:color="auto" w:sz="6" w:space="0"/>
              <w:left w:val="single" w:color="auto" w:sz="6" w:space="0"/>
              <w:bottom w:val="single" w:color="auto" w:sz="4" w:space="0"/>
              <w:right w:val="single" w:color="auto" w:sz="6" w:space="0"/>
            </w:tcBorders>
            <w:vAlign w:val="center"/>
          </w:tcPr>
          <w:p>
            <w:pPr>
              <w:pStyle w:val="50"/>
              <w:spacing w:line="240" w:lineRule="auto"/>
            </w:pPr>
            <w:r>
              <w:rPr>
                <w:rFonts w:hint="eastAsia"/>
                <w:szCs w:val="21"/>
              </w:rPr>
              <w:t>施工作业、机械车辆</w:t>
            </w:r>
          </w:p>
        </w:tc>
        <w:tc>
          <w:tcPr>
            <w:tcW w:w="1560" w:type="dxa"/>
            <w:tcBorders>
              <w:top w:val="single" w:color="auto" w:sz="6" w:space="0"/>
              <w:left w:val="single" w:color="auto" w:sz="6" w:space="0"/>
              <w:bottom w:val="single" w:color="auto" w:sz="4" w:space="0"/>
              <w:right w:val="single" w:color="auto" w:sz="6" w:space="0"/>
            </w:tcBorders>
            <w:vAlign w:val="center"/>
          </w:tcPr>
          <w:p>
            <w:pPr>
              <w:pStyle w:val="50"/>
              <w:spacing w:line="240" w:lineRule="auto"/>
            </w:pPr>
            <w:r>
              <w:rPr>
                <w:rFonts w:hint="eastAsia"/>
              </w:rPr>
              <w:t>噪声</w:t>
            </w:r>
          </w:p>
        </w:tc>
        <w:tc>
          <w:tcPr>
            <w:tcW w:w="2613" w:type="dxa"/>
            <w:tcBorders>
              <w:top w:val="single" w:color="auto" w:sz="6" w:space="0"/>
              <w:left w:val="single" w:color="auto" w:sz="6" w:space="0"/>
              <w:bottom w:val="single" w:color="auto" w:sz="6" w:space="0"/>
              <w:right w:val="single" w:color="auto" w:sz="6" w:space="0"/>
            </w:tcBorders>
            <w:vAlign w:val="center"/>
          </w:tcPr>
          <w:p>
            <w:pPr>
              <w:pStyle w:val="50"/>
              <w:spacing w:line="240" w:lineRule="auto"/>
            </w:pPr>
            <w:r>
              <w:t>合理布局施工现场、隔声减</w:t>
            </w:r>
            <w:r>
              <w:rPr>
                <w:rFonts w:hint="eastAsia"/>
              </w:rPr>
              <w:t>振</w:t>
            </w:r>
            <w:r>
              <w:t>、控制施工时间；输车辆低速慢行，禁止鸣笛</w:t>
            </w:r>
          </w:p>
        </w:tc>
        <w:tc>
          <w:tcPr>
            <w:tcW w:w="2176" w:type="dxa"/>
            <w:tcBorders>
              <w:left w:val="single" w:color="auto" w:sz="6" w:space="0"/>
              <w:right w:val="single" w:color="auto" w:sz="8" w:space="0"/>
            </w:tcBorders>
            <w:vAlign w:val="center"/>
          </w:tcPr>
          <w:p>
            <w:pPr>
              <w:pStyle w:val="50"/>
              <w:spacing w:line="240" w:lineRule="auto"/>
            </w:pPr>
            <w:r>
              <w:rPr>
                <w:rFonts w:hint="eastAsia"/>
              </w:rPr>
              <w:t>满足</w:t>
            </w:r>
            <w:r>
              <w:t>《建筑施工场界环境噪声排放标准》（GB12523-2011）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pStyle w:val="50"/>
              <w:spacing w:line="240" w:lineRule="auto"/>
            </w:pPr>
          </w:p>
        </w:tc>
        <w:tc>
          <w:tcPr>
            <w:tcW w:w="522" w:type="dxa"/>
            <w:vMerge w:val="restart"/>
            <w:tcBorders>
              <w:left w:val="single" w:color="auto" w:sz="8" w:space="0"/>
              <w:right w:val="single" w:color="auto" w:sz="6" w:space="0"/>
            </w:tcBorders>
            <w:vAlign w:val="center"/>
          </w:tcPr>
          <w:p>
            <w:pPr>
              <w:pStyle w:val="50"/>
              <w:spacing w:line="240" w:lineRule="auto"/>
            </w:pPr>
            <w:r>
              <w:rPr>
                <w:rFonts w:hint="eastAsia"/>
              </w:rPr>
              <w:t>固废</w:t>
            </w:r>
          </w:p>
        </w:tc>
        <w:tc>
          <w:tcPr>
            <w:tcW w:w="2064" w:type="dxa"/>
            <w:tcBorders>
              <w:top w:val="single" w:color="auto" w:sz="6" w:space="0"/>
              <w:left w:val="single" w:color="auto" w:sz="6" w:space="0"/>
              <w:bottom w:val="single" w:color="auto" w:sz="4" w:space="0"/>
              <w:right w:val="single" w:color="auto" w:sz="6" w:space="0"/>
            </w:tcBorders>
            <w:vAlign w:val="center"/>
          </w:tcPr>
          <w:p>
            <w:pPr>
              <w:pStyle w:val="50"/>
              <w:spacing w:line="240" w:lineRule="auto"/>
            </w:pPr>
            <w:r>
              <w:rPr>
                <w:rFonts w:hint="eastAsia"/>
                <w:szCs w:val="21"/>
              </w:rPr>
              <w:t>施工作业</w:t>
            </w:r>
          </w:p>
        </w:tc>
        <w:tc>
          <w:tcPr>
            <w:tcW w:w="1560" w:type="dxa"/>
            <w:tcBorders>
              <w:top w:val="single" w:color="auto" w:sz="6" w:space="0"/>
              <w:left w:val="single" w:color="auto" w:sz="6" w:space="0"/>
              <w:bottom w:val="single" w:color="auto" w:sz="4" w:space="0"/>
              <w:right w:val="single" w:color="auto" w:sz="6" w:space="0"/>
            </w:tcBorders>
            <w:vAlign w:val="center"/>
          </w:tcPr>
          <w:p>
            <w:pPr>
              <w:pStyle w:val="50"/>
              <w:spacing w:line="240" w:lineRule="auto"/>
            </w:pPr>
            <w:r>
              <w:rPr>
                <w:rFonts w:hint="eastAsia"/>
                <w:szCs w:val="21"/>
              </w:rPr>
              <w:t>建筑垃圾</w:t>
            </w:r>
          </w:p>
        </w:tc>
        <w:tc>
          <w:tcPr>
            <w:tcW w:w="2613" w:type="dxa"/>
            <w:tcBorders>
              <w:top w:val="single" w:color="auto" w:sz="6" w:space="0"/>
              <w:left w:val="single" w:color="auto" w:sz="6" w:space="0"/>
              <w:bottom w:val="single" w:color="auto" w:sz="6" w:space="0"/>
              <w:right w:val="single" w:color="auto" w:sz="6" w:space="0"/>
            </w:tcBorders>
            <w:vAlign w:val="center"/>
          </w:tcPr>
          <w:p>
            <w:pPr>
              <w:pStyle w:val="50"/>
              <w:spacing w:line="240" w:lineRule="auto"/>
              <w:rPr>
                <w:szCs w:val="21"/>
              </w:rPr>
            </w:pPr>
            <w:r>
              <w:rPr>
                <w:rFonts w:hint="eastAsia"/>
              </w:rPr>
              <w:t>分类收集后统一由当地环卫部门处理</w:t>
            </w:r>
          </w:p>
        </w:tc>
        <w:tc>
          <w:tcPr>
            <w:tcW w:w="2176" w:type="dxa"/>
            <w:tcBorders>
              <w:left w:val="single" w:color="auto" w:sz="6" w:space="0"/>
              <w:right w:val="single" w:color="auto" w:sz="8" w:space="0"/>
            </w:tcBorders>
            <w:vAlign w:val="center"/>
          </w:tcPr>
          <w:p>
            <w:pPr>
              <w:pStyle w:val="50"/>
              <w:spacing w:line="240" w:lineRule="auto"/>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pStyle w:val="50"/>
              <w:spacing w:line="240" w:lineRule="auto"/>
            </w:pPr>
          </w:p>
        </w:tc>
        <w:tc>
          <w:tcPr>
            <w:tcW w:w="522" w:type="dxa"/>
            <w:vMerge w:val="continue"/>
            <w:tcBorders>
              <w:left w:val="single" w:color="auto" w:sz="8" w:space="0"/>
              <w:right w:val="single" w:color="auto" w:sz="6" w:space="0"/>
            </w:tcBorders>
            <w:vAlign w:val="center"/>
          </w:tcPr>
          <w:p>
            <w:pPr>
              <w:pStyle w:val="50"/>
              <w:spacing w:line="240" w:lineRule="auto"/>
            </w:pPr>
          </w:p>
        </w:tc>
        <w:tc>
          <w:tcPr>
            <w:tcW w:w="2064" w:type="dxa"/>
            <w:tcBorders>
              <w:top w:val="single" w:color="auto" w:sz="6" w:space="0"/>
              <w:left w:val="single" w:color="auto" w:sz="6" w:space="0"/>
              <w:bottom w:val="single" w:color="auto" w:sz="4" w:space="0"/>
              <w:right w:val="single" w:color="auto" w:sz="6" w:space="0"/>
            </w:tcBorders>
            <w:vAlign w:val="center"/>
          </w:tcPr>
          <w:p>
            <w:pPr>
              <w:pStyle w:val="50"/>
              <w:spacing w:line="240" w:lineRule="auto"/>
              <w:rPr>
                <w:szCs w:val="21"/>
              </w:rPr>
            </w:pPr>
            <w:r>
              <w:rPr>
                <w:rFonts w:hint="eastAsia"/>
                <w:szCs w:val="21"/>
              </w:rPr>
              <w:t>员工生活</w:t>
            </w:r>
          </w:p>
        </w:tc>
        <w:tc>
          <w:tcPr>
            <w:tcW w:w="1560" w:type="dxa"/>
            <w:tcBorders>
              <w:top w:val="single" w:color="auto" w:sz="6" w:space="0"/>
              <w:left w:val="single" w:color="auto" w:sz="6" w:space="0"/>
              <w:bottom w:val="single" w:color="auto" w:sz="4" w:space="0"/>
              <w:right w:val="single" w:color="auto" w:sz="6" w:space="0"/>
            </w:tcBorders>
            <w:vAlign w:val="center"/>
          </w:tcPr>
          <w:p>
            <w:pPr>
              <w:pStyle w:val="50"/>
              <w:spacing w:line="240" w:lineRule="auto"/>
              <w:rPr>
                <w:szCs w:val="21"/>
              </w:rPr>
            </w:pPr>
            <w:r>
              <w:rPr>
                <w:rFonts w:hint="eastAsia"/>
                <w:szCs w:val="21"/>
              </w:rPr>
              <w:t>生活垃圾</w:t>
            </w:r>
          </w:p>
        </w:tc>
        <w:tc>
          <w:tcPr>
            <w:tcW w:w="2613" w:type="dxa"/>
            <w:tcBorders>
              <w:top w:val="single" w:color="auto" w:sz="6" w:space="0"/>
              <w:left w:val="single" w:color="auto" w:sz="6" w:space="0"/>
              <w:bottom w:val="single" w:color="auto" w:sz="6" w:space="0"/>
              <w:right w:val="single" w:color="auto" w:sz="6" w:space="0"/>
            </w:tcBorders>
            <w:vAlign w:val="center"/>
          </w:tcPr>
          <w:p>
            <w:pPr>
              <w:pStyle w:val="50"/>
              <w:spacing w:line="240" w:lineRule="auto"/>
            </w:pPr>
            <w:r>
              <w:rPr>
                <w:rFonts w:hint="eastAsia"/>
              </w:rPr>
              <w:t>统一收集后由当地环卫部门处理</w:t>
            </w:r>
          </w:p>
        </w:tc>
        <w:tc>
          <w:tcPr>
            <w:tcW w:w="2176" w:type="dxa"/>
            <w:tcBorders>
              <w:left w:val="single" w:color="auto" w:sz="6" w:space="0"/>
              <w:right w:val="single" w:color="auto" w:sz="8" w:space="0"/>
            </w:tcBorders>
            <w:vAlign w:val="center"/>
          </w:tcPr>
          <w:p>
            <w:pPr>
              <w:pStyle w:val="50"/>
              <w:spacing w:line="240" w:lineRule="auto"/>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restart"/>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r>
              <w:rPr>
                <w:rFonts w:ascii="Times New Roman" w:hAnsi="Times New Roman" w:cs="Times New Roman"/>
                <w:kern w:val="2"/>
                <w:sz w:val="21"/>
                <w:szCs w:val="21"/>
              </w:rPr>
              <w:t>营运期</w:t>
            </w:r>
          </w:p>
        </w:tc>
        <w:tc>
          <w:tcPr>
            <w:tcW w:w="522" w:type="dxa"/>
            <w:vMerge w:val="restart"/>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r>
              <w:rPr>
                <w:rFonts w:ascii="Times New Roman" w:hAnsi="Times New Roman" w:cs="Times New Roman"/>
                <w:kern w:val="2"/>
                <w:sz w:val="21"/>
                <w:szCs w:val="21"/>
              </w:rPr>
              <w:t>大气污染物</w:t>
            </w:r>
          </w:p>
        </w:tc>
        <w:tc>
          <w:tcPr>
            <w:tcW w:w="2064" w:type="dxa"/>
            <w:tcBorders>
              <w:top w:val="single" w:color="auto" w:sz="6" w:space="0"/>
              <w:left w:val="single" w:color="auto" w:sz="6" w:space="0"/>
              <w:bottom w:val="single" w:color="auto" w:sz="4" w:space="0"/>
              <w:right w:val="single" w:color="auto" w:sz="6" w:space="0"/>
            </w:tcBorders>
            <w:vAlign w:val="center"/>
          </w:tcPr>
          <w:p>
            <w:pPr>
              <w:spacing w:after="0" w:line="240" w:lineRule="auto"/>
              <w:jc w:val="center"/>
              <w:rPr>
                <w:szCs w:val="21"/>
              </w:rPr>
            </w:pPr>
            <w:r>
              <w:rPr>
                <w:szCs w:val="21"/>
              </w:rPr>
              <w:t>P1~P9排气筒（混凝土生产搅拌区水泥筒仓）</w:t>
            </w:r>
          </w:p>
        </w:tc>
        <w:tc>
          <w:tcPr>
            <w:tcW w:w="1560"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szCs w:val="21"/>
              </w:rPr>
              <w:t>粉尘</w:t>
            </w:r>
          </w:p>
        </w:tc>
        <w:tc>
          <w:tcPr>
            <w:tcW w:w="2613"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szCs w:val="21"/>
              </w:rPr>
            </w:pPr>
            <w:r>
              <w:rPr>
                <w:szCs w:val="21"/>
              </w:rPr>
              <w:t>水泥筒仓各设1套脉冲除尘器（共</w:t>
            </w:r>
            <w:r>
              <w:rPr>
                <w:rFonts w:hint="eastAsia"/>
                <w:szCs w:val="21"/>
              </w:rPr>
              <w:t>9</w:t>
            </w:r>
            <w:r>
              <w:rPr>
                <w:szCs w:val="21"/>
              </w:rPr>
              <w:t>套）+</w:t>
            </w:r>
            <w:r>
              <w:rPr>
                <w:rFonts w:hint="eastAsia"/>
                <w:szCs w:val="21"/>
              </w:rPr>
              <w:t>9</w:t>
            </w:r>
            <w:r>
              <w:rPr>
                <w:szCs w:val="21"/>
              </w:rPr>
              <w:t>根25m高排气筒</w:t>
            </w:r>
          </w:p>
        </w:tc>
        <w:tc>
          <w:tcPr>
            <w:tcW w:w="2176" w:type="dxa"/>
            <w:vMerge w:val="restart"/>
            <w:tcBorders>
              <w:left w:val="single" w:color="auto" w:sz="6" w:space="0"/>
              <w:right w:val="single" w:color="auto" w:sz="8" w:space="0"/>
            </w:tcBorders>
            <w:vAlign w:val="center"/>
          </w:tcPr>
          <w:p>
            <w:pPr>
              <w:spacing w:line="240" w:lineRule="auto"/>
              <w:jc w:val="center"/>
              <w:rPr>
                <w:szCs w:val="21"/>
              </w:rPr>
            </w:pPr>
            <w:r>
              <w:rPr>
                <w:szCs w:val="21"/>
              </w:rPr>
              <w:t>满足《水泥工业大气污染物排放标准》（GB4915-2013）表2中规定的排放限值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2064" w:type="dxa"/>
            <w:tcBorders>
              <w:top w:val="single" w:color="auto" w:sz="6" w:space="0"/>
              <w:left w:val="single" w:color="auto" w:sz="6" w:space="0"/>
              <w:bottom w:val="single" w:color="auto" w:sz="4" w:space="0"/>
              <w:right w:val="single" w:color="auto" w:sz="6" w:space="0"/>
            </w:tcBorders>
            <w:vAlign w:val="center"/>
          </w:tcPr>
          <w:p>
            <w:pPr>
              <w:spacing w:after="0" w:line="240" w:lineRule="auto"/>
              <w:jc w:val="center"/>
              <w:rPr>
                <w:szCs w:val="21"/>
              </w:rPr>
            </w:pPr>
            <w:r>
              <w:rPr>
                <w:szCs w:val="21"/>
              </w:rPr>
              <w:t>P10、P11排气筒（混凝土生产搅拌区粉煤灰筒仓）</w:t>
            </w:r>
          </w:p>
        </w:tc>
        <w:tc>
          <w:tcPr>
            <w:tcW w:w="1560"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szCs w:val="21"/>
              </w:rPr>
              <w:t>粉尘</w:t>
            </w:r>
          </w:p>
        </w:tc>
        <w:tc>
          <w:tcPr>
            <w:tcW w:w="2613"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szCs w:val="21"/>
              </w:rPr>
            </w:pPr>
            <w:r>
              <w:rPr>
                <w:szCs w:val="21"/>
              </w:rPr>
              <w:t>粉煤灰筒仓各设1套脉冲除尘器（共2套）+2根25m高排气筒</w:t>
            </w:r>
          </w:p>
        </w:tc>
        <w:tc>
          <w:tcPr>
            <w:tcW w:w="2176" w:type="dxa"/>
            <w:vMerge w:val="continue"/>
            <w:tcBorders>
              <w:left w:val="single" w:color="auto" w:sz="6" w:space="0"/>
              <w:right w:val="single" w:color="auto" w:sz="8" w:space="0"/>
            </w:tcBorders>
            <w:vAlign w:val="center"/>
          </w:tcPr>
          <w:p>
            <w:pPr>
              <w:spacing w:line="24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2064" w:type="dxa"/>
            <w:tcBorders>
              <w:top w:val="single" w:color="auto" w:sz="6" w:space="0"/>
              <w:left w:val="single" w:color="auto" w:sz="6" w:space="0"/>
              <w:bottom w:val="single" w:color="auto" w:sz="4" w:space="0"/>
              <w:right w:val="single" w:color="auto" w:sz="6" w:space="0"/>
            </w:tcBorders>
            <w:vAlign w:val="center"/>
          </w:tcPr>
          <w:p>
            <w:pPr>
              <w:spacing w:after="0" w:line="240" w:lineRule="auto"/>
              <w:jc w:val="center"/>
              <w:rPr>
                <w:szCs w:val="21"/>
              </w:rPr>
            </w:pPr>
            <w:r>
              <w:rPr>
                <w:szCs w:val="21"/>
              </w:rPr>
              <w:t>P12</w:t>
            </w:r>
            <w:r>
              <w:rPr>
                <w:rFonts w:hint="eastAsia"/>
                <w:szCs w:val="21"/>
              </w:rPr>
              <w:t>~P1</w:t>
            </w:r>
            <w:r>
              <w:rPr>
                <w:szCs w:val="21"/>
              </w:rPr>
              <w:t>3排气筒（</w:t>
            </w:r>
            <w:r>
              <w:rPr>
                <w:rFonts w:hint="eastAsia"/>
                <w:szCs w:val="21"/>
              </w:rPr>
              <w:t>中联1</w:t>
            </w:r>
            <w:r>
              <w:rPr>
                <w:szCs w:val="21"/>
              </w:rPr>
              <w:t>80</w:t>
            </w:r>
            <w:r>
              <w:rPr>
                <w:rFonts w:hint="eastAsia"/>
                <w:szCs w:val="21"/>
              </w:rPr>
              <w:t>线/润天9</w:t>
            </w:r>
            <w:r>
              <w:rPr>
                <w:szCs w:val="21"/>
              </w:rPr>
              <w:t>0</w:t>
            </w:r>
            <w:r>
              <w:rPr>
                <w:rFonts w:hint="eastAsia"/>
                <w:szCs w:val="21"/>
              </w:rPr>
              <w:t>线</w:t>
            </w:r>
            <w:r>
              <w:rPr>
                <w:szCs w:val="21"/>
              </w:rPr>
              <w:t>）</w:t>
            </w:r>
          </w:p>
        </w:tc>
        <w:tc>
          <w:tcPr>
            <w:tcW w:w="1560"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szCs w:val="21"/>
              </w:rPr>
              <w:t>粉尘</w:t>
            </w:r>
          </w:p>
        </w:tc>
        <w:tc>
          <w:tcPr>
            <w:tcW w:w="2613" w:type="dxa"/>
            <w:tcBorders>
              <w:top w:val="single" w:color="auto" w:sz="4" w:space="0"/>
              <w:left w:val="single" w:color="auto" w:sz="6" w:space="0"/>
              <w:bottom w:val="single" w:color="auto" w:sz="4" w:space="0"/>
              <w:right w:val="single" w:color="auto" w:sz="6" w:space="0"/>
            </w:tcBorders>
            <w:vAlign w:val="center"/>
          </w:tcPr>
          <w:p>
            <w:pPr>
              <w:spacing w:after="0" w:line="240" w:lineRule="auto"/>
              <w:jc w:val="center"/>
              <w:rPr>
                <w:szCs w:val="21"/>
              </w:rPr>
            </w:pPr>
            <w:r>
              <w:rPr>
                <w:szCs w:val="21"/>
              </w:rPr>
              <w:t>封闭式搅拌楼；搅拌机设1套脉冲除尘器+25m高排气筒</w:t>
            </w:r>
          </w:p>
        </w:tc>
        <w:tc>
          <w:tcPr>
            <w:tcW w:w="2176" w:type="dxa"/>
            <w:vMerge w:val="continue"/>
            <w:tcBorders>
              <w:left w:val="single" w:color="auto" w:sz="6" w:space="0"/>
              <w:right w:val="single" w:color="auto" w:sz="8" w:space="0"/>
            </w:tcBorders>
            <w:vAlign w:val="center"/>
          </w:tcPr>
          <w:p>
            <w:pPr>
              <w:spacing w:line="24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2064" w:type="dxa"/>
            <w:tcBorders>
              <w:top w:val="single" w:color="auto" w:sz="6" w:space="0"/>
              <w:left w:val="single" w:color="auto" w:sz="6" w:space="0"/>
              <w:bottom w:val="single" w:color="auto" w:sz="4" w:space="0"/>
              <w:right w:val="single" w:color="auto" w:sz="6" w:space="0"/>
            </w:tcBorders>
            <w:vAlign w:val="center"/>
          </w:tcPr>
          <w:p>
            <w:pPr>
              <w:spacing w:after="0" w:line="240" w:lineRule="auto"/>
              <w:jc w:val="center"/>
              <w:rPr>
                <w:szCs w:val="21"/>
              </w:rPr>
            </w:pPr>
            <w:r>
              <w:rPr>
                <w:rFonts w:hint="eastAsia"/>
                <w:szCs w:val="21"/>
              </w:rPr>
              <w:t>P1</w:t>
            </w:r>
            <w:r>
              <w:rPr>
                <w:szCs w:val="21"/>
              </w:rPr>
              <w:t>4排气筒（</w:t>
            </w:r>
            <w:r>
              <w:rPr>
                <w:rFonts w:hint="eastAsia"/>
                <w:szCs w:val="21"/>
              </w:rPr>
              <w:t>柳城6</w:t>
            </w:r>
            <w:r>
              <w:rPr>
                <w:szCs w:val="21"/>
              </w:rPr>
              <w:t>00</w:t>
            </w:r>
            <w:r>
              <w:rPr>
                <w:rFonts w:hint="eastAsia"/>
                <w:szCs w:val="21"/>
              </w:rPr>
              <w:t>线</w:t>
            </w:r>
            <w:r>
              <w:rPr>
                <w:szCs w:val="21"/>
              </w:rPr>
              <w:t>）</w:t>
            </w:r>
          </w:p>
        </w:tc>
        <w:tc>
          <w:tcPr>
            <w:tcW w:w="1560"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szCs w:val="21"/>
              </w:rPr>
              <w:t>粉尘</w:t>
            </w:r>
          </w:p>
        </w:tc>
        <w:tc>
          <w:tcPr>
            <w:tcW w:w="2613" w:type="dxa"/>
            <w:tcBorders>
              <w:top w:val="single" w:color="auto" w:sz="4" w:space="0"/>
              <w:left w:val="single" w:color="auto" w:sz="6" w:space="0"/>
              <w:bottom w:val="single" w:color="auto" w:sz="4" w:space="0"/>
              <w:right w:val="single" w:color="auto" w:sz="6" w:space="0"/>
            </w:tcBorders>
            <w:vAlign w:val="center"/>
          </w:tcPr>
          <w:p>
            <w:pPr>
              <w:spacing w:after="0" w:line="240" w:lineRule="auto"/>
              <w:jc w:val="center"/>
              <w:rPr>
                <w:szCs w:val="21"/>
              </w:rPr>
            </w:pPr>
            <w:r>
              <w:rPr>
                <w:szCs w:val="21"/>
              </w:rPr>
              <w:t>封闭式搅拌楼；搅拌机设1套脉冲除尘器+25m高排气筒</w:t>
            </w:r>
          </w:p>
        </w:tc>
        <w:tc>
          <w:tcPr>
            <w:tcW w:w="2176" w:type="dxa"/>
            <w:vMerge w:val="continue"/>
            <w:tcBorders>
              <w:left w:val="single" w:color="auto" w:sz="6" w:space="0"/>
              <w:right w:val="single" w:color="auto" w:sz="8" w:space="0"/>
            </w:tcBorders>
            <w:vAlign w:val="center"/>
          </w:tcPr>
          <w:p>
            <w:pPr>
              <w:spacing w:line="24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2064"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szCs w:val="21"/>
              </w:rPr>
              <w:t>原料堆场</w:t>
            </w:r>
          </w:p>
        </w:tc>
        <w:tc>
          <w:tcPr>
            <w:tcW w:w="1560"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240" w:lineRule="auto"/>
              <w:jc w:val="center"/>
              <w:rPr>
                <w:szCs w:val="21"/>
              </w:rPr>
            </w:pPr>
            <w:r>
              <w:rPr>
                <w:szCs w:val="21"/>
              </w:rPr>
              <w:t>粉尘</w:t>
            </w:r>
          </w:p>
        </w:tc>
        <w:tc>
          <w:tcPr>
            <w:tcW w:w="2613" w:type="dxa"/>
            <w:tcBorders>
              <w:top w:val="single" w:color="auto" w:sz="4" w:space="0"/>
              <w:left w:val="single" w:color="auto" w:sz="6" w:space="0"/>
              <w:bottom w:val="single" w:color="auto" w:sz="4" w:space="0"/>
              <w:right w:val="single" w:color="auto" w:sz="6" w:space="0"/>
            </w:tcBorders>
            <w:vAlign w:val="center"/>
          </w:tcPr>
          <w:p>
            <w:pPr>
              <w:pStyle w:val="41"/>
              <w:widowControl/>
              <w:spacing w:line="240" w:lineRule="auto"/>
              <w:rPr>
                <w:rFonts w:eastAsia="宋体"/>
                <w:szCs w:val="21"/>
              </w:rPr>
            </w:pPr>
            <w:r>
              <w:rPr>
                <w:rFonts w:eastAsia="宋体"/>
                <w:szCs w:val="21"/>
              </w:rPr>
              <w:t>地面硬化、喷水雾化器</w:t>
            </w:r>
          </w:p>
        </w:tc>
        <w:tc>
          <w:tcPr>
            <w:tcW w:w="2176" w:type="dxa"/>
            <w:tcBorders>
              <w:left w:val="single" w:color="auto" w:sz="6" w:space="0"/>
              <w:right w:val="single" w:color="auto" w:sz="8" w:space="0"/>
            </w:tcBorders>
            <w:vAlign w:val="center"/>
          </w:tcPr>
          <w:p>
            <w:pPr>
              <w:spacing w:line="240" w:lineRule="auto"/>
              <w:jc w:val="center"/>
              <w:rPr>
                <w:szCs w:val="21"/>
              </w:rPr>
            </w:pPr>
            <w:r>
              <w:rPr>
                <w:szCs w:val="21"/>
              </w:rPr>
              <w:t>满足《水泥工业大气污染物排放标准》（GB4915-2013）表3中规定的排放限值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2064"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szCs w:val="21"/>
              </w:rPr>
              <w:t>柴油发电机</w:t>
            </w:r>
          </w:p>
        </w:tc>
        <w:tc>
          <w:tcPr>
            <w:tcW w:w="1560"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240" w:lineRule="auto"/>
              <w:jc w:val="center"/>
              <w:rPr>
                <w:szCs w:val="21"/>
              </w:rPr>
            </w:pPr>
            <w:r>
              <w:rPr>
                <w:szCs w:val="21"/>
              </w:rPr>
              <w:t>SO</w:t>
            </w:r>
            <w:r>
              <w:rPr>
                <w:szCs w:val="21"/>
                <w:vertAlign w:val="subscript"/>
              </w:rPr>
              <w:t>2</w:t>
            </w:r>
            <w:r>
              <w:rPr>
                <w:szCs w:val="21"/>
              </w:rPr>
              <w:t>、NOx</w:t>
            </w:r>
          </w:p>
        </w:tc>
        <w:tc>
          <w:tcPr>
            <w:tcW w:w="2613" w:type="dxa"/>
            <w:tcBorders>
              <w:top w:val="single" w:color="auto" w:sz="4" w:space="0"/>
              <w:left w:val="single" w:color="auto" w:sz="6" w:space="0"/>
              <w:bottom w:val="single" w:color="auto" w:sz="4" w:space="0"/>
              <w:right w:val="single" w:color="auto" w:sz="6" w:space="0"/>
            </w:tcBorders>
            <w:vAlign w:val="center"/>
          </w:tcPr>
          <w:p>
            <w:pPr>
              <w:pStyle w:val="41"/>
              <w:widowControl/>
              <w:spacing w:line="240" w:lineRule="auto"/>
              <w:rPr>
                <w:rFonts w:eastAsia="宋体"/>
                <w:szCs w:val="21"/>
              </w:rPr>
            </w:pPr>
            <w:r>
              <w:rPr>
                <w:rFonts w:eastAsia="宋体"/>
                <w:szCs w:val="21"/>
              </w:rPr>
              <w:t>/</w:t>
            </w:r>
          </w:p>
        </w:tc>
        <w:tc>
          <w:tcPr>
            <w:tcW w:w="2176" w:type="dxa"/>
            <w:tcBorders>
              <w:left w:val="single" w:color="auto" w:sz="6" w:space="0"/>
              <w:right w:val="single" w:color="auto" w:sz="8" w:space="0"/>
            </w:tcBorders>
            <w:vAlign w:val="center"/>
          </w:tcPr>
          <w:p>
            <w:pPr>
              <w:spacing w:line="240" w:lineRule="auto"/>
              <w:jc w:val="center"/>
              <w:rPr>
                <w:szCs w:val="21"/>
              </w:rPr>
            </w:pPr>
            <w:r>
              <w:rPr>
                <w:szCs w:val="21"/>
              </w:rPr>
              <w:t>对环境影响小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2064"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rFonts w:hint="eastAsia"/>
                <w:szCs w:val="21"/>
              </w:rPr>
              <w:t>柴油储罐</w:t>
            </w:r>
          </w:p>
        </w:tc>
        <w:tc>
          <w:tcPr>
            <w:tcW w:w="1560"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240" w:lineRule="auto"/>
              <w:jc w:val="center"/>
              <w:rPr>
                <w:szCs w:val="21"/>
              </w:rPr>
            </w:pPr>
            <w:r>
              <w:rPr>
                <w:rFonts w:hint="eastAsia"/>
                <w:szCs w:val="21"/>
              </w:rPr>
              <w:t>VOCS</w:t>
            </w:r>
          </w:p>
        </w:tc>
        <w:tc>
          <w:tcPr>
            <w:tcW w:w="2613" w:type="dxa"/>
            <w:tcBorders>
              <w:top w:val="single" w:color="auto" w:sz="4" w:space="0"/>
              <w:left w:val="single" w:color="auto" w:sz="6" w:space="0"/>
              <w:bottom w:val="single" w:color="auto" w:sz="4" w:space="0"/>
              <w:right w:val="single" w:color="auto" w:sz="6" w:space="0"/>
            </w:tcBorders>
            <w:vAlign w:val="center"/>
          </w:tcPr>
          <w:p>
            <w:pPr>
              <w:pStyle w:val="41"/>
              <w:widowControl/>
              <w:spacing w:line="240" w:lineRule="auto"/>
              <w:rPr>
                <w:rFonts w:eastAsia="宋体"/>
                <w:szCs w:val="21"/>
              </w:rPr>
            </w:pPr>
            <w:r>
              <w:rPr>
                <w:rFonts w:eastAsia="宋体"/>
                <w:szCs w:val="21"/>
              </w:rPr>
              <w:t>/</w:t>
            </w:r>
          </w:p>
        </w:tc>
        <w:tc>
          <w:tcPr>
            <w:tcW w:w="2176" w:type="dxa"/>
            <w:tcBorders>
              <w:left w:val="single" w:color="auto" w:sz="6" w:space="0"/>
              <w:right w:val="single" w:color="auto" w:sz="8" w:space="0"/>
            </w:tcBorders>
            <w:vAlign w:val="center"/>
          </w:tcPr>
          <w:p>
            <w:pPr>
              <w:spacing w:line="240" w:lineRule="auto"/>
              <w:jc w:val="center"/>
              <w:rPr>
                <w:szCs w:val="21"/>
              </w:rPr>
            </w:pPr>
            <w:r>
              <w:rPr>
                <w:szCs w:val="21"/>
              </w:rPr>
              <w:t>对环境影响小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522" w:type="dxa"/>
            <w:vMerge w:val="continue"/>
            <w:tcBorders>
              <w:left w:val="single" w:color="auto" w:sz="8"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center"/>
              <w:rPr>
                <w:rFonts w:ascii="Times New Roman" w:hAnsi="Times New Roman" w:cs="Times New Roman"/>
                <w:kern w:val="2"/>
                <w:sz w:val="21"/>
                <w:szCs w:val="21"/>
              </w:rPr>
            </w:pPr>
          </w:p>
        </w:tc>
        <w:tc>
          <w:tcPr>
            <w:tcW w:w="2064"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szCs w:val="21"/>
              </w:rPr>
              <w:t>道路扬尘</w:t>
            </w:r>
          </w:p>
        </w:tc>
        <w:tc>
          <w:tcPr>
            <w:tcW w:w="1560"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240" w:lineRule="auto"/>
              <w:jc w:val="center"/>
              <w:rPr>
                <w:szCs w:val="21"/>
              </w:rPr>
            </w:pPr>
            <w:r>
              <w:rPr>
                <w:szCs w:val="21"/>
              </w:rPr>
              <w:t>粉尘</w:t>
            </w:r>
          </w:p>
        </w:tc>
        <w:tc>
          <w:tcPr>
            <w:tcW w:w="2613" w:type="dxa"/>
            <w:tcBorders>
              <w:top w:val="single" w:color="auto" w:sz="4" w:space="0"/>
              <w:left w:val="single" w:color="auto" w:sz="6" w:space="0"/>
              <w:bottom w:val="single" w:color="auto" w:sz="4" w:space="0"/>
              <w:right w:val="single" w:color="auto" w:sz="6" w:space="0"/>
            </w:tcBorders>
            <w:vAlign w:val="center"/>
          </w:tcPr>
          <w:p>
            <w:pPr>
              <w:pStyle w:val="41"/>
              <w:widowControl/>
              <w:spacing w:line="240" w:lineRule="auto"/>
              <w:rPr>
                <w:rFonts w:eastAsia="宋体"/>
                <w:szCs w:val="21"/>
              </w:rPr>
            </w:pPr>
            <w:r>
              <w:rPr>
                <w:rFonts w:eastAsia="宋体"/>
                <w:szCs w:val="21"/>
              </w:rPr>
              <w:t>洒水降尘</w:t>
            </w:r>
          </w:p>
        </w:tc>
        <w:tc>
          <w:tcPr>
            <w:tcW w:w="2176" w:type="dxa"/>
            <w:tcBorders>
              <w:left w:val="single" w:color="auto" w:sz="6" w:space="0"/>
              <w:right w:val="single" w:color="auto" w:sz="8" w:space="0"/>
            </w:tcBorders>
            <w:vAlign w:val="center"/>
          </w:tcPr>
          <w:p>
            <w:pPr>
              <w:spacing w:line="240" w:lineRule="auto"/>
              <w:jc w:val="center"/>
              <w:rPr>
                <w:szCs w:val="21"/>
              </w:rPr>
            </w:pPr>
            <w:r>
              <w:rPr>
                <w:szCs w:val="21"/>
              </w:rPr>
              <w:t>对环境影响小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spacing w:line="240" w:lineRule="auto"/>
              <w:jc w:val="center"/>
              <w:rPr>
                <w:szCs w:val="21"/>
              </w:rPr>
            </w:pPr>
          </w:p>
        </w:tc>
        <w:tc>
          <w:tcPr>
            <w:tcW w:w="522" w:type="dxa"/>
            <w:vMerge w:val="continue"/>
            <w:tcBorders>
              <w:left w:val="single" w:color="auto" w:sz="8" w:space="0"/>
              <w:bottom w:val="single" w:color="auto" w:sz="6" w:space="0"/>
              <w:right w:val="single" w:color="auto" w:sz="6" w:space="0"/>
            </w:tcBorders>
            <w:vAlign w:val="center"/>
          </w:tcPr>
          <w:p>
            <w:pPr>
              <w:spacing w:line="240" w:lineRule="auto"/>
              <w:jc w:val="center"/>
              <w:rPr>
                <w:szCs w:val="21"/>
              </w:rPr>
            </w:pPr>
          </w:p>
        </w:tc>
        <w:tc>
          <w:tcPr>
            <w:tcW w:w="2064"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szCs w:val="21"/>
              </w:rPr>
            </w:pPr>
            <w:r>
              <w:rPr>
                <w:szCs w:val="21"/>
              </w:rPr>
              <w:t>汽车尾气</w:t>
            </w:r>
          </w:p>
        </w:tc>
        <w:tc>
          <w:tcPr>
            <w:tcW w:w="1560" w:type="dxa"/>
            <w:tcBorders>
              <w:top w:val="single" w:color="auto" w:sz="4" w:space="0"/>
              <w:left w:val="single" w:color="auto" w:sz="6" w:space="0"/>
              <w:bottom w:val="single" w:color="auto" w:sz="6" w:space="0"/>
              <w:right w:val="single" w:color="auto" w:sz="6" w:space="0"/>
            </w:tcBorders>
            <w:vAlign w:val="center"/>
          </w:tcPr>
          <w:p>
            <w:pPr>
              <w:pStyle w:val="17"/>
              <w:widowControl w:val="0"/>
              <w:overflowPunct w:val="0"/>
              <w:autoSpaceDE w:val="0"/>
              <w:autoSpaceDN w:val="0"/>
              <w:spacing w:before="0" w:beforeAutospacing="0" w:after="0" w:afterAutospacing="0" w:line="240" w:lineRule="auto"/>
              <w:jc w:val="center"/>
              <w:rPr>
                <w:rFonts w:ascii="Times New Roman" w:hAnsi="Times New Roman" w:cs="Times New Roman"/>
                <w:kern w:val="2"/>
                <w:sz w:val="21"/>
                <w:szCs w:val="21"/>
              </w:rPr>
            </w:pPr>
            <w:r>
              <w:rPr>
                <w:rFonts w:ascii="Times New Roman" w:hAnsi="Times New Roman" w:cs="Times New Roman"/>
                <w:color w:val="auto"/>
                <w:sz w:val="21"/>
                <w:szCs w:val="21"/>
              </w:rPr>
              <w:t>HC、CO、NO</w:t>
            </w:r>
            <w:r>
              <w:rPr>
                <w:rFonts w:ascii="Times New Roman" w:hAnsi="Times New Roman" w:cs="Times New Roman"/>
                <w:color w:val="auto"/>
                <w:sz w:val="21"/>
                <w:szCs w:val="21"/>
                <w:vertAlign w:val="subscript"/>
              </w:rPr>
              <w:t>X</w:t>
            </w:r>
          </w:p>
        </w:tc>
        <w:tc>
          <w:tcPr>
            <w:tcW w:w="2613" w:type="dxa"/>
            <w:tcBorders>
              <w:top w:val="single" w:color="auto" w:sz="4" w:space="0"/>
              <w:left w:val="single" w:color="auto" w:sz="6" w:space="0"/>
              <w:bottom w:val="single" w:color="auto" w:sz="6" w:space="0"/>
              <w:right w:val="single" w:color="auto" w:sz="6" w:space="0"/>
            </w:tcBorders>
            <w:vAlign w:val="center"/>
          </w:tcPr>
          <w:p>
            <w:pPr>
              <w:pStyle w:val="17"/>
              <w:widowControl w:val="0"/>
              <w:overflowPunct w:val="0"/>
              <w:autoSpaceDE w:val="0"/>
              <w:autoSpaceDN w:val="0"/>
              <w:spacing w:before="0" w:beforeAutospacing="0" w:after="0" w:afterAutospacing="0" w:line="240" w:lineRule="auto"/>
              <w:jc w:val="center"/>
              <w:rPr>
                <w:rFonts w:ascii="Times New Roman" w:hAnsi="Times New Roman" w:cs="Times New Roman"/>
                <w:kern w:val="2"/>
                <w:sz w:val="21"/>
                <w:szCs w:val="21"/>
              </w:rPr>
            </w:pPr>
            <w:r>
              <w:rPr>
                <w:rFonts w:ascii="Times New Roman" w:hAnsi="Times New Roman" w:cs="Times New Roman"/>
                <w:kern w:val="2"/>
                <w:sz w:val="21"/>
                <w:szCs w:val="21"/>
              </w:rPr>
              <w:t>绿化消减、大气扩散</w:t>
            </w:r>
          </w:p>
        </w:tc>
        <w:tc>
          <w:tcPr>
            <w:tcW w:w="2176" w:type="dxa"/>
            <w:tcBorders>
              <w:top w:val="single" w:color="auto" w:sz="6" w:space="0"/>
              <w:left w:val="single" w:color="auto" w:sz="6" w:space="0"/>
              <w:bottom w:val="single" w:color="auto" w:sz="6" w:space="0"/>
              <w:right w:val="single" w:color="auto" w:sz="8" w:space="0"/>
            </w:tcBorders>
            <w:vAlign w:val="center"/>
          </w:tcPr>
          <w:p>
            <w:pPr>
              <w:spacing w:line="240" w:lineRule="auto"/>
              <w:jc w:val="center"/>
              <w:rPr>
                <w:szCs w:val="21"/>
              </w:rPr>
            </w:pPr>
            <w:r>
              <w:rPr>
                <w:szCs w:val="21"/>
              </w:rPr>
              <w:t>对环境影响小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spacing w:line="240" w:lineRule="auto"/>
              <w:jc w:val="center"/>
              <w:rPr>
                <w:szCs w:val="21"/>
              </w:rPr>
            </w:pPr>
          </w:p>
        </w:tc>
        <w:tc>
          <w:tcPr>
            <w:tcW w:w="522" w:type="dxa"/>
            <w:vMerge w:val="continue"/>
            <w:tcBorders>
              <w:left w:val="single" w:color="auto" w:sz="8" w:space="0"/>
              <w:bottom w:val="single" w:color="auto" w:sz="6" w:space="0"/>
              <w:right w:val="single" w:color="auto" w:sz="6" w:space="0"/>
            </w:tcBorders>
            <w:vAlign w:val="center"/>
          </w:tcPr>
          <w:p>
            <w:pPr>
              <w:spacing w:line="240" w:lineRule="auto"/>
              <w:jc w:val="center"/>
              <w:rPr>
                <w:szCs w:val="21"/>
              </w:rPr>
            </w:pPr>
          </w:p>
        </w:tc>
        <w:tc>
          <w:tcPr>
            <w:tcW w:w="2064"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szCs w:val="21"/>
              </w:rPr>
            </w:pPr>
            <w:r>
              <w:rPr>
                <w:szCs w:val="21"/>
              </w:rPr>
              <w:t>食堂油烟</w:t>
            </w:r>
          </w:p>
        </w:tc>
        <w:tc>
          <w:tcPr>
            <w:tcW w:w="1560" w:type="dxa"/>
            <w:tcBorders>
              <w:top w:val="single" w:color="auto" w:sz="4" w:space="0"/>
              <w:left w:val="single" w:color="auto" w:sz="6" w:space="0"/>
              <w:bottom w:val="single" w:color="auto" w:sz="6" w:space="0"/>
              <w:right w:val="single" w:color="auto" w:sz="6" w:space="0"/>
            </w:tcBorders>
            <w:vAlign w:val="center"/>
          </w:tcPr>
          <w:p>
            <w:pPr>
              <w:pStyle w:val="17"/>
              <w:widowControl w:val="0"/>
              <w:overflowPunct w:val="0"/>
              <w:autoSpaceDE w:val="0"/>
              <w:autoSpaceDN w:val="0"/>
              <w:spacing w:before="0" w:beforeAutospacing="0" w:after="0" w:afterAutospacing="0" w:line="240" w:lineRule="auto"/>
              <w:jc w:val="center"/>
              <w:rPr>
                <w:rFonts w:ascii="Times New Roman" w:hAnsi="Times New Roman" w:cs="Times New Roman"/>
                <w:kern w:val="2"/>
                <w:sz w:val="21"/>
                <w:szCs w:val="21"/>
              </w:rPr>
            </w:pPr>
            <w:r>
              <w:rPr>
                <w:rFonts w:ascii="Times New Roman" w:hAnsi="Times New Roman" w:cs="Times New Roman"/>
                <w:kern w:val="2"/>
                <w:sz w:val="21"/>
                <w:szCs w:val="21"/>
              </w:rPr>
              <w:t>油烟</w:t>
            </w:r>
          </w:p>
        </w:tc>
        <w:tc>
          <w:tcPr>
            <w:tcW w:w="2613" w:type="dxa"/>
            <w:tcBorders>
              <w:top w:val="single" w:color="auto" w:sz="4" w:space="0"/>
              <w:left w:val="single" w:color="auto" w:sz="6" w:space="0"/>
              <w:bottom w:val="single" w:color="auto" w:sz="6" w:space="0"/>
              <w:right w:val="single" w:color="auto" w:sz="6" w:space="0"/>
            </w:tcBorders>
            <w:vAlign w:val="center"/>
          </w:tcPr>
          <w:p>
            <w:pPr>
              <w:pStyle w:val="17"/>
              <w:widowControl w:val="0"/>
              <w:overflowPunct w:val="0"/>
              <w:autoSpaceDE w:val="0"/>
              <w:autoSpaceDN w:val="0"/>
              <w:spacing w:before="0" w:beforeAutospacing="0" w:after="0" w:afterAutospacing="0" w:line="240" w:lineRule="auto"/>
              <w:jc w:val="center"/>
              <w:rPr>
                <w:rFonts w:ascii="Times New Roman" w:hAnsi="Times New Roman" w:cs="Times New Roman"/>
                <w:kern w:val="2"/>
                <w:sz w:val="21"/>
                <w:szCs w:val="21"/>
              </w:rPr>
            </w:pPr>
            <w:r>
              <w:rPr>
                <w:rFonts w:ascii="Times New Roman" w:hAnsi="Times New Roman" w:cs="Times New Roman"/>
                <w:kern w:val="2"/>
                <w:sz w:val="21"/>
                <w:szCs w:val="21"/>
              </w:rPr>
              <w:t>油烟净化器</w:t>
            </w:r>
          </w:p>
        </w:tc>
        <w:tc>
          <w:tcPr>
            <w:tcW w:w="2176" w:type="dxa"/>
            <w:tcBorders>
              <w:top w:val="single" w:color="auto" w:sz="6" w:space="0"/>
              <w:left w:val="single" w:color="auto" w:sz="6" w:space="0"/>
              <w:bottom w:val="single" w:color="auto" w:sz="6" w:space="0"/>
              <w:right w:val="single" w:color="auto" w:sz="8" w:space="0"/>
            </w:tcBorders>
            <w:vAlign w:val="center"/>
          </w:tcPr>
          <w:p>
            <w:pPr>
              <w:spacing w:line="240" w:lineRule="auto"/>
              <w:jc w:val="center"/>
              <w:rPr>
                <w:szCs w:val="21"/>
              </w:rPr>
            </w:pPr>
            <w:r>
              <w:rPr>
                <w:szCs w:val="21"/>
              </w:rPr>
              <w:t>满足《饮食业油烟排放标准（试行）》（GB 18483-2001）表2中规定的排放限值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spacing w:line="240" w:lineRule="auto"/>
              <w:rPr>
                <w:szCs w:val="21"/>
              </w:rPr>
            </w:pPr>
          </w:p>
        </w:tc>
        <w:tc>
          <w:tcPr>
            <w:tcW w:w="522" w:type="dxa"/>
            <w:vMerge w:val="restart"/>
            <w:tcBorders>
              <w:left w:val="single" w:color="auto" w:sz="8" w:space="0"/>
              <w:right w:val="single" w:color="auto" w:sz="6" w:space="0"/>
            </w:tcBorders>
            <w:vAlign w:val="center"/>
          </w:tcPr>
          <w:p>
            <w:pPr>
              <w:spacing w:line="240" w:lineRule="auto"/>
              <w:rPr>
                <w:szCs w:val="21"/>
              </w:rPr>
            </w:pPr>
            <w:r>
              <w:rPr>
                <w:szCs w:val="21"/>
              </w:rPr>
              <w:t>水污染物</w:t>
            </w:r>
          </w:p>
        </w:tc>
        <w:tc>
          <w:tcPr>
            <w:tcW w:w="2064" w:type="dxa"/>
            <w:tcBorders>
              <w:top w:val="single" w:color="auto" w:sz="6" w:space="0"/>
              <w:left w:val="single" w:color="auto" w:sz="6" w:space="0"/>
              <w:bottom w:val="single" w:color="auto" w:sz="6" w:space="0"/>
              <w:right w:val="single" w:color="auto" w:sz="6" w:space="0"/>
            </w:tcBorders>
            <w:vAlign w:val="center"/>
          </w:tcPr>
          <w:p>
            <w:pPr>
              <w:pStyle w:val="17"/>
              <w:widowControl w:val="0"/>
              <w:adjustRightInd w:val="0"/>
              <w:snapToGrid w:val="0"/>
              <w:spacing w:before="0" w:beforeAutospacing="0" w:after="0" w:afterAutospacing="0" w:line="240" w:lineRule="auto"/>
              <w:jc w:val="center"/>
              <w:rPr>
                <w:rFonts w:ascii="Times New Roman" w:hAnsi="Times New Roman" w:cs="Times New Roman"/>
                <w:sz w:val="21"/>
                <w:szCs w:val="21"/>
              </w:rPr>
            </w:pPr>
            <w:r>
              <w:rPr>
                <w:rFonts w:ascii="Times New Roman" w:hAnsi="Times New Roman" w:cs="Times New Roman"/>
                <w:sz w:val="21"/>
                <w:szCs w:val="21"/>
              </w:rPr>
              <w:t>生产废水</w:t>
            </w:r>
          </w:p>
        </w:tc>
        <w:tc>
          <w:tcPr>
            <w:tcW w:w="1560"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szCs w:val="21"/>
              </w:rPr>
            </w:pPr>
            <w:r>
              <w:rPr>
                <w:szCs w:val="21"/>
              </w:rPr>
              <w:t>SS</w:t>
            </w:r>
          </w:p>
        </w:tc>
        <w:tc>
          <w:tcPr>
            <w:tcW w:w="2613"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szCs w:val="21"/>
              </w:rPr>
            </w:pPr>
            <w:r>
              <w:rPr>
                <w:szCs w:val="21"/>
              </w:rPr>
              <w:t>三级沉淀池沉淀后循环使用</w:t>
            </w:r>
          </w:p>
        </w:tc>
        <w:tc>
          <w:tcPr>
            <w:tcW w:w="2176" w:type="dxa"/>
            <w:tcBorders>
              <w:top w:val="single" w:color="auto" w:sz="6" w:space="0"/>
              <w:left w:val="single" w:color="auto" w:sz="6" w:space="0"/>
              <w:bottom w:val="single" w:color="auto" w:sz="6" w:space="0"/>
              <w:right w:val="single" w:color="auto" w:sz="8" w:space="0"/>
            </w:tcBorders>
            <w:vAlign w:val="center"/>
          </w:tcPr>
          <w:p>
            <w:pPr>
              <w:spacing w:line="240" w:lineRule="auto"/>
              <w:jc w:val="center"/>
              <w:rPr>
                <w:szCs w:val="21"/>
              </w:rPr>
            </w:pPr>
            <w:r>
              <w:rPr>
                <w:szCs w:val="21"/>
              </w:rPr>
              <w:t>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bottom w:val="single" w:color="auto" w:sz="6" w:space="0"/>
              <w:right w:val="single" w:color="auto" w:sz="6" w:space="0"/>
            </w:tcBorders>
            <w:vAlign w:val="center"/>
          </w:tcPr>
          <w:p>
            <w:pPr>
              <w:spacing w:line="240" w:lineRule="auto"/>
              <w:rPr>
                <w:szCs w:val="21"/>
              </w:rPr>
            </w:pPr>
          </w:p>
        </w:tc>
        <w:tc>
          <w:tcPr>
            <w:tcW w:w="522" w:type="dxa"/>
            <w:vMerge w:val="continue"/>
            <w:tcBorders>
              <w:left w:val="single" w:color="auto" w:sz="8" w:space="0"/>
              <w:bottom w:val="single" w:color="auto" w:sz="6" w:space="0"/>
              <w:right w:val="single" w:color="auto" w:sz="6" w:space="0"/>
            </w:tcBorders>
            <w:vAlign w:val="center"/>
          </w:tcPr>
          <w:p>
            <w:pPr>
              <w:spacing w:line="240" w:lineRule="auto"/>
              <w:rPr>
                <w:szCs w:val="21"/>
              </w:rPr>
            </w:pPr>
          </w:p>
        </w:tc>
        <w:tc>
          <w:tcPr>
            <w:tcW w:w="2064"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kern w:val="0"/>
                <w:szCs w:val="21"/>
                <w:lang w:bidi="ar"/>
              </w:rPr>
            </w:pPr>
            <w:r>
              <w:rPr>
                <w:kern w:val="0"/>
                <w:szCs w:val="21"/>
                <w:lang w:bidi="ar"/>
              </w:rPr>
              <w:t>生活废水</w:t>
            </w:r>
          </w:p>
        </w:tc>
        <w:tc>
          <w:tcPr>
            <w:tcW w:w="1560"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szCs w:val="21"/>
              </w:rPr>
            </w:pPr>
            <w:r>
              <w:rPr>
                <w:color w:val="000000"/>
                <w:szCs w:val="21"/>
              </w:rPr>
              <w:t>pH、COD、BOD</w:t>
            </w:r>
            <w:r>
              <w:rPr>
                <w:color w:val="000000"/>
                <w:szCs w:val="21"/>
                <w:vertAlign w:val="subscript"/>
              </w:rPr>
              <w:t>5</w:t>
            </w:r>
            <w:r>
              <w:rPr>
                <w:color w:val="000000"/>
                <w:szCs w:val="21"/>
              </w:rPr>
              <w:t>、NH</w:t>
            </w:r>
            <w:r>
              <w:rPr>
                <w:color w:val="000000"/>
                <w:szCs w:val="21"/>
                <w:vertAlign w:val="subscript"/>
              </w:rPr>
              <w:t>3</w:t>
            </w:r>
            <w:r>
              <w:rPr>
                <w:color w:val="000000"/>
                <w:szCs w:val="21"/>
              </w:rPr>
              <w:t>-N、SS、动植物油</w:t>
            </w:r>
          </w:p>
        </w:tc>
        <w:tc>
          <w:tcPr>
            <w:tcW w:w="2613" w:type="dxa"/>
            <w:tcBorders>
              <w:left w:val="single" w:color="auto" w:sz="6" w:space="0"/>
              <w:bottom w:val="single" w:color="auto" w:sz="6" w:space="0"/>
              <w:right w:val="single" w:color="auto" w:sz="6" w:space="0"/>
            </w:tcBorders>
            <w:vAlign w:val="center"/>
          </w:tcPr>
          <w:p>
            <w:pPr>
              <w:spacing w:line="240" w:lineRule="auto"/>
              <w:jc w:val="center"/>
              <w:rPr>
                <w:szCs w:val="21"/>
              </w:rPr>
            </w:pPr>
            <w:r>
              <w:rPr>
                <w:szCs w:val="21"/>
              </w:rPr>
              <w:t>经隔油器、化粪池处理后用于周边农田灌溉</w:t>
            </w:r>
          </w:p>
        </w:tc>
        <w:tc>
          <w:tcPr>
            <w:tcW w:w="2176" w:type="dxa"/>
            <w:tcBorders>
              <w:top w:val="single" w:color="auto" w:sz="6" w:space="0"/>
              <w:left w:val="single" w:color="auto" w:sz="6" w:space="0"/>
              <w:bottom w:val="single" w:color="auto" w:sz="6" w:space="0"/>
              <w:right w:val="single" w:color="auto" w:sz="8" w:space="0"/>
            </w:tcBorders>
            <w:vAlign w:val="center"/>
          </w:tcPr>
          <w:p>
            <w:pPr>
              <w:spacing w:line="240" w:lineRule="auto"/>
              <w:jc w:val="center"/>
              <w:rPr>
                <w:szCs w:val="21"/>
              </w:rPr>
            </w:pPr>
            <w:r>
              <w:rPr>
                <w:szCs w:val="21"/>
              </w:rPr>
              <w:t>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restart"/>
            <w:tcBorders>
              <w:top w:val="single" w:color="auto" w:sz="6" w:space="0"/>
              <w:left w:val="single" w:color="auto" w:sz="8" w:space="0"/>
              <w:right w:val="single" w:color="auto" w:sz="6" w:space="0"/>
            </w:tcBorders>
            <w:vAlign w:val="center"/>
          </w:tcPr>
          <w:p>
            <w:pPr>
              <w:spacing w:line="240" w:lineRule="auto"/>
              <w:rPr>
                <w:szCs w:val="21"/>
              </w:rPr>
            </w:pPr>
            <w:r>
              <w:rPr>
                <w:szCs w:val="21"/>
              </w:rPr>
              <w:t>营运期</w:t>
            </w:r>
          </w:p>
        </w:tc>
        <w:tc>
          <w:tcPr>
            <w:tcW w:w="522" w:type="dxa"/>
            <w:vMerge w:val="restart"/>
            <w:tcBorders>
              <w:top w:val="single" w:color="auto" w:sz="6" w:space="0"/>
              <w:left w:val="single" w:color="auto" w:sz="8" w:space="0"/>
              <w:right w:val="single" w:color="auto" w:sz="6" w:space="0"/>
            </w:tcBorders>
            <w:vAlign w:val="center"/>
          </w:tcPr>
          <w:p>
            <w:pPr>
              <w:spacing w:line="240" w:lineRule="auto"/>
              <w:rPr>
                <w:szCs w:val="21"/>
              </w:rPr>
            </w:pPr>
            <w:r>
              <w:rPr>
                <w:szCs w:val="21"/>
              </w:rPr>
              <w:t>固体废物</w:t>
            </w:r>
          </w:p>
        </w:tc>
        <w:tc>
          <w:tcPr>
            <w:tcW w:w="2064" w:type="dxa"/>
            <w:vMerge w:val="restart"/>
            <w:tcBorders>
              <w:top w:val="single" w:color="auto" w:sz="6" w:space="0"/>
              <w:left w:val="single" w:color="auto" w:sz="6" w:space="0"/>
              <w:right w:val="single" w:color="auto" w:sz="4" w:space="0"/>
            </w:tcBorders>
            <w:vAlign w:val="center"/>
          </w:tcPr>
          <w:p>
            <w:pPr>
              <w:spacing w:line="240" w:lineRule="auto"/>
              <w:jc w:val="center"/>
              <w:rPr>
                <w:szCs w:val="21"/>
              </w:rPr>
            </w:pPr>
            <w:r>
              <w:rPr>
                <w:szCs w:val="21"/>
              </w:rPr>
              <w:t>一般固体废物</w:t>
            </w:r>
          </w:p>
        </w:tc>
        <w:tc>
          <w:tcPr>
            <w:tcW w:w="1560" w:type="dxa"/>
            <w:tcBorders>
              <w:top w:val="single" w:color="auto" w:sz="6" w:space="0"/>
              <w:left w:val="single" w:color="auto" w:sz="4" w:space="0"/>
              <w:bottom w:val="single" w:color="auto" w:sz="4" w:space="0"/>
              <w:right w:val="single" w:color="auto" w:sz="6" w:space="0"/>
            </w:tcBorders>
            <w:vAlign w:val="center"/>
          </w:tcPr>
          <w:p>
            <w:pPr>
              <w:spacing w:line="240" w:lineRule="auto"/>
              <w:jc w:val="center"/>
              <w:rPr>
                <w:szCs w:val="21"/>
              </w:rPr>
            </w:pPr>
            <w:r>
              <w:rPr>
                <w:szCs w:val="21"/>
              </w:rPr>
              <w:t>除尘设备收集的粉尘</w:t>
            </w:r>
          </w:p>
        </w:tc>
        <w:tc>
          <w:tcPr>
            <w:tcW w:w="2613"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szCs w:val="21"/>
              </w:rPr>
              <w:t>回用于生产</w:t>
            </w:r>
          </w:p>
        </w:tc>
        <w:tc>
          <w:tcPr>
            <w:tcW w:w="2176" w:type="dxa"/>
            <w:vMerge w:val="restart"/>
            <w:tcBorders>
              <w:top w:val="single" w:color="auto" w:sz="6" w:space="0"/>
              <w:left w:val="single" w:color="auto" w:sz="6" w:space="0"/>
              <w:right w:val="single" w:color="auto" w:sz="8" w:space="0"/>
            </w:tcBorders>
            <w:vAlign w:val="center"/>
          </w:tcPr>
          <w:p>
            <w:pPr>
              <w:snapToGrid w:val="0"/>
              <w:spacing w:line="240" w:lineRule="auto"/>
              <w:jc w:val="center"/>
              <w:rPr>
                <w:szCs w:val="21"/>
              </w:rPr>
            </w:pPr>
            <w:r>
              <w:rPr>
                <w:szCs w:val="21"/>
              </w:rPr>
              <w:t>处置率100%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spacing w:line="240" w:lineRule="auto"/>
              <w:rPr>
                <w:szCs w:val="21"/>
              </w:rPr>
            </w:pPr>
          </w:p>
        </w:tc>
        <w:tc>
          <w:tcPr>
            <w:tcW w:w="522" w:type="dxa"/>
            <w:vMerge w:val="continue"/>
            <w:tcBorders>
              <w:left w:val="single" w:color="auto" w:sz="8" w:space="0"/>
              <w:right w:val="single" w:color="auto" w:sz="6" w:space="0"/>
            </w:tcBorders>
            <w:vAlign w:val="center"/>
          </w:tcPr>
          <w:p>
            <w:pPr>
              <w:spacing w:line="240" w:lineRule="auto"/>
              <w:rPr>
                <w:szCs w:val="21"/>
              </w:rPr>
            </w:pPr>
          </w:p>
        </w:tc>
        <w:tc>
          <w:tcPr>
            <w:tcW w:w="2064" w:type="dxa"/>
            <w:vMerge w:val="continue"/>
            <w:tcBorders>
              <w:left w:val="single" w:color="auto" w:sz="6" w:space="0"/>
              <w:right w:val="single" w:color="auto" w:sz="4" w:space="0"/>
            </w:tcBorders>
            <w:vAlign w:val="center"/>
          </w:tcPr>
          <w:p>
            <w:pPr>
              <w:spacing w:line="240" w:lineRule="auto"/>
              <w:jc w:val="center"/>
              <w:rPr>
                <w:szCs w:val="21"/>
              </w:rPr>
            </w:pPr>
          </w:p>
        </w:tc>
        <w:tc>
          <w:tcPr>
            <w:tcW w:w="1560" w:type="dxa"/>
            <w:tcBorders>
              <w:top w:val="single" w:color="auto" w:sz="6" w:space="0"/>
              <w:left w:val="single" w:color="auto" w:sz="4" w:space="0"/>
              <w:bottom w:val="single" w:color="auto" w:sz="4" w:space="0"/>
              <w:right w:val="single" w:color="auto" w:sz="6" w:space="0"/>
            </w:tcBorders>
            <w:vAlign w:val="center"/>
          </w:tcPr>
          <w:p>
            <w:pPr>
              <w:spacing w:line="240" w:lineRule="auto"/>
              <w:jc w:val="center"/>
              <w:rPr>
                <w:szCs w:val="21"/>
              </w:rPr>
            </w:pPr>
            <w:r>
              <w:rPr>
                <w:rFonts w:hint="eastAsia"/>
                <w:szCs w:val="21"/>
              </w:rPr>
              <w:t>砂石分离机分离后的砂石</w:t>
            </w:r>
          </w:p>
        </w:tc>
        <w:tc>
          <w:tcPr>
            <w:tcW w:w="2613"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szCs w:val="21"/>
              </w:rPr>
              <w:t>回用于生产</w:t>
            </w:r>
          </w:p>
        </w:tc>
        <w:tc>
          <w:tcPr>
            <w:tcW w:w="2176" w:type="dxa"/>
            <w:vMerge w:val="continue"/>
            <w:tcBorders>
              <w:left w:val="single" w:color="auto" w:sz="6" w:space="0"/>
              <w:right w:val="single" w:color="auto" w:sz="8" w:space="0"/>
            </w:tcBorders>
            <w:vAlign w:val="center"/>
          </w:tcPr>
          <w:p>
            <w:pPr>
              <w:snapToGrid w:val="0"/>
              <w:spacing w:line="24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spacing w:line="240" w:lineRule="auto"/>
              <w:rPr>
                <w:szCs w:val="21"/>
              </w:rPr>
            </w:pPr>
          </w:p>
        </w:tc>
        <w:tc>
          <w:tcPr>
            <w:tcW w:w="522" w:type="dxa"/>
            <w:vMerge w:val="continue"/>
            <w:tcBorders>
              <w:left w:val="single" w:color="auto" w:sz="8" w:space="0"/>
              <w:right w:val="single" w:color="auto" w:sz="6" w:space="0"/>
            </w:tcBorders>
            <w:vAlign w:val="center"/>
          </w:tcPr>
          <w:p>
            <w:pPr>
              <w:spacing w:line="240" w:lineRule="auto"/>
              <w:rPr>
                <w:szCs w:val="21"/>
              </w:rPr>
            </w:pPr>
          </w:p>
        </w:tc>
        <w:tc>
          <w:tcPr>
            <w:tcW w:w="2064" w:type="dxa"/>
            <w:vMerge w:val="continue"/>
            <w:tcBorders>
              <w:left w:val="single" w:color="auto" w:sz="6" w:space="0"/>
              <w:right w:val="single" w:color="auto" w:sz="4" w:space="0"/>
            </w:tcBorders>
            <w:vAlign w:val="center"/>
          </w:tcPr>
          <w:p>
            <w:pPr>
              <w:spacing w:line="240" w:lineRule="auto"/>
              <w:jc w:val="center"/>
              <w:rPr>
                <w:szCs w:val="21"/>
              </w:rPr>
            </w:pPr>
          </w:p>
        </w:tc>
        <w:tc>
          <w:tcPr>
            <w:tcW w:w="1560" w:type="dxa"/>
            <w:tcBorders>
              <w:top w:val="single" w:color="auto" w:sz="6" w:space="0"/>
              <w:left w:val="single" w:color="auto" w:sz="4" w:space="0"/>
              <w:bottom w:val="single" w:color="auto" w:sz="4" w:space="0"/>
              <w:right w:val="single" w:color="auto" w:sz="6" w:space="0"/>
            </w:tcBorders>
            <w:vAlign w:val="center"/>
          </w:tcPr>
          <w:p>
            <w:pPr>
              <w:spacing w:line="240" w:lineRule="auto"/>
              <w:jc w:val="center"/>
              <w:rPr>
                <w:szCs w:val="21"/>
              </w:rPr>
            </w:pPr>
            <w:r>
              <w:rPr>
                <w:szCs w:val="21"/>
              </w:rPr>
              <w:t>三级沉淀池沉淀泥砂</w:t>
            </w:r>
          </w:p>
        </w:tc>
        <w:tc>
          <w:tcPr>
            <w:tcW w:w="2613"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szCs w:val="21"/>
              </w:rPr>
              <w:t>定期清理后回用于生产</w:t>
            </w:r>
          </w:p>
        </w:tc>
        <w:tc>
          <w:tcPr>
            <w:tcW w:w="2176" w:type="dxa"/>
            <w:vMerge w:val="continue"/>
            <w:tcBorders>
              <w:left w:val="single" w:color="auto" w:sz="6" w:space="0"/>
              <w:right w:val="single" w:color="auto" w:sz="8" w:space="0"/>
            </w:tcBorders>
            <w:vAlign w:val="center"/>
          </w:tcPr>
          <w:p>
            <w:pPr>
              <w:snapToGrid w:val="0"/>
              <w:spacing w:line="24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spacing w:line="240" w:lineRule="auto"/>
              <w:rPr>
                <w:szCs w:val="21"/>
              </w:rPr>
            </w:pPr>
          </w:p>
        </w:tc>
        <w:tc>
          <w:tcPr>
            <w:tcW w:w="522" w:type="dxa"/>
            <w:vMerge w:val="continue"/>
            <w:tcBorders>
              <w:left w:val="single" w:color="auto" w:sz="8" w:space="0"/>
              <w:right w:val="single" w:color="auto" w:sz="6" w:space="0"/>
            </w:tcBorders>
            <w:vAlign w:val="center"/>
          </w:tcPr>
          <w:p>
            <w:pPr>
              <w:spacing w:line="240" w:lineRule="auto"/>
              <w:rPr>
                <w:szCs w:val="21"/>
              </w:rPr>
            </w:pPr>
          </w:p>
        </w:tc>
        <w:tc>
          <w:tcPr>
            <w:tcW w:w="2064" w:type="dxa"/>
            <w:vMerge w:val="continue"/>
            <w:tcBorders>
              <w:left w:val="single" w:color="auto" w:sz="6" w:space="0"/>
              <w:right w:val="single" w:color="auto" w:sz="4" w:space="0"/>
            </w:tcBorders>
            <w:vAlign w:val="center"/>
          </w:tcPr>
          <w:p>
            <w:pPr>
              <w:spacing w:line="240" w:lineRule="auto"/>
              <w:jc w:val="center"/>
              <w:rPr>
                <w:szCs w:val="21"/>
              </w:rPr>
            </w:pPr>
          </w:p>
        </w:tc>
        <w:tc>
          <w:tcPr>
            <w:tcW w:w="1560" w:type="dxa"/>
            <w:tcBorders>
              <w:top w:val="single" w:color="auto" w:sz="6" w:space="0"/>
              <w:left w:val="single" w:color="auto" w:sz="4" w:space="0"/>
              <w:bottom w:val="single" w:color="auto" w:sz="4" w:space="0"/>
              <w:right w:val="single" w:color="auto" w:sz="6" w:space="0"/>
            </w:tcBorders>
            <w:vAlign w:val="center"/>
          </w:tcPr>
          <w:p>
            <w:pPr>
              <w:spacing w:line="240" w:lineRule="auto"/>
              <w:jc w:val="center"/>
              <w:rPr>
                <w:szCs w:val="21"/>
              </w:rPr>
            </w:pPr>
            <w:r>
              <w:rPr>
                <w:szCs w:val="21"/>
              </w:rPr>
              <w:t>实验室废料</w:t>
            </w:r>
          </w:p>
        </w:tc>
        <w:tc>
          <w:tcPr>
            <w:tcW w:w="2613"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szCs w:val="21"/>
              </w:rPr>
              <w:t>回用于生产</w:t>
            </w:r>
          </w:p>
        </w:tc>
        <w:tc>
          <w:tcPr>
            <w:tcW w:w="2176" w:type="dxa"/>
            <w:vMerge w:val="continue"/>
            <w:tcBorders>
              <w:left w:val="single" w:color="auto" w:sz="6" w:space="0"/>
              <w:right w:val="single" w:color="auto" w:sz="8" w:space="0"/>
            </w:tcBorders>
            <w:vAlign w:val="center"/>
          </w:tcPr>
          <w:p>
            <w:pPr>
              <w:snapToGrid w:val="0"/>
              <w:spacing w:line="24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spacing w:line="240" w:lineRule="auto"/>
              <w:rPr>
                <w:szCs w:val="21"/>
              </w:rPr>
            </w:pPr>
          </w:p>
        </w:tc>
        <w:tc>
          <w:tcPr>
            <w:tcW w:w="522" w:type="dxa"/>
            <w:vMerge w:val="continue"/>
            <w:tcBorders>
              <w:left w:val="single" w:color="auto" w:sz="8" w:space="0"/>
              <w:right w:val="single" w:color="auto" w:sz="6" w:space="0"/>
            </w:tcBorders>
            <w:vAlign w:val="center"/>
          </w:tcPr>
          <w:p>
            <w:pPr>
              <w:spacing w:line="240" w:lineRule="auto"/>
              <w:rPr>
                <w:szCs w:val="21"/>
              </w:rPr>
            </w:pPr>
          </w:p>
        </w:tc>
        <w:tc>
          <w:tcPr>
            <w:tcW w:w="2064" w:type="dxa"/>
            <w:vMerge w:val="continue"/>
            <w:tcBorders>
              <w:left w:val="single" w:color="auto" w:sz="6" w:space="0"/>
              <w:right w:val="single" w:color="auto" w:sz="4" w:space="0"/>
            </w:tcBorders>
            <w:vAlign w:val="center"/>
          </w:tcPr>
          <w:p>
            <w:pPr>
              <w:spacing w:line="240" w:lineRule="auto"/>
              <w:jc w:val="center"/>
              <w:rPr>
                <w:szCs w:val="21"/>
              </w:rPr>
            </w:pPr>
          </w:p>
        </w:tc>
        <w:tc>
          <w:tcPr>
            <w:tcW w:w="1560" w:type="dxa"/>
            <w:tcBorders>
              <w:top w:val="single" w:color="auto" w:sz="6" w:space="0"/>
              <w:left w:val="single" w:color="auto" w:sz="4" w:space="0"/>
              <w:bottom w:val="single" w:color="auto" w:sz="4" w:space="0"/>
              <w:right w:val="single" w:color="auto" w:sz="6" w:space="0"/>
            </w:tcBorders>
            <w:vAlign w:val="center"/>
          </w:tcPr>
          <w:p>
            <w:pPr>
              <w:spacing w:line="240" w:lineRule="auto"/>
              <w:jc w:val="center"/>
              <w:rPr>
                <w:szCs w:val="21"/>
              </w:rPr>
            </w:pPr>
            <w:r>
              <w:rPr>
                <w:szCs w:val="21"/>
              </w:rPr>
              <w:t>生活垃圾</w:t>
            </w:r>
          </w:p>
        </w:tc>
        <w:tc>
          <w:tcPr>
            <w:tcW w:w="2613"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szCs w:val="21"/>
              </w:rPr>
              <w:t>收集至垃圾桶，交由环卫部门处理</w:t>
            </w:r>
          </w:p>
        </w:tc>
        <w:tc>
          <w:tcPr>
            <w:tcW w:w="2176" w:type="dxa"/>
            <w:vMerge w:val="continue"/>
            <w:tcBorders>
              <w:left w:val="single" w:color="auto" w:sz="6" w:space="0"/>
              <w:right w:val="single" w:color="auto" w:sz="8" w:space="0"/>
            </w:tcBorders>
            <w:vAlign w:val="center"/>
          </w:tcPr>
          <w:p>
            <w:pPr>
              <w:snapToGrid w:val="0"/>
              <w:spacing w:line="24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right w:val="single" w:color="auto" w:sz="6" w:space="0"/>
            </w:tcBorders>
            <w:vAlign w:val="center"/>
          </w:tcPr>
          <w:p>
            <w:pPr>
              <w:spacing w:line="240" w:lineRule="auto"/>
              <w:rPr>
                <w:szCs w:val="21"/>
              </w:rPr>
            </w:pPr>
          </w:p>
        </w:tc>
        <w:tc>
          <w:tcPr>
            <w:tcW w:w="522" w:type="dxa"/>
            <w:vMerge w:val="continue"/>
            <w:tcBorders>
              <w:left w:val="single" w:color="auto" w:sz="8" w:space="0"/>
              <w:right w:val="single" w:color="auto" w:sz="6" w:space="0"/>
            </w:tcBorders>
            <w:vAlign w:val="center"/>
          </w:tcPr>
          <w:p>
            <w:pPr>
              <w:spacing w:line="240" w:lineRule="auto"/>
              <w:rPr>
                <w:szCs w:val="21"/>
              </w:rPr>
            </w:pPr>
          </w:p>
        </w:tc>
        <w:tc>
          <w:tcPr>
            <w:tcW w:w="2064" w:type="dxa"/>
            <w:tcBorders>
              <w:left w:val="single" w:color="auto" w:sz="6" w:space="0"/>
              <w:right w:val="single" w:color="auto" w:sz="4" w:space="0"/>
            </w:tcBorders>
            <w:vAlign w:val="center"/>
          </w:tcPr>
          <w:p>
            <w:pPr>
              <w:spacing w:line="240" w:lineRule="auto"/>
              <w:jc w:val="center"/>
              <w:rPr>
                <w:szCs w:val="21"/>
              </w:rPr>
            </w:pPr>
            <w:r>
              <w:rPr>
                <w:szCs w:val="21"/>
              </w:rPr>
              <w:t>危险废物</w:t>
            </w:r>
          </w:p>
        </w:tc>
        <w:tc>
          <w:tcPr>
            <w:tcW w:w="1560" w:type="dxa"/>
            <w:tcBorders>
              <w:top w:val="single" w:color="auto" w:sz="6" w:space="0"/>
              <w:left w:val="single" w:color="auto" w:sz="4" w:space="0"/>
              <w:bottom w:val="single" w:color="auto" w:sz="4" w:space="0"/>
              <w:right w:val="single" w:color="auto" w:sz="6" w:space="0"/>
            </w:tcBorders>
            <w:vAlign w:val="center"/>
          </w:tcPr>
          <w:p>
            <w:pPr>
              <w:spacing w:line="240" w:lineRule="auto"/>
              <w:jc w:val="center"/>
              <w:rPr>
                <w:szCs w:val="21"/>
              </w:rPr>
            </w:pPr>
            <w:r>
              <w:rPr>
                <w:szCs w:val="21"/>
              </w:rPr>
              <w:t>机械设备维修</w:t>
            </w:r>
          </w:p>
        </w:tc>
        <w:tc>
          <w:tcPr>
            <w:tcW w:w="2613" w:type="dxa"/>
            <w:tcBorders>
              <w:top w:val="single" w:color="auto" w:sz="6" w:space="0"/>
              <w:left w:val="single" w:color="auto" w:sz="6" w:space="0"/>
              <w:bottom w:val="single" w:color="auto" w:sz="4" w:space="0"/>
              <w:right w:val="single" w:color="auto" w:sz="6" w:space="0"/>
            </w:tcBorders>
            <w:vAlign w:val="center"/>
          </w:tcPr>
          <w:p>
            <w:pPr>
              <w:spacing w:line="240" w:lineRule="auto"/>
              <w:jc w:val="center"/>
              <w:rPr>
                <w:szCs w:val="21"/>
              </w:rPr>
            </w:pPr>
            <w:r>
              <w:rPr>
                <w:szCs w:val="21"/>
              </w:rPr>
              <w:t>委托专门的维修机构修理，废机油、含油抹布和手套由维修机构带走，均不在厂区内贮存</w:t>
            </w:r>
          </w:p>
        </w:tc>
        <w:tc>
          <w:tcPr>
            <w:tcW w:w="2176" w:type="dxa"/>
            <w:tcBorders>
              <w:left w:val="single" w:color="auto" w:sz="6" w:space="0"/>
              <w:right w:val="single" w:color="auto" w:sz="8" w:space="0"/>
            </w:tcBorders>
            <w:vAlign w:val="center"/>
          </w:tcPr>
          <w:p>
            <w:pPr>
              <w:snapToGrid w:val="0"/>
              <w:spacing w:line="240" w:lineRule="auto"/>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22" w:type="dxa"/>
            <w:vMerge w:val="continue"/>
            <w:tcBorders>
              <w:left w:val="single" w:color="auto" w:sz="8" w:space="0"/>
              <w:bottom w:val="single" w:color="auto" w:sz="6"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both"/>
              <w:rPr>
                <w:rFonts w:ascii="Times New Roman" w:hAnsi="Times New Roman" w:cs="Times New Roman"/>
                <w:sz w:val="21"/>
                <w:szCs w:val="21"/>
              </w:rPr>
            </w:pPr>
          </w:p>
        </w:tc>
        <w:tc>
          <w:tcPr>
            <w:tcW w:w="522" w:type="dxa"/>
            <w:tcBorders>
              <w:top w:val="single" w:color="auto" w:sz="6" w:space="0"/>
              <w:left w:val="single" w:color="auto" w:sz="8" w:space="0"/>
              <w:bottom w:val="single" w:color="auto" w:sz="6" w:space="0"/>
              <w:right w:val="single" w:color="auto" w:sz="6" w:space="0"/>
            </w:tcBorders>
            <w:vAlign w:val="center"/>
          </w:tcPr>
          <w:p>
            <w:pPr>
              <w:pStyle w:val="17"/>
              <w:widowControl w:val="0"/>
              <w:tabs>
                <w:tab w:val="left" w:pos="1470"/>
              </w:tabs>
              <w:adjustRightInd w:val="0"/>
              <w:snapToGrid w:val="0"/>
              <w:spacing w:before="0" w:beforeAutospacing="0" w:after="0" w:afterAutospacing="0" w:line="240" w:lineRule="auto"/>
              <w:jc w:val="both"/>
              <w:rPr>
                <w:rFonts w:ascii="Times New Roman" w:hAnsi="Times New Roman" w:cs="Times New Roman"/>
                <w:sz w:val="21"/>
                <w:szCs w:val="21"/>
              </w:rPr>
            </w:pPr>
            <w:r>
              <w:rPr>
                <w:rFonts w:ascii="Times New Roman" w:hAnsi="Times New Roman" w:cs="Times New Roman"/>
                <w:kern w:val="2"/>
                <w:sz w:val="21"/>
                <w:szCs w:val="21"/>
              </w:rPr>
              <w:t>噪声</w:t>
            </w:r>
          </w:p>
        </w:tc>
        <w:tc>
          <w:tcPr>
            <w:tcW w:w="8413" w:type="dxa"/>
            <w:gridSpan w:val="4"/>
            <w:tcBorders>
              <w:top w:val="single" w:color="auto" w:sz="6" w:space="0"/>
              <w:left w:val="single" w:color="auto" w:sz="6" w:space="0"/>
              <w:bottom w:val="single" w:color="auto" w:sz="6" w:space="0"/>
              <w:right w:val="single" w:color="auto" w:sz="8" w:space="0"/>
            </w:tcBorders>
            <w:vAlign w:val="center"/>
          </w:tcPr>
          <w:p>
            <w:pPr>
              <w:snapToGrid w:val="0"/>
              <w:spacing w:line="240" w:lineRule="auto"/>
              <w:jc w:val="center"/>
              <w:rPr>
                <w:szCs w:val="21"/>
              </w:rPr>
            </w:pPr>
            <w:r>
              <w:rPr>
                <w:rFonts w:hint="eastAsia"/>
                <w:szCs w:val="21"/>
              </w:rPr>
              <w:t>选用低噪声设备、厂房</w:t>
            </w:r>
            <w:r>
              <w:rPr>
                <w:szCs w:val="21"/>
              </w:rPr>
              <w:t>隔声、基础减震装置，合理布置绿化，减少对周围环境的影响。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457" w:type="dxa"/>
            <w:gridSpan w:val="6"/>
            <w:tcBorders>
              <w:top w:val="single" w:color="auto" w:sz="6" w:space="0"/>
              <w:left w:val="single" w:color="auto" w:sz="8" w:space="0"/>
              <w:bottom w:val="single" w:color="auto" w:sz="8" w:space="0"/>
              <w:right w:val="single" w:color="auto" w:sz="8" w:space="0"/>
            </w:tcBorders>
            <w:vAlign w:val="center"/>
          </w:tcPr>
          <w:p>
            <w:pPr>
              <w:spacing w:line="240" w:lineRule="auto"/>
              <w:jc w:val="left"/>
              <w:rPr>
                <w:b/>
                <w:szCs w:val="21"/>
              </w:rPr>
            </w:pPr>
            <w:r>
              <w:rPr>
                <w:b/>
                <w:szCs w:val="21"/>
              </w:rPr>
              <w:t>生态保护措施及预期治理效果：</w:t>
            </w:r>
          </w:p>
          <w:p>
            <w:pPr>
              <w:spacing w:line="240" w:lineRule="auto"/>
              <w:ind w:firstLine="420" w:firstLineChars="200"/>
              <w:jc w:val="left"/>
            </w:pPr>
            <w:r>
              <w:rPr>
                <w:szCs w:val="21"/>
              </w:rPr>
              <w:t>本项目为新建，项目周围空闲地带有</w:t>
            </w:r>
            <w:r>
              <w:rPr>
                <w:rFonts w:hint="eastAsia"/>
                <w:szCs w:val="21"/>
              </w:rPr>
              <w:t>少量</w:t>
            </w:r>
            <w:r>
              <w:rPr>
                <w:szCs w:val="21"/>
              </w:rPr>
              <w:t>绿化，可改善和美化环境。建设单位切实做好本环评提出的防治措施，对各种污染物进行有效的治理，可将污染物对周围生态环境影响降至最低。</w:t>
            </w:r>
            <w:r>
              <w:t>周围无生态敏感点，不涉及野生动植物。</w:t>
            </w:r>
          </w:p>
          <w:p>
            <w:pPr>
              <w:spacing w:line="240" w:lineRule="auto"/>
              <w:ind w:firstLine="420" w:firstLineChars="200"/>
              <w:jc w:val="left"/>
            </w:pPr>
            <w:r>
              <w:t>因此，本项目的建设对生态环境影响较小。</w:t>
            </w:r>
          </w:p>
          <w:p>
            <w:pPr>
              <w:pStyle w:val="17"/>
              <w:widowControl w:val="0"/>
              <w:adjustRightInd w:val="0"/>
              <w:snapToGrid w:val="0"/>
              <w:spacing w:before="0" w:beforeAutospacing="0" w:after="0" w:afterAutospacing="0" w:line="240" w:lineRule="auto"/>
              <w:jc w:val="both"/>
              <w:rPr>
                <w:rFonts w:ascii="Times New Roman" w:hAnsi="Times New Roman" w:cs="Times New Roman"/>
                <w:sz w:val="21"/>
                <w:szCs w:val="21"/>
              </w:rPr>
            </w:pPr>
          </w:p>
        </w:tc>
      </w:tr>
    </w:tbl>
    <w:p>
      <w:pPr>
        <w:pStyle w:val="35"/>
        <w:rPr>
          <w:rFonts w:ascii="Times New Roman" w:cs="Times New Roman"/>
          <w:color w:val="auto"/>
          <w:szCs w:val="32"/>
        </w:rPr>
        <w:sectPr>
          <w:pgSz w:w="11906" w:h="16838"/>
          <w:pgMar w:top="1134" w:right="1417" w:bottom="1134" w:left="1417" w:header="851" w:footer="992" w:gutter="0"/>
          <w:cols w:space="720" w:num="1"/>
          <w:docGrid w:type="lines" w:linePitch="312" w:charSpace="0"/>
        </w:sectPr>
      </w:pPr>
    </w:p>
    <w:p>
      <w:pPr>
        <w:pStyle w:val="35"/>
        <w:outlineLvl w:val="0"/>
        <w:rPr>
          <w:rFonts w:ascii="Times New Roman" w:cs="Times New Roman"/>
          <w:b/>
          <w:bCs/>
          <w:color w:val="auto"/>
          <w:sz w:val="32"/>
          <w:szCs w:val="32"/>
        </w:rPr>
      </w:pPr>
      <w:bookmarkStart w:id="96" w:name="_Toc31466"/>
      <w:bookmarkStart w:id="97" w:name="_Toc25668"/>
      <w:r>
        <w:rPr>
          <w:rFonts w:ascii="Times New Roman" w:cs="Times New Roman"/>
          <w:b/>
          <w:bCs/>
          <w:color w:val="auto"/>
          <w:sz w:val="32"/>
          <w:szCs w:val="32"/>
        </w:rPr>
        <w:t>9结论与建议</w:t>
      </w:r>
      <w:bookmarkEnd w:id="96"/>
      <w:bookmarkEnd w:id="97"/>
    </w:p>
    <w:tbl>
      <w:tblPr>
        <w:tblStyle w:val="22"/>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8" w:hRule="atLeast"/>
        </w:trPr>
        <w:tc>
          <w:tcPr>
            <w:tcW w:w="9231" w:type="dxa"/>
          </w:tcPr>
          <w:p>
            <w:pPr>
              <w:pStyle w:val="35"/>
              <w:spacing w:after="0" w:line="360" w:lineRule="auto"/>
              <w:rPr>
                <w:rFonts w:ascii="Times New Roman" w:cs="Times New Roman"/>
                <w:b/>
                <w:bCs/>
                <w:color w:val="auto"/>
                <w:szCs w:val="32"/>
              </w:rPr>
            </w:pPr>
            <w:r>
              <w:rPr>
                <w:rFonts w:hint="eastAsia" w:ascii="Times New Roman" w:cs="Times New Roman"/>
                <w:b/>
                <w:bCs/>
                <w:color w:val="auto"/>
                <w:szCs w:val="32"/>
              </w:rPr>
              <w:t>一、结论：</w:t>
            </w:r>
          </w:p>
          <w:p>
            <w:pPr>
              <w:pStyle w:val="3"/>
              <w:widowControl/>
              <w:tabs>
                <w:tab w:val="left" w:pos="576"/>
              </w:tabs>
              <w:spacing w:before="0" w:after="0" w:line="360" w:lineRule="auto"/>
              <w:rPr>
                <w:rFonts w:ascii="Times New Roman" w:hAnsi="Times New Roman" w:eastAsia="宋体" w:cs="宋体"/>
                <w:bCs w:val="0"/>
                <w:sz w:val="24"/>
                <w:szCs w:val="24"/>
              </w:rPr>
            </w:pPr>
            <w:r>
              <w:rPr>
                <w:rFonts w:hint="eastAsia" w:ascii="Times New Roman" w:hAnsi="Times New Roman" w:eastAsia="宋体" w:cs="宋体"/>
                <w:bCs w:val="0"/>
                <w:sz w:val="24"/>
                <w:szCs w:val="24"/>
              </w:rPr>
              <w:t>1、项目概况</w:t>
            </w:r>
          </w:p>
          <w:p>
            <w:pPr>
              <w:pStyle w:val="17"/>
              <w:widowControl w:val="0"/>
              <w:adjustRightInd w:val="0"/>
              <w:snapToGrid w:val="0"/>
              <w:spacing w:before="0" w:beforeAutospacing="0" w:after="0" w:afterAutospacing="0" w:line="360" w:lineRule="auto"/>
              <w:ind w:firstLine="480" w:firstLineChars="200"/>
              <w:jc w:val="both"/>
            </w:pPr>
            <w:r>
              <w:rPr>
                <w:rFonts w:hint="eastAsia" w:ascii="Times New Roman" w:hAnsi="Times New Roman"/>
              </w:rPr>
              <w:t>湘阴临资口混凝土有限公司</w:t>
            </w:r>
            <w:r>
              <w:rPr>
                <w:rFonts w:hint="eastAsia" w:ascii="Times New Roman" w:hAnsi="Times New Roman" w:cs="宋体"/>
                <w:kern w:val="2"/>
                <w:szCs w:val="20"/>
              </w:rPr>
              <w:t>投资</w:t>
            </w:r>
            <w:r>
              <w:rPr>
                <w:rFonts w:ascii="Times New Roman" w:cs="Times New Roman"/>
                <w:color w:val="auto"/>
                <w:szCs w:val="32"/>
              </w:rPr>
              <w:t>2500</w:t>
            </w:r>
            <w:r>
              <w:rPr>
                <w:rFonts w:hint="eastAsia" w:ascii="Times New Roman" w:hAnsi="Times New Roman" w:cs="宋体"/>
                <w:kern w:val="2"/>
                <w:szCs w:val="20"/>
              </w:rPr>
              <w:t>万元建设</w:t>
            </w:r>
            <w:r>
              <w:rPr>
                <w:rFonts w:hint="eastAsia" w:ascii="Times New Roman" w:cs="Times New Roman"/>
                <w:color w:val="auto"/>
                <w:szCs w:val="32"/>
              </w:rPr>
              <w:t>年产</w:t>
            </w:r>
            <w:r>
              <w:rPr>
                <w:rFonts w:ascii="Times New Roman" w:cs="Times New Roman"/>
                <w:color w:val="auto"/>
                <w:szCs w:val="32"/>
              </w:rPr>
              <w:t>20</w:t>
            </w:r>
            <w:r>
              <w:rPr>
                <w:rFonts w:hint="eastAsia" w:ascii="Times New Roman" w:cs="Times New Roman"/>
                <w:color w:val="auto"/>
                <w:szCs w:val="32"/>
              </w:rPr>
              <w:t>万立方米商品混凝土</w:t>
            </w:r>
            <w:r>
              <w:rPr>
                <w:rFonts w:ascii="Times New Roman" w:cs="Times New Roman"/>
                <w:color w:val="auto"/>
                <w:szCs w:val="32"/>
              </w:rPr>
              <w:t>建设项目</w:t>
            </w:r>
            <w:r>
              <w:rPr>
                <w:rFonts w:hint="eastAsia" w:ascii="Times New Roman" w:hAnsi="Times New Roman" w:cs="宋体"/>
                <w:kern w:val="2"/>
              </w:rPr>
              <w:t>。</w:t>
            </w:r>
            <w:r>
              <w:rPr>
                <w:rFonts w:hint="eastAsia" w:ascii="Times New Roman" w:hAnsi="Times New Roman" w:cs="宋体"/>
                <w:kern w:val="2"/>
                <w:szCs w:val="20"/>
              </w:rPr>
              <w:t>项目位于</w:t>
            </w:r>
            <w:r>
              <w:rPr>
                <w:rFonts w:ascii="Times New Roman" w:hAnsi="Times New Roman"/>
              </w:rPr>
              <w:t>湖南省</w:t>
            </w:r>
            <w:r>
              <w:rPr>
                <w:rFonts w:hint="eastAsia" w:ascii="Times New Roman" w:hAnsi="Times New Roman"/>
              </w:rPr>
              <w:t>岳阳市湘阴县杨林寨乡沅潭村</w:t>
            </w:r>
            <w:r>
              <w:rPr>
                <w:rFonts w:hint="eastAsia" w:ascii="Times New Roman" w:hAnsi="Times New Roman" w:cs="宋体"/>
                <w:kern w:val="2"/>
                <w:szCs w:val="20"/>
              </w:rPr>
              <w:t>，</w:t>
            </w:r>
            <w:r>
              <w:rPr>
                <w:rFonts w:ascii="Times New Roman" w:hAnsi="Times New Roman" w:cs="Times New Roman"/>
                <w:kern w:val="2"/>
                <w:szCs w:val="20"/>
              </w:rPr>
              <w:t>项目占地面积</w:t>
            </w:r>
            <w:r>
              <w:rPr>
                <w:rFonts w:ascii="Times New Roman" w:hAnsi="Times New Roman" w:cs="Times New Roman"/>
              </w:rPr>
              <w:t>8000</w:t>
            </w:r>
            <w:r>
              <w:rPr>
                <w:rFonts w:ascii="Times New Roman" w:hAnsi="Times New Roman" w:cs="Times New Roman"/>
                <w:kern w:val="2"/>
                <w:szCs w:val="20"/>
              </w:rPr>
              <w:t>m</w:t>
            </w:r>
            <w:r>
              <w:rPr>
                <w:rFonts w:ascii="Times New Roman" w:hAnsi="Times New Roman" w:cs="Times New Roman"/>
                <w:kern w:val="2"/>
                <w:szCs w:val="20"/>
                <w:vertAlign w:val="superscript"/>
              </w:rPr>
              <w:t>2</w:t>
            </w:r>
            <w:r>
              <w:rPr>
                <w:rFonts w:ascii="Times New Roman" w:hAnsi="Times New Roman" w:cs="Times New Roman"/>
                <w:kern w:val="2"/>
              </w:rPr>
              <w:t>。</w:t>
            </w:r>
            <w:r>
              <w:rPr>
                <w:rFonts w:ascii="Times New Roman" w:hAnsi="Times New Roman" w:cs="Times New Roman"/>
              </w:rPr>
              <w:t>本项目工作定员为28人，均在厂区食宿。项目年工作日为300天，每天8小时一</w:t>
            </w:r>
            <w:r>
              <w:t>班制。</w:t>
            </w:r>
          </w:p>
          <w:p>
            <w:pPr>
              <w:pStyle w:val="3"/>
              <w:widowControl/>
              <w:tabs>
                <w:tab w:val="left" w:pos="576"/>
              </w:tabs>
              <w:spacing w:before="0" w:after="0" w:line="360" w:lineRule="auto"/>
              <w:rPr>
                <w:rFonts w:ascii="Times New Roman" w:hAnsi="Times New Roman" w:eastAsia="宋体" w:cs="宋体"/>
                <w:bCs w:val="0"/>
                <w:sz w:val="24"/>
                <w:szCs w:val="24"/>
              </w:rPr>
            </w:pPr>
            <w:r>
              <w:rPr>
                <w:rFonts w:hint="eastAsia" w:ascii="Times New Roman" w:hAnsi="Times New Roman" w:eastAsia="宋体" w:cs="宋体"/>
                <w:bCs w:val="0"/>
                <w:sz w:val="24"/>
                <w:szCs w:val="24"/>
              </w:rPr>
              <w:t>2、环境质量现状</w:t>
            </w:r>
          </w:p>
          <w:p>
            <w:pPr>
              <w:pStyle w:val="40"/>
              <w:adjustRightInd w:val="0"/>
              <w:snapToGrid w:val="0"/>
              <w:spacing w:after="0" w:line="360" w:lineRule="auto"/>
              <w:ind w:firstLine="480" w:firstLineChars="200"/>
              <w:rPr>
                <w:sz w:val="24"/>
              </w:rPr>
            </w:pPr>
            <w:r>
              <w:rPr>
                <w:sz w:val="24"/>
              </w:rPr>
              <w:t>（1）环境空气质量现状</w:t>
            </w:r>
          </w:p>
          <w:p>
            <w:pPr>
              <w:spacing w:after="0" w:line="360" w:lineRule="auto"/>
              <w:ind w:firstLine="480" w:firstLineChars="200"/>
              <w:jc w:val="left"/>
              <w:rPr>
                <w:rFonts w:cs="宋体"/>
                <w:color w:val="000000"/>
                <w:sz w:val="24"/>
              </w:rPr>
            </w:pPr>
            <w:r>
              <w:rPr>
                <w:sz w:val="24"/>
              </w:rPr>
              <w:t>环境空气质量现状：本次评价引用</w:t>
            </w:r>
            <w:r>
              <w:rPr>
                <w:sz w:val="24"/>
                <w:lang w:val="zh-CN"/>
              </w:rPr>
              <w:t>湘阴县环保局发布的《湘阴县环境空气质量指数统计表(2018年)》</w:t>
            </w:r>
            <w:r>
              <w:rPr>
                <w:sz w:val="24"/>
              </w:rPr>
              <w:t>中的</w:t>
            </w:r>
            <w:r>
              <w:rPr>
                <w:sz w:val="24"/>
                <w:lang w:val="zh-CN"/>
              </w:rPr>
              <w:t>数据</w:t>
            </w:r>
            <w:r>
              <w:rPr>
                <w:rFonts w:hint="eastAsia"/>
                <w:sz w:val="24"/>
                <w:lang w:val="zh-CN"/>
              </w:rPr>
              <w:t>，</w:t>
            </w:r>
            <w:r>
              <w:rPr>
                <w:sz w:val="24"/>
              </w:rPr>
              <w:t>数据表明，</w:t>
            </w:r>
            <w:r>
              <w:rPr>
                <w:sz w:val="24"/>
                <w:lang w:val="zh-CN"/>
              </w:rPr>
              <w:t>PM</w:t>
            </w:r>
            <w:r>
              <w:rPr>
                <w:sz w:val="24"/>
                <w:vertAlign w:val="subscript"/>
                <w:lang w:val="zh-CN"/>
              </w:rPr>
              <w:t>10</w:t>
            </w:r>
            <w:r>
              <w:rPr>
                <w:sz w:val="24"/>
                <w:lang w:val="zh-CN"/>
              </w:rPr>
              <w:t>、SO</w:t>
            </w:r>
            <w:r>
              <w:rPr>
                <w:sz w:val="24"/>
                <w:vertAlign w:val="subscript"/>
                <w:lang w:val="zh-CN"/>
              </w:rPr>
              <w:t>2</w:t>
            </w:r>
            <w:r>
              <w:rPr>
                <w:sz w:val="24"/>
                <w:lang w:val="zh-CN"/>
              </w:rPr>
              <w:t>、NO</w:t>
            </w:r>
            <w:r>
              <w:rPr>
                <w:sz w:val="24"/>
                <w:vertAlign w:val="subscript"/>
                <w:lang w:val="zh-CN"/>
              </w:rPr>
              <w:t>2</w:t>
            </w:r>
            <w:r>
              <w:rPr>
                <w:sz w:val="24"/>
                <w:lang w:val="zh-CN"/>
              </w:rPr>
              <w:t>年平均质量浓度和CO第95百分位数日平均质量浓度、O</w:t>
            </w:r>
            <w:r>
              <w:rPr>
                <w:sz w:val="24"/>
                <w:vertAlign w:val="subscript"/>
                <w:lang w:val="zh-CN"/>
              </w:rPr>
              <w:t>3</w:t>
            </w:r>
            <w:r>
              <w:rPr>
                <w:sz w:val="24"/>
                <w:lang w:val="zh-CN"/>
              </w:rPr>
              <w:t>第90百分位数最大8小时平均质量浓度达到</w:t>
            </w:r>
            <w:r>
              <w:rPr>
                <w:sz w:val="24"/>
              </w:rPr>
              <w:t>了</w:t>
            </w:r>
            <w:r>
              <w:rPr>
                <w:sz w:val="24"/>
                <w:lang w:val="zh-CN"/>
              </w:rPr>
              <w:t>《环境空气质量标准》（GB3095-2012）中二级标准。PM</w:t>
            </w:r>
            <w:r>
              <w:rPr>
                <w:sz w:val="24"/>
                <w:vertAlign w:val="subscript"/>
                <w:lang w:val="zh-CN"/>
              </w:rPr>
              <w:t>2.5</w:t>
            </w:r>
            <w:r>
              <w:rPr>
                <w:sz w:val="24"/>
                <w:lang w:val="zh-CN"/>
              </w:rPr>
              <w:t>年平均质量浓度尚未达到《环境空气质量标准》（GB3095-2012）中二级标准。</w:t>
            </w:r>
          </w:p>
          <w:p>
            <w:pPr>
              <w:pStyle w:val="40"/>
              <w:adjustRightInd w:val="0"/>
              <w:snapToGrid w:val="0"/>
              <w:spacing w:after="0" w:line="360" w:lineRule="auto"/>
              <w:ind w:firstLine="480" w:firstLineChars="200"/>
              <w:rPr>
                <w:sz w:val="24"/>
              </w:rPr>
            </w:pPr>
            <w:r>
              <w:rPr>
                <w:sz w:val="24"/>
              </w:rPr>
              <w:t>（2）水环境质量现状</w:t>
            </w:r>
          </w:p>
          <w:p>
            <w:pPr>
              <w:pStyle w:val="40"/>
              <w:spacing w:after="0" w:line="360" w:lineRule="auto"/>
              <w:rPr>
                <w:sz w:val="24"/>
              </w:rPr>
            </w:pPr>
            <w:r>
              <w:rPr>
                <w:sz w:val="24"/>
              </w:rPr>
              <w:t>本次地表水环境质量现状评价引用《湖南省湘江干流及洞庭湖区岳阳段河道采砂规划（2017-2020）环境影响报告书》中相关的监测的数据，数据表明，</w:t>
            </w:r>
            <w:r>
              <w:rPr>
                <w:rFonts w:hint="eastAsia"/>
                <w:sz w:val="24"/>
              </w:rPr>
              <w:t>湘江</w:t>
            </w:r>
            <w:r>
              <w:rPr>
                <w:sz w:val="24"/>
              </w:rPr>
              <w:t>水质监测结果符合《地表水环境质量标准》（GB3838—2002）中Ⅲ类水质功能标准。</w:t>
            </w:r>
          </w:p>
          <w:p>
            <w:pPr>
              <w:pStyle w:val="40"/>
              <w:adjustRightInd w:val="0"/>
              <w:snapToGrid w:val="0"/>
              <w:spacing w:after="0" w:line="360" w:lineRule="auto"/>
              <w:ind w:firstLine="480" w:firstLineChars="200"/>
              <w:rPr>
                <w:sz w:val="24"/>
              </w:rPr>
            </w:pPr>
            <w:r>
              <w:rPr>
                <w:sz w:val="24"/>
              </w:rPr>
              <w:t>（3）声环境现状</w:t>
            </w:r>
          </w:p>
          <w:p>
            <w:pPr>
              <w:adjustRightInd w:val="0"/>
              <w:snapToGrid w:val="0"/>
              <w:spacing w:after="0" w:line="360" w:lineRule="auto"/>
              <w:ind w:firstLine="480" w:firstLineChars="200"/>
              <w:jc w:val="left"/>
              <w:rPr>
                <w:kern w:val="0"/>
                <w:sz w:val="24"/>
                <w:szCs w:val="20"/>
              </w:rPr>
            </w:pPr>
            <w:r>
              <w:rPr>
                <w:kern w:val="0"/>
                <w:sz w:val="24"/>
                <w:szCs w:val="20"/>
              </w:rPr>
              <w:t>评价过程中于2020年1月5日至2020年1月6日对建设项目厂界四周进行了噪声现状监测，项目厂界东、南、</w:t>
            </w:r>
            <w:r>
              <w:rPr>
                <w:sz w:val="24"/>
              </w:rPr>
              <w:t>西</w:t>
            </w:r>
            <w:r>
              <w:rPr>
                <w:kern w:val="0"/>
                <w:sz w:val="24"/>
                <w:szCs w:val="20"/>
              </w:rPr>
              <w:t>、北侧现状噪声监测值均满足《声环境质量标准》（GB3096-2008）</w:t>
            </w:r>
            <w:r>
              <w:rPr>
                <w:sz w:val="24"/>
              </w:rPr>
              <w:t>2</w:t>
            </w:r>
            <w:r>
              <w:rPr>
                <w:kern w:val="0"/>
                <w:sz w:val="24"/>
                <w:szCs w:val="20"/>
              </w:rPr>
              <w:t>类标准。</w:t>
            </w:r>
          </w:p>
          <w:p>
            <w:pPr>
              <w:pStyle w:val="3"/>
              <w:widowControl/>
              <w:tabs>
                <w:tab w:val="left" w:pos="576"/>
              </w:tabs>
              <w:spacing w:before="0" w:after="0" w:line="360" w:lineRule="auto"/>
              <w:rPr>
                <w:rFonts w:ascii="Times New Roman" w:hAnsi="Times New Roman" w:eastAsia="宋体" w:cs="宋体"/>
                <w:bCs w:val="0"/>
                <w:sz w:val="24"/>
                <w:szCs w:val="24"/>
              </w:rPr>
            </w:pPr>
            <w:r>
              <w:rPr>
                <w:rFonts w:hint="eastAsia" w:ascii="Times New Roman" w:hAnsi="Times New Roman" w:eastAsia="宋体" w:cs="宋体"/>
                <w:bCs w:val="0"/>
                <w:sz w:val="24"/>
                <w:szCs w:val="24"/>
              </w:rPr>
              <w:t>3、环境影响分析</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kern w:val="2"/>
              </w:rPr>
              <w:t>（1）大气环境影响分析</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kern w:val="2"/>
              </w:rPr>
            </w:pPr>
            <w:r>
              <w:rPr>
                <w:rFonts w:ascii="Times New Roman" w:hAnsi="Times New Roman" w:cs="Times New Roman"/>
                <w:kern w:val="2"/>
              </w:rPr>
              <w:t>本项目</w:t>
            </w:r>
            <w:r>
              <w:rPr>
                <w:rFonts w:hint="eastAsia" w:ascii="Times New Roman" w:hAnsi="Times New Roman" w:cs="Times New Roman"/>
                <w:kern w:val="2"/>
              </w:rPr>
              <w:t>混凝土搅拌区的水泥筒仓呼吸粉尘</w:t>
            </w:r>
            <w:r>
              <w:rPr>
                <w:rFonts w:ascii="Times New Roman" w:hAnsi="Times New Roman" w:cs="Times New Roman"/>
              </w:rPr>
              <w:t>通过</w:t>
            </w:r>
            <w:r>
              <w:rPr>
                <w:rFonts w:hint="eastAsia" w:ascii="Times New Roman" w:hAnsi="Times New Roman" w:cs="Times New Roman"/>
              </w:rPr>
              <w:t>脉冲</w:t>
            </w:r>
            <w:r>
              <w:rPr>
                <w:rFonts w:ascii="Times New Roman" w:hAnsi="Times New Roman" w:cs="Times New Roman"/>
              </w:rPr>
              <w:t>除尘器处理，处理后</w:t>
            </w:r>
            <w:r>
              <w:rPr>
                <w:rFonts w:ascii="Times New Roman" w:hAnsi="Times New Roman" w:cs="Times New Roman"/>
                <w:kern w:val="2"/>
              </w:rPr>
              <w:t>通过25m高的P1</w:t>
            </w:r>
            <w:r>
              <w:rPr>
                <w:rFonts w:hint="eastAsia" w:ascii="Times New Roman" w:hAnsi="Times New Roman" w:cs="Times New Roman"/>
                <w:kern w:val="2"/>
              </w:rPr>
              <w:t>~P</w:t>
            </w:r>
            <w:r>
              <w:rPr>
                <w:rFonts w:ascii="Times New Roman" w:hAnsi="Times New Roman" w:cs="Times New Roman"/>
                <w:kern w:val="2"/>
              </w:rPr>
              <w:t>10排气筒排放，</w:t>
            </w:r>
            <w:r>
              <w:rPr>
                <w:rFonts w:hint="eastAsia" w:ascii="Times New Roman" w:hAnsi="Times New Roman" w:cs="Times New Roman"/>
                <w:kern w:val="2"/>
              </w:rPr>
              <w:t>粉煤灰筒仓呼吸粉尘</w:t>
            </w:r>
            <w:r>
              <w:rPr>
                <w:rFonts w:ascii="Times New Roman" w:hAnsi="Times New Roman" w:cs="Times New Roman"/>
              </w:rPr>
              <w:t>通过</w:t>
            </w:r>
            <w:r>
              <w:rPr>
                <w:rFonts w:hint="eastAsia" w:ascii="Times New Roman" w:hAnsi="Times New Roman" w:cs="Times New Roman"/>
              </w:rPr>
              <w:t>脉冲</w:t>
            </w:r>
            <w:r>
              <w:rPr>
                <w:rFonts w:ascii="Times New Roman" w:hAnsi="Times New Roman" w:cs="Times New Roman"/>
              </w:rPr>
              <w:t>除尘器处理，处理后</w:t>
            </w:r>
            <w:r>
              <w:rPr>
                <w:rFonts w:ascii="Times New Roman" w:hAnsi="Times New Roman" w:cs="Times New Roman"/>
                <w:kern w:val="2"/>
              </w:rPr>
              <w:t>通过</w:t>
            </w:r>
            <w:r>
              <w:rPr>
                <w:rFonts w:hint="eastAsia" w:ascii="Times New Roman" w:hAnsi="Times New Roman" w:cs="Times New Roman"/>
                <w:kern w:val="2"/>
              </w:rPr>
              <w:t>2</w:t>
            </w:r>
            <w:r>
              <w:rPr>
                <w:rFonts w:ascii="Times New Roman" w:hAnsi="Times New Roman" w:cs="Times New Roman"/>
                <w:kern w:val="2"/>
              </w:rPr>
              <w:t>5m高的P11</w:t>
            </w:r>
            <w:r>
              <w:rPr>
                <w:rFonts w:hint="eastAsia" w:ascii="Times New Roman" w:hAnsi="Times New Roman" w:cs="Times New Roman"/>
                <w:kern w:val="2"/>
              </w:rPr>
              <w:t>、P</w:t>
            </w:r>
            <w:r>
              <w:rPr>
                <w:rFonts w:ascii="Times New Roman" w:hAnsi="Times New Roman" w:cs="Times New Roman"/>
                <w:kern w:val="2"/>
              </w:rPr>
              <w:t>12排气筒排放</w:t>
            </w:r>
            <w:r>
              <w:rPr>
                <w:rFonts w:hint="eastAsia" w:ascii="Times New Roman" w:hAnsi="Times New Roman" w:cs="Times New Roman"/>
                <w:kern w:val="2"/>
              </w:rPr>
              <w:t>；搅拌粉尘</w:t>
            </w:r>
            <w:r>
              <w:rPr>
                <w:rFonts w:ascii="Times New Roman" w:hAnsi="Times New Roman" w:cs="Times New Roman"/>
              </w:rPr>
              <w:t>通过</w:t>
            </w:r>
            <w:r>
              <w:rPr>
                <w:rFonts w:hint="eastAsia" w:ascii="Times New Roman" w:hAnsi="Times New Roman" w:cs="Times New Roman"/>
              </w:rPr>
              <w:t>脉冲</w:t>
            </w:r>
            <w:r>
              <w:rPr>
                <w:rFonts w:ascii="Times New Roman" w:hAnsi="Times New Roman" w:cs="Times New Roman"/>
              </w:rPr>
              <w:t>除尘器处理，处理后</w:t>
            </w:r>
            <w:r>
              <w:rPr>
                <w:rFonts w:ascii="Times New Roman" w:hAnsi="Times New Roman" w:cs="Times New Roman"/>
                <w:kern w:val="2"/>
              </w:rPr>
              <w:t>通过25m高的P13</w:t>
            </w:r>
            <w:r>
              <w:rPr>
                <w:rFonts w:hint="eastAsia" w:ascii="Times New Roman" w:hAnsi="Times New Roman" w:cs="Times New Roman"/>
                <w:kern w:val="2"/>
              </w:rPr>
              <w:t>~P14</w:t>
            </w:r>
            <w:r>
              <w:rPr>
                <w:rFonts w:ascii="Times New Roman" w:hAnsi="Times New Roman" w:cs="Times New Roman"/>
                <w:kern w:val="2"/>
              </w:rPr>
              <w:t>排气筒排放</w:t>
            </w:r>
            <w:r>
              <w:rPr>
                <w:rFonts w:hint="eastAsia" w:ascii="Times New Roman" w:hAnsi="Times New Roman" w:cs="Times New Roman"/>
                <w:kern w:val="2"/>
              </w:rPr>
              <w:t>；有组织粉尘均</w:t>
            </w:r>
            <w:r>
              <w:rPr>
                <w:rFonts w:ascii="Times New Roman" w:hAnsi="Times New Roman" w:cs="Times New Roman"/>
              </w:rPr>
              <w:t>满足</w:t>
            </w:r>
            <w:r>
              <w:rPr>
                <w:rFonts w:hint="eastAsia" w:ascii="Times New Roman" w:hAnsi="Times New Roman" w:cs="Times New Roman"/>
              </w:rPr>
              <w:t>《水泥工业大气污染物排放标准》（GB4915-2013）表2中规定的排放限值</w:t>
            </w:r>
            <w:r>
              <w:rPr>
                <w:rFonts w:ascii="Times New Roman" w:hAnsi="Times New Roman" w:cs="Times New Roman"/>
              </w:rPr>
              <w:t>；</w:t>
            </w:r>
            <w:r>
              <w:rPr>
                <w:rFonts w:hint="eastAsia" w:ascii="Times New Roman" w:hAnsi="Times New Roman" w:cs="Times New Roman"/>
              </w:rPr>
              <w:t>原料装卸、原料入料斗粉尘</w:t>
            </w:r>
            <w:r>
              <w:rPr>
                <w:rFonts w:ascii="Times New Roman" w:hAnsi="Times New Roman" w:cs="Times New Roman"/>
                <w:color w:val="auto"/>
              </w:rPr>
              <w:t>属于无组织排放，</w:t>
            </w:r>
            <w:r>
              <w:rPr>
                <w:rFonts w:hint="eastAsia" w:ascii="Times New Roman" w:hAnsi="Times New Roman" w:cs="Times New Roman"/>
                <w:color w:val="auto"/>
              </w:rPr>
              <w:t>需将</w:t>
            </w:r>
            <w:r>
              <w:rPr>
                <w:rFonts w:hint="eastAsia" w:ascii="Times New Roman" w:hAnsi="Times New Roman" w:cs="Times New Roman"/>
              </w:rPr>
              <w:t>地面需硬化，再通过</w:t>
            </w:r>
            <w:r>
              <w:rPr>
                <w:rFonts w:ascii="Times New Roman" w:hAnsi="Times New Roman" w:cs="Times New Roman"/>
              </w:rPr>
              <w:t>喷水雾化器</w:t>
            </w:r>
            <w:r>
              <w:rPr>
                <w:rFonts w:ascii="Times New Roman" w:hAnsi="Times New Roman" w:cs="Times New Roman"/>
                <w:color w:val="auto"/>
                <w:kern w:val="2"/>
              </w:rPr>
              <w:t>措施来减少粉尘量</w:t>
            </w:r>
            <w:r>
              <w:rPr>
                <w:rFonts w:hint="eastAsia" w:ascii="Times New Roman" w:hAnsi="Times New Roman" w:cs="Times New Roman"/>
                <w:color w:val="auto"/>
                <w:kern w:val="2"/>
              </w:rPr>
              <w:t>；</w:t>
            </w:r>
            <w:r>
              <w:rPr>
                <w:rFonts w:hint="eastAsia" w:ascii="Times New Roman" w:hAnsi="Times New Roman" w:cs="Times New Roman"/>
              </w:rPr>
              <w:t>经预测后，无组织废气排放满足《水泥工业大气污染物排放标准》（GB4915-2013）表</w:t>
            </w:r>
            <w:r>
              <w:rPr>
                <w:rFonts w:ascii="Times New Roman" w:hAnsi="Times New Roman" w:cs="Times New Roman"/>
              </w:rPr>
              <w:t>3</w:t>
            </w:r>
            <w:r>
              <w:rPr>
                <w:rFonts w:hint="eastAsia" w:ascii="Times New Roman" w:hAnsi="Times New Roman" w:cs="Times New Roman"/>
              </w:rPr>
              <w:t>中规定的排放限值。</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rPr>
            </w:pPr>
            <w:r>
              <w:rPr>
                <w:rFonts w:hint="eastAsia" w:ascii="Times New Roman" w:cs="Times New Roman"/>
              </w:rPr>
              <w:t>柴油发电机全年使用量及使用时间较少，废气产生量较少，</w:t>
            </w:r>
            <w:r>
              <w:rPr>
                <w:rFonts w:ascii="Times New Roman" w:hAnsi="Times New Roman" w:cs="Times New Roman"/>
                <w:kern w:val="2"/>
                <w:szCs w:val="20"/>
              </w:rPr>
              <w:t>对环境的影响较小</w:t>
            </w:r>
            <w:r>
              <w:rPr>
                <w:rFonts w:hint="eastAsia" w:ascii="Times New Roman" w:hAnsi="Times New Roman" w:cs="Times New Roman"/>
                <w:kern w:val="2"/>
                <w:szCs w:val="20"/>
              </w:rPr>
              <w:t>；项目全年使用的柴油量较少，废气产生量较少，对环境的影响较小；运输</w:t>
            </w:r>
            <w:r>
              <w:rPr>
                <w:rFonts w:ascii="Times New Roman" w:hAnsi="Times New Roman" w:cs="Times New Roman"/>
                <w:kern w:val="2"/>
                <w:szCs w:val="20"/>
              </w:rPr>
              <w:t>扬尘及汽车尾气产生量较少，属于无组织间歇性排放，通过洒水降尘措施来减少粉尘量，且在经过厂区绿化带的植被净化削减下及大气扩散作用下，对环境的影响较小。</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kern w:val="2"/>
                <w:szCs w:val="20"/>
              </w:rPr>
              <w:t>（2）水环境影响分析</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rPr>
              <w:t>本项目</w:t>
            </w:r>
            <w:r>
              <w:rPr>
                <w:rFonts w:hint="eastAsia" w:ascii="Times New Roman" w:hAnsi="Times New Roman" w:cs="Times New Roman"/>
              </w:rPr>
              <w:t>产生</w:t>
            </w:r>
            <w:r>
              <w:rPr>
                <w:rFonts w:ascii="Times New Roman" w:hAnsi="Times New Roman" w:cs="Times New Roman"/>
              </w:rPr>
              <w:t>废水主要为</w:t>
            </w:r>
            <w:r>
              <w:rPr>
                <w:rFonts w:hint="eastAsia" w:ascii="Times New Roman" w:hAnsi="Times New Roman" w:cs="Times New Roman"/>
              </w:rPr>
              <w:t>生产废水</w:t>
            </w:r>
            <w:r>
              <w:rPr>
                <w:rFonts w:hint="eastAsia" w:ascii="Times New Roman" w:hAnsi="Times New Roman"/>
                <w:color w:val="auto"/>
                <w:lang w:bidi="ar"/>
              </w:rPr>
              <w:t>及生活废水</w:t>
            </w:r>
            <w:r>
              <w:rPr>
                <w:rFonts w:ascii="Times New Roman" w:hAnsi="Times New Roman" w:cs="Times New Roman"/>
              </w:rPr>
              <w:t>，</w:t>
            </w:r>
            <w:r>
              <w:rPr>
                <w:rFonts w:hint="eastAsia" w:ascii="Times New Roman" w:hAnsi="Times New Roman" w:cs="Times New Roman"/>
              </w:rPr>
              <w:t>生产废水</w:t>
            </w:r>
            <w:r>
              <w:rPr>
                <w:rFonts w:ascii="Times New Roman" w:hAnsi="Times New Roman" w:cs="Times New Roman"/>
              </w:rPr>
              <w:t>经</w:t>
            </w:r>
            <w:r>
              <w:rPr>
                <w:rFonts w:hint="eastAsia" w:ascii="Times New Roman" w:hAnsi="Times New Roman" w:cs="Times New Roman"/>
              </w:rPr>
              <w:t>三级沉淀池沉淀</w:t>
            </w:r>
            <w:r>
              <w:rPr>
                <w:rFonts w:ascii="Times New Roman" w:hAnsi="Times New Roman" w:cs="Times New Roman"/>
              </w:rPr>
              <w:t>处理后</w:t>
            </w:r>
            <w:r>
              <w:rPr>
                <w:rFonts w:hint="eastAsia" w:ascii="Times New Roman" w:hAnsi="Times New Roman" w:cs="Times New Roman"/>
              </w:rPr>
              <w:t>循环使用不外排</w:t>
            </w:r>
            <w:r>
              <w:rPr>
                <w:rFonts w:ascii="Times New Roman" w:hAnsi="Times New Roman" w:cs="Times New Roman"/>
              </w:rPr>
              <w:t>；</w:t>
            </w:r>
            <w:r>
              <w:rPr>
                <w:rFonts w:hint="eastAsia" w:ascii="Times New Roman" w:hAnsi="Times New Roman"/>
                <w:color w:val="auto"/>
                <w:lang w:bidi="ar"/>
              </w:rPr>
              <w:t>生活废水经隔油器及化粪池处理后用于周边农田灌溉，</w:t>
            </w:r>
            <w:r>
              <w:rPr>
                <w:rFonts w:ascii="Times New Roman" w:hAnsi="Times New Roman" w:cs="Times New Roman"/>
                <w:kern w:val="2"/>
              </w:rPr>
              <w:t>不会对周边地表水环境造成影响。</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kern w:val="2"/>
                <w:szCs w:val="20"/>
              </w:rPr>
              <w:t>（3）声环境影响分析</w:t>
            </w:r>
          </w:p>
          <w:p>
            <w:pPr>
              <w:spacing w:after="0" w:line="360" w:lineRule="auto"/>
              <w:ind w:firstLine="480" w:firstLineChars="200"/>
              <w:rPr>
                <w:sz w:val="24"/>
              </w:rPr>
            </w:pPr>
            <w:r>
              <w:rPr>
                <w:sz w:val="24"/>
                <w:szCs w:val="21"/>
              </w:rPr>
              <w:t>项目主要噪声源为生产设备运行过程产生的机械噪声及</w:t>
            </w:r>
            <w:r>
              <w:rPr>
                <w:rFonts w:hint="eastAsia"/>
                <w:sz w:val="24"/>
                <w:szCs w:val="21"/>
              </w:rPr>
              <w:t>进出车辆</w:t>
            </w:r>
            <w:r>
              <w:rPr>
                <w:sz w:val="24"/>
                <w:szCs w:val="21"/>
              </w:rPr>
              <w:t>噪声，</w:t>
            </w:r>
            <w:r>
              <w:rPr>
                <w:rFonts w:hint="eastAsia"/>
                <w:sz w:val="24"/>
                <w:szCs w:val="21"/>
              </w:rPr>
              <w:t>通过</w:t>
            </w:r>
            <w:r>
              <w:rPr>
                <w:sz w:val="24"/>
              </w:rPr>
              <w:t>选用低噪声设备</w:t>
            </w:r>
            <w:r>
              <w:rPr>
                <w:rFonts w:hint="eastAsia"/>
                <w:sz w:val="24"/>
              </w:rPr>
              <w:t>，</w:t>
            </w:r>
            <w:r>
              <w:rPr>
                <w:sz w:val="24"/>
              </w:rPr>
              <w:t>对</w:t>
            </w:r>
            <w:r>
              <w:rPr>
                <w:kern w:val="0"/>
                <w:sz w:val="24"/>
              </w:rPr>
              <w:t>设备采取</w:t>
            </w:r>
            <w:r>
              <w:rPr>
                <w:sz w:val="24"/>
              </w:rPr>
              <w:t>减震处理</w:t>
            </w:r>
            <w:r>
              <w:rPr>
                <w:rFonts w:hint="eastAsia"/>
                <w:sz w:val="24"/>
              </w:rPr>
              <w:t>、厂区设置绿化带及厂房隔声等措施后</w:t>
            </w:r>
            <w:r>
              <w:rPr>
                <w:kern w:val="0"/>
                <w:sz w:val="24"/>
              </w:rPr>
              <w:t>，</w:t>
            </w:r>
            <w:r>
              <w:rPr>
                <w:sz w:val="24"/>
              </w:rPr>
              <w:t>运营后</w:t>
            </w:r>
            <w:r>
              <w:rPr>
                <w:rFonts w:hint="eastAsia"/>
                <w:sz w:val="24"/>
              </w:rPr>
              <w:t>项目四周厂界</w:t>
            </w:r>
            <w:r>
              <w:rPr>
                <w:sz w:val="24"/>
              </w:rPr>
              <w:t>噪声</w:t>
            </w:r>
            <w:r>
              <w:rPr>
                <w:rFonts w:hint="eastAsia"/>
                <w:sz w:val="24"/>
              </w:rPr>
              <w:t>均</w:t>
            </w:r>
            <w:r>
              <w:rPr>
                <w:sz w:val="24"/>
              </w:rPr>
              <w:t>能达到《工业企业厂界环境噪声排放标准》（GB12348-2008）的2类排放标准的要求</w:t>
            </w:r>
            <w:r>
              <w:rPr>
                <w:rFonts w:hint="eastAsia"/>
                <w:sz w:val="24"/>
              </w:rPr>
              <w:t>，</w:t>
            </w:r>
            <w:r>
              <w:rPr>
                <w:sz w:val="24"/>
              </w:rPr>
              <w:t>不会对周围环境产生影响。</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Times New Roman"/>
                <w:kern w:val="2"/>
                <w:szCs w:val="20"/>
              </w:rPr>
            </w:pPr>
            <w:r>
              <w:rPr>
                <w:rFonts w:ascii="Times New Roman" w:hAnsi="Times New Roman" w:cs="Times New Roman"/>
                <w:kern w:val="2"/>
                <w:szCs w:val="20"/>
              </w:rPr>
              <w:t>（4）固体废物环境影响分析</w:t>
            </w:r>
          </w:p>
          <w:p>
            <w:pPr>
              <w:spacing w:after="0" w:line="360" w:lineRule="auto"/>
              <w:ind w:firstLine="480" w:firstLineChars="200"/>
              <w:rPr>
                <w:sz w:val="24"/>
              </w:rPr>
            </w:pPr>
            <w:r>
              <w:rPr>
                <w:sz w:val="24"/>
              </w:rPr>
              <w:t>本项目</w:t>
            </w:r>
            <w:r>
              <w:rPr>
                <w:rFonts w:hint="eastAsia"/>
                <w:sz w:val="24"/>
              </w:rPr>
              <w:t>机械维修委托专门的维修机构修理，废机油、含油抹布和手套由维修机构带走，均不在厂区内贮存；</w:t>
            </w:r>
            <w:r>
              <w:rPr>
                <w:sz w:val="24"/>
              </w:rPr>
              <w:t>除尘设备收集的粉尘</w:t>
            </w:r>
            <w:r>
              <w:rPr>
                <w:rFonts w:hint="eastAsia"/>
                <w:sz w:val="24"/>
              </w:rPr>
              <w:t>、砂石分离机分离后的砂石、</w:t>
            </w:r>
            <w:r>
              <w:rPr>
                <w:sz w:val="24"/>
              </w:rPr>
              <w:t>三级沉淀池沉淀泥砂</w:t>
            </w:r>
            <w:r>
              <w:rPr>
                <w:rFonts w:hint="eastAsia"/>
                <w:sz w:val="24"/>
              </w:rPr>
              <w:t>以及实验室废料均回用于生产；生活垃圾统一收集后交由环卫部门处理。</w:t>
            </w:r>
          </w:p>
          <w:p>
            <w:pPr>
              <w:adjustRightInd w:val="0"/>
              <w:snapToGrid w:val="0"/>
              <w:spacing w:after="0" w:line="360" w:lineRule="auto"/>
              <w:ind w:firstLine="480" w:firstLineChars="200"/>
              <w:rPr>
                <w:sz w:val="24"/>
                <w:lang w:val="zh-CN"/>
              </w:rPr>
            </w:pPr>
            <w:r>
              <w:rPr>
                <w:sz w:val="24"/>
              </w:rPr>
              <w:t>采取上述措施后，项目固废处置率100%，不会成为区域新污染源</w:t>
            </w:r>
            <w:r>
              <w:rPr>
                <w:sz w:val="24"/>
                <w:lang w:val="zh-CN"/>
              </w:rPr>
              <w:t>。</w:t>
            </w:r>
          </w:p>
          <w:p>
            <w:pPr>
              <w:pStyle w:val="3"/>
              <w:widowControl/>
              <w:tabs>
                <w:tab w:val="left" w:pos="576"/>
              </w:tabs>
              <w:spacing w:before="0" w:after="0" w:line="360" w:lineRule="auto"/>
              <w:rPr>
                <w:rFonts w:ascii="Times New Roman" w:hAnsi="Times New Roman" w:eastAsia="宋体" w:cs="宋体"/>
                <w:bCs w:val="0"/>
                <w:sz w:val="24"/>
                <w:szCs w:val="24"/>
              </w:rPr>
            </w:pPr>
            <w:r>
              <w:rPr>
                <w:rFonts w:hint="eastAsia" w:ascii="Times New Roman" w:hAnsi="Times New Roman" w:eastAsia="宋体" w:cs="宋体"/>
                <w:bCs w:val="0"/>
                <w:sz w:val="24"/>
                <w:szCs w:val="24"/>
              </w:rPr>
              <w:t>4、政策、选址合理性分析</w:t>
            </w:r>
          </w:p>
          <w:p>
            <w:pPr>
              <w:spacing w:after="0" w:line="360" w:lineRule="auto"/>
              <w:ind w:firstLine="480" w:firstLineChars="200"/>
              <w:rPr>
                <w:sz w:val="24"/>
              </w:rPr>
            </w:pPr>
            <w:r>
              <w:rPr>
                <w:sz w:val="24"/>
              </w:rPr>
              <w:t>本项目不属于《产业结构调整指导目录》（2019年本）中</w:t>
            </w:r>
            <w:r>
              <w:t>的</w:t>
            </w:r>
            <w:r>
              <w:rPr>
                <w:sz w:val="24"/>
              </w:rPr>
              <w:t>鼓励类、淘汰类、限制类，视为允许类。因此本项目的建设符合国家现行产业政策要求。</w:t>
            </w:r>
          </w:p>
          <w:p>
            <w:pPr>
              <w:pStyle w:val="35"/>
              <w:spacing w:after="0" w:line="360" w:lineRule="auto"/>
              <w:ind w:firstLine="480" w:firstLineChars="200"/>
              <w:jc w:val="both"/>
              <w:rPr>
                <w:rFonts w:ascii="Times New Roman" w:cs="Times New Roman"/>
                <w:color w:val="auto"/>
                <w:szCs w:val="32"/>
              </w:rPr>
            </w:pPr>
            <w:r>
              <w:rPr>
                <w:rFonts w:ascii="Times New Roman" w:cs="Times New Roman"/>
                <w:color w:val="auto"/>
                <w:szCs w:val="32"/>
              </w:rPr>
              <w:t>本项目所在地交通条件优越，区域内水、电、路、通讯等基础配套设施均已完善；</w:t>
            </w:r>
            <w:r>
              <w:rPr>
                <w:rFonts w:hint="eastAsia" w:ascii="Times New Roman" w:cs="Times New Roman"/>
                <w:color w:val="auto"/>
                <w:szCs w:val="32"/>
              </w:rPr>
              <w:t>选址符合规划要求并已通过县政府联审，各局均已同意其选址。故</w:t>
            </w:r>
            <w:r>
              <w:rPr>
                <w:rFonts w:ascii="Times New Roman" w:cs="Times New Roman"/>
                <w:color w:val="auto"/>
                <w:szCs w:val="32"/>
              </w:rPr>
              <w:t>本项目的选址合理可行。</w:t>
            </w:r>
          </w:p>
          <w:p>
            <w:pPr>
              <w:pStyle w:val="17"/>
              <w:widowControl w:val="0"/>
              <w:adjustRightInd w:val="0"/>
              <w:snapToGrid w:val="0"/>
              <w:spacing w:before="0" w:beforeAutospacing="0" w:after="0" w:afterAutospacing="0" w:line="360" w:lineRule="auto"/>
              <w:rPr>
                <w:rFonts w:ascii="Times New Roman" w:hAnsi="Times New Roman" w:cs="宋体"/>
                <w:b/>
                <w:bCs/>
                <w:kern w:val="2"/>
                <w:szCs w:val="20"/>
              </w:rPr>
            </w:pPr>
            <w:r>
              <w:rPr>
                <w:rFonts w:hint="eastAsia" w:ascii="Times New Roman" w:hAnsi="Times New Roman" w:cs="宋体"/>
                <w:b/>
                <w:bCs/>
                <w:kern w:val="2"/>
                <w:szCs w:val="20"/>
              </w:rPr>
              <w:t>5、项目建设环境制约因素</w:t>
            </w:r>
          </w:p>
          <w:p>
            <w:pPr>
              <w:pStyle w:val="17"/>
              <w:widowControl w:val="0"/>
              <w:adjustRightInd w:val="0"/>
              <w:snapToGrid w:val="0"/>
              <w:spacing w:before="0" w:beforeAutospacing="0" w:after="0" w:afterAutospacing="0" w:line="360" w:lineRule="auto"/>
              <w:ind w:firstLine="480" w:firstLineChars="200"/>
              <w:jc w:val="both"/>
              <w:rPr>
                <w:rFonts w:ascii="Times New Roman" w:hAnsi="Times New Roman" w:cs="宋体"/>
                <w:kern w:val="2"/>
                <w:szCs w:val="20"/>
              </w:rPr>
            </w:pPr>
            <w:r>
              <w:rPr>
                <w:rFonts w:hint="eastAsia" w:hAnsi="宋体"/>
              </w:rPr>
              <w:t>本项目建设没有</w:t>
            </w:r>
            <w:bookmarkStart w:id="98" w:name="OLE_LINK19"/>
            <w:r>
              <w:rPr>
                <w:rFonts w:hint="eastAsia" w:hAnsi="宋体"/>
              </w:rPr>
              <w:t>明显的环境制约因素</w:t>
            </w:r>
            <w:bookmarkEnd w:id="98"/>
            <w:r>
              <w:rPr>
                <w:rFonts w:hint="eastAsia" w:hAnsi="宋体"/>
              </w:rPr>
              <w:t>。</w:t>
            </w:r>
          </w:p>
          <w:p>
            <w:pPr>
              <w:pStyle w:val="3"/>
              <w:widowControl/>
              <w:tabs>
                <w:tab w:val="left" w:pos="576"/>
              </w:tabs>
              <w:spacing w:before="0" w:after="0" w:line="360" w:lineRule="auto"/>
              <w:rPr>
                <w:rFonts w:ascii="Times New Roman" w:hAnsi="Times New Roman" w:eastAsia="宋体" w:cs="宋体"/>
                <w:bCs w:val="0"/>
                <w:sz w:val="24"/>
                <w:szCs w:val="24"/>
              </w:rPr>
            </w:pPr>
            <w:r>
              <w:rPr>
                <w:rFonts w:ascii="Times New Roman" w:hAnsi="Times New Roman" w:eastAsia="宋体" w:cs="宋体"/>
                <w:bCs w:val="0"/>
                <w:sz w:val="24"/>
                <w:szCs w:val="24"/>
              </w:rPr>
              <w:t>6</w:t>
            </w:r>
            <w:r>
              <w:rPr>
                <w:rFonts w:hint="eastAsia" w:ascii="Times New Roman" w:hAnsi="Times New Roman" w:eastAsia="宋体" w:cs="宋体"/>
                <w:bCs w:val="0"/>
                <w:sz w:val="24"/>
                <w:szCs w:val="24"/>
              </w:rPr>
              <w:t>、综合评价结论</w:t>
            </w:r>
          </w:p>
          <w:p>
            <w:pPr>
              <w:pStyle w:val="17"/>
              <w:widowControl w:val="0"/>
              <w:adjustRightInd w:val="0"/>
              <w:snapToGrid w:val="0"/>
              <w:spacing w:before="0" w:beforeAutospacing="0" w:after="0" w:afterAutospacing="0" w:line="360" w:lineRule="auto"/>
              <w:ind w:firstLine="480" w:firstLineChars="200"/>
              <w:jc w:val="both"/>
              <w:rPr>
                <w:bCs/>
              </w:rPr>
            </w:pPr>
            <w:r>
              <w:rPr>
                <w:rFonts w:hint="eastAsia" w:ascii="Times New Roman" w:hAnsi="Times New Roman" w:cs="宋体"/>
                <w:bCs/>
                <w:kern w:val="2"/>
                <w:szCs w:val="20"/>
              </w:rPr>
              <w:t>综上所述，项目符合国家产业政策的要求，选址合理。该项目的建设，能够带动地区经济发展。对产生的废气、污水、噪声、固废采取措施治理后，各类污染物能够实现达标排放，对环境的影响可以接受，不会降低当地的环境功能</w:t>
            </w:r>
            <w:r>
              <w:rPr>
                <w:rFonts w:hint="eastAsia" w:ascii="Times New Roman" w:hAnsi="Times New Roman" w:cs="宋体"/>
                <w:bCs/>
                <w:color w:val="auto"/>
                <w:kern w:val="2"/>
                <w:szCs w:val="20"/>
              </w:rPr>
              <w:t>。</w:t>
            </w:r>
            <w:r>
              <w:rPr>
                <w:rFonts w:hint="eastAsia" w:ascii="Times New Roman" w:hAnsi="Times New Roman" w:cs="宋体"/>
                <w:bCs/>
                <w:kern w:val="2"/>
                <w:szCs w:val="20"/>
              </w:rPr>
              <w:t>在严格执行有关环保法规和</w:t>
            </w:r>
            <w:r>
              <w:rPr>
                <w:rFonts w:hint="eastAsia" w:ascii="宋体" w:hAnsi="宋体" w:cs="宋体"/>
                <w:bCs/>
                <w:kern w:val="2"/>
                <w:szCs w:val="20"/>
              </w:rPr>
              <w:t>“三同时”制度</w:t>
            </w:r>
            <w:r>
              <w:rPr>
                <w:rFonts w:hint="eastAsia" w:ascii="Times New Roman" w:hAnsi="Times New Roman" w:cs="宋体"/>
                <w:bCs/>
                <w:kern w:val="2"/>
                <w:szCs w:val="20"/>
              </w:rPr>
              <w:t>，认真落实本报告提出的各项污染防治措施的基础上，该项目能够实现社会效益、经济效益和环境效益的协调发展。从环境保护角度分析，该项目可行。</w:t>
            </w:r>
          </w:p>
          <w:p>
            <w:pPr>
              <w:pStyle w:val="3"/>
              <w:widowControl/>
              <w:tabs>
                <w:tab w:val="left" w:pos="576"/>
              </w:tabs>
              <w:spacing w:before="0" w:after="0" w:line="360" w:lineRule="auto"/>
              <w:rPr>
                <w:rFonts w:ascii="Times New Roman" w:hAnsi="Times New Roman" w:eastAsia="宋体" w:cs="宋体"/>
                <w:bCs w:val="0"/>
                <w:sz w:val="24"/>
                <w:szCs w:val="24"/>
              </w:rPr>
            </w:pPr>
            <w:bookmarkStart w:id="99" w:name="_Toc260819641"/>
            <w:r>
              <w:rPr>
                <w:rFonts w:hint="eastAsia" w:ascii="Times New Roman" w:hAnsi="Times New Roman" w:eastAsia="宋体" w:cs="宋体"/>
                <w:bCs w:val="0"/>
                <w:sz w:val="24"/>
                <w:szCs w:val="24"/>
              </w:rPr>
              <w:t>二、建议</w:t>
            </w:r>
            <w:bookmarkEnd w:id="99"/>
            <w:r>
              <w:rPr>
                <w:rFonts w:hint="eastAsia" w:ascii="Times New Roman" w:hAnsi="Times New Roman" w:eastAsia="宋体" w:cs="宋体"/>
                <w:bCs w:val="0"/>
                <w:sz w:val="24"/>
                <w:szCs w:val="24"/>
              </w:rPr>
              <w:t>与要求</w:t>
            </w:r>
          </w:p>
          <w:p>
            <w:pPr>
              <w:topLinePunct/>
              <w:spacing w:after="0" w:line="360" w:lineRule="auto"/>
              <w:ind w:firstLine="480" w:firstLineChars="200"/>
              <w:rPr>
                <w:snapToGrid w:val="0"/>
                <w:sz w:val="24"/>
              </w:rPr>
            </w:pPr>
            <w:r>
              <w:rPr>
                <w:snapToGrid w:val="0"/>
                <w:sz w:val="24"/>
              </w:rPr>
              <w:t>1、项目建设时应保证污染防治措施与主体设施同时设计、同时施工、同时投产。</w:t>
            </w:r>
          </w:p>
          <w:p>
            <w:pPr>
              <w:topLinePunct/>
              <w:spacing w:after="0" w:line="360" w:lineRule="auto"/>
              <w:ind w:firstLine="480" w:firstLineChars="200"/>
              <w:rPr>
                <w:snapToGrid w:val="0"/>
                <w:sz w:val="24"/>
              </w:rPr>
            </w:pPr>
            <w:r>
              <w:rPr>
                <w:snapToGrid w:val="0"/>
                <w:sz w:val="24"/>
              </w:rPr>
              <w:t>2、建设单位应加强项目的环境管理、专人负责，把环保措施指标纳入日常管理规划中，及时消除污染隐患，避免对环境带来污染影响。</w:t>
            </w:r>
          </w:p>
          <w:p>
            <w:pPr>
              <w:topLinePunct/>
              <w:spacing w:after="0" w:line="360" w:lineRule="auto"/>
              <w:ind w:firstLine="480" w:firstLineChars="200"/>
              <w:rPr>
                <w:snapToGrid w:val="0"/>
                <w:sz w:val="24"/>
              </w:rPr>
            </w:pPr>
            <w:r>
              <w:rPr>
                <w:snapToGrid w:val="0"/>
                <w:sz w:val="24"/>
              </w:rPr>
              <w:t>3、加强废气处理设施的管理，确保设施正常运行并达到设计处理效率，保证废气达标排放。正常生产情况下，严禁废气处理装置停运和超标排污。</w:t>
            </w:r>
          </w:p>
          <w:p>
            <w:pPr>
              <w:pStyle w:val="17"/>
              <w:widowControl w:val="0"/>
              <w:spacing w:before="0" w:beforeAutospacing="0" w:after="0" w:afterAutospacing="0" w:line="360" w:lineRule="auto"/>
              <w:ind w:firstLine="480" w:firstLineChars="200"/>
              <w:jc w:val="both"/>
              <w:rPr>
                <w:rFonts w:ascii="Times New Roman" w:hAnsi="Times New Roman" w:cs="Times New Roman"/>
                <w:snapToGrid w:val="0"/>
                <w:szCs w:val="20"/>
              </w:rPr>
            </w:pPr>
            <w:r>
              <w:rPr>
                <w:rFonts w:ascii="Times New Roman" w:hAnsi="Times New Roman" w:cs="Times New Roman"/>
                <w:snapToGrid w:val="0"/>
                <w:kern w:val="2"/>
                <w:szCs w:val="20"/>
              </w:rPr>
              <w:t>4、本项目基础资料由建设单位提供，并对其准确性负责。建设单位以后若增加本报告表所涉及之外的污染源或对其功能进行改变，则应按要求向有关环保部门进行申报，并按污染控制目标采取相应的污染治理措施。</w:t>
            </w:r>
          </w:p>
          <w:p>
            <w:pPr>
              <w:pStyle w:val="17"/>
              <w:widowControl w:val="0"/>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rPr>
              <w:t>5、本项目基础资料由建设单位提供，并对其准确性负责。建设单位以后若改变本报告表所涉及之外的污染源及其功能、平面布局、工艺流程、生产规模等，则应按相关部门要求重新申报，并按污染控制目标采取相应的污染治理措施。</w:t>
            </w:r>
          </w:p>
          <w:p>
            <w:pPr>
              <w:pStyle w:val="17"/>
              <w:widowControl w:val="0"/>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rPr>
              <w:t>6、建议建设单位加强与周边居民的沟通、协调，避免发生环境污染纠纷。如发生环境污染纠纷事故，应及时报当地环境监察部门协调处理，并按其要求改进，不得野蛮生产。</w:t>
            </w:r>
          </w:p>
          <w:p>
            <w:pPr>
              <w:pStyle w:val="17"/>
              <w:widowControl w:val="0"/>
              <w:spacing w:before="0" w:beforeAutospacing="0" w:after="0" w:afterAutospacing="0" w:line="360" w:lineRule="auto"/>
              <w:ind w:firstLine="480" w:firstLineChars="200"/>
              <w:jc w:val="both"/>
              <w:rPr>
                <w:rFonts w:ascii="Times New Roman" w:hAnsi="Times New Roman" w:cs="Times New Roman"/>
              </w:rPr>
            </w:pPr>
          </w:p>
          <w:p>
            <w:pPr>
              <w:pStyle w:val="17"/>
              <w:widowControl w:val="0"/>
              <w:spacing w:before="0" w:beforeAutospacing="0" w:after="0" w:afterAutospacing="0" w:line="360" w:lineRule="auto"/>
              <w:ind w:firstLine="480" w:firstLineChars="200"/>
              <w:jc w:val="both"/>
              <w:rPr>
                <w:rFonts w:ascii="Times New Roman" w:hAnsi="Times New Roman" w:cs="Times New Roman"/>
              </w:rPr>
            </w:pPr>
          </w:p>
          <w:p>
            <w:pPr>
              <w:pStyle w:val="17"/>
              <w:widowControl w:val="0"/>
              <w:spacing w:before="0" w:beforeAutospacing="0" w:after="0" w:afterAutospacing="0" w:line="360" w:lineRule="auto"/>
              <w:jc w:val="both"/>
              <w:rPr>
                <w:rFonts w:ascii="Times New Roman" w:hAnsi="Times New Roman" w:cs="Times New Roman"/>
              </w:rPr>
            </w:pPr>
          </w:p>
          <w:p>
            <w:pPr>
              <w:pStyle w:val="17"/>
              <w:widowControl w:val="0"/>
              <w:spacing w:before="0" w:beforeAutospacing="0" w:after="0" w:afterAutospacing="0" w:line="360" w:lineRule="auto"/>
              <w:jc w:val="both"/>
              <w:rPr>
                <w:rFonts w:ascii="Times New Roman" w:hAnsi="Times New Roman" w:cs="Times New Roman"/>
              </w:rPr>
            </w:pPr>
          </w:p>
          <w:p>
            <w:pPr>
              <w:pStyle w:val="17"/>
              <w:widowControl w:val="0"/>
              <w:spacing w:before="0" w:beforeAutospacing="0" w:after="0" w:afterAutospacing="0" w:line="360" w:lineRule="auto"/>
              <w:jc w:val="both"/>
              <w:rPr>
                <w:rFonts w:ascii="Times New Roman" w:hAnsi="Times New Roman" w:cs="Times New Roman"/>
              </w:rPr>
            </w:pPr>
          </w:p>
          <w:p>
            <w:pPr>
              <w:pStyle w:val="17"/>
              <w:widowControl w:val="0"/>
              <w:spacing w:before="0" w:beforeAutospacing="0" w:after="0" w:afterAutospacing="0" w:line="360" w:lineRule="auto"/>
              <w:jc w:val="both"/>
              <w:rPr>
                <w:rFonts w:ascii="Times New Roman" w:hAnsi="Times New Roman" w:cs="Times New Roman"/>
              </w:rPr>
            </w:pPr>
          </w:p>
          <w:p>
            <w:pPr>
              <w:pStyle w:val="17"/>
              <w:widowControl w:val="0"/>
              <w:spacing w:before="0" w:beforeAutospacing="0" w:after="0" w:afterAutospacing="0" w:line="360" w:lineRule="auto"/>
              <w:jc w:val="both"/>
              <w:rPr>
                <w:rFonts w:ascii="Times New Roman" w:hAnsi="Times New Roman" w:cs="Times New Roman"/>
              </w:rPr>
            </w:pPr>
          </w:p>
          <w:p>
            <w:pPr>
              <w:pStyle w:val="17"/>
              <w:widowControl w:val="0"/>
              <w:spacing w:before="0" w:beforeAutospacing="0" w:after="0" w:afterAutospacing="0" w:line="360" w:lineRule="auto"/>
              <w:jc w:val="both"/>
              <w:rPr>
                <w:rFonts w:ascii="Times New Roman" w:hAnsi="Times New Roman" w:cs="Times New Roman"/>
              </w:rPr>
            </w:pPr>
          </w:p>
        </w:tc>
      </w:tr>
    </w:tbl>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18030">
    <w:altName w:val="宋体"/>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47</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94A"/>
    <w:multiLevelType w:val="multilevel"/>
    <w:tmpl w:val="0327294A"/>
    <w:lvl w:ilvl="0" w:tentative="0">
      <w:start w:val="1"/>
      <w:numFmt w:val="decimal"/>
      <w:lvlText w:val="（%1）"/>
      <w:lvlJc w:val="left"/>
      <w:pPr>
        <w:ind w:left="1200" w:hanging="720"/>
      </w:pPr>
      <w:rPr>
        <w:rFonts w:hint="default"/>
      </w:r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1">
    <w:nsid w:val="2BA74E1C"/>
    <w:multiLevelType w:val="multilevel"/>
    <w:tmpl w:val="2BA74E1C"/>
    <w:lvl w:ilvl="0" w:tentative="0">
      <w:start w:val="1"/>
      <w:numFmt w:val="decimalEnclosedCircle"/>
      <w:lvlText w:val="%1"/>
      <w:lvlJc w:val="left"/>
      <w:pPr>
        <w:ind w:left="1200" w:hanging="360"/>
      </w:pPr>
      <w:rPr>
        <w:rFonts w:hint="default" w:cs="宋体"/>
        <w:b w:val="0"/>
      </w:rPr>
    </w:lvl>
    <w:lvl w:ilvl="1" w:tentative="0">
      <w:start w:val="1"/>
      <w:numFmt w:val="lowerLetter"/>
      <w:lvlText w:val="%2."/>
      <w:lvlJc w:val="left"/>
      <w:pPr>
        <w:ind w:left="1920" w:hanging="360"/>
      </w:pPr>
    </w:lvl>
    <w:lvl w:ilvl="2" w:tentative="0">
      <w:start w:val="1"/>
      <w:numFmt w:val="lowerRoman"/>
      <w:lvlText w:val="%3."/>
      <w:lvlJc w:val="right"/>
      <w:pPr>
        <w:ind w:left="2640" w:hanging="180"/>
      </w:pPr>
    </w:lvl>
    <w:lvl w:ilvl="3" w:tentative="0">
      <w:start w:val="1"/>
      <w:numFmt w:val="decimal"/>
      <w:lvlText w:val="%4."/>
      <w:lvlJc w:val="left"/>
      <w:pPr>
        <w:ind w:left="3360" w:hanging="360"/>
      </w:pPr>
    </w:lvl>
    <w:lvl w:ilvl="4" w:tentative="0">
      <w:start w:val="1"/>
      <w:numFmt w:val="lowerLetter"/>
      <w:lvlText w:val="%5."/>
      <w:lvlJc w:val="left"/>
      <w:pPr>
        <w:ind w:left="4080" w:hanging="360"/>
      </w:pPr>
    </w:lvl>
    <w:lvl w:ilvl="5" w:tentative="0">
      <w:start w:val="1"/>
      <w:numFmt w:val="lowerRoman"/>
      <w:lvlText w:val="%6."/>
      <w:lvlJc w:val="right"/>
      <w:pPr>
        <w:ind w:left="4800" w:hanging="180"/>
      </w:pPr>
    </w:lvl>
    <w:lvl w:ilvl="6" w:tentative="0">
      <w:start w:val="1"/>
      <w:numFmt w:val="decimal"/>
      <w:lvlText w:val="%7."/>
      <w:lvlJc w:val="left"/>
      <w:pPr>
        <w:ind w:left="5520" w:hanging="360"/>
      </w:pPr>
    </w:lvl>
    <w:lvl w:ilvl="7" w:tentative="0">
      <w:start w:val="1"/>
      <w:numFmt w:val="lowerLetter"/>
      <w:lvlText w:val="%8."/>
      <w:lvlJc w:val="left"/>
      <w:pPr>
        <w:ind w:left="6240" w:hanging="360"/>
      </w:pPr>
    </w:lvl>
    <w:lvl w:ilvl="8" w:tentative="0">
      <w:start w:val="1"/>
      <w:numFmt w:val="lowerRoman"/>
      <w:lvlText w:val="%9."/>
      <w:lvlJc w:val="right"/>
      <w:pPr>
        <w:ind w:left="6960" w:hanging="180"/>
      </w:pPr>
    </w:lvl>
  </w:abstractNum>
  <w:abstractNum w:abstractNumId="2">
    <w:nsid w:val="3951E1AB"/>
    <w:multiLevelType w:val="singleLevel"/>
    <w:tmpl w:val="3951E1AB"/>
    <w:lvl w:ilvl="0" w:tentative="0">
      <w:start w:val="4"/>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E1"/>
    <w:rsid w:val="00010592"/>
    <w:rsid w:val="00010B6D"/>
    <w:rsid w:val="00020652"/>
    <w:rsid w:val="00023016"/>
    <w:rsid w:val="00036338"/>
    <w:rsid w:val="0003771E"/>
    <w:rsid w:val="000424B3"/>
    <w:rsid w:val="00044777"/>
    <w:rsid w:val="0005206C"/>
    <w:rsid w:val="00053F99"/>
    <w:rsid w:val="000653AE"/>
    <w:rsid w:val="00072C3A"/>
    <w:rsid w:val="00084437"/>
    <w:rsid w:val="00096687"/>
    <w:rsid w:val="000A2FDF"/>
    <w:rsid w:val="000A47C9"/>
    <w:rsid w:val="000B1843"/>
    <w:rsid w:val="000B36BC"/>
    <w:rsid w:val="000C4249"/>
    <w:rsid w:val="000C764E"/>
    <w:rsid w:val="000D7841"/>
    <w:rsid w:val="000F15F7"/>
    <w:rsid w:val="0010203F"/>
    <w:rsid w:val="00103E56"/>
    <w:rsid w:val="00105B49"/>
    <w:rsid w:val="00105BB6"/>
    <w:rsid w:val="00106574"/>
    <w:rsid w:val="001209AE"/>
    <w:rsid w:val="00121A09"/>
    <w:rsid w:val="00122429"/>
    <w:rsid w:val="001449AB"/>
    <w:rsid w:val="00150669"/>
    <w:rsid w:val="001555E6"/>
    <w:rsid w:val="001560DF"/>
    <w:rsid w:val="00157711"/>
    <w:rsid w:val="00160B02"/>
    <w:rsid w:val="00162529"/>
    <w:rsid w:val="001633AA"/>
    <w:rsid w:val="0016560F"/>
    <w:rsid w:val="00172A27"/>
    <w:rsid w:val="0017683D"/>
    <w:rsid w:val="001831DA"/>
    <w:rsid w:val="00183BEB"/>
    <w:rsid w:val="001846C4"/>
    <w:rsid w:val="001B0009"/>
    <w:rsid w:val="001B5225"/>
    <w:rsid w:val="001B5E77"/>
    <w:rsid w:val="001D51F6"/>
    <w:rsid w:val="001F265B"/>
    <w:rsid w:val="001F2DBC"/>
    <w:rsid w:val="001F3940"/>
    <w:rsid w:val="00200A7F"/>
    <w:rsid w:val="00202E2B"/>
    <w:rsid w:val="002122D9"/>
    <w:rsid w:val="0021562E"/>
    <w:rsid w:val="00222482"/>
    <w:rsid w:val="002252BC"/>
    <w:rsid w:val="00225A41"/>
    <w:rsid w:val="00227E5A"/>
    <w:rsid w:val="00230C4D"/>
    <w:rsid w:val="002320AE"/>
    <w:rsid w:val="0024303E"/>
    <w:rsid w:val="0024780A"/>
    <w:rsid w:val="0025084D"/>
    <w:rsid w:val="00250AF7"/>
    <w:rsid w:val="00253310"/>
    <w:rsid w:val="00257589"/>
    <w:rsid w:val="002662B9"/>
    <w:rsid w:val="002668FD"/>
    <w:rsid w:val="00271F1E"/>
    <w:rsid w:val="00277B69"/>
    <w:rsid w:val="0028256D"/>
    <w:rsid w:val="0028521D"/>
    <w:rsid w:val="00291C48"/>
    <w:rsid w:val="00296CB1"/>
    <w:rsid w:val="002A3454"/>
    <w:rsid w:val="002B3B6D"/>
    <w:rsid w:val="002B4732"/>
    <w:rsid w:val="002B54B2"/>
    <w:rsid w:val="002C47E8"/>
    <w:rsid w:val="002D2349"/>
    <w:rsid w:val="002D3CB4"/>
    <w:rsid w:val="002E4EF7"/>
    <w:rsid w:val="002F0F6A"/>
    <w:rsid w:val="002F365D"/>
    <w:rsid w:val="003025EB"/>
    <w:rsid w:val="00315963"/>
    <w:rsid w:val="003236CE"/>
    <w:rsid w:val="00324260"/>
    <w:rsid w:val="00330F92"/>
    <w:rsid w:val="00332F24"/>
    <w:rsid w:val="003361C6"/>
    <w:rsid w:val="003446C1"/>
    <w:rsid w:val="003457BD"/>
    <w:rsid w:val="00347208"/>
    <w:rsid w:val="00347B20"/>
    <w:rsid w:val="00355E2F"/>
    <w:rsid w:val="00366FF8"/>
    <w:rsid w:val="00367377"/>
    <w:rsid w:val="003750DA"/>
    <w:rsid w:val="00384F70"/>
    <w:rsid w:val="00386FC3"/>
    <w:rsid w:val="003901A7"/>
    <w:rsid w:val="00390654"/>
    <w:rsid w:val="00391AC5"/>
    <w:rsid w:val="0039439F"/>
    <w:rsid w:val="003A5E76"/>
    <w:rsid w:val="003B7EED"/>
    <w:rsid w:val="003C027E"/>
    <w:rsid w:val="003C3505"/>
    <w:rsid w:val="003C4B94"/>
    <w:rsid w:val="003C51A4"/>
    <w:rsid w:val="003D1878"/>
    <w:rsid w:val="003D577F"/>
    <w:rsid w:val="003E7F68"/>
    <w:rsid w:val="003F3EC7"/>
    <w:rsid w:val="003F463F"/>
    <w:rsid w:val="004028E1"/>
    <w:rsid w:val="0040401B"/>
    <w:rsid w:val="00406CE7"/>
    <w:rsid w:val="004176DB"/>
    <w:rsid w:val="00420A22"/>
    <w:rsid w:val="0043064B"/>
    <w:rsid w:val="004665D3"/>
    <w:rsid w:val="0047013E"/>
    <w:rsid w:val="00475889"/>
    <w:rsid w:val="00475EA8"/>
    <w:rsid w:val="00476C8E"/>
    <w:rsid w:val="00486A95"/>
    <w:rsid w:val="004A3AB4"/>
    <w:rsid w:val="004B03B9"/>
    <w:rsid w:val="004B13AE"/>
    <w:rsid w:val="004C0517"/>
    <w:rsid w:val="004D00A8"/>
    <w:rsid w:val="004D22A3"/>
    <w:rsid w:val="004E6F4E"/>
    <w:rsid w:val="004F081C"/>
    <w:rsid w:val="00501FB9"/>
    <w:rsid w:val="005021D7"/>
    <w:rsid w:val="005157C8"/>
    <w:rsid w:val="00536FDD"/>
    <w:rsid w:val="0057589C"/>
    <w:rsid w:val="00581891"/>
    <w:rsid w:val="00584B92"/>
    <w:rsid w:val="005914E6"/>
    <w:rsid w:val="005963F2"/>
    <w:rsid w:val="005A1179"/>
    <w:rsid w:val="005A3C8B"/>
    <w:rsid w:val="005A432B"/>
    <w:rsid w:val="005A6313"/>
    <w:rsid w:val="005B1B0D"/>
    <w:rsid w:val="005B3D66"/>
    <w:rsid w:val="005E153B"/>
    <w:rsid w:val="005E1E1E"/>
    <w:rsid w:val="005E36F4"/>
    <w:rsid w:val="00631BBA"/>
    <w:rsid w:val="00632B07"/>
    <w:rsid w:val="00636C01"/>
    <w:rsid w:val="00636E3B"/>
    <w:rsid w:val="00642360"/>
    <w:rsid w:val="00647510"/>
    <w:rsid w:val="00652DE9"/>
    <w:rsid w:val="0065358C"/>
    <w:rsid w:val="00653A56"/>
    <w:rsid w:val="00666359"/>
    <w:rsid w:val="0066698D"/>
    <w:rsid w:val="0066788F"/>
    <w:rsid w:val="0066799D"/>
    <w:rsid w:val="0067248F"/>
    <w:rsid w:val="00677573"/>
    <w:rsid w:val="00695119"/>
    <w:rsid w:val="006B0AB9"/>
    <w:rsid w:val="006B1396"/>
    <w:rsid w:val="006B75BC"/>
    <w:rsid w:val="006C6CF5"/>
    <w:rsid w:val="006D66DF"/>
    <w:rsid w:val="006E0412"/>
    <w:rsid w:val="006E0C2A"/>
    <w:rsid w:val="006F0B87"/>
    <w:rsid w:val="00706DC3"/>
    <w:rsid w:val="00711A69"/>
    <w:rsid w:val="00735ABF"/>
    <w:rsid w:val="00742817"/>
    <w:rsid w:val="00747ABE"/>
    <w:rsid w:val="00750E0D"/>
    <w:rsid w:val="0076471D"/>
    <w:rsid w:val="00772664"/>
    <w:rsid w:val="007825DD"/>
    <w:rsid w:val="0078306A"/>
    <w:rsid w:val="007A05D1"/>
    <w:rsid w:val="007A6B5C"/>
    <w:rsid w:val="007A72A4"/>
    <w:rsid w:val="007B44E6"/>
    <w:rsid w:val="007B71B7"/>
    <w:rsid w:val="007C54D7"/>
    <w:rsid w:val="007C5C49"/>
    <w:rsid w:val="007D01AE"/>
    <w:rsid w:val="007D31EE"/>
    <w:rsid w:val="007E212F"/>
    <w:rsid w:val="007E6A97"/>
    <w:rsid w:val="007F76BE"/>
    <w:rsid w:val="007F7F08"/>
    <w:rsid w:val="0080574B"/>
    <w:rsid w:val="00815FC6"/>
    <w:rsid w:val="0082620F"/>
    <w:rsid w:val="008413DF"/>
    <w:rsid w:val="00842AE3"/>
    <w:rsid w:val="00846535"/>
    <w:rsid w:val="0086062B"/>
    <w:rsid w:val="00866E59"/>
    <w:rsid w:val="0087298D"/>
    <w:rsid w:val="00873A56"/>
    <w:rsid w:val="00881EB8"/>
    <w:rsid w:val="008970F2"/>
    <w:rsid w:val="008A0BED"/>
    <w:rsid w:val="008A5257"/>
    <w:rsid w:val="008B2115"/>
    <w:rsid w:val="008B5A70"/>
    <w:rsid w:val="008B73F8"/>
    <w:rsid w:val="008C7AEC"/>
    <w:rsid w:val="008D37C7"/>
    <w:rsid w:val="008D47AF"/>
    <w:rsid w:val="008E04C1"/>
    <w:rsid w:val="008E3AA7"/>
    <w:rsid w:val="008E6908"/>
    <w:rsid w:val="00900476"/>
    <w:rsid w:val="00900A33"/>
    <w:rsid w:val="009038D4"/>
    <w:rsid w:val="0091504A"/>
    <w:rsid w:val="00920CDE"/>
    <w:rsid w:val="00922441"/>
    <w:rsid w:val="009236DC"/>
    <w:rsid w:val="00933C31"/>
    <w:rsid w:val="009448B0"/>
    <w:rsid w:val="00955F09"/>
    <w:rsid w:val="0098661A"/>
    <w:rsid w:val="00991D67"/>
    <w:rsid w:val="0099398E"/>
    <w:rsid w:val="0099404E"/>
    <w:rsid w:val="00997C35"/>
    <w:rsid w:val="009A28D6"/>
    <w:rsid w:val="009A68F3"/>
    <w:rsid w:val="009B388F"/>
    <w:rsid w:val="009B5122"/>
    <w:rsid w:val="009B5363"/>
    <w:rsid w:val="009B5BF6"/>
    <w:rsid w:val="009B7D64"/>
    <w:rsid w:val="009E1E9B"/>
    <w:rsid w:val="009E3E99"/>
    <w:rsid w:val="009F35C7"/>
    <w:rsid w:val="009F5CFF"/>
    <w:rsid w:val="009F5EC8"/>
    <w:rsid w:val="00A01B9D"/>
    <w:rsid w:val="00A06A84"/>
    <w:rsid w:val="00A37172"/>
    <w:rsid w:val="00A422FD"/>
    <w:rsid w:val="00A509B5"/>
    <w:rsid w:val="00A65AD1"/>
    <w:rsid w:val="00A74044"/>
    <w:rsid w:val="00A84214"/>
    <w:rsid w:val="00A94E17"/>
    <w:rsid w:val="00AA4D8C"/>
    <w:rsid w:val="00AA5362"/>
    <w:rsid w:val="00AB3959"/>
    <w:rsid w:val="00AB586B"/>
    <w:rsid w:val="00AE1579"/>
    <w:rsid w:val="00AE547B"/>
    <w:rsid w:val="00AF381D"/>
    <w:rsid w:val="00AF697E"/>
    <w:rsid w:val="00AF7F39"/>
    <w:rsid w:val="00B04D76"/>
    <w:rsid w:val="00B05B74"/>
    <w:rsid w:val="00B14AD8"/>
    <w:rsid w:val="00B178B3"/>
    <w:rsid w:val="00B24224"/>
    <w:rsid w:val="00B25166"/>
    <w:rsid w:val="00B31D2A"/>
    <w:rsid w:val="00B32E7F"/>
    <w:rsid w:val="00B370DA"/>
    <w:rsid w:val="00B40E51"/>
    <w:rsid w:val="00B42CB6"/>
    <w:rsid w:val="00B4664A"/>
    <w:rsid w:val="00B53E4E"/>
    <w:rsid w:val="00B53ECF"/>
    <w:rsid w:val="00B7377C"/>
    <w:rsid w:val="00B7417E"/>
    <w:rsid w:val="00B82E3E"/>
    <w:rsid w:val="00B86EE1"/>
    <w:rsid w:val="00B919ED"/>
    <w:rsid w:val="00B9206A"/>
    <w:rsid w:val="00B924C4"/>
    <w:rsid w:val="00B92BD3"/>
    <w:rsid w:val="00B95A8A"/>
    <w:rsid w:val="00B95B0F"/>
    <w:rsid w:val="00BB407B"/>
    <w:rsid w:val="00BB65A0"/>
    <w:rsid w:val="00BC0D98"/>
    <w:rsid w:val="00BC17A9"/>
    <w:rsid w:val="00BC2AC7"/>
    <w:rsid w:val="00BE02EF"/>
    <w:rsid w:val="00BE3A61"/>
    <w:rsid w:val="00BF1AF4"/>
    <w:rsid w:val="00BF762C"/>
    <w:rsid w:val="00C008C5"/>
    <w:rsid w:val="00C013E5"/>
    <w:rsid w:val="00C0517F"/>
    <w:rsid w:val="00C1014C"/>
    <w:rsid w:val="00C1084B"/>
    <w:rsid w:val="00C13B73"/>
    <w:rsid w:val="00C23BA2"/>
    <w:rsid w:val="00C2512C"/>
    <w:rsid w:val="00C402ED"/>
    <w:rsid w:val="00C44FD5"/>
    <w:rsid w:val="00C62F4B"/>
    <w:rsid w:val="00C7439D"/>
    <w:rsid w:val="00C8223B"/>
    <w:rsid w:val="00C94914"/>
    <w:rsid w:val="00CA2E03"/>
    <w:rsid w:val="00CA4302"/>
    <w:rsid w:val="00CA6BDB"/>
    <w:rsid w:val="00CB1741"/>
    <w:rsid w:val="00CB30EA"/>
    <w:rsid w:val="00CC478D"/>
    <w:rsid w:val="00CE65BA"/>
    <w:rsid w:val="00CE6DC3"/>
    <w:rsid w:val="00CE73D7"/>
    <w:rsid w:val="00CF162C"/>
    <w:rsid w:val="00CF2B52"/>
    <w:rsid w:val="00D20208"/>
    <w:rsid w:val="00D30345"/>
    <w:rsid w:val="00D366F7"/>
    <w:rsid w:val="00D4065A"/>
    <w:rsid w:val="00D44C4F"/>
    <w:rsid w:val="00D508A2"/>
    <w:rsid w:val="00D525BC"/>
    <w:rsid w:val="00D64B5B"/>
    <w:rsid w:val="00D67A66"/>
    <w:rsid w:val="00D67CAD"/>
    <w:rsid w:val="00D74959"/>
    <w:rsid w:val="00D83438"/>
    <w:rsid w:val="00D9113E"/>
    <w:rsid w:val="00D92B02"/>
    <w:rsid w:val="00D9645B"/>
    <w:rsid w:val="00DC6A1A"/>
    <w:rsid w:val="00DE1FE1"/>
    <w:rsid w:val="00DE6C80"/>
    <w:rsid w:val="00DE72E8"/>
    <w:rsid w:val="00DF3657"/>
    <w:rsid w:val="00E228A9"/>
    <w:rsid w:val="00E30547"/>
    <w:rsid w:val="00E436A3"/>
    <w:rsid w:val="00E5365F"/>
    <w:rsid w:val="00E77324"/>
    <w:rsid w:val="00E96AC9"/>
    <w:rsid w:val="00EB066F"/>
    <w:rsid w:val="00ED075D"/>
    <w:rsid w:val="00ED1CDF"/>
    <w:rsid w:val="00EE50F4"/>
    <w:rsid w:val="00EF5AD3"/>
    <w:rsid w:val="00F06F34"/>
    <w:rsid w:val="00F112FF"/>
    <w:rsid w:val="00F15D86"/>
    <w:rsid w:val="00F16602"/>
    <w:rsid w:val="00F22674"/>
    <w:rsid w:val="00F529A0"/>
    <w:rsid w:val="00F62A41"/>
    <w:rsid w:val="00F7047D"/>
    <w:rsid w:val="00F82E72"/>
    <w:rsid w:val="00F83EF1"/>
    <w:rsid w:val="00F85825"/>
    <w:rsid w:val="00F85F33"/>
    <w:rsid w:val="00F90005"/>
    <w:rsid w:val="00F96C38"/>
    <w:rsid w:val="00FA2DFF"/>
    <w:rsid w:val="00FB72DB"/>
    <w:rsid w:val="00FC5204"/>
    <w:rsid w:val="00FD3086"/>
    <w:rsid w:val="00FD3DB4"/>
    <w:rsid w:val="00FD6BA1"/>
    <w:rsid w:val="00FE37BE"/>
    <w:rsid w:val="00FE3D2D"/>
    <w:rsid w:val="01136DF5"/>
    <w:rsid w:val="011E1A9E"/>
    <w:rsid w:val="01247CC3"/>
    <w:rsid w:val="01466DEE"/>
    <w:rsid w:val="016C5BF1"/>
    <w:rsid w:val="016D19DB"/>
    <w:rsid w:val="01841BAB"/>
    <w:rsid w:val="01B81C41"/>
    <w:rsid w:val="01BC1F0B"/>
    <w:rsid w:val="01C61EFC"/>
    <w:rsid w:val="01F94369"/>
    <w:rsid w:val="01FA7243"/>
    <w:rsid w:val="025D7574"/>
    <w:rsid w:val="026374DF"/>
    <w:rsid w:val="02695262"/>
    <w:rsid w:val="027C7D19"/>
    <w:rsid w:val="02EF3458"/>
    <w:rsid w:val="02FB1D76"/>
    <w:rsid w:val="03022377"/>
    <w:rsid w:val="03103BAE"/>
    <w:rsid w:val="032120E0"/>
    <w:rsid w:val="03624F09"/>
    <w:rsid w:val="03736B90"/>
    <w:rsid w:val="03776BC6"/>
    <w:rsid w:val="037C1D56"/>
    <w:rsid w:val="03AE1206"/>
    <w:rsid w:val="03B52EC4"/>
    <w:rsid w:val="03F33737"/>
    <w:rsid w:val="044D3090"/>
    <w:rsid w:val="04735061"/>
    <w:rsid w:val="04755649"/>
    <w:rsid w:val="048D54E3"/>
    <w:rsid w:val="049545C3"/>
    <w:rsid w:val="04A2544D"/>
    <w:rsid w:val="04AF1B10"/>
    <w:rsid w:val="04C314E5"/>
    <w:rsid w:val="04C40A71"/>
    <w:rsid w:val="0514515C"/>
    <w:rsid w:val="051E10A5"/>
    <w:rsid w:val="052D5560"/>
    <w:rsid w:val="05AA6C17"/>
    <w:rsid w:val="05BB24F7"/>
    <w:rsid w:val="05C13599"/>
    <w:rsid w:val="05C7217D"/>
    <w:rsid w:val="05CE0489"/>
    <w:rsid w:val="06007BD3"/>
    <w:rsid w:val="060A2C6B"/>
    <w:rsid w:val="06BE23A2"/>
    <w:rsid w:val="06C660D3"/>
    <w:rsid w:val="06C94896"/>
    <w:rsid w:val="06E921EA"/>
    <w:rsid w:val="06F611A8"/>
    <w:rsid w:val="07493DB1"/>
    <w:rsid w:val="074E4BFF"/>
    <w:rsid w:val="076067AD"/>
    <w:rsid w:val="0767257F"/>
    <w:rsid w:val="07A85618"/>
    <w:rsid w:val="07CC1974"/>
    <w:rsid w:val="07DB2E44"/>
    <w:rsid w:val="07E47D7F"/>
    <w:rsid w:val="07E66AA2"/>
    <w:rsid w:val="080738DC"/>
    <w:rsid w:val="08160459"/>
    <w:rsid w:val="08200754"/>
    <w:rsid w:val="08495D81"/>
    <w:rsid w:val="08641A85"/>
    <w:rsid w:val="088577BC"/>
    <w:rsid w:val="0896676D"/>
    <w:rsid w:val="08B3444C"/>
    <w:rsid w:val="08B40B39"/>
    <w:rsid w:val="08C775FE"/>
    <w:rsid w:val="09087091"/>
    <w:rsid w:val="090F79B0"/>
    <w:rsid w:val="091316B2"/>
    <w:rsid w:val="09305F09"/>
    <w:rsid w:val="09321BC7"/>
    <w:rsid w:val="09381717"/>
    <w:rsid w:val="095C3C5E"/>
    <w:rsid w:val="097F12A3"/>
    <w:rsid w:val="09987954"/>
    <w:rsid w:val="09AC7B74"/>
    <w:rsid w:val="0A057365"/>
    <w:rsid w:val="0A154DCA"/>
    <w:rsid w:val="0A1B2935"/>
    <w:rsid w:val="0A466570"/>
    <w:rsid w:val="0A4749E5"/>
    <w:rsid w:val="0A527905"/>
    <w:rsid w:val="0A7A3EC8"/>
    <w:rsid w:val="0A964DBF"/>
    <w:rsid w:val="0ABD114D"/>
    <w:rsid w:val="0B2327F9"/>
    <w:rsid w:val="0B4328E8"/>
    <w:rsid w:val="0B5807E8"/>
    <w:rsid w:val="0B72754E"/>
    <w:rsid w:val="0B81776F"/>
    <w:rsid w:val="0B884C29"/>
    <w:rsid w:val="0B9A7E4B"/>
    <w:rsid w:val="0BA1462C"/>
    <w:rsid w:val="0BBF49DF"/>
    <w:rsid w:val="0BC46523"/>
    <w:rsid w:val="0BE27716"/>
    <w:rsid w:val="0BE60B8B"/>
    <w:rsid w:val="0BF16E7D"/>
    <w:rsid w:val="0BFB3DC5"/>
    <w:rsid w:val="0BFF59CB"/>
    <w:rsid w:val="0C005D4F"/>
    <w:rsid w:val="0C0C57AC"/>
    <w:rsid w:val="0C167BE9"/>
    <w:rsid w:val="0C342E46"/>
    <w:rsid w:val="0C5D3247"/>
    <w:rsid w:val="0C5F65C3"/>
    <w:rsid w:val="0C6659F9"/>
    <w:rsid w:val="0C863F87"/>
    <w:rsid w:val="0C9243A5"/>
    <w:rsid w:val="0CCA41F2"/>
    <w:rsid w:val="0CE21135"/>
    <w:rsid w:val="0D0403DD"/>
    <w:rsid w:val="0D0E01E4"/>
    <w:rsid w:val="0D1148BC"/>
    <w:rsid w:val="0D1C7BFC"/>
    <w:rsid w:val="0D2D7976"/>
    <w:rsid w:val="0D33480C"/>
    <w:rsid w:val="0D3D5826"/>
    <w:rsid w:val="0D42018F"/>
    <w:rsid w:val="0D4B06B6"/>
    <w:rsid w:val="0D600EFE"/>
    <w:rsid w:val="0D654D07"/>
    <w:rsid w:val="0D7F528B"/>
    <w:rsid w:val="0D807370"/>
    <w:rsid w:val="0DA50ADF"/>
    <w:rsid w:val="0DB66F18"/>
    <w:rsid w:val="0DC37359"/>
    <w:rsid w:val="0DC82EAC"/>
    <w:rsid w:val="0DCD7EC2"/>
    <w:rsid w:val="0DD53E92"/>
    <w:rsid w:val="0DE361F2"/>
    <w:rsid w:val="0DF4539E"/>
    <w:rsid w:val="0E0100F4"/>
    <w:rsid w:val="0E1E313B"/>
    <w:rsid w:val="0E24646C"/>
    <w:rsid w:val="0E4365C5"/>
    <w:rsid w:val="0E5C6E25"/>
    <w:rsid w:val="0EC459AD"/>
    <w:rsid w:val="0EF36155"/>
    <w:rsid w:val="0EFE6559"/>
    <w:rsid w:val="0F0862B4"/>
    <w:rsid w:val="0F2D7F5A"/>
    <w:rsid w:val="0F393773"/>
    <w:rsid w:val="0F603529"/>
    <w:rsid w:val="0F760858"/>
    <w:rsid w:val="0F7D144E"/>
    <w:rsid w:val="0F9913E3"/>
    <w:rsid w:val="0F9E3AEF"/>
    <w:rsid w:val="0FA53364"/>
    <w:rsid w:val="0FC8281D"/>
    <w:rsid w:val="0FCB2BB3"/>
    <w:rsid w:val="1000106C"/>
    <w:rsid w:val="10193056"/>
    <w:rsid w:val="10227DFB"/>
    <w:rsid w:val="102866B0"/>
    <w:rsid w:val="105930FF"/>
    <w:rsid w:val="105E581F"/>
    <w:rsid w:val="107304E2"/>
    <w:rsid w:val="10736305"/>
    <w:rsid w:val="109D037B"/>
    <w:rsid w:val="10A65043"/>
    <w:rsid w:val="10BA5346"/>
    <w:rsid w:val="10D722F7"/>
    <w:rsid w:val="11277C9C"/>
    <w:rsid w:val="112B4F54"/>
    <w:rsid w:val="112C56F2"/>
    <w:rsid w:val="112D635E"/>
    <w:rsid w:val="113847BC"/>
    <w:rsid w:val="118D71FE"/>
    <w:rsid w:val="118E70D2"/>
    <w:rsid w:val="11A163CF"/>
    <w:rsid w:val="11AC163F"/>
    <w:rsid w:val="11C81293"/>
    <w:rsid w:val="11EE44FD"/>
    <w:rsid w:val="11F8610A"/>
    <w:rsid w:val="12207F44"/>
    <w:rsid w:val="123B19B5"/>
    <w:rsid w:val="12822B82"/>
    <w:rsid w:val="12B42F0B"/>
    <w:rsid w:val="12CC5FA6"/>
    <w:rsid w:val="12F5514D"/>
    <w:rsid w:val="136754F6"/>
    <w:rsid w:val="13886924"/>
    <w:rsid w:val="139278BB"/>
    <w:rsid w:val="13A421C3"/>
    <w:rsid w:val="13B929E7"/>
    <w:rsid w:val="13D241DD"/>
    <w:rsid w:val="13E901E9"/>
    <w:rsid w:val="140F47BF"/>
    <w:rsid w:val="143D7E06"/>
    <w:rsid w:val="144F16B6"/>
    <w:rsid w:val="144F5B3A"/>
    <w:rsid w:val="14772E1D"/>
    <w:rsid w:val="14855887"/>
    <w:rsid w:val="1490364F"/>
    <w:rsid w:val="149B2337"/>
    <w:rsid w:val="14A910E0"/>
    <w:rsid w:val="14C57350"/>
    <w:rsid w:val="14E272FF"/>
    <w:rsid w:val="14E70D7B"/>
    <w:rsid w:val="150D1C09"/>
    <w:rsid w:val="151C0F5A"/>
    <w:rsid w:val="15251624"/>
    <w:rsid w:val="15262B36"/>
    <w:rsid w:val="154944E0"/>
    <w:rsid w:val="155000ED"/>
    <w:rsid w:val="155C18D7"/>
    <w:rsid w:val="156E29E5"/>
    <w:rsid w:val="159975FE"/>
    <w:rsid w:val="15A743AA"/>
    <w:rsid w:val="15D90C38"/>
    <w:rsid w:val="16273F2B"/>
    <w:rsid w:val="162F2F64"/>
    <w:rsid w:val="16B92F2D"/>
    <w:rsid w:val="16BD344A"/>
    <w:rsid w:val="16C43FA5"/>
    <w:rsid w:val="16CE26C7"/>
    <w:rsid w:val="16D46F8F"/>
    <w:rsid w:val="16D7267E"/>
    <w:rsid w:val="17260668"/>
    <w:rsid w:val="17280B14"/>
    <w:rsid w:val="172D48D7"/>
    <w:rsid w:val="172E018D"/>
    <w:rsid w:val="176D3DF8"/>
    <w:rsid w:val="17762639"/>
    <w:rsid w:val="177E5735"/>
    <w:rsid w:val="1795729B"/>
    <w:rsid w:val="17B627EB"/>
    <w:rsid w:val="17E84271"/>
    <w:rsid w:val="18197128"/>
    <w:rsid w:val="182049E7"/>
    <w:rsid w:val="1845108E"/>
    <w:rsid w:val="18770AB5"/>
    <w:rsid w:val="189C31E7"/>
    <w:rsid w:val="18BE3046"/>
    <w:rsid w:val="18D328FC"/>
    <w:rsid w:val="18DA22E6"/>
    <w:rsid w:val="190A12A9"/>
    <w:rsid w:val="191F5DD2"/>
    <w:rsid w:val="1921436D"/>
    <w:rsid w:val="192F3337"/>
    <w:rsid w:val="19323DA6"/>
    <w:rsid w:val="19523A77"/>
    <w:rsid w:val="19530A4A"/>
    <w:rsid w:val="19582AA7"/>
    <w:rsid w:val="19903D8E"/>
    <w:rsid w:val="19A95C07"/>
    <w:rsid w:val="19B67D36"/>
    <w:rsid w:val="19D0773A"/>
    <w:rsid w:val="19D90250"/>
    <w:rsid w:val="19EC6980"/>
    <w:rsid w:val="19F66CD1"/>
    <w:rsid w:val="1A4A5C7F"/>
    <w:rsid w:val="1A590A1B"/>
    <w:rsid w:val="1A9E6AB2"/>
    <w:rsid w:val="1AC04247"/>
    <w:rsid w:val="1AC55B4A"/>
    <w:rsid w:val="1AEE3B93"/>
    <w:rsid w:val="1AF54088"/>
    <w:rsid w:val="1B2A4E85"/>
    <w:rsid w:val="1B323F43"/>
    <w:rsid w:val="1B4B2882"/>
    <w:rsid w:val="1B54283C"/>
    <w:rsid w:val="1B602643"/>
    <w:rsid w:val="1B6A5941"/>
    <w:rsid w:val="1B944B08"/>
    <w:rsid w:val="1B9F7993"/>
    <w:rsid w:val="1BD03745"/>
    <w:rsid w:val="1BF14001"/>
    <w:rsid w:val="1C1A03FF"/>
    <w:rsid w:val="1C1A76AA"/>
    <w:rsid w:val="1C273BD2"/>
    <w:rsid w:val="1C284141"/>
    <w:rsid w:val="1C420261"/>
    <w:rsid w:val="1C6C6BA0"/>
    <w:rsid w:val="1C6E0906"/>
    <w:rsid w:val="1C7E73C8"/>
    <w:rsid w:val="1C971CB1"/>
    <w:rsid w:val="1CA626FA"/>
    <w:rsid w:val="1CB44A29"/>
    <w:rsid w:val="1CBA7A02"/>
    <w:rsid w:val="1CC30682"/>
    <w:rsid w:val="1CC65A86"/>
    <w:rsid w:val="1CC776AF"/>
    <w:rsid w:val="1CD219CF"/>
    <w:rsid w:val="1D495475"/>
    <w:rsid w:val="1D565ED3"/>
    <w:rsid w:val="1D782257"/>
    <w:rsid w:val="1D932FC6"/>
    <w:rsid w:val="1DA9032A"/>
    <w:rsid w:val="1DB20836"/>
    <w:rsid w:val="1DCD55BF"/>
    <w:rsid w:val="1DEE14B6"/>
    <w:rsid w:val="1DF606E8"/>
    <w:rsid w:val="1DF803BC"/>
    <w:rsid w:val="1E0821D6"/>
    <w:rsid w:val="1E1E4513"/>
    <w:rsid w:val="1E1F0625"/>
    <w:rsid w:val="1E1F7694"/>
    <w:rsid w:val="1E275093"/>
    <w:rsid w:val="1E331517"/>
    <w:rsid w:val="1E583440"/>
    <w:rsid w:val="1E5C13D5"/>
    <w:rsid w:val="1E5C3B9A"/>
    <w:rsid w:val="1E6B0A45"/>
    <w:rsid w:val="1E7359F5"/>
    <w:rsid w:val="1E7806C4"/>
    <w:rsid w:val="1E9E6973"/>
    <w:rsid w:val="1EB63264"/>
    <w:rsid w:val="1EB728AD"/>
    <w:rsid w:val="1EBB470D"/>
    <w:rsid w:val="1ED54EC0"/>
    <w:rsid w:val="1EE3251B"/>
    <w:rsid w:val="1EE54C9F"/>
    <w:rsid w:val="1EEC4ECB"/>
    <w:rsid w:val="1F2A2C2F"/>
    <w:rsid w:val="1F3F3CDD"/>
    <w:rsid w:val="1F401971"/>
    <w:rsid w:val="1F460B4E"/>
    <w:rsid w:val="1F555A6C"/>
    <w:rsid w:val="1F8908A3"/>
    <w:rsid w:val="1F8F5F1B"/>
    <w:rsid w:val="1F942189"/>
    <w:rsid w:val="1F976FCE"/>
    <w:rsid w:val="1FD61448"/>
    <w:rsid w:val="1FE97869"/>
    <w:rsid w:val="1FF7749C"/>
    <w:rsid w:val="203136E7"/>
    <w:rsid w:val="20471EAC"/>
    <w:rsid w:val="206702F5"/>
    <w:rsid w:val="20A52482"/>
    <w:rsid w:val="20AB3DBD"/>
    <w:rsid w:val="20B2762E"/>
    <w:rsid w:val="20B52A15"/>
    <w:rsid w:val="20C1243A"/>
    <w:rsid w:val="20D33EAF"/>
    <w:rsid w:val="20F075AC"/>
    <w:rsid w:val="211A4EB9"/>
    <w:rsid w:val="212E6562"/>
    <w:rsid w:val="21595676"/>
    <w:rsid w:val="216B2DD0"/>
    <w:rsid w:val="21872BAE"/>
    <w:rsid w:val="21A542C5"/>
    <w:rsid w:val="21A73B04"/>
    <w:rsid w:val="21AB1DAB"/>
    <w:rsid w:val="21CF3A85"/>
    <w:rsid w:val="21DA7105"/>
    <w:rsid w:val="221455F8"/>
    <w:rsid w:val="22305546"/>
    <w:rsid w:val="22324590"/>
    <w:rsid w:val="224B1C08"/>
    <w:rsid w:val="22633A10"/>
    <w:rsid w:val="22665668"/>
    <w:rsid w:val="22841EFE"/>
    <w:rsid w:val="229549FB"/>
    <w:rsid w:val="22A80EB5"/>
    <w:rsid w:val="22AC18A0"/>
    <w:rsid w:val="22C72083"/>
    <w:rsid w:val="22D849FB"/>
    <w:rsid w:val="22E41E01"/>
    <w:rsid w:val="22F52F3E"/>
    <w:rsid w:val="22F76588"/>
    <w:rsid w:val="23015CC7"/>
    <w:rsid w:val="23125620"/>
    <w:rsid w:val="231821A8"/>
    <w:rsid w:val="234A244D"/>
    <w:rsid w:val="234D304A"/>
    <w:rsid w:val="23504FDA"/>
    <w:rsid w:val="23AD294E"/>
    <w:rsid w:val="23AE1888"/>
    <w:rsid w:val="23C62BF0"/>
    <w:rsid w:val="23DE75BF"/>
    <w:rsid w:val="23F46964"/>
    <w:rsid w:val="23F86A04"/>
    <w:rsid w:val="24172E3D"/>
    <w:rsid w:val="241C6D60"/>
    <w:rsid w:val="2426778B"/>
    <w:rsid w:val="246B3DCB"/>
    <w:rsid w:val="246D1070"/>
    <w:rsid w:val="24950243"/>
    <w:rsid w:val="24B74C74"/>
    <w:rsid w:val="24E14083"/>
    <w:rsid w:val="24F12FB0"/>
    <w:rsid w:val="25466CE3"/>
    <w:rsid w:val="257B7531"/>
    <w:rsid w:val="25A05D57"/>
    <w:rsid w:val="25B5609A"/>
    <w:rsid w:val="25C23219"/>
    <w:rsid w:val="25C74E84"/>
    <w:rsid w:val="25E55E04"/>
    <w:rsid w:val="26076A79"/>
    <w:rsid w:val="260A5C8E"/>
    <w:rsid w:val="261414DD"/>
    <w:rsid w:val="261839C8"/>
    <w:rsid w:val="26187C99"/>
    <w:rsid w:val="26190682"/>
    <w:rsid w:val="26321006"/>
    <w:rsid w:val="264B286A"/>
    <w:rsid w:val="267A44EF"/>
    <w:rsid w:val="267A6BC7"/>
    <w:rsid w:val="26A927C9"/>
    <w:rsid w:val="26BD3D37"/>
    <w:rsid w:val="26DF47D9"/>
    <w:rsid w:val="27220408"/>
    <w:rsid w:val="275433A8"/>
    <w:rsid w:val="27A34455"/>
    <w:rsid w:val="28294FD7"/>
    <w:rsid w:val="283329B6"/>
    <w:rsid w:val="284869DB"/>
    <w:rsid w:val="284F1E14"/>
    <w:rsid w:val="286E4CDB"/>
    <w:rsid w:val="28A34C07"/>
    <w:rsid w:val="28A7661F"/>
    <w:rsid w:val="290C5C7F"/>
    <w:rsid w:val="2943556A"/>
    <w:rsid w:val="29637C39"/>
    <w:rsid w:val="296A4296"/>
    <w:rsid w:val="2978032E"/>
    <w:rsid w:val="29D22425"/>
    <w:rsid w:val="29D97E20"/>
    <w:rsid w:val="2A757580"/>
    <w:rsid w:val="2A78163B"/>
    <w:rsid w:val="2A8120B8"/>
    <w:rsid w:val="2A866444"/>
    <w:rsid w:val="2A901832"/>
    <w:rsid w:val="2AAE7472"/>
    <w:rsid w:val="2AC02B11"/>
    <w:rsid w:val="2AC03C2A"/>
    <w:rsid w:val="2AC504CA"/>
    <w:rsid w:val="2ADE2258"/>
    <w:rsid w:val="2AE47CD6"/>
    <w:rsid w:val="2B00629C"/>
    <w:rsid w:val="2B3F2F0B"/>
    <w:rsid w:val="2B5F726C"/>
    <w:rsid w:val="2B8F67F8"/>
    <w:rsid w:val="2BAE1057"/>
    <w:rsid w:val="2BD80433"/>
    <w:rsid w:val="2BD845C2"/>
    <w:rsid w:val="2BE57520"/>
    <w:rsid w:val="2BF6499E"/>
    <w:rsid w:val="2C0E085B"/>
    <w:rsid w:val="2C2300B3"/>
    <w:rsid w:val="2C29499A"/>
    <w:rsid w:val="2C341645"/>
    <w:rsid w:val="2C5A5731"/>
    <w:rsid w:val="2C871964"/>
    <w:rsid w:val="2CE34091"/>
    <w:rsid w:val="2D165938"/>
    <w:rsid w:val="2D2141F0"/>
    <w:rsid w:val="2D2730EE"/>
    <w:rsid w:val="2D3374B8"/>
    <w:rsid w:val="2D634BAD"/>
    <w:rsid w:val="2D8A7365"/>
    <w:rsid w:val="2D901D4F"/>
    <w:rsid w:val="2DB35A06"/>
    <w:rsid w:val="2DB85A73"/>
    <w:rsid w:val="2DFD0573"/>
    <w:rsid w:val="2E362973"/>
    <w:rsid w:val="2E53041C"/>
    <w:rsid w:val="2E667594"/>
    <w:rsid w:val="2E7911B0"/>
    <w:rsid w:val="2EB829DF"/>
    <w:rsid w:val="2ECC16DC"/>
    <w:rsid w:val="2EDE6957"/>
    <w:rsid w:val="2EEC77B3"/>
    <w:rsid w:val="2EFC4824"/>
    <w:rsid w:val="2F433B90"/>
    <w:rsid w:val="2F594288"/>
    <w:rsid w:val="2FA33A3E"/>
    <w:rsid w:val="2FB3114F"/>
    <w:rsid w:val="2FE16CE8"/>
    <w:rsid w:val="302533F8"/>
    <w:rsid w:val="304B3876"/>
    <w:rsid w:val="304F4436"/>
    <w:rsid w:val="307E610B"/>
    <w:rsid w:val="3085706D"/>
    <w:rsid w:val="30B85AD3"/>
    <w:rsid w:val="30BC1C6F"/>
    <w:rsid w:val="30C37CAC"/>
    <w:rsid w:val="30E45C16"/>
    <w:rsid w:val="30E7309B"/>
    <w:rsid w:val="30F42AED"/>
    <w:rsid w:val="311E4357"/>
    <w:rsid w:val="31245455"/>
    <w:rsid w:val="312D22DD"/>
    <w:rsid w:val="31686DF5"/>
    <w:rsid w:val="317C780E"/>
    <w:rsid w:val="317E24A7"/>
    <w:rsid w:val="319D1FD2"/>
    <w:rsid w:val="31D20E2D"/>
    <w:rsid w:val="31F27925"/>
    <w:rsid w:val="320A36D7"/>
    <w:rsid w:val="328505AE"/>
    <w:rsid w:val="32CE5C7E"/>
    <w:rsid w:val="32D678F0"/>
    <w:rsid w:val="32E72515"/>
    <w:rsid w:val="32E75C5A"/>
    <w:rsid w:val="331A08AC"/>
    <w:rsid w:val="331B3F60"/>
    <w:rsid w:val="332C3787"/>
    <w:rsid w:val="334344FB"/>
    <w:rsid w:val="334A71E3"/>
    <w:rsid w:val="335979A7"/>
    <w:rsid w:val="336B457D"/>
    <w:rsid w:val="337B2D14"/>
    <w:rsid w:val="337E76E2"/>
    <w:rsid w:val="33834625"/>
    <w:rsid w:val="33853EFF"/>
    <w:rsid w:val="339049DE"/>
    <w:rsid w:val="33A52340"/>
    <w:rsid w:val="33BB3E6D"/>
    <w:rsid w:val="33D95914"/>
    <w:rsid w:val="341D2EFE"/>
    <w:rsid w:val="34273AE2"/>
    <w:rsid w:val="34357CE4"/>
    <w:rsid w:val="34382C07"/>
    <w:rsid w:val="3455683E"/>
    <w:rsid w:val="347D3D8B"/>
    <w:rsid w:val="349154E1"/>
    <w:rsid w:val="34942C8E"/>
    <w:rsid w:val="34D80D24"/>
    <w:rsid w:val="34DD4918"/>
    <w:rsid w:val="34ED7FAC"/>
    <w:rsid w:val="35146546"/>
    <w:rsid w:val="35171206"/>
    <w:rsid w:val="35181C94"/>
    <w:rsid w:val="352B74D1"/>
    <w:rsid w:val="352F144D"/>
    <w:rsid w:val="353B294C"/>
    <w:rsid w:val="356A341F"/>
    <w:rsid w:val="357F46F4"/>
    <w:rsid w:val="35B16B30"/>
    <w:rsid w:val="35CF507F"/>
    <w:rsid w:val="35DD3DB9"/>
    <w:rsid w:val="35E66F80"/>
    <w:rsid w:val="35E93781"/>
    <w:rsid w:val="35EA02EA"/>
    <w:rsid w:val="36311CEE"/>
    <w:rsid w:val="36A33719"/>
    <w:rsid w:val="36F0683A"/>
    <w:rsid w:val="3732088D"/>
    <w:rsid w:val="375E2A8F"/>
    <w:rsid w:val="376C6FC2"/>
    <w:rsid w:val="378A464B"/>
    <w:rsid w:val="378C6CCD"/>
    <w:rsid w:val="379820A9"/>
    <w:rsid w:val="379E1A98"/>
    <w:rsid w:val="37A80C4F"/>
    <w:rsid w:val="37AA4EB6"/>
    <w:rsid w:val="37C916DC"/>
    <w:rsid w:val="37F37254"/>
    <w:rsid w:val="381E287F"/>
    <w:rsid w:val="38364043"/>
    <w:rsid w:val="38591043"/>
    <w:rsid w:val="386D3215"/>
    <w:rsid w:val="388768E2"/>
    <w:rsid w:val="38EE7B41"/>
    <w:rsid w:val="390E3D92"/>
    <w:rsid w:val="39165990"/>
    <w:rsid w:val="39236E5E"/>
    <w:rsid w:val="395B0D16"/>
    <w:rsid w:val="397B0398"/>
    <w:rsid w:val="39A00967"/>
    <w:rsid w:val="39A54A5C"/>
    <w:rsid w:val="39C01E31"/>
    <w:rsid w:val="39D71971"/>
    <w:rsid w:val="39DF6212"/>
    <w:rsid w:val="3A331616"/>
    <w:rsid w:val="3A461E2F"/>
    <w:rsid w:val="3A4964B9"/>
    <w:rsid w:val="3A824EE3"/>
    <w:rsid w:val="3A8622ED"/>
    <w:rsid w:val="3AAB3745"/>
    <w:rsid w:val="3ABA3D4F"/>
    <w:rsid w:val="3B1363C7"/>
    <w:rsid w:val="3B303C0F"/>
    <w:rsid w:val="3B3B191C"/>
    <w:rsid w:val="3B4661B2"/>
    <w:rsid w:val="3B7919BA"/>
    <w:rsid w:val="3B83280D"/>
    <w:rsid w:val="3B882166"/>
    <w:rsid w:val="3B8E454A"/>
    <w:rsid w:val="3B9C7621"/>
    <w:rsid w:val="3BAF5428"/>
    <w:rsid w:val="3BC1145F"/>
    <w:rsid w:val="3BCC3D41"/>
    <w:rsid w:val="3C0056E3"/>
    <w:rsid w:val="3C1A3CFB"/>
    <w:rsid w:val="3C4647C3"/>
    <w:rsid w:val="3C545D1E"/>
    <w:rsid w:val="3C5D51C3"/>
    <w:rsid w:val="3C681B14"/>
    <w:rsid w:val="3C6F6E84"/>
    <w:rsid w:val="3C853F7E"/>
    <w:rsid w:val="3C8C4145"/>
    <w:rsid w:val="3C8D3364"/>
    <w:rsid w:val="3CBB2B70"/>
    <w:rsid w:val="3CD07A92"/>
    <w:rsid w:val="3CFE7D62"/>
    <w:rsid w:val="3D10513E"/>
    <w:rsid w:val="3D4C2CC1"/>
    <w:rsid w:val="3D6D0C33"/>
    <w:rsid w:val="3D7D6EF6"/>
    <w:rsid w:val="3D826CE8"/>
    <w:rsid w:val="3DA253F6"/>
    <w:rsid w:val="3DAE6A14"/>
    <w:rsid w:val="3DBC4E46"/>
    <w:rsid w:val="3DF6588F"/>
    <w:rsid w:val="3E0248A4"/>
    <w:rsid w:val="3E0559AE"/>
    <w:rsid w:val="3E16724C"/>
    <w:rsid w:val="3E387D13"/>
    <w:rsid w:val="3E4823D0"/>
    <w:rsid w:val="3E5462B1"/>
    <w:rsid w:val="3E5C3373"/>
    <w:rsid w:val="3E5D5E61"/>
    <w:rsid w:val="3E5E0D93"/>
    <w:rsid w:val="3E5E2171"/>
    <w:rsid w:val="3E7C4964"/>
    <w:rsid w:val="3E864D82"/>
    <w:rsid w:val="3EAC25CD"/>
    <w:rsid w:val="3EDA1456"/>
    <w:rsid w:val="3F213B97"/>
    <w:rsid w:val="3F2226C4"/>
    <w:rsid w:val="3F2A2344"/>
    <w:rsid w:val="3F4D54D9"/>
    <w:rsid w:val="3F736BA7"/>
    <w:rsid w:val="3F827D0D"/>
    <w:rsid w:val="3F8B24DB"/>
    <w:rsid w:val="3FA50FEB"/>
    <w:rsid w:val="3FAB2FF7"/>
    <w:rsid w:val="3FB1653E"/>
    <w:rsid w:val="3FB36B89"/>
    <w:rsid w:val="3FF86536"/>
    <w:rsid w:val="3FFC45D5"/>
    <w:rsid w:val="3FFF0D9C"/>
    <w:rsid w:val="40493E5A"/>
    <w:rsid w:val="405E2AEB"/>
    <w:rsid w:val="409160E3"/>
    <w:rsid w:val="40F74C30"/>
    <w:rsid w:val="41067F80"/>
    <w:rsid w:val="41146D87"/>
    <w:rsid w:val="411A61EF"/>
    <w:rsid w:val="41372EC8"/>
    <w:rsid w:val="413B0870"/>
    <w:rsid w:val="414351E8"/>
    <w:rsid w:val="41475BAE"/>
    <w:rsid w:val="414F0404"/>
    <w:rsid w:val="41851A64"/>
    <w:rsid w:val="418F5156"/>
    <w:rsid w:val="41B86CFE"/>
    <w:rsid w:val="41EC2923"/>
    <w:rsid w:val="422564C5"/>
    <w:rsid w:val="42496502"/>
    <w:rsid w:val="425C5E7F"/>
    <w:rsid w:val="426853EB"/>
    <w:rsid w:val="428564CE"/>
    <w:rsid w:val="428F16CD"/>
    <w:rsid w:val="42927CBB"/>
    <w:rsid w:val="42973100"/>
    <w:rsid w:val="42CE6B35"/>
    <w:rsid w:val="42D84728"/>
    <w:rsid w:val="42D946F8"/>
    <w:rsid w:val="42DC4029"/>
    <w:rsid w:val="431C2DB1"/>
    <w:rsid w:val="43523F6D"/>
    <w:rsid w:val="436018A5"/>
    <w:rsid w:val="437244E7"/>
    <w:rsid w:val="43753AC9"/>
    <w:rsid w:val="438D0A1F"/>
    <w:rsid w:val="439C4744"/>
    <w:rsid w:val="43B94163"/>
    <w:rsid w:val="43BC6332"/>
    <w:rsid w:val="43C11BD4"/>
    <w:rsid w:val="43D858DE"/>
    <w:rsid w:val="43F6212B"/>
    <w:rsid w:val="44246B3E"/>
    <w:rsid w:val="44297C28"/>
    <w:rsid w:val="4431076F"/>
    <w:rsid w:val="44572FDA"/>
    <w:rsid w:val="445A28D3"/>
    <w:rsid w:val="446C425D"/>
    <w:rsid w:val="446F0A61"/>
    <w:rsid w:val="44915D3F"/>
    <w:rsid w:val="44B27DDB"/>
    <w:rsid w:val="44C33A80"/>
    <w:rsid w:val="454B131C"/>
    <w:rsid w:val="45550726"/>
    <w:rsid w:val="456A42D1"/>
    <w:rsid w:val="457764D8"/>
    <w:rsid w:val="45A65C95"/>
    <w:rsid w:val="45A84358"/>
    <w:rsid w:val="45C55BCE"/>
    <w:rsid w:val="46064C8C"/>
    <w:rsid w:val="46094D7A"/>
    <w:rsid w:val="464E46DD"/>
    <w:rsid w:val="468F7DD1"/>
    <w:rsid w:val="46956461"/>
    <w:rsid w:val="46A512E5"/>
    <w:rsid w:val="46AA71D3"/>
    <w:rsid w:val="46BE78DA"/>
    <w:rsid w:val="46C04ECA"/>
    <w:rsid w:val="46F948C7"/>
    <w:rsid w:val="47414315"/>
    <w:rsid w:val="475E1581"/>
    <w:rsid w:val="47676CCB"/>
    <w:rsid w:val="476D0FF3"/>
    <w:rsid w:val="47A13146"/>
    <w:rsid w:val="47A1395B"/>
    <w:rsid w:val="47C361D9"/>
    <w:rsid w:val="47D07319"/>
    <w:rsid w:val="47F66FD1"/>
    <w:rsid w:val="480A6BEC"/>
    <w:rsid w:val="48374834"/>
    <w:rsid w:val="4846576E"/>
    <w:rsid w:val="485D47D5"/>
    <w:rsid w:val="4861340C"/>
    <w:rsid w:val="488E4A79"/>
    <w:rsid w:val="488F7873"/>
    <w:rsid w:val="48C3129F"/>
    <w:rsid w:val="48DB0590"/>
    <w:rsid w:val="48E739F2"/>
    <w:rsid w:val="48EE2C27"/>
    <w:rsid w:val="48F46B37"/>
    <w:rsid w:val="490B7642"/>
    <w:rsid w:val="491C6BAE"/>
    <w:rsid w:val="49427EF5"/>
    <w:rsid w:val="495F1D8C"/>
    <w:rsid w:val="497C0F5D"/>
    <w:rsid w:val="49A85C90"/>
    <w:rsid w:val="49C12977"/>
    <w:rsid w:val="49C8476F"/>
    <w:rsid w:val="4A0C0E59"/>
    <w:rsid w:val="4A0D084A"/>
    <w:rsid w:val="4A1E4BDB"/>
    <w:rsid w:val="4A294AE3"/>
    <w:rsid w:val="4A39796E"/>
    <w:rsid w:val="4A474092"/>
    <w:rsid w:val="4A50705A"/>
    <w:rsid w:val="4A576B20"/>
    <w:rsid w:val="4A6F2E7B"/>
    <w:rsid w:val="4AA66942"/>
    <w:rsid w:val="4AE61B2B"/>
    <w:rsid w:val="4AEA2AA0"/>
    <w:rsid w:val="4B153976"/>
    <w:rsid w:val="4B1B7431"/>
    <w:rsid w:val="4B1F2CEA"/>
    <w:rsid w:val="4B2A19D5"/>
    <w:rsid w:val="4B3205B3"/>
    <w:rsid w:val="4B822C2A"/>
    <w:rsid w:val="4B8307D3"/>
    <w:rsid w:val="4B9456DD"/>
    <w:rsid w:val="4BC04E21"/>
    <w:rsid w:val="4BCF5C14"/>
    <w:rsid w:val="4BD07FCA"/>
    <w:rsid w:val="4C082549"/>
    <w:rsid w:val="4C27154E"/>
    <w:rsid w:val="4C3E20AE"/>
    <w:rsid w:val="4C570E1C"/>
    <w:rsid w:val="4C8A6897"/>
    <w:rsid w:val="4CA53D3C"/>
    <w:rsid w:val="4CB15630"/>
    <w:rsid w:val="4CB8022D"/>
    <w:rsid w:val="4CDE5319"/>
    <w:rsid w:val="4CEC36D0"/>
    <w:rsid w:val="4CF731C7"/>
    <w:rsid w:val="4D041C96"/>
    <w:rsid w:val="4D122B48"/>
    <w:rsid w:val="4D304B00"/>
    <w:rsid w:val="4D877495"/>
    <w:rsid w:val="4D992597"/>
    <w:rsid w:val="4DD76053"/>
    <w:rsid w:val="4DDF3E2D"/>
    <w:rsid w:val="4E0B62A5"/>
    <w:rsid w:val="4E157E9D"/>
    <w:rsid w:val="4E6732A3"/>
    <w:rsid w:val="4E81154E"/>
    <w:rsid w:val="4E902B99"/>
    <w:rsid w:val="4E94640D"/>
    <w:rsid w:val="4E98021D"/>
    <w:rsid w:val="4EBA40FB"/>
    <w:rsid w:val="4EBF0FDA"/>
    <w:rsid w:val="4F3230E6"/>
    <w:rsid w:val="4F354230"/>
    <w:rsid w:val="4F771B40"/>
    <w:rsid w:val="4F9633E4"/>
    <w:rsid w:val="4FA12645"/>
    <w:rsid w:val="4FB71DD6"/>
    <w:rsid w:val="4FBB34DB"/>
    <w:rsid w:val="4FDF2C33"/>
    <w:rsid w:val="4FFE738A"/>
    <w:rsid w:val="50042B0B"/>
    <w:rsid w:val="502C29A8"/>
    <w:rsid w:val="50744825"/>
    <w:rsid w:val="50880A30"/>
    <w:rsid w:val="509A50EB"/>
    <w:rsid w:val="50A735FA"/>
    <w:rsid w:val="50C05857"/>
    <w:rsid w:val="50C93849"/>
    <w:rsid w:val="50F442A8"/>
    <w:rsid w:val="50F8006D"/>
    <w:rsid w:val="511204E4"/>
    <w:rsid w:val="513D0C1B"/>
    <w:rsid w:val="516A037F"/>
    <w:rsid w:val="51700E33"/>
    <w:rsid w:val="51753E9F"/>
    <w:rsid w:val="519F2240"/>
    <w:rsid w:val="51AB5650"/>
    <w:rsid w:val="51AC4B3D"/>
    <w:rsid w:val="51F60A9B"/>
    <w:rsid w:val="51F77068"/>
    <w:rsid w:val="52062E6F"/>
    <w:rsid w:val="52170971"/>
    <w:rsid w:val="5274522F"/>
    <w:rsid w:val="52A77763"/>
    <w:rsid w:val="52C54C70"/>
    <w:rsid w:val="52CB6E3C"/>
    <w:rsid w:val="5300547E"/>
    <w:rsid w:val="53106027"/>
    <w:rsid w:val="53170648"/>
    <w:rsid w:val="532F0F6C"/>
    <w:rsid w:val="53352B10"/>
    <w:rsid w:val="53523E4E"/>
    <w:rsid w:val="53647D9B"/>
    <w:rsid w:val="538009B6"/>
    <w:rsid w:val="53853B4D"/>
    <w:rsid w:val="53994871"/>
    <w:rsid w:val="53AF00C0"/>
    <w:rsid w:val="53B16BD0"/>
    <w:rsid w:val="53CF331B"/>
    <w:rsid w:val="53D2086D"/>
    <w:rsid w:val="53D8668B"/>
    <w:rsid w:val="53E10E3E"/>
    <w:rsid w:val="53F66103"/>
    <w:rsid w:val="542F3A4D"/>
    <w:rsid w:val="548E373B"/>
    <w:rsid w:val="54DB057B"/>
    <w:rsid w:val="5540536C"/>
    <w:rsid w:val="554D57FF"/>
    <w:rsid w:val="55564A98"/>
    <w:rsid w:val="556166C1"/>
    <w:rsid w:val="55672879"/>
    <w:rsid w:val="55850FB5"/>
    <w:rsid w:val="55943966"/>
    <w:rsid w:val="55A472B2"/>
    <w:rsid w:val="55AD2CCF"/>
    <w:rsid w:val="55EB4369"/>
    <w:rsid w:val="56186EA9"/>
    <w:rsid w:val="56385A65"/>
    <w:rsid w:val="564C37E0"/>
    <w:rsid w:val="565573DA"/>
    <w:rsid w:val="56C734EF"/>
    <w:rsid w:val="56CD34A2"/>
    <w:rsid w:val="56FB37FA"/>
    <w:rsid w:val="5704380E"/>
    <w:rsid w:val="57324623"/>
    <w:rsid w:val="573C30F0"/>
    <w:rsid w:val="57526058"/>
    <w:rsid w:val="576A19B3"/>
    <w:rsid w:val="57835DC7"/>
    <w:rsid w:val="57D1482F"/>
    <w:rsid w:val="57E2131B"/>
    <w:rsid w:val="57E2349D"/>
    <w:rsid w:val="57FE65EB"/>
    <w:rsid w:val="57FF3F7B"/>
    <w:rsid w:val="58003AA6"/>
    <w:rsid w:val="58020BDA"/>
    <w:rsid w:val="584613EB"/>
    <w:rsid w:val="584E6D4D"/>
    <w:rsid w:val="58562D19"/>
    <w:rsid w:val="58704B56"/>
    <w:rsid w:val="587F77CA"/>
    <w:rsid w:val="58B1452C"/>
    <w:rsid w:val="58B60A4F"/>
    <w:rsid w:val="58C52060"/>
    <w:rsid w:val="58CE05D8"/>
    <w:rsid w:val="58F856B7"/>
    <w:rsid w:val="591543B5"/>
    <w:rsid w:val="59395AF1"/>
    <w:rsid w:val="594E45E5"/>
    <w:rsid w:val="5A3D51EE"/>
    <w:rsid w:val="5A43028F"/>
    <w:rsid w:val="5A7D16BE"/>
    <w:rsid w:val="5A9A0152"/>
    <w:rsid w:val="5AA35DE1"/>
    <w:rsid w:val="5ADA3096"/>
    <w:rsid w:val="5AF9676D"/>
    <w:rsid w:val="5B205779"/>
    <w:rsid w:val="5B30295B"/>
    <w:rsid w:val="5B372D71"/>
    <w:rsid w:val="5B53650B"/>
    <w:rsid w:val="5B604620"/>
    <w:rsid w:val="5B67184D"/>
    <w:rsid w:val="5BCB1926"/>
    <w:rsid w:val="5BCD0121"/>
    <w:rsid w:val="5BCE67A6"/>
    <w:rsid w:val="5BCF4442"/>
    <w:rsid w:val="5BDB68C2"/>
    <w:rsid w:val="5BE25B7C"/>
    <w:rsid w:val="5BF51913"/>
    <w:rsid w:val="5BFA3EA3"/>
    <w:rsid w:val="5C120BDD"/>
    <w:rsid w:val="5C332486"/>
    <w:rsid w:val="5C456DDC"/>
    <w:rsid w:val="5C471564"/>
    <w:rsid w:val="5C5B2713"/>
    <w:rsid w:val="5C6F7EB5"/>
    <w:rsid w:val="5CBD674A"/>
    <w:rsid w:val="5CF515C7"/>
    <w:rsid w:val="5D0123A5"/>
    <w:rsid w:val="5D4C1C6D"/>
    <w:rsid w:val="5D6713E5"/>
    <w:rsid w:val="5DC91706"/>
    <w:rsid w:val="5DCD7C58"/>
    <w:rsid w:val="5DDE3E95"/>
    <w:rsid w:val="5E1575BD"/>
    <w:rsid w:val="5E1E0E1D"/>
    <w:rsid w:val="5E451391"/>
    <w:rsid w:val="5E626F70"/>
    <w:rsid w:val="5E652181"/>
    <w:rsid w:val="5E664E55"/>
    <w:rsid w:val="5E6D52CE"/>
    <w:rsid w:val="5F0A6E4B"/>
    <w:rsid w:val="5F122687"/>
    <w:rsid w:val="5FA02CA4"/>
    <w:rsid w:val="5FC77419"/>
    <w:rsid w:val="5FE445C0"/>
    <w:rsid w:val="5FE5356B"/>
    <w:rsid w:val="5FED6BDA"/>
    <w:rsid w:val="5FEE176A"/>
    <w:rsid w:val="5FF076B3"/>
    <w:rsid w:val="5FFA2F8C"/>
    <w:rsid w:val="602103AB"/>
    <w:rsid w:val="603652FB"/>
    <w:rsid w:val="605C08AE"/>
    <w:rsid w:val="60685F54"/>
    <w:rsid w:val="60814273"/>
    <w:rsid w:val="60923DEE"/>
    <w:rsid w:val="60C615CB"/>
    <w:rsid w:val="60EA3BFF"/>
    <w:rsid w:val="60EC7E56"/>
    <w:rsid w:val="60F11202"/>
    <w:rsid w:val="61151F97"/>
    <w:rsid w:val="612D2646"/>
    <w:rsid w:val="61766EE5"/>
    <w:rsid w:val="61805FE4"/>
    <w:rsid w:val="61C20DE3"/>
    <w:rsid w:val="61F812F3"/>
    <w:rsid w:val="620057DC"/>
    <w:rsid w:val="62466C24"/>
    <w:rsid w:val="624E4851"/>
    <w:rsid w:val="625117F0"/>
    <w:rsid w:val="625273C0"/>
    <w:rsid w:val="626F1443"/>
    <w:rsid w:val="62752186"/>
    <w:rsid w:val="627B6256"/>
    <w:rsid w:val="628879D3"/>
    <w:rsid w:val="62FA571D"/>
    <w:rsid w:val="63870168"/>
    <w:rsid w:val="63894EC8"/>
    <w:rsid w:val="63987291"/>
    <w:rsid w:val="63AF3488"/>
    <w:rsid w:val="63C64B39"/>
    <w:rsid w:val="63D3500E"/>
    <w:rsid w:val="63DA4915"/>
    <w:rsid w:val="6402461F"/>
    <w:rsid w:val="6423635C"/>
    <w:rsid w:val="64334629"/>
    <w:rsid w:val="64632AA7"/>
    <w:rsid w:val="64932242"/>
    <w:rsid w:val="64960063"/>
    <w:rsid w:val="64C2566D"/>
    <w:rsid w:val="651E6C72"/>
    <w:rsid w:val="6535246C"/>
    <w:rsid w:val="65547B54"/>
    <w:rsid w:val="65637570"/>
    <w:rsid w:val="656709A8"/>
    <w:rsid w:val="658B2A3B"/>
    <w:rsid w:val="658C0E37"/>
    <w:rsid w:val="65971CEA"/>
    <w:rsid w:val="65974B87"/>
    <w:rsid w:val="659F52F6"/>
    <w:rsid w:val="65A119F7"/>
    <w:rsid w:val="65A64FFE"/>
    <w:rsid w:val="660A79B3"/>
    <w:rsid w:val="66390253"/>
    <w:rsid w:val="66656EE8"/>
    <w:rsid w:val="669F368B"/>
    <w:rsid w:val="66CB5190"/>
    <w:rsid w:val="66D51145"/>
    <w:rsid w:val="66E91EC7"/>
    <w:rsid w:val="66FE75C7"/>
    <w:rsid w:val="670965A7"/>
    <w:rsid w:val="671C61EA"/>
    <w:rsid w:val="67290ACE"/>
    <w:rsid w:val="672A0E59"/>
    <w:rsid w:val="67627DB0"/>
    <w:rsid w:val="676B29E9"/>
    <w:rsid w:val="676F4706"/>
    <w:rsid w:val="677369F7"/>
    <w:rsid w:val="6791049A"/>
    <w:rsid w:val="679C031A"/>
    <w:rsid w:val="67BA7033"/>
    <w:rsid w:val="67BB665D"/>
    <w:rsid w:val="67BC32EC"/>
    <w:rsid w:val="67BE7A14"/>
    <w:rsid w:val="680F7D40"/>
    <w:rsid w:val="681D3E1A"/>
    <w:rsid w:val="68273290"/>
    <w:rsid w:val="682B1D3A"/>
    <w:rsid w:val="68321DA4"/>
    <w:rsid w:val="683A10AB"/>
    <w:rsid w:val="6843047D"/>
    <w:rsid w:val="687A6A41"/>
    <w:rsid w:val="68851B5F"/>
    <w:rsid w:val="688F7C11"/>
    <w:rsid w:val="68C74E66"/>
    <w:rsid w:val="68D22391"/>
    <w:rsid w:val="68FA07F7"/>
    <w:rsid w:val="69102E80"/>
    <w:rsid w:val="692D5231"/>
    <w:rsid w:val="69533B46"/>
    <w:rsid w:val="695E498A"/>
    <w:rsid w:val="697B135A"/>
    <w:rsid w:val="69941AB5"/>
    <w:rsid w:val="69A26482"/>
    <w:rsid w:val="69AD458C"/>
    <w:rsid w:val="69C149AB"/>
    <w:rsid w:val="69D7519A"/>
    <w:rsid w:val="69F566EE"/>
    <w:rsid w:val="6A2C6840"/>
    <w:rsid w:val="6A405A5A"/>
    <w:rsid w:val="6A523057"/>
    <w:rsid w:val="6A54595E"/>
    <w:rsid w:val="6A6E269F"/>
    <w:rsid w:val="6A791A13"/>
    <w:rsid w:val="6A7A0155"/>
    <w:rsid w:val="6A854FE8"/>
    <w:rsid w:val="6AAD02E1"/>
    <w:rsid w:val="6AC11939"/>
    <w:rsid w:val="6AC91C59"/>
    <w:rsid w:val="6AF6660E"/>
    <w:rsid w:val="6B1C07C5"/>
    <w:rsid w:val="6B495653"/>
    <w:rsid w:val="6B4C0C26"/>
    <w:rsid w:val="6B56117F"/>
    <w:rsid w:val="6B7943AE"/>
    <w:rsid w:val="6B936758"/>
    <w:rsid w:val="6BA40189"/>
    <w:rsid w:val="6BB35245"/>
    <w:rsid w:val="6BD93B3C"/>
    <w:rsid w:val="6BE06A48"/>
    <w:rsid w:val="6BF2512C"/>
    <w:rsid w:val="6BF30A46"/>
    <w:rsid w:val="6C1F0EB3"/>
    <w:rsid w:val="6C8833FE"/>
    <w:rsid w:val="6CCD28D7"/>
    <w:rsid w:val="6D086514"/>
    <w:rsid w:val="6D2B256D"/>
    <w:rsid w:val="6D2F2168"/>
    <w:rsid w:val="6D357566"/>
    <w:rsid w:val="6D4B4137"/>
    <w:rsid w:val="6D564FD9"/>
    <w:rsid w:val="6D656071"/>
    <w:rsid w:val="6D6E7A24"/>
    <w:rsid w:val="6D736E92"/>
    <w:rsid w:val="6D8668BF"/>
    <w:rsid w:val="6DAB208B"/>
    <w:rsid w:val="6DB1516E"/>
    <w:rsid w:val="6DB6753F"/>
    <w:rsid w:val="6DCC72A8"/>
    <w:rsid w:val="6DDC3CE3"/>
    <w:rsid w:val="6DE2372B"/>
    <w:rsid w:val="6DEA1029"/>
    <w:rsid w:val="6DF53BCB"/>
    <w:rsid w:val="6E7C4811"/>
    <w:rsid w:val="6F0D1A05"/>
    <w:rsid w:val="6F427FC4"/>
    <w:rsid w:val="6F4F3E0A"/>
    <w:rsid w:val="6F757FDD"/>
    <w:rsid w:val="6F86490B"/>
    <w:rsid w:val="6FBA269E"/>
    <w:rsid w:val="6FF231D8"/>
    <w:rsid w:val="70060A04"/>
    <w:rsid w:val="707926F4"/>
    <w:rsid w:val="70E22979"/>
    <w:rsid w:val="70FC189E"/>
    <w:rsid w:val="71235FEC"/>
    <w:rsid w:val="71370B97"/>
    <w:rsid w:val="716047A1"/>
    <w:rsid w:val="717254BA"/>
    <w:rsid w:val="718E119D"/>
    <w:rsid w:val="7199039E"/>
    <w:rsid w:val="71C51174"/>
    <w:rsid w:val="71C6548D"/>
    <w:rsid w:val="71C73EE9"/>
    <w:rsid w:val="71F14DAB"/>
    <w:rsid w:val="72322443"/>
    <w:rsid w:val="7257370C"/>
    <w:rsid w:val="7270252D"/>
    <w:rsid w:val="727324C8"/>
    <w:rsid w:val="727364EA"/>
    <w:rsid w:val="72951A91"/>
    <w:rsid w:val="72A100BF"/>
    <w:rsid w:val="72A7541A"/>
    <w:rsid w:val="72AD57F7"/>
    <w:rsid w:val="72B96DCC"/>
    <w:rsid w:val="72CB57D6"/>
    <w:rsid w:val="72E603A1"/>
    <w:rsid w:val="72F025C5"/>
    <w:rsid w:val="72FE54E0"/>
    <w:rsid w:val="733353F6"/>
    <w:rsid w:val="734C1086"/>
    <w:rsid w:val="735757DC"/>
    <w:rsid w:val="736B059B"/>
    <w:rsid w:val="736B6949"/>
    <w:rsid w:val="7377443D"/>
    <w:rsid w:val="737E6624"/>
    <w:rsid w:val="73913750"/>
    <w:rsid w:val="73D92B33"/>
    <w:rsid w:val="73DE2BAE"/>
    <w:rsid w:val="74322E7F"/>
    <w:rsid w:val="745E0950"/>
    <w:rsid w:val="74756277"/>
    <w:rsid w:val="749F5262"/>
    <w:rsid w:val="74BE528B"/>
    <w:rsid w:val="74DA1DAF"/>
    <w:rsid w:val="74E611D3"/>
    <w:rsid w:val="74FA5585"/>
    <w:rsid w:val="74FB61B6"/>
    <w:rsid w:val="75071190"/>
    <w:rsid w:val="752318B3"/>
    <w:rsid w:val="7530755E"/>
    <w:rsid w:val="754C7B4C"/>
    <w:rsid w:val="75612267"/>
    <w:rsid w:val="756C12F6"/>
    <w:rsid w:val="759328BC"/>
    <w:rsid w:val="75C80631"/>
    <w:rsid w:val="75C90D7D"/>
    <w:rsid w:val="75CC3103"/>
    <w:rsid w:val="761331C4"/>
    <w:rsid w:val="7628755F"/>
    <w:rsid w:val="764E04F6"/>
    <w:rsid w:val="764E0EB1"/>
    <w:rsid w:val="765F6B43"/>
    <w:rsid w:val="766D7F87"/>
    <w:rsid w:val="76801ED2"/>
    <w:rsid w:val="76BE7111"/>
    <w:rsid w:val="76CA086F"/>
    <w:rsid w:val="76CB5667"/>
    <w:rsid w:val="76E176CF"/>
    <w:rsid w:val="76EF1FE4"/>
    <w:rsid w:val="77002154"/>
    <w:rsid w:val="770A2D91"/>
    <w:rsid w:val="771703D9"/>
    <w:rsid w:val="771A431C"/>
    <w:rsid w:val="772A717E"/>
    <w:rsid w:val="77335604"/>
    <w:rsid w:val="775D61F9"/>
    <w:rsid w:val="77647702"/>
    <w:rsid w:val="77776882"/>
    <w:rsid w:val="777B6257"/>
    <w:rsid w:val="77CE51D0"/>
    <w:rsid w:val="77DE1D23"/>
    <w:rsid w:val="77E21D3B"/>
    <w:rsid w:val="77E71B6F"/>
    <w:rsid w:val="780B4ACC"/>
    <w:rsid w:val="783014EB"/>
    <w:rsid w:val="78385AD6"/>
    <w:rsid w:val="784B1CE4"/>
    <w:rsid w:val="784E03E8"/>
    <w:rsid w:val="7866391D"/>
    <w:rsid w:val="78877A2A"/>
    <w:rsid w:val="78B57B3A"/>
    <w:rsid w:val="78BE21C0"/>
    <w:rsid w:val="78C70950"/>
    <w:rsid w:val="791E0A22"/>
    <w:rsid w:val="79572BC3"/>
    <w:rsid w:val="79602707"/>
    <w:rsid w:val="797B14E7"/>
    <w:rsid w:val="799D1876"/>
    <w:rsid w:val="79B60862"/>
    <w:rsid w:val="79B61499"/>
    <w:rsid w:val="79F263E8"/>
    <w:rsid w:val="7A071041"/>
    <w:rsid w:val="7A18737A"/>
    <w:rsid w:val="7A23390F"/>
    <w:rsid w:val="7A693ABA"/>
    <w:rsid w:val="7A6B72A9"/>
    <w:rsid w:val="7A720C7B"/>
    <w:rsid w:val="7A954A6F"/>
    <w:rsid w:val="7AA97932"/>
    <w:rsid w:val="7AE508E3"/>
    <w:rsid w:val="7B132355"/>
    <w:rsid w:val="7B145E22"/>
    <w:rsid w:val="7B1C0C21"/>
    <w:rsid w:val="7B256CA8"/>
    <w:rsid w:val="7B3D7425"/>
    <w:rsid w:val="7B4336F6"/>
    <w:rsid w:val="7B590627"/>
    <w:rsid w:val="7B847238"/>
    <w:rsid w:val="7B88354A"/>
    <w:rsid w:val="7BAF4F47"/>
    <w:rsid w:val="7BB15A91"/>
    <w:rsid w:val="7BB50D13"/>
    <w:rsid w:val="7C050849"/>
    <w:rsid w:val="7C127B11"/>
    <w:rsid w:val="7C1712A1"/>
    <w:rsid w:val="7C187CE5"/>
    <w:rsid w:val="7C1E0999"/>
    <w:rsid w:val="7C322752"/>
    <w:rsid w:val="7C4D6713"/>
    <w:rsid w:val="7C5233AC"/>
    <w:rsid w:val="7C546D64"/>
    <w:rsid w:val="7C6714F6"/>
    <w:rsid w:val="7C6F27CD"/>
    <w:rsid w:val="7D0929EC"/>
    <w:rsid w:val="7D0E73F8"/>
    <w:rsid w:val="7D241040"/>
    <w:rsid w:val="7D421F14"/>
    <w:rsid w:val="7D4D0275"/>
    <w:rsid w:val="7D5420C2"/>
    <w:rsid w:val="7D7C326C"/>
    <w:rsid w:val="7D962DF1"/>
    <w:rsid w:val="7DA241B6"/>
    <w:rsid w:val="7DB30341"/>
    <w:rsid w:val="7DC56995"/>
    <w:rsid w:val="7DD55352"/>
    <w:rsid w:val="7DDB6C82"/>
    <w:rsid w:val="7DFC730A"/>
    <w:rsid w:val="7E405A80"/>
    <w:rsid w:val="7E6C674D"/>
    <w:rsid w:val="7E6D3F4B"/>
    <w:rsid w:val="7E6D5D8D"/>
    <w:rsid w:val="7E6F5FE6"/>
    <w:rsid w:val="7E7A7F8E"/>
    <w:rsid w:val="7EB836CA"/>
    <w:rsid w:val="7EC20E44"/>
    <w:rsid w:val="7ECB3B09"/>
    <w:rsid w:val="7ED57C1D"/>
    <w:rsid w:val="7EEA562A"/>
    <w:rsid w:val="7EFA5C4D"/>
    <w:rsid w:val="7F0C1437"/>
    <w:rsid w:val="7F224935"/>
    <w:rsid w:val="7F905997"/>
    <w:rsid w:val="7FD50ACF"/>
    <w:rsid w:val="7FED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1"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420" w:firstLineChars="200"/>
    </w:pPr>
  </w:style>
  <w:style w:type="paragraph" w:styleId="6">
    <w:name w:val="annotation text"/>
    <w:basedOn w:val="1"/>
    <w:link w:val="61"/>
    <w:qFormat/>
    <w:uiPriority w:val="0"/>
    <w:pPr>
      <w:jc w:val="left"/>
    </w:pPr>
  </w:style>
  <w:style w:type="paragraph" w:styleId="7">
    <w:name w:val="Body Text Indent"/>
    <w:basedOn w:val="1"/>
    <w:qFormat/>
    <w:uiPriority w:val="0"/>
    <w:pPr>
      <w:snapToGrid w:val="0"/>
      <w:spacing w:line="360" w:lineRule="auto"/>
      <w:ind w:firstLine="561"/>
    </w:pPr>
  </w:style>
  <w:style w:type="paragraph" w:styleId="8">
    <w:name w:val="Block Text"/>
    <w:qFormat/>
    <w:uiPriority w:val="0"/>
    <w:pPr>
      <w:spacing w:after="160" w:line="440" w:lineRule="exact"/>
      <w:ind w:left="113" w:right="113" w:firstLine="567"/>
      <w:jc w:val="both"/>
    </w:pPr>
    <w:rPr>
      <w:rFonts w:ascii="仿宋_GB2312" w:hAnsi="Times New Roman" w:eastAsia="仿宋_GB2312" w:cs="Times New Roman"/>
      <w:sz w:val="28"/>
      <w:lang w:val="en-US" w:eastAsia="zh-CN" w:bidi="ar-SA"/>
    </w:rPr>
  </w:style>
  <w:style w:type="paragraph" w:styleId="9">
    <w:name w:val="Date"/>
    <w:basedOn w:val="1"/>
    <w:next w:val="1"/>
    <w:qFormat/>
    <w:uiPriority w:val="0"/>
    <w:rPr>
      <w:sz w:val="28"/>
    </w:rPr>
  </w:style>
  <w:style w:type="paragraph" w:styleId="10">
    <w:name w:val="Body Text Indent 2"/>
    <w:basedOn w:val="1"/>
    <w:qFormat/>
    <w:uiPriority w:val="0"/>
    <w:pPr>
      <w:spacing w:line="460" w:lineRule="exact"/>
      <w:ind w:firstLine="480" w:firstLineChars="200"/>
    </w:pPr>
    <w:rPr>
      <w:color w:val="FF0000"/>
      <w:sz w:val="24"/>
    </w:rPr>
  </w:style>
  <w:style w:type="paragraph" w:styleId="11">
    <w:name w:val="Balloon Text"/>
    <w:basedOn w:val="1"/>
    <w:link w:val="53"/>
    <w:qFormat/>
    <w:uiPriority w:val="0"/>
    <w:rPr>
      <w:sz w:val="18"/>
      <w:szCs w:val="18"/>
    </w:rPr>
  </w:style>
  <w:style w:type="paragraph" w:styleId="12">
    <w:name w:val="footer"/>
    <w:basedOn w:val="1"/>
    <w:link w:val="54"/>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qFormat/>
    <w:uiPriority w:val="39"/>
  </w:style>
  <w:style w:type="paragraph" w:styleId="15">
    <w:name w:val="footnote text"/>
    <w:basedOn w:val="1"/>
    <w:qFormat/>
    <w:uiPriority w:val="0"/>
    <w:pPr>
      <w:snapToGrid w:val="0"/>
      <w:jc w:val="left"/>
    </w:pPr>
    <w:rPr>
      <w:sz w:val="18"/>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100" w:afterAutospacing="1"/>
      <w:jc w:val="left"/>
    </w:pPr>
    <w:rPr>
      <w:rFonts w:ascii="Arial Unicode MS" w:hAnsi="Arial Unicode MS" w:cs="Arial Unicode MS"/>
      <w:color w:val="000000"/>
      <w:kern w:val="0"/>
      <w:sz w:val="24"/>
    </w:rPr>
  </w:style>
  <w:style w:type="paragraph" w:styleId="18">
    <w:name w:val="Title"/>
    <w:basedOn w:val="1"/>
    <w:next w:val="1"/>
    <w:link w:val="62"/>
    <w:qFormat/>
    <w:uiPriority w:val="0"/>
    <w:pPr>
      <w:keepLines/>
      <w:widowControl/>
      <w:ind w:firstLine="602" w:firstLineChars="200"/>
      <w:jc w:val="center"/>
    </w:pPr>
    <w:rPr>
      <w:b/>
      <w:kern w:val="0"/>
      <w:sz w:val="24"/>
    </w:rPr>
  </w:style>
  <w:style w:type="paragraph" w:styleId="19">
    <w:name w:val="annotation subject"/>
    <w:basedOn w:val="6"/>
    <w:next w:val="6"/>
    <w:link w:val="59"/>
    <w:qFormat/>
    <w:uiPriority w:val="0"/>
    <w:rPr>
      <w:b/>
      <w:bCs/>
    </w:rPr>
  </w:style>
  <w:style w:type="paragraph" w:styleId="20">
    <w:name w:val="Body Text First Indent"/>
    <w:basedOn w:val="2"/>
    <w:unhideWhenUsed/>
    <w:qFormat/>
    <w:uiPriority w:val="99"/>
    <w:pPr>
      <w:spacing w:after="0" w:line="360" w:lineRule="auto"/>
      <w:ind w:firstLine="200" w:firstLineChars="200"/>
    </w:pPr>
    <w:rPr>
      <w:kern w:val="0"/>
      <w:sz w:val="24"/>
      <w:szCs w:val="20"/>
    </w:rPr>
  </w:style>
  <w:style w:type="paragraph" w:styleId="21">
    <w:name w:val="Body Text First Indent 2"/>
    <w:basedOn w:val="7"/>
    <w:qFormat/>
    <w:uiPriority w:val="0"/>
    <w:pPr>
      <w:snapToGrid/>
      <w:spacing w:after="120" w:line="240" w:lineRule="auto"/>
      <w:ind w:left="420" w:leftChars="200" w:firstLine="420" w:firstLineChars="200"/>
    </w:p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qFormat/>
    <w:uiPriority w:val="0"/>
    <w:rPr>
      <w:color w:val="333333"/>
      <w:u w:val="none"/>
    </w:rPr>
  </w:style>
  <w:style w:type="character" w:styleId="26">
    <w:name w:val="Emphasis"/>
    <w:qFormat/>
    <w:uiPriority w:val="0"/>
  </w:style>
  <w:style w:type="character" w:styleId="27">
    <w:name w:val="Hyperlink"/>
    <w:qFormat/>
    <w:uiPriority w:val="0"/>
    <w:rPr>
      <w:color w:val="333333"/>
      <w:sz w:val="24"/>
      <w:u w:val="none"/>
    </w:rPr>
  </w:style>
  <w:style w:type="character" w:styleId="28">
    <w:name w:val="annotation reference"/>
    <w:qFormat/>
    <w:uiPriority w:val="0"/>
    <w:rPr>
      <w:sz w:val="21"/>
      <w:szCs w:val="21"/>
    </w:rPr>
  </w:style>
  <w:style w:type="character" w:styleId="29">
    <w:name w:val="HTML Cite"/>
    <w:qFormat/>
    <w:uiPriority w:val="0"/>
  </w:style>
  <w:style w:type="character" w:styleId="30">
    <w:name w:val="footnote reference"/>
    <w:basedOn w:val="24"/>
    <w:qFormat/>
    <w:uiPriority w:val="0"/>
    <w:rPr>
      <w:vertAlign w:val="superscript"/>
    </w:rPr>
  </w:style>
  <w:style w:type="paragraph" w:customStyle="1" w:styleId="31">
    <w:name w:val="表头"/>
    <w:basedOn w:val="1"/>
    <w:link w:val="63"/>
    <w:qFormat/>
    <w:uiPriority w:val="0"/>
    <w:pPr>
      <w:spacing w:before="120" w:beforeLines="50" w:line="360" w:lineRule="auto"/>
      <w:jc w:val="center"/>
    </w:pPr>
    <w:rPr>
      <w:rFonts w:hAnsi="宋体"/>
      <w:b/>
      <w:bCs/>
      <w:sz w:val="24"/>
    </w:rPr>
  </w:style>
  <w:style w:type="paragraph" w:customStyle="1" w:styleId="32">
    <w:name w:val="段落"/>
    <w:basedOn w:val="1"/>
    <w:qFormat/>
    <w:uiPriority w:val="0"/>
    <w:pPr>
      <w:tabs>
        <w:tab w:val="left" w:pos="1021"/>
      </w:tabs>
      <w:adjustRightInd w:val="0"/>
      <w:spacing w:line="360" w:lineRule="auto"/>
      <w:ind w:firstLine="480" w:firstLineChars="200"/>
    </w:pPr>
    <w:rPr>
      <w:color w:val="000000"/>
      <w:kern w:val="24"/>
      <w:sz w:val="24"/>
      <w:szCs w:val="22"/>
      <w:lang w:val="zh-CN"/>
    </w:rPr>
  </w:style>
  <w:style w:type="paragraph" w:customStyle="1" w:styleId="3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4">
    <w:name w:val="正文首行"/>
    <w:basedOn w:val="5"/>
    <w:qFormat/>
    <w:uiPriority w:val="0"/>
    <w:pPr>
      <w:spacing w:line="480" w:lineRule="exact"/>
      <w:ind w:firstLine="1440"/>
    </w:pPr>
    <w:rPr>
      <w:sz w:val="24"/>
    </w:rPr>
  </w:style>
  <w:style w:type="paragraph" w:customStyle="1" w:styleId="35">
    <w:name w:val="Default"/>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styleId="36">
    <w:name w:val="List Paragraph"/>
    <w:basedOn w:val="1"/>
    <w:qFormat/>
    <w:uiPriority w:val="0"/>
    <w:pPr>
      <w:ind w:firstLine="420" w:firstLineChars="200"/>
    </w:pPr>
  </w:style>
  <w:style w:type="paragraph" w:customStyle="1" w:styleId="37">
    <w:name w:val="报告表 段"/>
    <w:qFormat/>
    <w:uiPriority w:val="0"/>
    <w:pPr>
      <w:adjustRightInd w:val="0"/>
      <w:snapToGrid w:val="0"/>
      <w:spacing w:after="160" w:line="360" w:lineRule="auto"/>
      <w:ind w:firstLine="505"/>
      <w:jc w:val="both"/>
    </w:pPr>
    <w:rPr>
      <w:rFonts w:ascii="宋体" w:hAnsi="Times New Roman" w:eastAsia="宋体" w:cs="宋体"/>
      <w:kern w:val="2"/>
      <w:sz w:val="24"/>
      <w:szCs w:val="24"/>
      <w:lang w:val="en-US" w:eastAsia="zh-CN" w:bidi="ar-SA"/>
    </w:rPr>
  </w:style>
  <w:style w:type="paragraph" w:customStyle="1" w:styleId="38">
    <w:name w:val="_Style 24"/>
    <w:basedOn w:val="1"/>
    <w:next w:val="1"/>
    <w:qFormat/>
    <w:uiPriority w:val="0"/>
    <w:pPr>
      <w:spacing w:line="360" w:lineRule="auto"/>
      <w:ind w:firstLine="200" w:firstLineChars="200"/>
    </w:pPr>
    <w:rPr>
      <w:sz w:val="24"/>
    </w:rPr>
  </w:style>
  <w:style w:type="paragraph" w:customStyle="1" w:styleId="39">
    <w:name w:val="表格文字"/>
    <w:basedOn w:val="1"/>
    <w:qFormat/>
    <w:uiPriority w:val="0"/>
    <w:pPr>
      <w:widowControl/>
      <w:jc w:val="center"/>
    </w:pPr>
    <w:rPr>
      <w:rFonts w:ascii="宋体" w:hAnsi="宋体" w:cs="宋体"/>
      <w:color w:val="000000"/>
      <w:sz w:val="24"/>
      <w:szCs w:val="21"/>
    </w:rPr>
  </w:style>
  <w:style w:type="paragraph" w:customStyle="1" w:styleId="40">
    <w:name w:val="正文缩进2"/>
    <w:qFormat/>
    <w:uiPriority w:val="0"/>
    <w:pPr>
      <w:widowControl w:val="0"/>
      <w:spacing w:after="160" w:line="259" w:lineRule="auto"/>
      <w:ind w:firstLine="420"/>
      <w:jc w:val="both"/>
    </w:pPr>
    <w:rPr>
      <w:rFonts w:ascii="Times New Roman" w:hAnsi="Times New Roman" w:eastAsia="宋体" w:cs="Times New Roman"/>
      <w:lang w:val="en-US" w:eastAsia="zh-CN" w:bidi="ar-SA"/>
    </w:rPr>
  </w:style>
  <w:style w:type="paragraph" w:customStyle="1" w:styleId="41">
    <w:name w:val="1表格"/>
    <w:basedOn w:val="1"/>
    <w:qFormat/>
    <w:uiPriority w:val="0"/>
    <w:pPr>
      <w:snapToGrid w:val="0"/>
      <w:spacing w:line="160" w:lineRule="atLeast"/>
      <w:jc w:val="center"/>
    </w:pPr>
    <w:rPr>
      <w:rFonts w:eastAsia="仿宋_GB2312"/>
    </w:rPr>
  </w:style>
  <w:style w:type="paragraph" w:customStyle="1" w:styleId="42">
    <w:name w:val="1"/>
    <w:basedOn w:val="1"/>
    <w:qFormat/>
    <w:uiPriority w:val="0"/>
    <w:pPr>
      <w:jc w:val="center"/>
    </w:pPr>
    <w:rPr>
      <w:rFonts w:cs="宋体"/>
      <w:color w:val="000000"/>
      <w:sz w:val="24"/>
      <w:szCs w:val="20"/>
    </w:rPr>
  </w:style>
  <w:style w:type="paragraph" w:customStyle="1" w:styleId="43">
    <w:name w:val="报告正文-连续目录"/>
    <w:basedOn w:val="1"/>
    <w:qFormat/>
    <w:uiPriority w:val="0"/>
    <w:pPr>
      <w:spacing w:line="440" w:lineRule="exact"/>
      <w:ind w:firstLine="200" w:firstLineChars="200"/>
    </w:pPr>
    <w:rPr>
      <w:rFonts w:ascii="Arial" w:hAnsi="Arial"/>
      <w:snapToGrid w:val="0"/>
      <w:kern w:val="0"/>
      <w:sz w:val="24"/>
    </w:rPr>
  </w:style>
  <w:style w:type="paragraph" w:customStyle="1" w:styleId="44">
    <w:name w:val="WPSOffice手动目录 1"/>
    <w:qFormat/>
    <w:uiPriority w:val="0"/>
    <w:pPr>
      <w:spacing w:after="160" w:line="259" w:lineRule="auto"/>
    </w:pPr>
    <w:rPr>
      <w:rFonts w:ascii="Times New Roman" w:hAnsi="Times New Roman" w:eastAsia="宋体" w:cs="Times New Roman"/>
      <w:lang w:val="en-US" w:eastAsia="zh-CN" w:bidi="ar-SA"/>
    </w:rPr>
  </w:style>
  <w:style w:type="paragraph" w:customStyle="1" w:styleId="45">
    <w:name w:val="Table Paragraph"/>
    <w:basedOn w:val="1"/>
    <w:qFormat/>
    <w:uiPriority w:val="1"/>
    <w:pPr>
      <w:jc w:val="center"/>
    </w:pPr>
    <w:rPr>
      <w:rFonts w:ascii="宋体" w:hAnsi="宋体" w:cs="宋体"/>
    </w:rPr>
  </w:style>
  <w:style w:type="paragraph" w:customStyle="1" w:styleId="46">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47">
    <w:name w:val="_Style 45"/>
    <w:unhideWhenUsed/>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48">
    <w:name w:val="报告表格"/>
    <w:basedOn w:val="1"/>
    <w:qFormat/>
    <w:uiPriority w:val="0"/>
    <w:pPr>
      <w:autoSpaceDE w:val="0"/>
      <w:autoSpaceDN w:val="0"/>
      <w:adjustRightInd w:val="0"/>
      <w:spacing w:before="40" w:after="40"/>
      <w:jc w:val="center"/>
      <w:textAlignment w:val="bottom"/>
    </w:pPr>
    <w:rPr>
      <w:kern w:val="0"/>
      <w:szCs w:val="20"/>
    </w:rPr>
  </w:style>
  <w:style w:type="paragraph" w:customStyle="1" w:styleId="49">
    <w:name w:val="正文11"/>
    <w:link w:val="56"/>
    <w:qFormat/>
    <w:uiPriority w:val="0"/>
    <w:pPr>
      <w:widowControl w:val="0"/>
      <w:spacing w:after="160" w:line="560" w:lineRule="exact"/>
      <w:ind w:firstLine="200" w:firstLineChars="200"/>
      <w:jc w:val="both"/>
    </w:pPr>
    <w:rPr>
      <w:rFonts w:ascii="Times New Roman" w:hAnsi="Times New Roman" w:eastAsia="宋体" w:cs="Times New Roman"/>
      <w:color w:val="000000"/>
      <w:kern w:val="2"/>
      <w:sz w:val="24"/>
      <w:lang w:val="en-US" w:eastAsia="zh-CN" w:bidi="ar-SA"/>
    </w:rPr>
  </w:style>
  <w:style w:type="paragraph" w:customStyle="1" w:styleId="50">
    <w:name w:val="表 图 内容"/>
    <w:link w:val="60"/>
    <w:qFormat/>
    <w:uiPriority w:val="0"/>
    <w:pPr>
      <w:widowControl w:val="0"/>
      <w:spacing w:after="160" w:line="259" w:lineRule="auto"/>
      <w:jc w:val="center"/>
    </w:pPr>
    <w:rPr>
      <w:rFonts w:ascii="Times New Roman" w:hAnsi="Times New Roman" w:eastAsia="宋体" w:cs="Times New Roman"/>
      <w:color w:val="000000"/>
      <w:kern w:val="2"/>
      <w:sz w:val="21"/>
      <w:szCs w:val="24"/>
      <w:lang w:val="en-US" w:eastAsia="zh-CN" w:bidi="ar-SA"/>
    </w:rPr>
  </w:style>
  <w:style w:type="paragraph" w:customStyle="1" w:styleId="51">
    <w:name w:val="表格内容"/>
    <w:basedOn w:val="1"/>
    <w:qFormat/>
    <w:uiPriority w:val="0"/>
    <w:pPr>
      <w:spacing w:after="0"/>
      <w:jc w:val="center"/>
    </w:pPr>
    <w:rPr>
      <w:rFonts w:cs="宋体"/>
      <w:szCs w:val="20"/>
    </w:rPr>
  </w:style>
  <w:style w:type="paragraph" w:customStyle="1" w:styleId="52">
    <w:name w:val="九晟正文"/>
    <w:qFormat/>
    <w:uiPriority w:val="0"/>
    <w:pPr>
      <w:widowControl w:val="0"/>
      <w:spacing w:after="160"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53">
    <w:name w:val="批注框文本 Char"/>
    <w:link w:val="11"/>
    <w:qFormat/>
    <w:uiPriority w:val="0"/>
    <w:rPr>
      <w:rFonts w:ascii="Calibri" w:hAnsi="Calibri"/>
      <w:kern w:val="2"/>
      <w:sz w:val="18"/>
      <w:szCs w:val="18"/>
    </w:rPr>
  </w:style>
  <w:style w:type="character" w:customStyle="1" w:styleId="54">
    <w:name w:val="页脚 Char"/>
    <w:link w:val="12"/>
    <w:qFormat/>
    <w:uiPriority w:val="99"/>
    <w:rPr>
      <w:kern w:val="2"/>
      <w:sz w:val="18"/>
      <w:szCs w:val="24"/>
    </w:rPr>
  </w:style>
  <w:style w:type="character" w:customStyle="1" w:styleId="55">
    <w:name w:val="t_tag"/>
    <w:basedOn w:val="24"/>
    <w:qFormat/>
    <w:uiPriority w:val="0"/>
  </w:style>
  <w:style w:type="character" w:customStyle="1" w:styleId="56">
    <w:name w:val="正文1 Char Char"/>
    <w:link w:val="49"/>
    <w:qFormat/>
    <w:uiPriority w:val="0"/>
    <w:rPr>
      <w:rFonts w:ascii="Times New Roman" w:hAnsi="Times New Roman"/>
      <w:color w:val="000000"/>
      <w:kern w:val="2"/>
      <w:sz w:val="24"/>
      <w:lang w:val="en-US" w:bidi="ar-SA"/>
    </w:rPr>
  </w:style>
  <w:style w:type="character" w:customStyle="1" w:styleId="57">
    <w:name w:val="15"/>
    <w:qFormat/>
    <w:uiPriority w:val="0"/>
    <w:rPr>
      <w:rFonts w:hint="default" w:ascii="Times New Roman" w:hAnsi="Times New Roman" w:cs="Times New Roman"/>
      <w:color w:val="0000FF"/>
      <w:u w:val="single"/>
    </w:rPr>
  </w:style>
  <w:style w:type="character" w:customStyle="1" w:styleId="58">
    <w:name w:val="apple-converted-space"/>
    <w:basedOn w:val="24"/>
    <w:qFormat/>
    <w:uiPriority w:val="0"/>
  </w:style>
  <w:style w:type="character" w:customStyle="1" w:styleId="59">
    <w:name w:val="批注主题 Char"/>
    <w:link w:val="19"/>
    <w:qFormat/>
    <w:uiPriority w:val="0"/>
    <w:rPr>
      <w:rFonts w:ascii="Calibri" w:hAnsi="Calibri"/>
      <w:b/>
      <w:bCs/>
      <w:kern w:val="2"/>
      <w:sz w:val="21"/>
      <w:szCs w:val="24"/>
    </w:rPr>
  </w:style>
  <w:style w:type="character" w:customStyle="1" w:styleId="60">
    <w:name w:val="表 图 内容 Char"/>
    <w:link w:val="50"/>
    <w:qFormat/>
    <w:uiPriority w:val="0"/>
    <w:rPr>
      <w:rFonts w:ascii="Times New Roman" w:hAnsi="Times New Roman"/>
      <w:color w:val="000000"/>
      <w:kern w:val="2"/>
      <w:sz w:val="21"/>
      <w:szCs w:val="24"/>
      <w:lang w:val="en-US" w:bidi="ar-SA"/>
    </w:rPr>
  </w:style>
  <w:style w:type="character" w:customStyle="1" w:styleId="61">
    <w:name w:val="批注文字 Char"/>
    <w:link w:val="6"/>
    <w:qFormat/>
    <w:uiPriority w:val="0"/>
    <w:rPr>
      <w:rFonts w:ascii="Calibri" w:hAnsi="Calibri"/>
      <w:kern w:val="2"/>
      <w:sz w:val="21"/>
      <w:szCs w:val="24"/>
    </w:rPr>
  </w:style>
  <w:style w:type="character" w:customStyle="1" w:styleId="62">
    <w:name w:val="标题 Char"/>
    <w:link w:val="18"/>
    <w:qFormat/>
    <w:uiPriority w:val="0"/>
    <w:rPr>
      <w:b/>
      <w:sz w:val="24"/>
      <w:szCs w:val="24"/>
      <w:lang w:val="en-US"/>
    </w:rPr>
  </w:style>
  <w:style w:type="character" w:customStyle="1" w:styleId="63">
    <w:name w:val="表头 Char Char"/>
    <w:link w:val="31"/>
    <w:qFormat/>
    <w:uiPriority w:val="0"/>
    <w:rPr>
      <w:rFonts w:hAnsi="宋体"/>
      <w:b/>
      <w:bCs/>
      <w:kern w:val="2"/>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CE020-255E-44A3-A5A1-6D9A6101268C}">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59</Pages>
  <Words>6723</Words>
  <Characters>38324</Characters>
  <Lines>319</Lines>
  <Paragraphs>89</Paragraphs>
  <TotalTime>1</TotalTime>
  <ScaleCrop>false</ScaleCrop>
  <LinksUpToDate>false</LinksUpToDate>
  <CharactersWithSpaces>44958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2019-07-03T08:33:00Z</dcterms:created>
  <dc:creator>Administrator</dc:creator>
  <cp:lastModifiedBy>嗝～</cp:lastModifiedBy>
  <cp:lastPrinted>2019-06-12T03:53:00Z</cp:lastPrinted>
  <dcterms:modified xsi:type="dcterms:W3CDTF">2020-04-14T07:03:51Z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