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line="480" w:lineRule="auto"/>
        <w:jc w:val="center"/>
        <w:rPr>
          <w:rFonts w:hint="default" w:ascii="Times New Roman" w:hAnsi="Times New Roman" w:cs="Times New Roman"/>
          <w:b/>
          <w:color w:val="auto"/>
          <w:sz w:val="72"/>
          <w:szCs w:val="72"/>
          <w:u w:val="none" w:color="auto"/>
        </w:rPr>
      </w:pPr>
    </w:p>
    <w:p>
      <w:pPr>
        <w:spacing w:before="156" w:beforeLines="50" w:line="480" w:lineRule="auto"/>
        <w:jc w:val="center"/>
        <w:rPr>
          <w:rFonts w:hint="default" w:ascii="Times New Roman" w:hAnsi="Times New Roman" w:cs="Times New Roman"/>
          <w:b/>
          <w:color w:val="auto"/>
          <w:sz w:val="72"/>
          <w:szCs w:val="72"/>
          <w:u w:val="none" w:color="auto"/>
        </w:rPr>
      </w:pPr>
      <w:r>
        <w:rPr>
          <w:rFonts w:hint="default" w:ascii="Times New Roman" w:hAnsi="Times New Roman" w:cs="Times New Roman"/>
          <w:b/>
          <w:color w:val="auto"/>
          <w:sz w:val="72"/>
          <w:szCs w:val="72"/>
          <w:u w:val="none" w:color="auto"/>
        </w:rPr>
        <w:t>建设项目环境影响报告表</w:t>
      </w:r>
    </w:p>
    <w:p>
      <w:pPr>
        <w:jc w:val="center"/>
        <w:rPr>
          <w:rFonts w:hint="default" w:ascii="Times New Roman" w:hAnsi="Times New Roman" w:eastAsia="宋体" w:cs="Times New Roman"/>
          <w:color w:val="auto"/>
          <w:sz w:val="32"/>
          <w:szCs w:val="32"/>
          <w:u w:val="none" w:color="auto"/>
          <w:lang w:eastAsia="zh-CN"/>
        </w:rPr>
      </w:pPr>
      <w:r>
        <w:rPr>
          <w:rFonts w:hint="default" w:ascii="Times New Roman" w:hAnsi="Times New Roman" w:cs="Times New Roman"/>
          <w:color w:val="auto"/>
          <w:sz w:val="32"/>
          <w:szCs w:val="32"/>
          <w:u w:val="none" w:color="auto"/>
          <w:lang w:eastAsia="zh-CN"/>
        </w:rPr>
        <w:t>（</w:t>
      </w:r>
      <w:r>
        <w:rPr>
          <w:rFonts w:hint="eastAsia" w:cs="Times New Roman"/>
          <w:color w:val="auto"/>
          <w:sz w:val="32"/>
          <w:szCs w:val="32"/>
          <w:u w:val="none" w:color="auto"/>
          <w:lang w:eastAsia="zh-CN"/>
        </w:rPr>
        <w:t>报批</w:t>
      </w:r>
      <w:r>
        <w:rPr>
          <w:rFonts w:hint="default" w:ascii="Times New Roman" w:hAnsi="Times New Roman" w:cs="Times New Roman"/>
          <w:color w:val="auto"/>
          <w:sz w:val="32"/>
          <w:szCs w:val="32"/>
          <w:u w:val="none" w:color="auto"/>
          <w:lang w:eastAsia="zh-CN"/>
        </w:rPr>
        <w:t>稿）</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pStyle w:val="15"/>
        <w:rPr>
          <w:rFonts w:hint="default"/>
          <w:color w:val="auto"/>
          <w:u w:val="none" w:color="auto"/>
        </w:rPr>
      </w:pPr>
    </w:p>
    <w:p>
      <w:pPr>
        <w:rPr>
          <w:rFonts w:hint="default" w:ascii="Times New Roman" w:hAnsi="Times New Roman" w:cs="Times New Roman"/>
          <w:color w:val="auto"/>
          <w:sz w:val="44"/>
          <w:szCs w:val="44"/>
          <w:u w:val="none" w:color="auto"/>
        </w:rPr>
      </w:pPr>
    </w:p>
    <w:p>
      <w:pPr>
        <w:adjustRightInd w:val="0"/>
        <w:spacing w:line="720" w:lineRule="auto"/>
        <w:ind w:firstLine="321" w:firstLineChars="100"/>
        <w:rPr>
          <w:rFonts w:hint="default" w:ascii="Times New Roman" w:hAnsi="Times New Roman" w:cs="Times New Roman"/>
          <w:b/>
          <w:color w:val="auto"/>
          <w:sz w:val="32"/>
          <w:u w:val="single" w:color="auto"/>
        </w:rPr>
      </w:pPr>
      <w:r>
        <w:rPr>
          <w:rFonts w:hint="default" w:ascii="Times New Roman" w:hAnsi="Times New Roman" w:cs="Times New Roman"/>
          <w:b/>
          <w:color w:val="auto"/>
          <w:sz w:val="32"/>
          <w:u w:val="single" w:color="auto"/>
        </w:rPr>
        <w:t xml:space="preserve">项目名称：  </w:t>
      </w:r>
      <w:r>
        <w:rPr>
          <w:rFonts w:hint="eastAsia" w:cs="Times New Roman"/>
          <w:b/>
          <w:bCs/>
          <w:color w:val="auto"/>
          <w:spacing w:val="-8"/>
          <w:sz w:val="32"/>
          <w:u w:val="single" w:color="auto"/>
          <w:lang w:eastAsia="zh-CN"/>
        </w:rPr>
        <w:t>年产5000件消防设备及器材建设项目</w:t>
      </w:r>
      <w:r>
        <w:rPr>
          <w:rFonts w:hint="default" w:ascii="Times New Roman" w:hAnsi="Times New Roman" w:cs="Times New Roman"/>
          <w:color w:val="auto"/>
          <w:sz w:val="32"/>
          <w:szCs w:val="32"/>
          <w:u w:val="single" w:color="auto"/>
        </w:rPr>
        <w:t xml:space="preserve">  </w:t>
      </w:r>
    </w:p>
    <w:p>
      <w:pPr>
        <w:adjustRightInd w:val="0"/>
        <w:spacing w:line="360" w:lineRule="auto"/>
        <w:rPr>
          <w:rFonts w:hint="default" w:ascii="Times New Roman" w:hAnsi="Times New Roman" w:cs="Times New Roman"/>
          <w:color w:val="auto"/>
          <w:sz w:val="32"/>
          <w:u w:val="single" w:color="auto"/>
        </w:rPr>
      </w:pPr>
      <w:r>
        <w:rPr>
          <w:rFonts w:hint="default" w:ascii="Times New Roman" w:hAnsi="Times New Roman" w:cs="Times New Roman"/>
          <w:b/>
          <w:color w:val="auto"/>
          <w:sz w:val="32"/>
          <w:u w:val="single" w:color="auto"/>
        </w:rPr>
        <w:t>建设单位：</w:t>
      </w:r>
      <w:r>
        <w:rPr>
          <w:rFonts w:hint="default" w:ascii="Times New Roman" w:hAnsi="Times New Roman" w:cs="Times New Roman"/>
          <w:color w:val="auto"/>
          <w:spacing w:val="-8"/>
          <w:sz w:val="32"/>
          <w:u w:val="single" w:color="auto"/>
        </w:rPr>
        <w:t xml:space="preserve"> </w:t>
      </w:r>
      <w:r>
        <w:rPr>
          <w:rFonts w:hint="eastAsia" w:cs="Times New Roman"/>
          <w:b/>
          <w:color w:val="auto"/>
          <w:sz w:val="32"/>
          <w:szCs w:val="22"/>
          <w:u w:val="single" w:color="auto"/>
          <w:lang w:eastAsia="zh-CN"/>
        </w:rPr>
        <w:t>湖南金诺动力设备制造有限公司</w:t>
      </w:r>
      <w:r>
        <w:rPr>
          <w:rFonts w:hint="eastAsia" w:ascii="Times New Roman" w:hAnsi="Times New Roman" w:cs="Times New Roman"/>
          <w:b/>
          <w:color w:val="auto"/>
          <w:sz w:val="32"/>
          <w:szCs w:val="22"/>
          <w:u w:val="single" w:color="auto"/>
          <w:lang w:val="en-US" w:eastAsia="zh-CN"/>
        </w:rPr>
        <w:t xml:space="preserve">  </w:t>
      </w:r>
      <w:r>
        <w:rPr>
          <w:rFonts w:hint="eastAsia" w:cs="Times New Roman"/>
          <w:color w:val="auto"/>
          <w:spacing w:val="-8"/>
          <w:sz w:val="32"/>
          <w:u w:val="single" w:color="auto"/>
          <w:lang w:val="en-US" w:eastAsia="zh-CN"/>
        </w:rPr>
        <w:t xml:space="preserve">   </w:t>
      </w:r>
      <w:r>
        <w:rPr>
          <w:rFonts w:hint="default" w:ascii="Times New Roman" w:hAnsi="Times New Roman" w:cs="Times New Roman"/>
          <w:color w:val="auto"/>
          <w:sz w:val="32"/>
          <w:szCs w:val="32"/>
          <w:u w:val="single" w:color="auto"/>
        </w:rPr>
        <w:t xml:space="preserve"> </w:t>
      </w:r>
      <w:r>
        <w:rPr>
          <w:rFonts w:hint="default" w:ascii="Times New Roman" w:hAnsi="Times New Roman" w:cs="Times New Roman"/>
          <w:color w:val="auto"/>
          <w:spacing w:val="-8"/>
          <w:sz w:val="32"/>
          <w:u w:val="single" w:color="auto"/>
        </w:rPr>
        <w:t>（盖章）</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bidi w:val="0"/>
        <w:jc w:val="center"/>
        <w:rPr>
          <w:rFonts w:hint="eastAsia" w:eastAsia="宋体"/>
          <w:b/>
          <w:bCs/>
          <w:color w:val="auto"/>
          <w:sz w:val="32"/>
          <w:szCs w:val="28"/>
          <w:u w:val="none" w:color="auto"/>
          <w:lang w:val="en-US" w:eastAsia="zh-CN"/>
        </w:rPr>
      </w:pPr>
      <w:r>
        <w:rPr>
          <w:rFonts w:hint="eastAsia"/>
          <w:b/>
          <w:bCs/>
          <w:color w:val="auto"/>
          <w:sz w:val="32"/>
          <w:szCs w:val="28"/>
          <w:u w:val="none" w:color="auto"/>
          <w:lang w:val="en-US" w:eastAsia="zh-CN"/>
        </w:rPr>
        <w:t>北京国环益达环保技术有限公司</w:t>
      </w:r>
    </w:p>
    <w:p>
      <w:pPr>
        <w:spacing w:before="240" w:beforeLines="100" w:after="240" w:afterLines="100"/>
        <w:jc w:val="center"/>
        <w:rPr>
          <w:b/>
          <w:bCs/>
          <w:color w:val="auto"/>
          <w:sz w:val="36"/>
          <w:szCs w:val="24"/>
          <w:u w:val="none" w:color="auto"/>
        </w:rPr>
      </w:pPr>
      <w:r>
        <w:rPr>
          <w:rFonts w:hint="eastAsia" w:ascii="Times New Roman" w:hAnsi="Times New Roman" w:cs="Times New Roman"/>
          <w:b/>
          <w:bCs/>
          <w:color w:val="auto"/>
          <w:sz w:val="30"/>
          <w:szCs w:val="30"/>
          <w:u w:val="none" w:color="auto"/>
          <w:lang w:val="en-US" w:eastAsia="zh-CN"/>
        </w:rPr>
        <w:t xml:space="preserve">  </w:t>
      </w:r>
      <w:r>
        <w:rPr>
          <w:rFonts w:hint="default" w:ascii="Times New Roman" w:hAnsi="Times New Roman" w:cs="Times New Roman"/>
          <w:b/>
          <w:bCs/>
          <w:color w:val="auto"/>
          <w:sz w:val="30"/>
          <w:szCs w:val="30"/>
          <w:u w:val="none" w:color="auto"/>
        </w:rPr>
        <w:t>日期：20</w:t>
      </w:r>
      <w:r>
        <w:rPr>
          <w:rFonts w:hint="eastAsia" w:cs="Times New Roman"/>
          <w:b/>
          <w:bCs/>
          <w:color w:val="auto"/>
          <w:sz w:val="30"/>
          <w:szCs w:val="30"/>
          <w:u w:val="none" w:color="auto"/>
          <w:lang w:val="en-US" w:eastAsia="zh-CN"/>
        </w:rPr>
        <w:t>20</w:t>
      </w:r>
      <w:r>
        <w:rPr>
          <w:rFonts w:hint="default" w:ascii="Times New Roman" w:hAnsi="Times New Roman" w:cs="Times New Roman"/>
          <w:b/>
          <w:bCs/>
          <w:color w:val="auto"/>
          <w:sz w:val="30"/>
          <w:szCs w:val="30"/>
          <w:u w:val="none" w:color="auto"/>
        </w:rPr>
        <w:t>年</w:t>
      </w:r>
      <w:r>
        <w:rPr>
          <w:rFonts w:hint="eastAsia" w:cs="Times New Roman"/>
          <w:b/>
          <w:bCs/>
          <w:color w:val="auto"/>
          <w:sz w:val="30"/>
          <w:szCs w:val="30"/>
          <w:u w:val="none" w:color="auto"/>
          <w:lang w:val="en-US" w:eastAsia="zh-CN"/>
        </w:rPr>
        <w:t>3</w:t>
      </w:r>
      <w:r>
        <w:rPr>
          <w:rFonts w:hint="default" w:ascii="Times New Roman" w:hAnsi="Times New Roman" w:cs="Times New Roman"/>
          <w:b/>
          <w:bCs/>
          <w:color w:val="auto"/>
          <w:sz w:val="30"/>
          <w:szCs w:val="30"/>
          <w:u w:val="none" w:color="auto"/>
        </w:rPr>
        <w:t>月</w:t>
      </w:r>
    </w:p>
    <w:p>
      <w:pPr>
        <w:spacing w:before="240" w:beforeLines="100" w:after="240" w:afterLines="100" w:line="360" w:lineRule="auto"/>
        <w:jc w:val="center"/>
        <w:rPr>
          <w:b/>
          <w:bCs/>
          <w:color w:val="auto"/>
          <w:sz w:val="36"/>
          <w:szCs w:val="24"/>
          <w:u w:val="none" w:color="auto"/>
        </w:rPr>
      </w:pPr>
    </w:p>
    <w:p>
      <w:pPr>
        <w:pStyle w:val="56"/>
        <w:ind w:left="0" w:leftChars="0" w:firstLine="0" w:firstLineChars="0"/>
        <w:jc w:val="center"/>
        <w:rPr>
          <w:rFonts w:hint="eastAsia"/>
          <w:b/>
          <w:bCs/>
          <w:color w:val="auto"/>
          <w:sz w:val="36"/>
          <w:szCs w:val="24"/>
          <w:u w:val="none" w:color="auto"/>
          <w:lang w:eastAsia="zh-CN"/>
        </w:rPr>
      </w:pPr>
      <w:r>
        <w:rPr>
          <w:rFonts w:hint="eastAsia"/>
          <w:b/>
          <w:bCs/>
          <w:color w:val="auto"/>
          <w:sz w:val="36"/>
          <w:szCs w:val="24"/>
          <w:u w:val="none" w:color="auto"/>
          <w:lang w:eastAsia="zh-CN"/>
        </w:rPr>
        <w:t>专家意见修改清单</w:t>
      </w:r>
    </w:p>
    <w:p>
      <w:pPr>
        <w:pStyle w:val="56"/>
        <w:ind w:left="0" w:leftChars="0" w:firstLine="0" w:firstLineChars="0"/>
        <w:jc w:val="center"/>
        <w:rPr>
          <w:rFonts w:hint="eastAsia"/>
          <w:b/>
          <w:bCs/>
          <w:color w:val="auto"/>
          <w:sz w:val="36"/>
          <w:szCs w:val="24"/>
          <w:u w:val="none" w:color="auto"/>
          <w:lang w:eastAsia="zh-CN"/>
        </w:rPr>
      </w:pPr>
    </w:p>
    <w:tbl>
      <w:tblPr>
        <w:tblStyle w:val="40"/>
        <w:tblW w:w="9068" w:type="dxa"/>
        <w:tblInd w:w="-20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3"/>
        <w:gridCol w:w="5785"/>
        <w:gridCol w:w="22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1023" w:type="dxa"/>
            <w:tcBorders>
              <w:tl2br w:val="nil"/>
              <w:tr2bl w:val="nil"/>
            </w:tcBorders>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bCs/>
                <w:color w:val="auto"/>
                <w:sz w:val="28"/>
                <w:szCs w:val="28"/>
                <w:u w:val="none" w:color="auto"/>
                <w:vertAlign w:val="baseline"/>
                <w:lang w:eastAsia="zh-CN"/>
              </w:rPr>
            </w:pPr>
            <w:r>
              <w:rPr>
                <w:rFonts w:hint="default" w:ascii="Times New Roman" w:hAnsi="Times New Roman" w:cs="Times New Roman"/>
                <w:b/>
                <w:bCs/>
                <w:color w:val="auto"/>
                <w:sz w:val="28"/>
                <w:szCs w:val="28"/>
                <w:u w:val="none" w:color="auto"/>
                <w:vertAlign w:val="baseline"/>
                <w:lang w:eastAsia="zh-CN"/>
              </w:rPr>
              <w:t>序号</w:t>
            </w:r>
          </w:p>
        </w:tc>
        <w:tc>
          <w:tcPr>
            <w:tcW w:w="5785" w:type="dxa"/>
            <w:tcBorders>
              <w:tl2br w:val="nil"/>
              <w:tr2bl w:val="nil"/>
            </w:tcBorders>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bCs/>
                <w:color w:val="auto"/>
                <w:sz w:val="28"/>
                <w:szCs w:val="28"/>
                <w:u w:val="none" w:color="auto"/>
                <w:vertAlign w:val="baseline"/>
                <w:lang w:eastAsia="zh-CN"/>
              </w:rPr>
            </w:pPr>
            <w:r>
              <w:rPr>
                <w:rFonts w:hint="default" w:ascii="Times New Roman" w:hAnsi="Times New Roman" w:cs="Times New Roman"/>
                <w:b/>
                <w:bCs/>
                <w:color w:val="auto"/>
                <w:sz w:val="28"/>
                <w:szCs w:val="28"/>
                <w:u w:val="none" w:color="auto"/>
                <w:vertAlign w:val="baseline"/>
                <w:lang w:eastAsia="zh-CN"/>
              </w:rPr>
              <w:t>专家意见</w:t>
            </w:r>
          </w:p>
        </w:tc>
        <w:tc>
          <w:tcPr>
            <w:tcW w:w="2260" w:type="dxa"/>
            <w:tcBorders>
              <w:tl2br w:val="nil"/>
              <w:tr2bl w:val="nil"/>
            </w:tcBorders>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bCs/>
                <w:color w:val="auto"/>
                <w:sz w:val="28"/>
                <w:szCs w:val="28"/>
                <w:u w:val="none" w:color="auto"/>
                <w:vertAlign w:val="baseline"/>
                <w:lang w:eastAsia="zh-CN"/>
              </w:rPr>
            </w:pPr>
            <w:r>
              <w:rPr>
                <w:rFonts w:hint="default" w:ascii="Times New Roman" w:hAnsi="Times New Roman" w:cs="Times New Roman"/>
                <w:b/>
                <w:bCs/>
                <w:color w:val="auto"/>
                <w:sz w:val="28"/>
                <w:szCs w:val="28"/>
                <w:u w:val="none" w:color="auto"/>
                <w:vertAlign w:val="baseline"/>
                <w:lang w:eastAsia="zh-CN"/>
              </w:rPr>
              <w:t>修改情况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0"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1</w:t>
            </w:r>
          </w:p>
        </w:tc>
        <w:tc>
          <w:tcPr>
            <w:tcW w:w="578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b w:val="0"/>
                <w:bCs w:val="0"/>
                <w:color w:val="auto"/>
                <w:sz w:val="24"/>
                <w:szCs w:val="24"/>
                <w:u w:val="none" w:color="auto"/>
                <w:vertAlign w:val="baseline"/>
                <w:lang w:eastAsia="zh-CN"/>
              </w:rPr>
            </w:pPr>
            <w:r>
              <w:rPr>
                <w:rFonts w:hint="default" w:ascii="Times New Roman" w:hAnsi="Times New Roman" w:cs="Times New Roman"/>
                <w:b w:val="0"/>
                <w:bCs w:val="0"/>
                <w:sz w:val="24"/>
                <w:szCs w:val="24"/>
              </w:rPr>
              <w:t>完善项目由来，明确绝缘漆和稀释剂的主要成分，核实各部分的烘干方式、燃料种类及用量。</w:t>
            </w:r>
          </w:p>
        </w:tc>
        <w:tc>
          <w:tcPr>
            <w:tcW w:w="226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已完善且明确，具体详见</w:t>
            </w:r>
            <w:r>
              <w:rPr>
                <w:rFonts w:hint="default" w:ascii="Times New Roman" w:hAnsi="Times New Roman" w:cs="Times New Roman"/>
                <w:b w:val="0"/>
                <w:bCs w:val="0"/>
                <w:color w:val="auto"/>
                <w:sz w:val="24"/>
                <w:szCs w:val="24"/>
                <w:u w:val="none" w:color="auto"/>
                <w:vertAlign w:val="baseline"/>
                <w:lang w:val="en-US" w:eastAsia="zh-CN"/>
              </w:rPr>
              <w:t>P1-2、10-11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5"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2</w:t>
            </w:r>
          </w:p>
        </w:tc>
        <w:tc>
          <w:tcPr>
            <w:tcW w:w="578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b w:val="0"/>
                <w:bCs w:val="0"/>
                <w:color w:val="auto"/>
                <w:sz w:val="24"/>
                <w:szCs w:val="24"/>
                <w:u w:val="none" w:color="auto"/>
                <w:vertAlign w:val="baseline"/>
                <w:lang w:eastAsia="zh-CN"/>
              </w:rPr>
            </w:pPr>
            <w:r>
              <w:rPr>
                <w:rFonts w:hint="default" w:ascii="Times New Roman" w:hAnsi="Times New Roman" w:cs="Times New Roman"/>
                <w:b w:val="0"/>
                <w:bCs w:val="0"/>
                <w:sz w:val="24"/>
                <w:szCs w:val="24"/>
              </w:rPr>
              <w:t>完善现有项目生产情况、环保设施建设和运行情况及产排污情况说明，完善现有项目存在的环境问题及“以新带老”措施和迁建后场地遗留环境问题及解决方式。</w:t>
            </w:r>
          </w:p>
        </w:tc>
        <w:tc>
          <w:tcPr>
            <w:tcW w:w="226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已完善。具体详见</w:t>
            </w:r>
            <w:r>
              <w:rPr>
                <w:rFonts w:hint="default" w:ascii="Times New Roman" w:hAnsi="Times New Roman" w:cs="Times New Roman"/>
                <w:b w:val="0"/>
                <w:bCs w:val="0"/>
                <w:color w:val="auto"/>
                <w:sz w:val="24"/>
                <w:szCs w:val="24"/>
                <w:u w:val="none" w:color="auto"/>
                <w:vertAlign w:val="baseline"/>
                <w:lang w:val="en-US" w:eastAsia="zh-CN"/>
              </w:rPr>
              <w:t>P13-20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4"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3</w:t>
            </w:r>
          </w:p>
        </w:tc>
        <w:tc>
          <w:tcPr>
            <w:tcW w:w="578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left"/>
              <w:textAlignment w:val="auto"/>
              <w:rPr>
                <w:rFonts w:hint="default" w:ascii="Times New Roman" w:hAnsi="Times New Roman" w:cs="Times New Roman"/>
                <w:b w:val="0"/>
                <w:bCs w:val="0"/>
                <w:color w:val="auto"/>
                <w:sz w:val="24"/>
                <w:szCs w:val="24"/>
                <w:u w:val="none" w:color="auto"/>
                <w:vertAlign w:val="baseline"/>
                <w:lang w:eastAsia="zh-CN"/>
              </w:rPr>
            </w:pPr>
            <w:r>
              <w:rPr>
                <w:rFonts w:hint="default" w:ascii="Times New Roman" w:hAnsi="Times New Roman" w:cs="Times New Roman"/>
                <w:b w:val="0"/>
                <w:bCs w:val="0"/>
                <w:sz w:val="24"/>
                <w:szCs w:val="24"/>
              </w:rPr>
              <w:t>校核项目与主要环保目标的距离、方位、规模等，完善项目引用大气环境质量的有效性，根据项目受纳水体，完善地表水等环境质量现状评价；结合区域污水管网及污水处理设施建设运行情况，校核项目污水排放去向及依托相关污水处理设施处理的可行性。</w:t>
            </w:r>
          </w:p>
        </w:tc>
        <w:tc>
          <w:tcPr>
            <w:tcW w:w="226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已核实且完善，具体</w:t>
            </w:r>
            <w:r>
              <w:rPr>
                <w:rFonts w:hint="default" w:ascii="Times New Roman" w:hAnsi="Times New Roman" w:cs="Times New Roman"/>
                <w:b w:val="0"/>
                <w:bCs w:val="0"/>
                <w:color w:val="auto"/>
                <w:sz w:val="24"/>
                <w:szCs w:val="24"/>
                <w:u w:val="none" w:color="auto"/>
                <w:vertAlign w:val="baseline"/>
                <w:lang w:val="en-US" w:eastAsia="zh-CN"/>
              </w:rPr>
              <w:t xml:space="preserve"> 详见P25-27、28-29、36、66-67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4</w:t>
            </w:r>
          </w:p>
        </w:tc>
        <w:tc>
          <w:tcPr>
            <w:tcW w:w="578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b w:val="0"/>
                <w:bCs w:val="0"/>
                <w:color w:val="auto"/>
                <w:sz w:val="24"/>
                <w:szCs w:val="24"/>
                <w:u w:val="none" w:color="auto"/>
                <w:vertAlign w:val="baseline"/>
                <w:lang w:eastAsia="zh-CN"/>
              </w:rPr>
            </w:pPr>
            <w:r>
              <w:rPr>
                <w:rFonts w:hint="default" w:ascii="Times New Roman" w:hAnsi="Times New Roman" w:cs="Times New Roman"/>
                <w:b w:val="0"/>
                <w:bCs w:val="0"/>
                <w:sz w:val="24"/>
                <w:szCs w:val="24"/>
              </w:rPr>
              <w:t>完善项目浸漆、烘干等生产工艺及产排污节点说明。</w:t>
            </w:r>
          </w:p>
        </w:tc>
        <w:tc>
          <w:tcPr>
            <w:tcW w:w="226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已完善，具体详见</w:t>
            </w:r>
            <w:r>
              <w:rPr>
                <w:rFonts w:hint="default" w:ascii="Times New Roman" w:hAnsi="Times New Roman" w:cs="Times New Roman"/>
                <w:b w:val="0"/>
                <w:bCs w:val="0"/>
                <w:color w:val="auto"/>
                <w:sz w:val="24"/>
                <w:szCs w:val="24"/>
                <w:u w:val="none" w:color="auto"/>
                <w:vertAlign w:val="baseline"/>
                <w:lang w:val="en-US" w:eastAsia="zh-CN"/>
              </w:rPr>
              <w:t>P34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8"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5</w:t>
            </w:r>
          </w:p>
        </w:tc>
        <w:tc>
          <w:tcPr>
            <w:tcW w:w="578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b w:val="0"/>
                <w:bCs w:val="0"/>
                <w:color w:val="auto"/>
                <w:sz w:val="24"/>
                <w:szCs w:val="24"/>
                <w:u w:val="none" w:color="auto"/>
                <w:vertAlign w:val="baseline"/>
                <w:lang w:eastAsia="zh-CN"/>
              </w:rPr>
            </w:pPr>
            <w:r>
              <w:rPr>
                <w:rFonts w:hint="default" w:ascii="Times New Roman" w:hAnsi="Times New Roman" w:cs="Times New Roman"/>
                <w:b w:val="0"/>
                <w:bCs w:val="0"/>
                <w:sz w:val="24"/>
                <w:szCs w:val="24"/>
              </w:rPr>
              <w:t>结合迁建前现有项目的产排污情况，校核项目废气等各类污染源强及处理措施的可靠性，强化项目排气筒设置的合理性分析及优化调整建议；校核废活性炭、漆渣等各类固废的数量和处理处置要求，完善危险废物暂存间建设要求。</w:t>
            </w:r>
          </w:p>
        </w:tc>
        <w:tc>
          <w:tcPr>
            <w:tcW w:w="226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已完善且强化，具体详见</w:t>
            </w:r>
            <w:r>
              <w:rPr>
                <w:rFonts w:hint="default" w:ascii="Times New Roman" w:hAnsi="Times New Roman" w:cs="Times New Roman"/>
                <w:b w:val="0"/>
                <w:bCs w:val="0"/>
                <w:color w:val="auto"/>
                <w:sz w:val="24"/>
                <w:szCs w:val="24"/>
                <w:u w:val="none" w:color="auto"/>
                <w:vertAlign w:val="baseline"/>
                <w:lang w:val="en-US" w:eastAsia="zh-CN"/>
              </w:rPr>
              <w:t>P61、63-64、70-71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6</w:t>
            </w:r>
          </w:p>
        </w:tc>
        <w:tc>
          <w:tcPr>
            <w:tcW w:w="5785" w:type="dxa"/>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eastAsia="zh-CN"/>
              </w:rPr>
            </w:pPr>
            <w:r>
              <w:rPr>
                <w:rFonts w:hint="default" w:ascii="Times New Roman" w:hAnsi="Times New Roman" w:cs="Times New Roman"/>
                <w:b w:val="0"/>
                <w:bCs w:val="0"/>
                <w:sz w:val="24"/>
                <w:szCs w:val="24"/>
              </w:rPr>
              <w:t>校核迁建前后“三本账”，核实项目总量，完善项目竣工环保验收一览表，强化项目平面布局的合理性分析及优化调整建议</w:t>
            </w:r>
          </w:p>
        </w:tc>
        <w:tc>
          <w:tcPr>
            <w:tcW w:w="226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已核实且完善，具体详见</w:t>
            </w:r>
            <w:r>
              <w:rPr>
                <w:rFonts w:hint="default" w:ascii="Times New Roman" w:hAnsi="Times New Roman" w:cs="Times New Roman"/>
                <w:b w:val="0"/>
                <w:bCs w:val="0"/>
                <w:color w:val="auto"/>
                <w:sz w:val="24"/>
                <w:szCs w:val="24"/>
                <w:u w:val="none" w:color="auto"/>
                <w:vertAlign w:val="baseline"/>
                <w:lang w:val="en-US" w:eastAsia="zh-CN"/>
              </w:rPr>
              <w:t>P80-81、82-88</w:t>
            </w:r>
          </w:p>
        </w:tc>
      </w:tr>
    </w:tbl>
    <w:p>
      <w:pPr>
        <w:pStyle w:val="56"/>
        <w:ind w:left="0" w:leftChars="0" w:firstLine="0" w:firstLineChars="0"/>
        <w:jc w:val="center"/>
        <w:rPr>
          <w:rFonts w:hint="eastAsia"/>
          <w:b/>
          <w:bCs/>
          <w:color w:val="auto"/>
          <w:sz w:val="36"/>
          <w:szCs w:val="24"/>
          <w:u w:val="none" w:color="auto"/>
          <w:lang w:eastAsia="zh-CN"/>
        </w:rPr>
      </w:pPr>
    </w:p>
    <w:p>
      <w:pPr>
        <w:spacing w:before="240" w:beforeLines="100" w:after="240" w:afterLines="100" w:line="360" w:lineRule="auto"/>
        <w:jc w:val="center"/>
        <w:rPr>
          <w:b/>
          <w:bCs/>
          <w:color w:val="auto"/>
          <w:sz w:val="36"/>
          <w:szCs w:val="24"/>
          <w:u w:val="none" w:color="auto"/>
        </w:rPr>
      </w:pPr>
      <w:r>
        <w:rPr>
          <w:b/>
          <w:bCs/>
          <w:color w:val="auto"/>
          <w:sz w:val="36"/>
          <w:szCs w:val="24"/>
          <w:u w:val="none" w:color="auto"/>
        </w:rPr>
        <w:t>《建设项目环境影响报告表》编制说明</w:t>
      </w:r>
    </w:p>
    <w:p>
      <w:pPr>
        <w:spacing w:line="360" w:lineRule="auto"/>
        <w:ind w:right="-29" w:rightChars="-14" w:firstLine="560" w:firstLineChars="200"/>
        <w:rPr>
          <w:color w:val="auto"/>
          <w:sz w:val="28"/>
          <w:szCs w:val="28"/>
          <w:u w:val="none" w:color="auto"/>
        </w:rPr>
      </w:pPr>
      <w:r>
        <w:rPr>
          <w:color w:val="auto"/>
          <w:sz w:val="28"/>
          <w:szCs w:val="28"/>
          <w:u w:val="none" w:color="auto"/>
        </w:rPr>
        <w:t>《建设项目环境影响报告表》由具有从事环境影响评价工作资质的单位编制。</w:t>
      </w:r>
    </w:p>
    <w:p>
      <w:pPr>
        <w:spacing w:line="360" w:lineRule="auto"/>
        <w:ind w:right="-29" w:rightChars="-14" w:firstLine="560" w:firstLineChars="200"/>
        <w:rPr>
          <w:color w:val="auto"/>
          <w:sz w:val="28"/>
          <w:szCs w:val="28"/>
          <w:u w:val="none" w:color="auto"/>
        </w:rPr>
      </w:pPr>
      <w:r>
        <w:rPr>
          <w:color w:val="auto"/>
          <w:sz w:val="28"/>
          <w:szCs w:val="28"/>
          <w:u w:val="none" w:color="auto"/>
        </w:rPr>
        <w:t>1.项目名称——指项目立项批复时的名称，应不超过30个字（两个英文字段作一个汉字）。</w:t>
      </w:r>
    </w:p>
    <w:p>
      <w:pPr>
        <w:spacing w:line="360" w:lineRule="auto"/>
        <w:ind w:right="-29" w:rightChars="-14" w:firstLine="560" w:firstLineChars="200"/>
        <w:rPr>
          <w:color w:val="auto"/>
          <w:sz w:val="28"/>
          <w:szCs w:val="28"/>
          <w:u w:val="none" w:color="auto"/>
        </w:rPr>
      </w:pPr>
      <w:r>
        <w:rPr>
          <w:color w:val="auto"/>
          <w:sz w:val="28"/>
          <w:szCs w:val="28"/>
          <w:u w:val="none" w:color="auto"/>
        </w:rPr>
        <w:t>2.建设地点——指项目所在地详细地址，公路、铁路应填写起止地点。</w:t>
      </w:r>
    </w:p>
    <w:p>
      <w:pPr>
        <w:tabs>
          <w:tab w:val="center" w:pos="4167"/>
        </w:tabs>
        <w:spacing w:line="360" w:lineRule="auto"/>
        <w:ind w:right="-29" w:rightChars="-14" w:firstLine="560" w:firstLineChars="200"/>
        <w:rPr>
          <w:color w:val="auto"/>
          <w:sz w:val="28"/>
          <w:szCs w:val="28"/>
          <w:u w:val="none" w:color="auto"/>
        </w:rPr>
      </w:pPr>
      <w:r>
        <w:rPr>
          <w:color w:val="auto"/>
          <w:sz w:val="28"/>
          <w:szCs w:val="28"/>
          <w:u w:val="none" w:color="auto"/>
        </w:rPr>
        <w:t>3.行业类别——按国标填写。</w:t>
      </w:r>
      <w:r>
        <w:rPr>
          <w:rFonts w:hint="eastAsia"/>
          <w:color w:val="auto"/>
          <w:sz w:val="28"/>
          <w:szCs w:val="28"/>
          <w:u w:val="none" w:color="auto"/>
        </w:rPr>
        <w:tab/>
      </w:r>
    </w:p>
    <w:p>
      <w:pPr>
        <w:spacing w:line="360" w:lineRule="auto"/>
        <w:ind w:right="-29" w:rightChars="-14" w:firstLine="560" w:firstLineChars="200"/>
        <w:rPr>
          <w:color w:val="auto"/>
          <w:sz w:val="28"/>
          <w:szCs w:val="28"/>
          <w:u w:val="none" w:color="auto"/>
        </w:rPr>
      </w:pPr>
      <w:r>
        <w:rPr>
          <w:color w:val="auto"/>
          <w:sz w:val="28"/>
          <w:szCs w:val="28"/>
          <w:u w:val="none" w:color="auto"/>
        </w:rPr>
        <w:t>4.总投资——指项目投资总额。</w:t>
      </w:r>
    </w:p>
    <w:p>
      <w:pPr>
        <w:spacing w:line="360" w:lineRule="auto"/>
        <w:ind w:right="-29" w:rightChars="-14" w:firstLine="560" w:firstLineChars="200"/>
        <w:rPr>
          <w:color w:val="auto"/>
          <w:sz w:val="28"/>
          <w:szCs w:val="28"/>
          <w:u w:val="none" w:color="auto"/>
        </w:rPr>
      </w:pPr>
      <w:r>
        <w:rPr>
          <w:color w:val="auto"/>
          <w:sz w:val="28"/>
          <w:szCs w:val="28"/>
          <w:u w:val="none" w:color="auto"/>
        </w:rPr>
        <w:t>5.主要环境保护目标——指项目区周围一定范围内集中居民住宅区、学校、医院、保护文物、风景名胜区、水源地和生态敏感点等，应尽可能给出保护目标、性质、规模和距厂界距离等。</w:t>
      </w:r>
    </w:p>
    <w:p>
      <w:pPr>
        <w:spacing w:line="360" w:lineRule="auto"/>
        <w:ind w:right="-29" w:rightChars="-14" w:firstLine="560" w:firstLineChars="200"/>
        <w:rPr>
          <w:color w:val="auto"/>
          <w:sz w:val="28"/>
          <w:szCs w:val="28"/>
          <w:u w:val="none" w:color="auto"/>
        </w:rPr>
      </w:pPr>
      <w:r>
        <w:rPr>
          <w:color w:val="auto"/>
          <w:sz w:val="28"/>
          <w:szCs w:val="28"/>
          <w:u w:val="none" w:color="auto"/>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360" w:lineRule="auto"/>
        <w:ind w:right="-29" w:rightChars="-14" w:firstLine="560" w:firstLineChars="200"/>
        <w:rPr>
          <w:color w:val="auto"/>
          <w:sz w:val="28"/>
          <w:szCs w:val="28"/>
          <w:u w:val="none" w:color="auto"/>
        </w:rPr>
      </w:pPr>
      <w:r>
        <w:rPr>
          <w:color w:val="auto"/>
          <w:sz w:val="28"/>
          <w:szCs w:val="28"/>
          <w:u w:val="none" w:color="auto"/>
        </w:rPr>
        <w:t>7.预审意见——由行业主管部门填写答复意见，无主管部门项目，可不填。</w:t>
      </w:r>
    </w:p>
    <w:p>
      <w:pPr>
        <w:spacing w:line="360" w:lineRule="auto"/>
        <w:ind w:right="-29" w:rightChars="-14" w:firstLine="560" w:firstLineChars="200"/>
        <w:rPr>
          <w:color w:val="auto"/>
          <w:sz w:val="28"/>
          <w:szCs w:val="28"/>
          <w:u w:val="none" w:color="auto"/>
        </w:rPr>
      </w:pPr>
      <w:r>
        <w:rPr>
          <w:color w:val="auto"/>
          <w:sz w:val="28"/>
          <w:szCs w:val="28"/>
          <w:u w:val="none" w:color="auto"/>
        </w:rPr>
        <w:t>8.审批意见——由负责审批该项目的环境保护行政主管部门批复。</w:t>
      </w:r>
    </w:p>
    <w:p>
      <w:pPr>
        <w:spacing w:line="360" w:lineRule="auto"/>
        <w:ind w:right="-29" w:rightChars="-14" w:firstLine="560" w:firstLineChars="200"/>
        <w:rPr>
          <w:color w:val="auto"/>
          <w:sz w:val="28"/>
          <w:szCs w:val="28"/>
          <w:u w:val="none" w:color="auto"/>
        </w:rPr>
      </w:pPr>
    </w:p>
    <w:p>
      <w:pPr>
        <w:spacing w:line="400" w:lineRule="exact"/>
        <w:rPr>
          <w:rFonts w:ascii="宋体" w:hAnsi="宋体"/>
          <w:b/>
          <w:color w:val="auto"/>
          <w:sz w:val="36"/>
          <w:szCs w:val="36"/>
          <w:u w:val="none" w:color="auto"/>
        </w:rPr>
        <w:sectPr>
          <w:footerReference r:id="rId3" w:type="default"/>
          <w:pgSz w:w="11907" w:h="16840"/>
          <w:pgMar w:top="1984" w:right="1984" w:bottom="1984" w:left="1588" w:header="454" w:footer="964" w:gutter="0"/>
          <w:pgBorders>
            <w:top w:val="none" w:sz="0" w:space="0"/>
            <w:left w:val="none" w:sz="0" w:space="0"/>
            <w:bottom w:val="none" w:sz="0" w:space="0"/>
            <w:right w:val="none" w:sz="0" w:space="0"/>
          </w:pgBorders>
          <w:pgNumType w:start="1"/>
          <w:cols w:space="720" w:num="1"/>
          <w:titlePg/>
          <w:docGrid w:linePitch="380" w:charSpace="0"/>
        </w:sectPr>
      </w:pPr>
    </w:p>
    <w:p>
      <w:pPr>
        <w:spacing w:line="400" w:lineRule="exact"/>
        <w:jc w:val="center"/>
        <w:rPr>
          <w:rFonts w:hint="default" w:ascii="Times New Roman" w:hAnsi="Times New Roman" w:eastAsia="宋体" w:cs="Times New Roman"/>
          <w:b/>
          <w:color w:val="auto"/>
          <w:sz w:val="36"/>
          <w:szCs w:val="36"/>
          <w:u w:val="none" w:color="auto"/>
        </w:rPr>
      </w:pPr>
      <w:r>
        <w:rPr>
          <w:rFonts w:hint="default" w:ascii="Times New Roman" w:hAnsi="Times New Roman" w:eastAsia="宋体" w:cs="Times New Roman"/>
          <w:b/>
          <w:color w:val="auto"/>
          <w:sz w:val="36"/>
          <w:szCs w:val="36"/>
          <w:u w:val="none" w:color="auto"/>
        </w:rPr>
        <w:t>目   录</w:t>
      </w:r>
    </w:p>
    <w:p>
      <w:pPr>
        <w:spacing w:line="400" w:lineRule="exact"/>
        <w:jc w:val="center"/>
        <w:rPr>
          <w:rFonts w:hint="default" w:ascii="Times New Roman" w:hAnsi="Times New Roman" w:eastAsia="宋体" w:cs="Times New Roman"/>
          <w:b/>
          <w:color w:val="auto"/>
          <w:sz w:val="36"/>
          <w:szCs w:val="36"/>
          <w:u w:val="none" w:color="auto"/>
        </w:rPr>
      </w:pPr>
    </w:p>
    <w:p>
      <w:pPr>
        <w:pStyle w:val="27"/>
        <w:tabs>
          <w:tab w:val="right" w:leader="dot" w:pos="8901"/>
          <w:tab w:val="clear" w:pos="8891"/>
        </w:tabs>
        <w:rPr>
          <w:rFonts w:hint="default" w:ascii="Times New Roman" w:hAnsi="Times New Roman" w:eastAsia="宋体" w:cs="Times New Roman"/>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TOC \o "1-1" \h \u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rPr>
        <w:instrText xml:space="preserve"> HYPERLINK \l _Toc11589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rPr>
        <w:t>一、建设项目基本情况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_Toc11589 </w:instrText>
      </w:r>
      <w:r>
        <w:rPr>
          <w:rFonts w:hint="default" w:ascii="Times New Roman" w:hAnsi="Times New Roman" w:eastAsia="宋体" w:cs="Times New Roman"/>
        </w:rPr>
        <w:fldChar w:fldCharType="separate"/>
      </w:r>
      <w:r>
        <w:rPr>
          <w:rFonts w:hint="default" w:ascii="Times New Roman" w:hAnsi="Times New Roman" w:eastAsia="宋体" w:cs="Times New Roman"/>
        </w:rPr>
        <w:t>1</w:t>
      </w:r>
      <w:r>
        <w:rPr>
          <w:rFonts w:hint="default" w:ascii="Times New Roman" w:hAnsi="Times New Roman" w:eastAsia="宋体" w:cs="Times New Roman"/>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rPr>
          <w:rFonts w:hint="default" w:ascii="Times New Roman" w:hAnsi="Times New Roman" w:eastAsia="宋体" w:cs="Times New Roman"/>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rPr>
        <w:instrText xml:space="preserve"> HYPERLINK \l _Toc20228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rPr>
        <w:t>二、建设项目所在地自然环境社会环境简况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_Toc20228 </w:instrText>
      </w:r>
      <w:r>
        <w:rPr>
          <w:rFonts w:hint="default" w:ascii="Times New Roman" w:hAnsi="Times New Roman" w:eastAsia="宋体" w:cs="Times New Roman"/>
        </w:rPr>
        <w:fldChar w:fldCharType="separate"/>
      </w:r>
      <w:r>
        <w:rPr>
          <w:rFonts w:hint="default" w:ascii="Times New Roman" w:hAnsi="Times New Roman" w:eastAsia="宋体" w:cs="Times New Roman"/>
        </w:rPr>
        <w:t>21</w:t>
      </w:r>
      <w:r>
        <w:rPr>
          <w:rFonts w:hint="default" w:ascii="Times New Roman" w:hAnsi="Times New Roman" w:eastAsia="宋体" w:cs="Times New Roman"/>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rPr>
          <w:rFonts w:hint="default" w:ascii="Times New Roman" w:hAnsi="Times New Roman" w:eastAsia="宋体" w:cs="Times New Roman"/>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rPr>
        <w:instrText xml:space="preserve"> HYPERLINK \l _Toc28028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rPr>
        <w:t>三、环境质量状况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_Toc28028 </w:instrText>
      </w:r>
      <w:r>
        <w:rPr>
          <w:rFonts w:hint="default" w:ascii="Times New Roman" w:hAnsi="Times New Roman" w:eastAsia="宋体" w:cs="Times New Roman"/>
        </w:rPr>
        <w:fldChar w:fldCharType="separate"/>
      </w:r>
      <w:r>
        <w:rPr>
          <w:rFonts w:hint="default" w:ascii="Times New Roman" w:hAnsi="Times New Roman" w:eastAsia="宋体" w:cs="Times New Roman"/>
        </w:rPr>
        <w:t>25</w:t>
      </w:r>
      <w:r>
        <w:rPr>
          <w:rFonts w:hint="default" w:ascii="Times New Roman" w:hAnsi="Times New Roman" w:eastAsia="宋体" w:cs="Times New Roman"/>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rPr>
          <w:rFonts w:hint="default" w:ascii="Times New Roman" w:hAnsi="Times New Roman" w:eastAsia="宋体" w:cs="Times New Roman"/>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rPr>
        <w:instrText xml:space="preserve"> HYPERLINK \l _Toc28966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zCs w:val="32"/>
        </w:rPr>
        <w:t>四、</w:t>
      </w:r>
      <w:r>
        <w:rPr>
          <w:rFonts w:hint="default" w:ascii="Times New Roman" w:hAnsi="Times New Roman" w:eastAsia="宋体" w:cs="Times New Roman"/>
        </w:rPr>
        <w:t>评价适用标准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_Toc28966 </w:instrText>
      </w:r>
      <w:r>
        <w:rPr>
          <w:rFonts w:hint="default" w:ascii="Times New Roman" w:hAnsi="Times New Roman" w:eastAsia="宋体" w:cs="Times New Roman"/>
        </w:rPr>
        <w:fldChar w:fldCharType="separate"/>
      </w:r>
      <w:r>
        <w:rPr>
          <w:rFonts w:hint="default" w:ascii="Times New Roman" w:hAnsi="Times New Roman" w:eastAsia="宋体" w:cs="Times New Roman"/>
        </w:rPr>
        <w:t>30</w:t>
      </w:r>
      <w:r>
        <w:rPr>
          <w:rFonts w:hint="default" w:ascii="Times New Roman" w:hAnsi="Times New Roman" w:eastAsia="宋体" w:cs="Times New Roman"/>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rPr>
          <w:rFonts w:hint="default" w:ascii="Times New Roman" w:hAnsi="Times New Roman" w:eastAsia="宋体" w:cs="Times New Roman"/>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rPr>
        <w:instrText xml:space="preserve"> HYPERLINK \l _Toc19044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rPr>
        <w:t>五、建设项目工程分析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_Toc19044 </w:instrText>
      </w:r>
      <w:r>
        <w:rPr>
          <w:rFonts w:hint="default" w:ascii="Times New Roman" w:hAnsi="Times New Roman" w:eastAsia="宋体" w:cs="Times New Roman"/>
        </w:rPr>
        <w:fldChar w:fldCharType="separate"/>
      </w:r>
      <w:r>
        <w:rPr>
          <w:rFonts w:hint="default" w:ascii="Times New Roman" w:hAnsi="Times New Roman" w:eastAsia="宋体" w:cs="Times New Roman"/>
        </w:rPr>
        <w:t>33</w:t>
      </w:r>
      <w:r>
        <w:rPr>
          <w:rFonts w:hint="default" w:ascii="Times New Roman" w:hAnsi="Times New Roman" w:eastAsia="宋体" w:cs="Times New Roman"/>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rPr>
          <w:rFonts w:hint="default" w:ascii="Times New Roman" w:hAnsi="Times New Roman" w:eastAsia="宋体" w:cs="Times New Roman"/>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rPr>
        <w:instrText xml:space="preserve"> HYPERLINK \l _Toc19880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zCs w:val="32"/>
        </w:rPr>
        <w:t>六、项目主要污染物产生及预计排放情况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_Toc19880 </w:instrText>
      </w:r>
      <w:r>
        <w:rPr>
          <w:rFonts w:hint="default" w:ascii="Times New Roman" w:hAnsi="Times New Roman" w:eastAsia="宋体" w:cs="Times New Roman"/>
        </w:rPr>
        <w:fldChar w:fldCharType="separate"/>
      </w:r>
      <w:r>
        <w:rPr>
          <w:rFonts w:hint="default" w:ascii="Times New Roman" w:hAnsi="Times New Roman" w:eastAsia="宋体" w:cs="Times New Roman"/>
        </w:rPr>
        <w:t>46</w:t>
      </w:r>
      <w:r>
        <w:rPr>
          <w:rFonts w:hint="default" w:ascii="Times New Roman" w:hAnsi="Times New Roman" w:eastAsia="宋体" w:cs="Times New Roman"/>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rPr>
          <w:rFonts w:hint="default" w:ascii="Times New Roman" w:hAnsi="Times New Roman" w:eastAsia="宋体" w:cs="Times New Roman"/>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rPr>
        <w:instrText xml:space="preserve"> HYPERLINK \l _Toc9170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zCs w:val="32"/>
        </w:rPr>
        <w:t>七、环境影响分析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_Toc9170 </w:instrText>
      </w:r>
      <w:r>
        <w:rPr>
          <w:rFonts w:hint="default" w:ascii="Times New Roman" w:hAnsi="Times New Roman" w:eastAsia="宋体" w:cs="Times New Roman"/>
        </w:rPr>
        <w:fldChar w:fldCharType="separate"/>
      </w:r>
      <w:r>
        <w:rPr>
          <w:rFonts w:hint="default" w:ascii="Times New Roman" w:hAnsi="Times New Roman" w:eastAsia="宋体" w:cs="Times New Roman"/>
        </w:rPr>
        <w:t>49</w:t>
      </w:r>
      <w:r>
        <w:rPr>
          <w:rFonts w:hint="default" w:ascii="Times New Roman" w:hAnsi="Times New Roman" w:eastAsia="宋体" w:cs="Times New Roman"/>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rPr>
          <w:rFonts w:hint="default" w:ascii="Times New Roman" w:hAnsi="Times New Roman" w:eastAsia="宋体" w:cs="Times New Roman"/>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rPr>
        <w:instrText xml:space="preserve"> HYPERLINK \l _Toc6822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zCs w:val="32"/>
        </w:rPr>
        <w:t>八、建设项目拟采取的防治措施及</w:t>
      </w:r>
      <w:r>
        <w:rPr>
          <w:rFonts w:hint="default" w:ascii="Times New Roman" w:hAnsi="Times New Roman" w:eastAsia="宋体" w:cs="Times New Roman"/>
        </w:rPr>
        <w:t>预期治理效果</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_Toc6822 </w:instrText>
      </w:r>
      <w:r>
        <w:rPr>
          <w:rFonts w:hint="default" w:ascii="Times New Roman" w:hAnsi="Times New Roman" w:eastAsia="宋体" w:cs="Times New Roman"/>
        </w:rPr>
        <w:fldChar w:fldCharType="separate"/>
      </w:r>
      <w:r>
        <w:rPr>
          <w:rFonts w:hint="default" w:ascii="Times New Roman" w:hAnsi="Times New Roman" w:eastAsia="宋体" w:cs="Times New Roman"/>
        </w:rPr>
        <w:t>89</w:t>
      </w:r>
      <w:r>
        <w:rPr>
          <w:rFonts w:hint="default" w:ascii="Times New Roman" w:hAnsi="Times New Roman" w:eastAsia="宋体" w:cs="Times New Roman"/>
        </w:rPr>
        <w:fldChar w:fldCharType="end"/>
      </w:r>
      <w:r>
        <w:rPr>
          <w:rFonts w:hint="default" w:ascii="Times New Roman" w:hAnsi="Times New Roman" w:eastAsia="宋体" w:cs="Times New Roman"/>
          <w:color w:val="auto"/>
          <w:szCs w:val="24"/>
          <w:u w:val="none" w:color="auto"/>
        </w:rPr>
        <w:fldChar w:fldCharType="end"/>
      </w:r>
    </w:p>
    <w:p>
      <w:pPr>
        <w:pStyle w:val="27"/>
        <w:tabs>
          <w:tab w:val="right" w:leader="dot" w:pos="8901"/>
          <w:tab w:val="clear" w:pos="8891"/>
        </w:tabs>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szCs w:val="24"/>
        </w:rPr>
        <w:instrText xml:space="preserve"> HYPERLINK \l _Toc16035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rPr>
        <w:t>九、结论与建议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_Toc16035 </w:instrText>
      </w:r>
      <w:r>
        <w:rPr>
          <w:rFonts w:hint="default" w:ascii="Times New Roman" w:hAnsi="Times New Roman" w:eastAsia="宋体" w:cs="Times New Roman"/>
        </w:rPr>
        <w:fldChar w:fldCharType="separate"/>
      </w:r>
      <w:r>
        <w:rPr>
          <w:rFonts w:hint="default" w:ascii="Times New Roman" w:hAnsi="Times New Roman" w:eastAsia="宋体" w:cs="Times New Roman"/>
        </w:rPr>
        <w:t>92</w:t>
      </w:r>
      <w:r>
        <w:rPr>
          <w:rFonts w:hint="default" w:ascii="Times New Roman" w:hAnsi="Times New Roman" w:eastAsia="宋体" w:cs="Times New Roman"/>
        </w:rPr>
        <w:fldChar w:fldCharType="end"/>
      </w:r>
      <w:r>
        <w:rPr>
          <w:rFonts w:hint="default" w:ascii="Times New Roman" w:hAnsi="Times New Roman" w:eastAsia="宋体" w:cs="Times New Roman"/>
          <w:color w:val="auto"/>
          <w:szCs w:val="24"/>
          <w:u w:val="none" w:color="auto"/>
        </w:rPr>
        <w:fldChar w:fldCharType="end"/>
      </w:r>
    </w:p>
    <w:p>
      <w:pPr>
        <w:spacing w:line="360" w:lineRule="auto"/>
        <w:rPr>
          <w:rFonts w:hint="default" w:ascii="Times New Roman" w:hAnsi="Times New Roman" w:cs="Times New Roman"/>
          <w:b/>
          <w:bCs/>
          <w:color w:val="auto"/>
          <w:sz w:val="28"/>
          <w:szCs w:val="28"/>
          <w:u w:val="none" w:color="auto"/>
        </w:rPr>
      </w:pPr>
      <w:r>
        <w:rPr>
          <w:rFonts w:hint="default" w:ascii="Times New Roman" w:hAnsi="Times New Roman" w:eastAsia="宋体" w:cs="Times New Roman"/>
          <w:color w:val="auto"/>
          <w:szCs w:val="24"/>
          <w:u w:val="none" w:color="auto"/>
        </w:rPr>
        <w:fldChar w:fldCharType="end"/>
      </w:r>
      <w:r>
        <w:rPr>
          <w:rFonts w:hint="default" w:ascii="Times New Roman" w:hAnsi="Times New Roman" w:cs="Times New Roman"/>
          <w:b/>
          <w:bCs/>
          <w:color w:val="auto"/>
          <w:sz w:val="28"/>
          <w:szCs w:val="28"/>
          <w:u w:val="none" w:color="auto"/>
        </w:rPr>
        <w:t>附件</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附件1  委托书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2-1</w:t>
      </w:r>
      <w:r>
        <w:rPr>
          <w:rFonts w:hint="default" w:ascii="Times New Roman" w:hAnsi="Times New Roman" w:cs="Times New Roman"/>
          <w:color w:val="auto"/>
          <w:sz w:val="24"/>
          <w:szCs w:val="24"/>
          <w:u w:val="none" w:color="auto"/>
          <w:lang w:val="en-US" w:eastAsia="zh-CN"/>
        </w:rPr>
        <w:t xml:space="preserve">  </w:t>
      </w:r>
      <w:r>
        <w:rPr>
          <w:rFonts w:hint="eastAsia" w:ascii="Times New Roman" w:hAnsi="Times New Roman" w:cs="Times New Roman"/>
          <w:color w:val="auto"/>
          <w:sz w:val="24"/>
          <w:szCs w:val="24"/>
          <w:u w:val="none" w:color="auto"/>
          <w:lang w:val="en-US" w:eastAsia="zh-CN"/>
        </w:rPr>
        <w:t>土地投资合同书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2-2</w:t>
      </w:r>
      <w:r>
        <w:rPr>
          <w:rFonts w:hint="default" w:ascii="Times New Roman" w:hAnsi="Times New Roman" w:cs="Times New Roman"/>
          <w:color w:val="auto"/>
          <w:sz w:val="24"/>
          <w:szCs w:val="24"/>
          <w:u w:val="none" w:color="auto"/>
          <w:lang w:val="en-US" w:eastAsia="zh-CN"/>
        </w:rPr>
        <w:t xml:space="preserve">  </w:t>
      </w:r>
      <w:r>
        <w:rPr>
          <w:rFonts w:hint="eastAsia" w:ascii="Times New Roman" w:hAnsi="Times New Roman" w:cs="Times New Roman"/>
          <w:color w:val="auto"/>
          <w:sz w:val="24"/>
          <w:szCs w:val="24"/>
          <w:u w:val="none" w:color="auto"/>
          <w:lang w:val="en-US" w:eastAsia="zh-CN"/>
        </w:rPr>
        <w:t>土地投资合同书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营业执照</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val="en-US" w:eastAsia="zh-CN"/>
        </w:rPr>
        <w:t xml:space="preserve">  </w:t>
      </w:r>
      <w:r>
        <w:rPr>
          <w:rFonts w:hint="eastAsia" w:ascii="Times New Roman" w:hAnsi="Times New Roman" w:cs="Times New Roman"/>
          <w:color w:val="auto"/>
          <w:sz w:val="24"/>
          <w:szCs w:val="24"/>
          <w:u w:val="none" w:color="auto"/>
          <w:lang w:val="en-US" w:eastAsia="zh-CN"/>
        </w:rPr>
        <w:t>联审意见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现有项目</w:t>
      </w:r>
      <w:r>
        <w:rPr>
          <w:rFonts w:hint="eastAsia" w:ascii="Times New Roman" w:hAnsi="Times New Roman" w:cs="Times New Roman"/>
          <w:color w:val="auto"/>
          <w:sz w:val="24"/>
          <w:szCs w:val="24"/>
          <w:u w:val="none" w:color="auto"/>
          <w:lang w:val="en-US" w:eastAsia="zh-CN"/>
        </w:rPr>
        <w:t>环评批复及验</w:t>
      </w:r>
      <w:r>
        <w:rPr>
          <w:rFonts w:hint="eastAsia" w:cs="Times New Roman"/>
          <w:color w:val="auto"/>
          <w:sz w:val="24"/>
          <w:szCs w:val="24"/>
          <w:u w:val="none" w:color="auto"/>
          <w:lang w:val="en-US" w:eastAsia="zh-CN"/>
        </w:rPr>
        <w:t>收批复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现有项目排污权交易证明</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 xml:space="preserve">附件7  </w:t>
      </w:r>
      <w:r>
        <w:rPr>
          <w:rFonts w:hint="eastAsia" w:ascii="Times New Roman" w:hAnsi="Times New Roman" w:cs="Times New Roman"/>
          <w:color w:val="auto"/>
          <w:sz w:val="24"/>
          <w:szCs w:val="24"/>
          <w:u w:val="none" w:color="auto"/>
          <w:lang w:val="en-US" w:eastAsia="zh-CN"/>
        </w:rPr>
        <w:t>检测报告质保单</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附件8  关于年产5000件消防设备及器材建设项目备案的证明</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附件9  现有项目污染物检测报告</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附件10 专家意见及专家签到表</w:t>
      </w:r>
    </w:p>
    <w:p>
      <w:pPr>
        <w:keepNext w:val="0"/>
        <w:keepLines w:val="0"/>
        <w:pageBreakBefore w:val="0"/>
        <w:widowControl w:val="0"/>
        <w:kinsoku/>
        <w:wordWrap/>
        <w:overflowPunct/>
        <w:topLinePunct w:val="0"/>
        <w:autoSpaceDE/>
        <w:autoSpaceDN/>
        <w:bidi w:val="0"/>
        <w:adjustRightInd/>
        <w:snapToGrid/>
        <w:spacing w:line="351" w:lineRule="auto"/>
        <w:textAlignment w:val="auto"/>
        <w:rPr>
          <w:rFonts w:hint="default" w:ascii="Times New Roman" w:hAnsi="Times New Roman" w:cs="Times New Roman"/>
          <w:b/>
          <w:bCs/>
          <w:color w:val="auto"/>
          <w:sz w:val="28"/>
          <w:szCs w:val="28"/>
          <w:u w:val="none" w:color="auto"/>
        </w:rPr>
      </w:pPr>
      <w:r>
        <w:rPr>
          <w:rFonts w:hint="default" w:ascii="Times New Roman" w:hAnsi="Times New Roman" w:cs="Times New Roman"/>
          <w:b/>
          <w:bCs/>
          <w:color w:val="auto"/>
          <w:sz w:val="28"/>
          <w:szCs w:val="28"/>
          <w:u w:val="none" w:color="auto"/>
        </w:rPr>
        <w:t>附图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附图1  本项目地理位置图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附图2  本项目总平面布置图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附图3  声环境现状监测点位图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附图</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项目现场照片</w:t>
      </w:r>
    </w:p>
    <w:p>
      <w:pPr>
        <w:adjustRightInd w:val="0"/>
        <w:snapToGrid w:val="0"/>
        <w:spacing w:line="360" w:lineRule="auto"/>
        <w:rPr>
          <w:color w:val="auto"/>
          <w:sz w:val="24"/>
          <w:szCs w:val="24"/>
          <w:u w:val="none" w:color="auto"/>
        </w:rPr>
        <w:sectPr>
          <w:footerReference r:id="rId5" w:type="first"/>
          <w:footerReference r:id="rId4" w:type="default"/>
          <w:pgSz w:w="11907" w:h="16840"/>
          <w:pgMar w:top="1418" w:right="1418" w:bottom="1418" w:left="1588" w:header="454" w:footer="964" w:gutter="0"/>
          <w:pgBorders>
            <w:top w:val="none" w:sz="0" w:space="0"/>
            <w:left w:val="none" w:sz="0" w:space="0"/>
            <w:bottom w:val="none" w:sz="0" w:space="0"/>
            <w:right w:val="none" w:sz="0" w:space="0"/>
          </w:pgBorders>
          <w:pgNumType w:start="1"/>
          <w:cols w:space="720" w:num="1"/>
          <w:docGrid w:linePitch="380" w:charSpace="0"/>
        </w:sectPr>
      </w:pPr>
    </w:p>
    <w:p>
      <w:pPr>
        <w:pStyle w:val="3"/>
        <w:spacing w:before="120" w:line="240" w:lineRule="auto"/>
        <w:rPr>
          <w:color w:val="auto"/>
          <w:u w:val="none" w:color="auto"/>
        </w:rPr>
      </w:pPr>
      <w:bookmarkStart w:id="0" w:name="_Toc11589"/>
      <w:r>
        <w:rPr>
          <w:rFonts w:hint="eastAsia"/>
          <w:color w:val="auto"/>
          <w:u w:val="none" w:color="auto"/>
        </w:rPr>
        <w:t>一、</w:t>
      </w:r>
      <w:r>
        <w:rPr>
          <w:color w:val="auto"/>
          <w:u w:val="none" w:color="auto"/>
        </w:rPr>
        <w:t>建设项目基本情况</w:t>
      </w:r>
      <w:bookmarkEnd w:id="0"/>
    </w:p>
    <w:tbl>
      <w:tblPr>
        <w:tblStyle w:val="39"/>
        <w:tblW w:w="927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85" w:type="dxa"/>
          <w:bottom w:w="0" w:type="dxa"/>
          <w:right w:w="85" w:type="dxa"/>
        </w:tblCellMar>
      </w:tblPr>
      <w:tblGrid>
        <w:gridCol w:w="1924"/>
        <w:gridCol w:w="1689"/>
        <w:gridCol w:w="1356"/>
        <w:gridCol w:w="1824"/>
        <w:gridCol w:w="1245"/>
        <w:gridCol w:w="148"/>
        <w:gridCol w:w="1092"/>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38"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项目名称</w:t>
            </w:r>
          </w:p>
        </w:tc>
        <w:tc>
          <w:tcPr>
            <w:tcW w:w="7354" w:type="dxa"/>
            <w:gridSpan w:val="6"/>
            <w:vAlign w:val="center"/>
          </w:tcPr>
          <w:p>
            <w:pPr>
              <w:adjustRightInd w:val="0"/>
              <w:snapToGrid w:val="0"/>
              <w:spacing w:line="360" w:lineRule="auto"/>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szCs w:val="24"/>
                <w:u w:val="none" w:color="auto"/>
                <w:lang w:eastAsia="zh-CN"/>
              </w:rPr>
              <w:t>年产5000件消防设备及器材建设项目</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2"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建设单位</w:t>
            </w:r>
          </w:p>
        </w:tc>
        <w:tc>
          <w:tcPr>
            <w:tcW w:w="7354" w:type="dxa"/>
            <w:gridSpan w:val="6"/>
            <w:vAlign w:val="center"/>
          </w:tcPr>
          <w:p>
            <w:pPr>
              <w:adjustRightInd w:val="0"/>
              <w:snapToGrid w:val="0"/>
              <w:spacing w:line="360" w:lineRule="auto"/>
              <w:jc w:val="center"/>
              <w:rPr>
                <w:rFonts w:hint="default" w:ascii="Times New Roman" w:hAnsi="Times New Roman" w:eastAsia="宋体" w:cs="Times New Roman"/>
                <w:color w:val="auto"/>
                <w:sz w:val="24"/>
                <w:highlight w:val="yellow"/>
                <w:u w:val="none" w:color="auto"/>
                <w:lang w:eastAsia="zh-CN"/>
              </w:rPr>
            </w:pPr>
            <w:r>
              <w:rPr>
                <w:rFonts w:hint="eastAsia" w:cs="Times New Roman"/>
                <w:color w:val="auto"/>
                <w:sz w:val="24"/>
                <w:u w:val="none" w:color="auto"/>
                <w:lang w:eastAsia="zh-CN"/>
              </w:rPr>
              <w:t>湖南金诺动力设备制造有限公司</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24"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法人代表</w:t>
            </w:r>
          </w:p>
        </w:tc>
        <w:tc>
          <w:tcPr>
            <w:tcW w:w="3045" w:type="dxa"/>
            <w:gridSpan w:val="2"/>
            <w:vAlign w:val="center"/>
          </w:tcPr>
          <w:p>
            <w:pPr>
              <w:snapToGrid w:val="0"/>
              <w:spacing w:line="360" w:lineRule="auto"/>
              <w:jc w:val="center"/>
              <w:rPr>
                <w:rFonts w:hint="default" w:ascii="Times New Roman" w:hAnsi="Times New Roman" w:eastAsia="宋体" w:cs="Times New Roman"/>
                <w:color w:val="auto"/>
                <w:kern w:val="24"/>
                <w:sz w:val="24"/>
                <w:u w:val="none" w:color="auto"/>
                <w:lang w:eastAsia="zh-CN"/>
              </w:rPr>
            </w:pPr>
            <w:r>
              <w:rPr>
                <w:rFonts w:hint="eastAsia" w:cs="Times New Roman"/>
                <w:color w:val="auto"/>
                <w:kern w:val="24"/>
                <w:sz w:val="24"/>
                <w:u w:val="none" w:color="auto"/>
                <w:lang w:eastAsia="zh-CN"/>
              </w:rPr>
              <w:t>李玉球</w:t>
            </w:r>
          </w:p>
        </w:tc>
        <w:tc>
          <w:tcPr>
            <w:tcW w:w="18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 系 人</w:t>
            </w:r>
          </w:p>
        </w:tc>
        <w:tc>
          <w:tcPr>
            <w:tcW w:w="2485" w:type="dxa"/>
            <w:gridSpan w:val="3"/>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eastAsia="zh-CN"/>
              </w:rPr>
            </w:pPr>
            <w:r>
              <w:rPr>
                <w:rFonts w:hint="eastAsia" w:cs="Times New Roman"/>
                <w:color w:val="auto"/>
                <w:kern w:val="24"/>
                <w:sz w:val="24"/>
                <w:u w:val="none" w:color="auto"/>
                <w:lang w:eastAsia="zh-CN"/>
              </w:rPr>
              <w:t>彭杰</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01"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通讯地址</w:t>
            </w:r>
          </w:p>
        </w:tc>
        <w:tc>
          <w:tcPr>
            <w:tcW w:w="7354" w:type="dxa"/>
            <w:gridSpan w:val="6"/>
            <w:vAlign w:val="center"/>
          </w:tcPr>
          <w:p>
            <w:pPr>
              <w:snapToGrid w:val="0"/>
              <w:spacing w:line="360" w:lineRule="auto"/>
              <w:jc w:val="center"/>
              <w:rPr>
                <w:rFonts w:hint="default" w:ascii="Times New Roman" w:hAnsi="Times New Roman" w:eastAsia="宋体" w:cs="Times New Roman"/>
                <w:color w:val="auto"/>
                <w:kern w:val="24"/>
                <w:sz w:val="24"/>
                <w:szCs w:val="24"/>
                <w:u w:val="none" w:color="auto"/>
                <w:lang w:eastAsia="zh-CN"/>
              </w:rPr>
            </w:pPr>
            <w:r>
              <w:rPr>
                <w:rFonts w:hint="eastAsia" w:cs="Times New Roman"/>
                <w:color w:val="auto"/>
                <w:sz w:val="24"/>
                <w:u w:val="none" w:color="auto"/>
                <w:lang w:eastAsia="zh-CN"/>
              </w:rPr>
              <w:t>湘阴县金龙新区安嘉路西侧，文襄路南侧</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597"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联系电话</w:t>
            </w:r>
          </w:p>
        </w:tc>
        <w:tc>
          <w:tcPr>
            <w:tcW w:w="1689" w:type="dxa"/>
            <w:vAlign w:val="center"/>
          </w:tcPr>
          <w:p>
            <w:pPr>
              <w:snapToGrid w:val="0"/>
              <w:spacing w:line="360" w:lineRule="auto"/>
              <w:jc w:val="center"/>
              <w:rPr>
                <w:rFonts w:hint="default" w:ascii="Times New Roman" w:hAnsi="Times New Roman" w:eastAsia="宋体" w:cs="Times New Roman"/>
                <w:color w:val="auto"/>
                <w:kern w:val="0"/>
                <w:sz w:val="24"/>
                <w:u w:val="none" w:color="auto"/>
                <w:lang w:val="en-US" w:eastAsia="zh-CN"/>
              </w:rPr>
            </w:pPr>
            <w:r>
              <w:rPr>
                <w:rFonts w:hint="eastAsia"/>
                <w:color w:val="auto"/>
                <w:sz w:val="24"/>
                <w:u w:val="none" w:color="auto"/>
                <w:lang w:val="en-US" w:eastAsia="zh-CN"/>
              </w:rPr>
              <w:t>18173099325</w:t>
            </w:r>
          </w:p>
        </w:tc>
        <w:tc>
          <w:tcPr>
            <w:tcW w:w="1356"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传真</w:t>
            </w:r>
          </w:p>
        </w:tc>
        <w:tc>
          <w:tcPr>
            <w:tcW w:w="18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24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邮政编码</w:t>
            </w:r>
          </w:p>
        </w:tc>
        <w:tc>
          <w:tcPr>
            <w:tcW w:w="1240"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414600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86" w:hRule="atLeast"/>
          <w:jc w:val="center"/>
        </w:trPr>
        <w:tc>
          <w:tcPr>
            <w:tcW w:w="192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建设地点</w:t>
            </w:r>
          </w:p>
        </w:tc>
        <w:tc>
          <w:tcPr>
            <w:tcW w:w="7354" w:type="dxa"/>
            <w:gridSpan w:val="6"/>
            <w:vAlign w:val="center"/>
          </w:tcPr>
          <w:p>
            <w:pPr>
              <w:snapToGrid w:val="0"/>
              <w:spacing w:line="360" w:lineRule="auto"/>
              <w:ind w:left="-105" w:leftChars="-50" w:right="-105" w:rightChars="-50"/>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u w:val="none" w:color="auto"/>
                <w:lang w:eastAsia="zh-CN"/>
              </w:rPr>
              <w:t>湘阴县金龙新区安嘉路西侧，文襄路南侧</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6"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立项审批部门</w:t>
            </w:r>
          </w:p>
        </w:tc>
        <w:tc>
          <w:tcPr>
            <w:tcW w:w="3045" w:type="dxa"/>
            <w:gridSpan w:val="2"/>
            <w:vAlign w:val="center"/>
          </w:tcPr>
          <w:p>
            <w:pPr>
              <w:snapToGrid w:val="0"/>
              <w:spacing w:line="360" w:lineRule="auto"/>
              <w:jc w:val="center"/>
              <w:rPr>
                <w:rFonts w:hint="eastAsia" w:ascii="Times New Roman" w:hAnsi="Times New Roman" w:eastAsia="宋体" w:cs="Times New Roman"/>
                <w:color w:val="auto"/>
                <w:spacing w:val="-6"/>
                <w:sz w:val="24"/>
                <w:u w:val="none" w:color="auto"/>
                <w:lang w:eastAsia="zh-CN"/>
              </w:rPr>
            </w:pPr>
            <w:r>
              <w:rPr>
                <w:rFonts w:hint="eastAsia" w:cs="Times New Roman"/>
                <w:color w:val="auto"/>
                <w:spacing w:val="-6"/>
                <w:sz w:val="24"/>
                <w:u w:val="none" w:color="auto"/>
                <w:lang w:eastAsia="zh-CN"/>
              </w:rPr>
              <w:t>湘阴县发展和改革局</w:t>
            </w:r>
          </w:p>
        </w:tc>
        <w:tc>
          <w:tcPr>
            <w:tcW w:w="18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批准文号</w:t>
            </w:r>
          </w:p>
        </w:tc>
        <w:tc>
          <w:tcPr>
            <w:tcW w:w="2485" w:type="dxa"/>
            <w:gridSpan w:val="3"/>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eastAsia="zh-CN"/>
              </w:rPr>
              <w:t>湘阴县发改审【</w:t>
            </w:r>
            <w:r>
              <w:rPr>
                <w:rFonts w:hint="eastAsia" w:cs="Times New Roman"/>
                <w:color w:val="auto"/>
                <w:kern w:val="24"/>
                <w:sz w:val="24"/>
                <w:u w:val="none" w:color="auto"/>
                <w:lang w:val="en-US" w:eastAsia="zh-CN"/>
              </w:rPr>
              <w:t>2019</w:t>
            </w:r>
            <w:r>
              <w:rPr>
                <w:rFonts w:hint="eastAsia" w:cs="Times New Roman"/>
                <w:color w:val="auto"/>
                <w:kern w:val="24"/>
                <w:sz w:val="24"/>
                <w:u w:val="none" w:color="auto"/>
                <w:lang w:eastAsia="zh-CN"/>
              </w:rPr>
              <w:t>】</w:t>
            </w:r>
            <w:r>
              <w:rPr>
                <w:rFonts w:hint="eastAsia" w:cs="Times New Roman"/>
                <w:color w:val="auto"/>
                <w:kern w:val="24"/>
                <w:sz w:val="24"/>
                <w:u w:val="none" w:color="auto"/>
                <w:lang w:val="en-US" w:eastAsia="zh-CN"/>
              </w:rPr>
              <w:t>76号</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建设性质</w:t>
            </w:r>
          </w:p>
        </w:tc>
        <w:tc>
          <w:tcPr>
            <w:tcW w:w="3045" w:type="dxa"/>
            <w:gridSpan w:val="2"/>
            <w:vAlign w:val="center"/>
          </w:tcPr>
          <w:p>
            <w:pPr>
              <w:snapToGrid w:val="0"/>
              <w:spacing w:line="360" w:lineRule="auto"/>
              <w:jc w:val="center"/>
              <w:rPr>
                <w:rFonts w:hint="eastAsia" w:ascii="Times New Roman" w:hAnsi="Times New Roman" w:eastAsia="宋体" w:cs="Times New Roman"/>
                <w:color w:val="auto"/>
                <w:spacing w:val="-6"/>
                <w:kern w:val="24"/>
                <w:sz w:val="24"/>
                <w:u w:val="none" w:color="auto"/>
                <w:lang w:eastAsia="zh-CN"/>
              </w:rPr>
            </w:pPr>
            <w:r>
              <w:rPr>
                <w:rFonts w:hint="default" w:ascii="Times New Roman" w:hAnsi="Times New Roman" w:cs="Times New Roman"/>
                <w:color w:val="auto"/>
                <w:sz w:val="24"/>
                <w:u w:val="none" w:color="auto"/>
              </w:rPr>
              <w:t>新建</w:t>
            </w:r>
          </w:p>
        </w:tc>
        <w:tc>
          <w:tcPr>
            <w:tcW w:w="18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行业类别</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及代号</w:t>
            </w:r>
          </w:p>
        </w:tc>
        <w:tc>
          <w:tcPr>
            <w:tcW w:w="2485" w:type="dxa"/>
            <w:gridSpan w:val="3"/>
            <w:vAlign w:val="center"/>
          </w:tcPr>
          <w:p>
            <w:pPr>
              <w:spacing w:line="360" w:lineRule="auto"/>
              <w:jc w:val="center"/>
              <w:rPr>
                <w:rFonts w:hint="default" w:ascii="Times New Roman" w:hAnsi="Times New Roman" w:eastAsia="宋体" w:cs="Times New Roman"/>
                <w:color w:val="auto"/>
                <w:spacing w:val="6"/>
                <w:sz w:val="24"/>
                <w:szCs w:val="24"/>
                <w:u w:val="none" w:color="auto"/>
                <w:lang w:val="en-US" w:eastAsia="zh-CN"/>
              </w:rPr>
            </w:pPr>
            <w:r>
              <w:rPr>
                <w:rFonts w:hint="eastAsia" w:cs="Times New Roman"/>
                <w:color w:val="auto"/>
                <w:spacing w:val="6"/>
                <w:sz w:val="24"/>
                <w:szCs w:val="24"/>
                <w:u w:val="none" w:color="auto"/>
                <w:lang w:val="en-US" w:eastAsia="zh-CN"/>
              </w:rPr>
              <w:t>C3595 社会公共安全设备及器材制造</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占地面积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3045" w:type="dxa"/>
            <w:gridSpan w:val="2"/>
            <w:vAlign w:val="center"/>
          </w:tcPr>
          <w:p>
            <w:pPr>
              <w:snapToGrid w:val="0"/>
              <w:spacing w:line="360" w:lineRule="auto"/>
              <w:jc w:val="center"/>
              <w:rPr>
                <w:rFonts w:hint="default" w:ascii="Times New Roman" w:hAnsi="Times New Roman" w:eastAsia="宋体" w:cs="Times New Roman"/>
                <w:color w:val="auto"/>
                <w:spacing w:val="-6"/>
                <w:sz w:val="24"/>
                <w:u w:val="none" w:color="auto"/>
                <w:lang w:val="en-US" w:eastAsia="zh-CN"/>
              </w:rPr>
            </w:pPr>
            <w:r>
              <w:rPr>
                <w:rFonts w:hint="eastAsia" w:cs="Times New Roman"/>
                <w:color w:val="auto"/>
                <w:spacing w:val="-6"/>
                <w:sz w:val="24"/>
                <w:u w:val="none" w:color="auto"/>
                <w:lang w:val="en-US" w:eastAsia="zh-CN"/>
              </w:rPr>
              <w:t>72559.62</w:t>
            </w:r>
          </w:p>
        </w:tc>
        <w:tc>
          <w:tcPr>
            <w:tcW w:w="18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绿化面积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2485" w:type="dxa"/>
            <w:gridSpan w:val="3"/>
            <w:vAlign w:val="center"/>
          </w:tcPr>
          <w:p>
            <w:pPr>
              <w:snapToGrid w:val="0"/>
              <w:spacing w:line="360" w:lineRule="auto"/>
              <w:ind w:left="-105" w:leftChars="-50" w:right="-105" w:rightChars="-50"/>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总投资</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9" w:type="dxa"/>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val="en-US" w:eastAsia="zh-CN"/>
              </w:rPr>
            </w:pPr>
            <w:r>
              <w:rPr>
                <w:rFonts w:hint="default" w:ascii="Times New Roman" w:hAnsi="Times New Roman" w:cs="Times New Roman"/>
                <w:color w:val="auto"/>
                <w:sz w:val="24"/>
                <w:szCs w:val="24"/>
                <w:u w:val="none" w:color="auto"/>
                <w:lang w:val="en-US" w:eastAsia="zh-CN"/>
              </w:rPr>
              <w:t>12736.49</w:t>
            </w:r>
          </w:p>
        </w:tc>
        <w:tc>
          <w:tcPr>
            <w:tcW w:w="1356"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其中:环保投资(万元)</w:t>
            </w:r>
          </w:p>
        </w:tc>
        <w:tc>
          <w:tcPr>
            <w:tcW w:w="1824" w:type="dxa"/>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130</w:t>
            </w:r>
          </w:p>
        </w:tc>
        <w:tc>
          <w:tcPr>
            <w:tcW w:w="1393"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环保投资占总投资比例</w:t>
            </w:r>
          </w:p>
        </w:tc>
        <w:tc>
          <w:tcPr>
            <w:tcW w:w="109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eastAsia" w:cs="Times New Roman"/>
                <w:color w:val="auto"/>
                <w:kern w:val="24"/>
                <w:sz w:val="24"/>
                <w:u w:val="none" w:color="auto"/>
                <w:lang w:val="en-US" w:eastAsia="zh-CN"/>
              </w:rPr>
              <w:t>1.02</w:t>
            </w:r>
            <w:r>
              <w:rPr>
                <w:rFonts w:hint="default" w:ascii="Times New Roman" w:hAnsi="Times New Roman" w:cs="Times New Roman"/>
                <w:color w:val="auto"/>
                <w:kern w:val="24"/>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4"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评价经费</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9"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356"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投产日期</w:t>
            </w:r>
          </w:p>
        </w:tc>
        <w:tc>
          <w:tcPr>
            <w:tcW w:w="4309" w:type="dxa"/>
            <w:gridSpan w:val="4"/>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2023年6月</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9278" w:type="dxa"/>
            <w:gridSpan w:val="7"/>
            <w:vAlign w:val="center"/>
          </w:tcPr>
          <w:p>
            <w:pPr>
              <w:snapToGrid w:val="0"/>
              <w:spacing w:line="360" w:lineRule="auto"/>
              <w:rPr>
                <w:rFonts w:hint="default" w:ascii="Times New Roman" w:hAnsi="Times New Roman" w:cs="Times New Roman"/>
                <w:b/>
                <w:color w:val="auto"/>
                <w:sz w:val="30"/>
                <w:szCs w:val="30"/>
                <w:u w:val="none" w:color="auto"/>
              </w:rPr>
            </w:pPr>
            <w:r>
              <w:rPr>
                <w:rFonts w:hint="default" w:ascii="Times New Roman" w:hAnsi="Times New Roman" w:cs="Times New Roman"/>
                <w:b/>
                <w:color w:val="auto"/>
                <w:sz w:val="30"/>
                <w:szCs w:val="30"/>
                <w:u w:val="none" w:color="auto"/>
              </w:rPr>
              <w:t>工程内容及规模：</w:t>
            </w:r>
          </w:p>
          <w:p>
            <w:pPr>
              <w:pStyle w:val="4"/>
              <w:spacing w:before="0" w:beforeLines="0"/>
              <w:ind w:firstLine="482"/>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1、项目由来</w:t>
            </w:r>
          </w:p>
          <w:p>
            <w:pPr>
              <w:pStyle w:val="168"/>
              <w:rPr>
                <w:rFonts w:hint="default" w:ascii="Times New Roman" w:hAnsi="Times New Roman" w:eastAsia="宋体" w:cs="Times New Roman"/>
                <w:color w:val="auto"/>
                <w:kern w:val="0"/>
                <w:u w:val="single" w:color="auto"/>
                <w:lang w:val="en-US" w:eastAsia="zh-CN"/>
              </w:rPr>
            </w:pPr>
            <w:r>
              <w:rPr>
                <w:rFonts w:hint="eastAsia" w:cs="Times New Roman"/>
                <w:color w:val="auto"/>
                <w:u w:val="single" w:color="auto"/>
                <w:lang w:eastAsia="zh-CN"/>
              </w:rPr>
              <w:t>湖南金诺动力设备制造有限公司原位于湘阴县工业园区工业大道西侧进行建设生产，原项目</w:t>
            </w:r>
            <w:r>
              <w:rPr>
                <w:rFonts w:hint="eastAsia" w:cs="Times New Roman"/>
                <w:color w:val="auto"/>
                <w:u w:val="single" w:color="auto"/>
                <w:lang w:val="en-US" w:eastAsia="zh-CN"/>
              </w:rPr>
              <w:t>2016年1月进行生产，于2015年10月由广州市怡地环保有限公司编制其环境影响评价报告表，并于2015年12月29日由湘阴县环境保护局进行审批。文号：湘阴环评批【2015】95号，在2016年11月25日由湘阴县环保局进行竣工环保验收审批，文号：湘阴环验【2016】24，2016年4月20日完成了</w:t>
            </w:r>
            <w:r>
              <w:rPr>
                <w:rFonts w:hint="eastAsia" w:cs="Times New Roman"/>
                <w:color w:val="auto"/>
                <w:u w:val="single" w:color="auto"/>
                <w:lang w:eastAsia="zh-CN"/>
              </w:rPr>
              <w:t>湖南金诺动力设备制造有限公司排污权的交易（购买了废水中化学需氧量及氨氮的总量），文号：（岳）</w:t>
            </w:r>
            <w:r>
              <w:rPr>
                <w:rFonts w:hint="eastAsia" w:cs="Times New Roman"/>
                <w:color w:val="auto"/>
                <w:u w:val="single" w:color="auto"/>
                <w:lang w:val="en-US" w:eastAsia="zh-CN"/>
              </w:rPr>
              <w:t>SL 2016-31号</w:t>
            </w:r>
            <w:r>
              <w:rPr>
                <w:rFonts w:hint="eastAsia" w:cs="Times New Roman"/>
                <w:color w:val="auto"/>
                <w:u w:val="single" w:color="auto"/>
                <w:lang w:eastAsia="zh-CN"/>
              </w:rPr>
              <w:t>（具体详见附件</w:t>
            </w:r>
            <w:r>
              <w:rPr>
                <w:rFonts w:hint="eastAsia" w:cs="Times New Roman"/>
                <w:color w:val="auto"/>
                <w:u w:val="single" w:color="auto"/>
                <w:lang w:val="en-US" w:eastAsia="zh-CN"/>
              </w:rPr>
              <w:t>5、6</w:t>
            </w:r>
            <w:r>
              <w:rPr>
                <w:rFonts w:hint="eastAsia" w:cs="Times New Roman"/>
                <w:color w:val="auto"/>
                <w:u w:val="single" w:color="auto"/>
                <w:lang w:eastAsia="zh-CN"/>
              </w:rPr>
              <w:t>）</w:t>
            </w:r>
            <w:r>
              <w:rPr>
                <w:rFonts w:hint="eastAsia" w:cs="Times New Roman"/>
                <w:color w:val="auto"/>
                <w:kern w:val="0"/>
                <w:u w:val="single" w:color="auto"/>
                <w:lang w:val="en-US" w:eastAsia="zh-CN"/>
              </w:rPr>
              <w:t>，项目环保手续齐全。</w:t>
            </w:r>
          </w:p>
          <w:p>
            <w:pPr>
              <w:pStyle w:val="168"/>
              <w:rPr>
                <w:rFonts w:hint="default" w:ascii="Times New Roman" w:hAnsi="Times New Roman" w:cs="Times New Roman"/>
                <w:color w:val="auto"/>
                <w:szCs w:val="24"/>
                <w:u w:val="single" w:color="auto"/>
              </w:rPr>
            </w:pPr>
            <w:r>
              <w:rPr>
                <w:rFonts w:hint="eastAsia" w:cs="Times New Roman"/>
                <w:color w:val="auto"/>
                <w:u w:val="single" w:color="auto"/>
                <w:lang w:eastAsia="zh-CN"/>
              </w:rPr>
              <w:t>由于公司原位于湘阴县工业园区工业大道西侧的地块及厂房为租赁的，现购买了湘阴县金龙新区安嘉路西侧，文襄路南侧的地块，因此将原有项目搬迁至现购买地块进行建设生产，因此公司</w:t>
            </w:r>
            <w:r>
              <w:rPr>
                <w:rFonts w:hint="default" w:ascii="Times New Roman" w:hAnsi="Times New Roman" w:cs="Times New Roman"/>
                <w:color w:val="auto"/>
                <w:u w:val="single" w:color="auto"/>
              </w:rPr>
              <w:t>投资</w:t>
            </w:r>
            <w:r>
              <w:rPr>
                <w:rFonts w:hint="eastAsia" w:cs="Times New Roman"/>
                <w:color w:val="auto"/>
                <w:u w:val="single" w:color="auto"/>
                <w:lang w:val="en-US" w:eastAsia="zh-CN"/>
              </w:rPr>
              <w:t>12736.49万元</w:t>
            </w:r>
            <w:r>
              <w:rPr>
                <w:rFonts w:hint="default" w:ascii="Times New Roman" w:hAnsi="Times New Roman" w:cs="Times New Roman"/>
                <w:color w:val="auto"/>
                <w:u w:val="single" w:color="auto"/>
              </w:rPr>
              <w:t>建设“</w:t>
            </w:r>
            <w:r>
              <w:rPr>
                <w:rFonts w:hint="eastAsia" w:cs="Times New Roman"/>
                <w:color w:val="auto"/>
                <w:szCs w:val="24"/>
                <w:u w:val="single" w:color="auto"/>
                <w:lang w:eastAsia="zh-CN"/>
              </w:rPr>
              <w:t>年产5000件消防设备及器材建设项目</w:t>
            </w:r>
            <w:r>
              <w:rPr>
                <w:rFonts w:hint="default" w:ascii="Times New Roman" w:hAnsi="Times New Roman" w:cs="Times New Roman"/>
                <w:color w:val="auto"/>
                <w:u w:val="single" w:color="auto"/>
              </w:rPr>
              <w:t>”。</w:t>
            </w:r>
            <w:r>
              <w:rPr>
                <w:rFonts w:hint="eastAsia" w:cs="Times New Roman"/>
                <w:color w:val="auto"/>
                <w:u w:val="single" w:color="auto"/>
                <w:lang w:eastAsia="zh-CN"/>
              </w:rPr>
              <w:t>占地面积为</w:t>
            </w:r>
            <w:r>
              <w:rPr>
                <w:rFonts w:hint="eastAsia" w:cs="Times New Roman"/>
                <w:color w:val="auto"/>
                <w:spacing w:val="-6"/>
                <w:sz w:val="24"/>
                <w:u w:val="single" w:color="auto"/>
                <w:lang w:val="en-US" w:eastAsia="zh-CN"/>
              </w:rPr>
              <w:t>72559.62m</w:t>
            </w:r>
            <w:r>
              <w:rPr>
                <w:rFonts w:hint="eastAsia" w:cs="Times New Roman"/>
                <w:color w:val="auto"/>
                <w:spacing w:val="-6"/>
                <w:sz w:val="24"/>
                <w:u w:val="single" w:color="auto"/>
                <w:vertAlign w:val="superscript"/>
                <w:lang w:val="en-US" w:eastAsia="zh-CN"/>
              </w:rPr>
              <w:t>2</w:t>
            </w:r>
            <w:r>
              <w:rPr>
                <w:rFonts w:hint="eastAsia" w:cs="Times New Roman"/>
                <w:color w:val="auto"/>
                <w:spacing w:val="-6"/>
                <w:sz w:val="24"/>
                <w:u w:val="single" w:color="auto"/>
                <w:lang w:val="en-US" w:eastAsia="zh-CN"/>
              </w:rPr>
              <w:t>。</w:t>
            </w:r>
          </w:p>
          <w:p>
            <w:pPr>
              <w:pStyle w:val="168"/>
              <w:rPr>
                <w:rFonts w:hint="default" w:ascii="Times New Roman" w:hAnsi="Times New Roman" w:cs="Times New Roman"/>
                <w:color w:val="auto"/>
                <w:szCs w:val="24"/>
                <w:u w:val="none" w:color="auto"/>
              </w:rPr>
            </w:pPr>
            <w:r>
              <w:rPr>
                <w:rFonts w:hint="default" w:ascii="Times New Roman" w:hAnsi="Times New Roman" w:cs="Times New Roman"/>
                <w:color w:val="auto"/>
                <w:kern w:val="0"/>
                <w:u w:val="none" w:color="auto"/>
              </w:rPr>
              <w:t>根据《中华人民共和国环境保护法》、《中华人民共和国环境影响评价法》及《建设项目环境保护管理条例》的有关规定，本工程需</w:t>
            </w:r>
            <w:r>
              <w:rPr>
                <w:rFonts w:hint="eastAsia" w:cs="Times New Roman"/>
                <w:color w:val="auto"/>
                <w:kern w:val="0"/>
                <w:u w:val="none" w:color="auto"/>
                <w:lang w:eastAsia="zh-CN"/>
              </w:rPr>
              <w:t>办理</w:t>
            </w:r>
            <w:r>
              <w:rPr>
                <w:rFonts w:hint="default" w:ascii="Times New Roman" w:hAnsi="Times New Roman" w:cs="Times New Roman"/>
                <w:color w:val="auto"/>
                <w:kern w:val="0"/>
                <w:u w:val="none" w:color="auto"/>
              </w:rPr>
              <w:t>环境影响评价。经查询《建设项目环境影响评价分类管理名录》（2018版、生态环境部部令第1号），</w:t>
            </w:r>
            <w:r>
              <w:rPr>
                <w:rFonts w:hint="default" w:ascii="Times New Roman" w:hAnsi="Times New Roman" w:cs="Times New Roman"/>
                <w:color w:val="auto"/>
                <w:szCs w:val="24"/>
                <w:u w:val="none" w:color="auto"/>
              </w:rPr>
              <w:t>项目属于</w:t>
            </w:r>
            <w:r>
              <w:rPr>
                <w:rFonts w:hint="eastAsia" w:cs="Times New Roman"/>
                <w:color w:val="auto"/>
                <w:szCs w:val="24"/>
                <w:u w:val="none" w:color="auto"/>
                <w:lang w:eastAsia="zh-CN"/>
              </w:rPr>
              <w:t>二十四</w:t>
            </w:r>
            <w:r>
              <w:rPr>
                <w:rFonts w:hint="default" w:ascii="Times New Roman" w:hAnsi="Times New Roman" w:cs="Times New Roman"/>
                <w:color w:val="auto"/>
                <w:szCs w:val="24"/>
                <w:u w:val="none" w:color="auto"/>
              </w:rPr>
              <w:t>大类</w:t>
            </w:r>
            <w:r>
              <w:rPr>
                <w:rFonts w:hint="eastAsia" w:cs="Times New Roman"/>
                <w:color w:val="auto"/>
                <w:szCs w:val="24"/>
                <w:u w:val="none" w:color="auto"/>
                <w:lang w:eastAsia="zh-CN"/>
              </w:rPr>
              <w:t>专用设备制造业</w:t>
            </w:r>
            <w:r>
              <w:rPr>
                <w:rFonts w:hint="default" w:ascii="Times New Roman" w:hAnsi="Times New Roman" w:cs="Times New Roman"/>
                <w:color w:val="auto"/>
                <w:szCs w:val="24"/>
                <w:u w:val="none" w:color="auto"/>
              </w:rPr>
              <w:t xml:space="preserve">的 </w:t>
            </w:r>
            <w:r>
              <w:rPr>
                <w:rFonts w:hint="eastAsia" w:cs="Times New Roman"/>
                <w:color w:val="auto"/>
                <w:szCs w:val="24"/>
                <w:u w:val="none" w:color="auto"/>
                <w:lang w:val="en-US" w:eastAsia="zh-CN"/>
              </w:rPr>
              <w:t xml:space="preserve">69 </w:t>
            </w:r>
            <w:r>
              <w:rPr>
                <w:rFonts w:hint="eastAsia" w:cs="Times New Roman"/>
                <w:color w:val="auto"/>
                <w:szCs w:val="24"/>
                <w:u w:val="none" w:color="auto"/>
                <w:lang w:eastAsia="zh-CN"/>
              </w:rPr>
              <w:t>专用设备制造及维修</w:t>
            </w:r>
            <w:r>
              <w:rPr>
                <w:rFonts w:hint="default" w:ascii="Times New Roman" w:hAnsi="Times New Roman" w:cs="Times New Roman"/>
                <w:color w:val="auto"/>
                <w:szCs w:val="24"/>
                <w:u w:val="none" w:color="auto"/>
              </w:rPr>
              <w:t>，有电镀或喷漆工艺且年用</w:t>
            </w:r>
            <w:r>
              <w:rPr>
                <w:rFonts w:hint="eastAsia" w:cs="Times New Roman"/>
                <w:color w:val="auto"/>
                <w:szCs w:val="24"/>
                <w:u w:val="none" w:color="auto"/>
                <w:lang w:eastAsia="zh-CN"/>
              </w:rPr>
              <w:t>油漆</w:t>
            </w:r>
            <w:r>
              <w:rPr>
                <w:rFonts w:hint="default" w:ascii="Times New Roman" w:hAnsi="Times New Roman" w:cs="Times New Roman"/>
                <w:color w:val="auto"/>
                <w:szCs w:val="24"/>
                <w:u w:val="none" w:color="auto"/>
              </w:rPr>
              <w:t>量（含稀释剂）10 吨及以上的应编制报告书，其他应编制环境影响评价报告表。本项目含喷漆工艺年用漆量约</w:t>
            </w:r>
            <w:r>
              <w:rPr>
                <w:rFonts w:hint="eastAsia" w:cs="Times New Roman"/>
                <w:color w:val="auto"/>
                <w:szCs w:val="24"/>
                <w:u w:val="none" w:color="auto"/>
                <w:lang w:val="en-US" w:eastAsia="zh-CN"/>
              </w:rPr>
              <w:t>1.85t（绝缘漆和稀释剂）</w:t>
            </w:r>
            <w:r>
              <w:rPr>
                <w:rFonts w:hint="default" w:ascii="Times New Roman" w:hAnsi="Times New Roman" w:cs="Times New Roman"/>
                <w:color w:val="auto"/>
                <w:szCs w:val="24"/>
                <w:u w:val="none" w:color="auto"/>
              </w:rPr>
              <w:t>，需编制环境影响评价报告表；为此，</w:t>
            </w:r>
            <w:r>
              <w:rPr>
                <w:rFonts w:hint="eastAsia" w:cs="Times New Roman"/>
                <w:color w:val="auto"/>
                <w:u w:val="none" w:color="auto"/>
                <w:lang w:eastAsia="zh-CN"/>
              </w:rPr>
              <w:t>湖南金诺动力设备制造有限公司</w:t>
            </w:r>
            <w:r>
              <w:rPr>
                <w:rFonts w:hint="default" w:ascii="Times New Roman" w:hAnsi="Times New Roman" w:cs="Times New Roman"/>
                <w:color w:val="auto"/>
                <w:szCs w:val="24"/>
                <w:u w:val="none" w:color="auto"/>
              </w:rPr>
              <w:t>委托</w:t>
            </w:r>
            <w:r>
              <w:rPr>
                <w:rFonts w:hint="eastAsia" w:cs="Times New Roman"/>
                <w:color w:val="auto"/>
                <w:szCs w:val="24"/>
                <w:u w:val="none" w:color="auto"/>
                <w:lang w:eastAsia="zh-CN"/>
              </w:rPr>
              <w:t>北京国环益达环保技术有限公司</w:t>
            </w:r>
            <w:r>
              <w:rPr>
                <w:rFonts w:hint="default" w:ascii="Times New Roman" w:hAnsi="Times New Roman" w:cs="Times New Roman"/>
                <w:color w:val="auto"/>
                <w:szCs w:val="24"/>
                <w:u w:val="none" w:color="auto"/>
              </w:rPr>
              <w:t>承担了《</w:t>
            </w:r>
            <w:r>
              <w:rPr>
                <w:rFonts w:hint="eastAsia" w:cs="Times New Roman"/>
                <w:color w:val="auto"/>
                <w:szCs w:val="24"/>
                <w:u w:val="none" w:color="auto"/>
                <w:lang w:eastAsia="zh-CN"/>
              </w:rPr>
              <w:t>湖南金诺动力设备制造有限公司年产5000件消防设备及器材建设项目</w:t>
            </w:r>
            <w:r>
              <w:rPr>
                <w:rFonts w:hint="default" w:ascii="Times New Roman" w:hAnsi="Times New Roman" w:cs="Times New Roman"/>
                <w:color w:val="auto"/>
                <w:szCs w:val="24"/>
                <w:u w:val="none" w:color="auto"/>
              </w:rPr>
              <w:t>》的环境影响评价工作</w:t>
            </w:r>
            <w:r>
              <w:rPr>
                <w:rFonts w:hint="default" w:ascii="Times New Roman" w:hAnsi="Times New Roman" w:cs="Times New Roman"/>
                <w:color w:val="auto"/>
                <w:u w:val="none" w:color="auto"/>
              </w:rPr>
              <w:t>（委托书见附件1所示）</w:t>
            </w:r>
            <w:r>
              <w:rPr>
                <w:rFonts w:hint="default" w:ascii="Times New Roman" w:hAnsi="Times New Roman" w:cs="Times New Roman"/>
                <w:color w:val="auto"/>
                <w:szCs w:val="24"/>
                <w:u w:val="none" w:color="auto"/>
              </w:rPr>
              <w:t>。接受委托后， 环评技术人员按照技术导则所规定原则、方法、内容和要求，通过现场踏勘，收集资料，走访调查，分析评价，在建设方提供的有关文件资料的基础上，编制了本环境影响报告表。</w:t>
            </w:r>
          </w:p>
          <w:p>
            <w:pPr>
              <w:snapToGrid w:val="0"/>
              <w:spacing w:line="360" w:lineRule="auto"/>
              <w:ind w:right="113" w:firstLine="48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2. 项目概况</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（1）项目名称：</w:t>
            </w:r>
            <w:r>
              <w:rPr>
                <w:rFonts w:hint="eastAsia" w:cs="Times New Roman"/>
                <w:color w:val="auto"/>
                <w:szCs w:val="24"/>
                <w:u w:val="none" w:color="auto"/>
                <w:lang w:eastAsia="zh-CN"/>
              </w:rPr>
              <w:t>年产5000件消防设备及器材建设项目</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（2）建设单位：</w:t>
            </w:r>
            <w:r>
              <w:rPr>
                <w:rFonts w:hint="eastAsia" w:cs="Times New Roman"/>
                <w:color w:val="auto"/>
                <w:u w:val="none" w:color="auto"/>
                <w:lang w:eastAsia="zh-CN"/>
              </w:rPr>
              <w:t>湖南金诺动力设备制造有限公司</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（3）建设地点：</w:t>
            </w:r>
            <w:r>
              <w:rPr>
                <w:rFonts w:hint="eastAsia" w:cs="Times New Roman"/>
                <w:color w:val="auto"/>
                <w:u w:val="none" w:color="auto"/>
                <w:lang w:eastAsia="zh-CN"/>
              </w:rPr>
              <w:t>湘阴县金龙新区安嘉路西侧，文襄路南侧</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（中心地理坐标：</w:t>
            </w:r>
            <w:r>
              <w:rPr>
                <w:rFonts w:hint="default" w:ascii="Times New Roman" w:hAnsi="Times New Roman" w:cs="Times New Roman"/>
                <w:bCs/>
                <w:color w:val="auto"/>
                <w:u w:val="none" w:color="auto"/>
              </w:rPr>
              <w:t>北纬</w:t>
            </w:r>
            <w:r>
              <w:rPr>
                <w:rFonts w:hint="default" w:ascii="Times New Roman" w:hAnsi="Times New Roman" w:cs="Times New Roman"/>
                <w:bCs/>
                <w:color w:val="auto"/>
                <w:u w:val="none" w:color="auto"/>
                <w:lang w:val="en-US" w:eastAsia="zh-CN"/>
              </w:rPr>
              <w:t>28.523531</w:t>
            </w:r>
            <w:r>
              <w:rPr>
                <w:rFonts w:hint="default" w:ascii="Times New Roman" w:hAnsi="Times New Roman" w:cs="Times New Roman"/>
                <w:bCs/>
                <w:color w:val="auto"/>
                <w:u w:val="none" w:color="auto"/>
              </w:rPr>
              <w:t xml:space="preserve"> 东经</w:t>
            </w:r>
            <w:r>
              <w:rPr>
                <w:rFonts w:hint="default" w:ascii="Times New Roman" w:hAnsi="Times New Roman" w:cs="Times New Roman"/>
                <w:bCs/>
                <w:color w:val="auto"/>
                <w:u w:val="none" w:color="auto"/>
                <w:lang w:val="en-US" w:eastAsia="zh-CN"/>
              </w:rPr>
              <w:t>112.929465</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（4）项目性质：新建；</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（5）建设规模：项目总占地面积约</w:t>
            </w:r>
            <w:r>
              <w:rPr>
                <w:rFonts w:hint="eastAsia" w:cs="Times New Roman"/>
                <w:color w:val="auto"/>
                <w:u w:val="none" w:color="auto"/>
                <w:lang w:val="en-US" w:eastAsia="zh-CN"/>
              </w:rPr>
              <w:t>72559.62</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（6）总投资：</w:t>
            </w:r>
            <w:r>
              <w:rPr>
                <w:rFonts w:hint="eastAsia" w:cs="Times New Roman"/>
                <w:color w:val="auto"/>
                <w:u w:val="none" w:color="auto"/>
                <w:lang w:val="en-US" w:eastAsia="zh-CN"/>
              </w:rPr>
              <w:t>12736.49万元</w:t>
            </w:r>
            <w:r>
              <w:rPr>
                <w:rFonts w:hint="default" w:ascii="Times New Roman" w:hAnsi="Times New Roman" w:cs="Times New Roman"/>
                <w:color w:val="auto"/>
                <w:u w:val="none" w:color="auto"/>
              </w:rPr>
              <w:t>，其中环保投资</w:t>
            </w:r>
            <w:r>
              <w:rPr>
                <w:rFonts w:hint="eastAsia" w:cs="Times New Roman"/>
                <w:color w:val="auto"/>
                <w:u w:val="none" w:color="auto"/>
                <w:lang w:val="en-US" w:eastAsia="zh-CN"/>
              </w:rPr>
              <w:t>130</w:t>
            </w:r>
            <w:r>
              <w:rPr>
                <w:rFonts w:hint="default" w:ascii="Times New Roman" w:hAnsi="Times New Roman" w:cs="Times New Roman"/>
                <w:color w:val="auto"/>
                <w:u w:val="none" w:color="auto"/>
              </w:rPr>
              <w:t>万。</w:t>
            </w:r>
          </w:p>
          <w:p>
            <w:pPr>
              <w:pStyle w:val="177"/>
              <w:spacing w:line="384" w:lineRule="auto"/>
              <w:jc w:val="left"/>
              <w:rPr>
                <w:rFonts w:hint="default" w:ascii="Times New Roman" w:hAnsi="Times New Roman" w:cs="Times New Roman"/>
                <w:b/>
                <w:color w:val="auto"/>
                <w:u w:val="none" w:color="auto"/>
              </w:rPr>
            </w:pPr>
            <w:r>
              <w:rPr>
                <w:rFonts w:hint="default" w:ascii="Times New Roman" w:hAnsi="Times New Roman" w:cs="Times New Roman"/>
                <w:color w:val="auto"/>
                <w:u w:val="none" w:color="auto"/>
              </w:rPr>
              <w:t>（7）劳动定员：厂区员工人数</w:t>
            </w:r>
            <w:r>
              <w:rPr>
                <w:rFonts w:hint="eastAsia" w:cs="Times New Roman"/>
                <w:color w:val="auto"/>
                <w:u w:val="none" w:color="auto"/>
                <w:lang w:val="en-US" w:eastAsia="zh-CN"/>
              </w:rPr>
              <w:t>200</w:t>
            </w:r>
            <w:r>
              <w:rPr>
                <w:rFonts w:hint="default" w:ascii="Times New Roman" w:hAnsi="Times New Roman" w:cs="Times New Roman"/>
                <w:color w:val="auto"/>
                <w:u w:val="none" w:color="auto"/>
              </w:rPr>
              <w:t>人</w:t>
            </w:r>
            <w:r>
              <w:rPr>
                <w:rFonts w:hint="default" w:ascii="Times New Roman" w:hAnsi="Times New Roman" w:cs="Times New Roman"/>
                <w:color w:val="auto"/>
                <w:u w:val="none" w:color="auto"/>
                <w:lang w:eastAsia="zh-CN"/>
              </w:rPr>
              <w:t>，均在厂内</w:t>
            </w:r>
            <w:r>
              <w:rPr>
                <w:rFonts w:hint="eastAsia" w:cs="Times New Roman"/>
                <w:color w:val="auto"/>
                <w:u w:val="none" w:color="auto"/>
                <w:lang w:eastAsia="zh-CN"/>
              </w:rPr>
              <w:t>就餐</w:t>
            </w:r>
            <w:r>
              <w:rPr>
                <w:rFonts w:hint="default" w:ascii="Times New Roman" w:hAnsi="Times New Roman" w:cs="Times New Roman"/>
                <w:color w:val="auto"/>
                <w:u w:val="none" w:color="auto"/>
              </w:rPr>
              <w:t>，年工作时间为300天，每天工作8小时。</w:t>
            </w:r>
          </w:p>
          <w:p>
            <w:pPr>
              <w:pStyle w:val="4"/>
              <w:spacing w:before="0" w:beforeLines="0"/>
              <w:ind w:firstLine="482"/>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3、主要建设内容及规模</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本项目选址于</w:t>
            </w:r>
            <w:r>
              <w:rPr>
                <w:rFonts w:hint="eastAsia" w:cs="Times New Roman"/>
                <w:color w:val="auto"/>
                <w:sz w:val="24"/>
                <w:szCs w:val="24"/>
                <w:u w:val="none" w:color="auto"/>
                <w:lang w:eastAsia="zh-CN"/>
              </w:rPr>
              <w:t>湘阴</w:t>
            </w:r>
            <w:r>
              <w:rPr>
                <w:rFonts w:hint="eastAsia" w:ascii="Times New Roman" w:hAnsi="Times New Roman" w:eastAsia="宋体" w:cs="Times New Roman"/>
                <w:bCs/>
                <w:color w:val="auto"/>
                <w:sz w:val="24"/>
                <w:szCs w:val="22"/>
                <w:u w:val="none" w:color="auto"/>
                <w:lang w:eastAsia="zh-CN"/>
              </w:rPr>
              <w:t>县金龙新区安嘉路西侧，文襄路南侧</w:t>
            </w:r>
            <w:r>
              <w:rPr>
                <w:rFonts w:hint="default" w:ascii="Times New Roman" w:hAnsi="Times New Roman" w:eastAsia="宋体" w:cs="Times New Roman"/>
                <w:bCs/>
                <w:color w:val="auto"/>
                <w:sz w:val="24"/>
                <w:szCs w:val="22"/>
                <w:u w:val="none" w:color="auto"/>
              </w:rPr>
              <w:t>，</w:t>
            </w:r>
            <w:r>
              <w:rPr>
                <w:rFonts w:hint="eastAsia" w:ascii="Times New Roman" w:hAnsi="Times New Roman" w:eastAsia="宋体" w:cs="Times New Roman"/>
                <w:bCs/>
                <w:color w:val="auto"/>
                <w:sz w:val="24"/>
                <w:szCs w:val="22"/>
                <w:u w:val="none" w:color="auto"/>
                <w:lang w:eastAsia="zh-CN"/>
              </w:rPr>
              <w:t>建设</w:t>
            </w:r>
            <w:r>
              <w:rPr>
                <w:rFonts w:hint="default" w:ascii="Times New Roman" w:hAnsi="Times New Roman" w:eastAsia="宋体" w:cs="Times New Roman"/>
                <w:bCs/>
                <w:color w:val="auto"/>
                <w:sz w:val="24"/>
                <w:szCs w:val="22"/>
                <w:u w:val="none" w:color="auto"/>
              </w:rPr>
              <w:t>厂房进行</w:t>
            </w:r>
            <w:r>
              <w:rPr>
                <w:rFonts w:hint="eastAsia" w:ascii="Times New Roman" w:hAnsi="Times New Roman" w:eastAsia="宋体" w:cs="Times New Roman"/>
                <w:bCs/>
                <w:color w:val="auto"/>
                <w:sz w:val="24"/>
                <w:szCs w:val="22"/>
                <w:u w:val="none" w:color="auto"/>
                <w:lang w:eastAsia="zh-CN"/>
              </w:rPr>
              <w:t>消防设备及器材</w:t>
            </w:r>
            <w:r>
              <w:rPr>
                <w:rFonts w:hint="default" w:ascii="Times New Roman" w:hAnsi="Times New Roman" w:eastAsia="宋体" w:cs="Times New Roman"/>
                <w:bCs/>
                <w:color w:val="auto"/>
                <w:sz w:val="24"/>
                <w:szCs w:val="22"/>
                <w:u w:val="none" w:color="auto"/>
              </w:rPr>
              <w:t>生产，</w:t>
            </w:r>
            <w:r>
              <w:rPr>
                <w:rFonts w:hint="default" w:ascii="Times New Roman" w:hAnsi="Times New Roman" w:eastAsia="宋体" w:cs="Times New Roman"/>
                <w:bCs/>
                <w:color w:val="auto"/>
                <w:sz w:val="24"/>
                <w:szCs w:val="22"/>
                <w:u w:val="none" w:color="auto"/>
                <w:lang w:eastAsia="zh-CN"/>
              </w:rPr>
              <w:t>年产</w:t>
            </w:r>
            <w:r>
              <w:rPr>
                <w:rFonts w:hint="eastAsia" w:ascii="Times New Roman" w:hAnsi="Times New Roman" w:eastAsia="宋体" w:cs="Times New Roman"/>
                <w:bCs/>
                <w:color w:val="auto"/>
                <w:sz w:val="24"/>
                <w:szCs w:val="22"/>
                <w:u w:val="none" w:color="auto"/>
                <w:lang w:eastAsia="zh-CN"/>
              </w:rPr>
              <w:t>消防设备及器材</w:t>
            </w:r>
            <w:r>
              <w:rPr>
                <w:rFonts w:hint="eastAsia" w:ascii="Times New Roman" w:hAnsi="Times New Roman" w:eastAsia="宋体" w:cs="Times New Roman"/>
                <w:bCs/>
                <w:color w:val="auto"/>
                <w:sz w:val="24"/>
                <w:szCs w:val="22"/>
                <w:u w:val="none" w:color="auto"/>
                <w:lang w:val="en-US" w:eastAsia="zh-CN"/>
              </w:rPr>
              <w:t>5000件</w:t>
            </w:r>
            <w:r>
              <w:rPr>
                <w:rFonts w:hint="default" w:ascii="Times New Roman" w:hAnsi="Times New Roman" w:eastAsia="宋体" w:cs="Times New Roman"/>
                <w:bCs/>
                <w:color w:val="auto"/>
                <w:sz w:val="24"/>
                <w:szCs w:val="22"/>
                <w:u w:val="none" w:color="auto"/>
              </w:rPr>
              <w:t>。项目具体建设内</w:t>
            </w:r>
            <w:r>
              <w:rPr>
                <w:rFonts w:hint="default" w:ascii="Times New Roman" w:hAnsi="Times New Roman" w:cs="Times New Roman"/>
                <w:bCs/>
                <w:color w:val="auto"/>
                <w:sz w:val="24"/>
                <w:u w:val="none" w:color="auto"/>
              </w:rPr>
              <w:t>容如表1-1所示：</w:t>
            </w:r>
          </w:p>
          <w:p>
            <w:pPr>
              <w:adjustRightInd w:val="0"/>
              <w:snapToGrid w:val="0"/>
              <w:jc w:val="center"/>
              <w:rPr>
                <w:rFonts w:hint="default" w:ascii="Times New Roman" w:hAnsi="Times New Roman" w:cs="Times New Roman"/>
                <w:b/>
                <w:color w:val="auto"/>
                <w:sz w:val="24"/>
                <w:szCs w:val="24"/>
                <w:u w:val="none" w:color="auto"/>
              </w:rPr>
            </w:pPr>
          </w:p>
          <w:p>
            <w:pPr>
              <w:adjustRightInd w:val="0"/>
              <w:snapToGrid w:val="0"/>
              <w:jc w:val="center"/>
              <w:rPr>
                <w:rFonts w:hint="default" w:ascii="Times New Roman" w:hAnsi="Times New Roman" w:cs="Times New Roman"/>
                <w:b/>
                <w:color w:val="auto"/>
                <w:sz w:val="24"/>
                <w:szCs w:val="24"/>
                <w:u w:val="none" w:color="auto"/>
              </w:rPr>
            </w:pPr>
          </w:p>
          <w:p>
            <w:pPr>
              <w:adjustRightInd w:val="0"/>
              <w:snapToGrid w:val="0"/>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表1-1  项目组成一览表</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1"/>
              <w:gridCol w:w="1458"/>
              <w:gridCol w:w="2183"/>
              <w:gridCol w:w="46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2279"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建设项目</w:t>
                  </w:r>
                </w:p>
              </w:tc>
              <w:tc>
                <w:tcPr>
                  <w:tcW w:w="6789"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3" w:hRule="atLeast"/>
                <w:jc w:val="center"/>
              </w:trPr>
              <w:tc>
                <w:tcPr>
                  <w:tcW w:w="2279" w:type="dxa"/>
                  <w:gridSpan w:val="2"/>
                  <w:vMerge w:val="restart"/>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主体工程</w:t>
                  </w:r>
                </w:p>
              </w:tc>
              <w:tc>
                <w:tcPr>
                  <w:tcW w:w="2183" w:type="dxa"/>
                  <w:tcBorders>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生产车间</w:t>
                  </w:r>
                  <w:r>
                    <w:rPr>
                      <w:rFonts w:hint="eastAsia" w:cs="Times New Roman"/>
                      <w:bCs/>
                      <w:color w:val="auto"/>
                      <w:sz w:val="24"/>
                      <w:szCs w:val="24"/>
                      <w:u w:val="none" w:color="auto"/>
                      <w:lang w:val="en-US" w:eastAsia="zh-CN"/>
                    </w:rPr>
                    <w:t>1#</w:t>
                  </w:r>
                </w:p>
              </w:tc>
              <w:tc>
                <w:tcPr>
                  <w:tcW w:w="4606" w:type="dxa"/>
                  <w:tcBorders>
                    <w:left w:val="single" w:color="auto" w:sz="4" w:space="0"/>
                    <w:bottom w:val="single" w:color="auto" w:sz="4" w:space="0"/>
                  </w:tcBorders>
                  <w:vAlign w:val="center"/>
                </w:tcPr>
                <w:p>
                  <w:pPr>
                    <w:adjustRightInd w:val="0"/>
                    <w:snapToGrid w:val="0"/>
                    <w:spacing w:line="360" w:lineRule="auto"/>
                    <w:jc w:val="both"/>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10080.23m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，车间主要为机加工、喷漆、喷涂流水线（主要是电机零配件浸漆和电机整体的喷涂+电烘干过程）、喷塑流水线及喷塑后烘干固化（液化石油气燃烧供热）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6" w:hRule="atLeast"/>
                <w:jc w:val="center"/>
              </w:trPr>
              <w:tc>
                <w:tcPr>
                  <w:tcW w:w="2279"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2183"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生产车间</w:t>
                  </w:r>
                  <w:r>
                    <w:rPr>
                      <w:rFonts w:hint="eastAsia" w:cs="Times New Roman"/>
                      <w:bCs/>
                      <w:color w:val="auto"/>
                      <w:sz w:val="24"/>
                      <w:szCs w:val="24"/>
                      <w:u w:val="none" w:color="auto"/>
                      <w:lang w:val="en-US" w:eastAsia="zh-CN"/>
                    </w:rPr>
                    <w:t>2#</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3119.78m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，车间主要为机加工及成品耐高温检测室（只对产品进行耐高温检测，使用液化石油气燃烧为热源）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4" w:hRule="atLeast"/>
                <w:jc w:val="center"/>
              </w:trPr>
              <w:tc>
                <w:tcPr>
                  <w:tcW w:w="2279"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2183"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生产车间</w:t>
                  </w:r>
                  <w:r>
                    <w:rPr>
                      <w:rFonts w:hint="eastAsia" w:cs="Times New Roman"/>
                      <w:bCs/>
                      <w:color w:val="auto"/>
                      <w:sz w:val="24"/>
                      <w:szCs w:val="24"/>
                      <w:u w:val="none" w:color="auto"/>
                      <w:lang w:val="en-US" w:eastAsia="zh-CN"/>
                    </w:rPr>
                    <w:t>3#</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10080.23m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，车间主要为机加工（2台激光切割机、2台等离子切割机）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68" w:hRule="atLeast"/>
                <w:jc w:val="center"/>
              </w:trPr>
              <w:tc>
                <w:tcPr>
                  <w:tcW w:w="2279"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2183"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生产车间</w:t>
                  </w:r>
                  <w:r>
                    <w:rPr>
                      <w:rFonts w:hint="eastAsia" w:cs="Times New Roman"/>
                      <w:bCs/>
                      <w:color w:val="auto"/>
                      <w:sz w:val="24"/>
                      <w:szCs w:val="24"/>
                      <w:u w:val="none" w:color="auto"/>
                      <w:lang w:val="en-US" w:eastAsia="zh-CN"/>
                    </w:rPr>
                    <w:t>4#</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both"/>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7572.71m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，车间主要为机加工（激光切割机及等离子切割机均为1台）、仓库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63" w:hRule="atLeast"/>
                <w:jc w:val="center"/>
              </w:trPr>
              <w:tc>
                <w:tcPr>
                  <w:tcW w:w="2279"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2183"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食宿楼</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项目共</w:t>
                  </w:r>
                  <w:r>
                    <w:rPr>
                      <w:rFonts w:hint="eastAsia" w:cs="Times New Roman"/>
                      <w:bCs/>
                      <w:color w:val="auto"/>
                      <w:sz w:val="24"/>
                      <w:szCs w:val="24"/>
                      <w:u w:val="none" w:color="auto"/>
                      <w:lang w:val="en-US" w:eastAsia="zh-CN"/>
                    </w:rPr>
                    <w:t>6F，总建筑面积为5764.38m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，主要为生活用房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8" w:hRule="atLeast"/>
                <w:jc w:val="center"/>
              </w:trPr>
              <w:tc>
                <w:tcPr>
                  <w:tcW w:w="2279"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2183"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办公楼</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项目共</w:t>
                  </w:r>
                  <w:r>
                    <w:rPr>
                      <w:rFonts w:hint="eastAsia" w:cs="Times New Roman"/>
                      <w:bCs/>
                      <w:color w:val="auto"/>
                      <w:sz w:val="24"/>
                      <w:szCs w:val="24"/>
                      <w:u w:val="none" w:color="auto"/>
                      <w:lang w:val="en-US" w:eastAsia="zh-CN"/>
                    </w:rPr>
                    <w:t>6F，总建筑面积为4569.36m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，主要为办公用房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restart"/>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公用工程</w:t>
                  </w:r>
                </w:p>
              </w:tc>
              <w:tc>
                <w:tcPr>
                  <w:tcW w:w="1458"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供电系统</w:t>
                  </w:r>
                </w:p>
              </w:tc>
              <w:tc>
                <w:tcPr>
                  <w:tcW w:w="6789"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使用</w:t>
                  </w:r>
                  <w:r>
                    <w:rPr>
                      <w:rFonts w:hint="eastAsia" w:cs="Times New Roman"/>
                      <w:bCs/>
                      <w:color w:val="auto"/>
                      <w:sz w:val="24"/>
                      <w:szCs w:val="24"/>
                      <w:u w:val="none" w:color="auto"/>
                      <w:lang w:eastAsia="zh-CN"/>
                    </w:rPr>
                    <w:t>国家电网</w:t>
                  </w:r>
                  <w:r>
                    <w:rPr>
                      <w:rFonts w:hint="default" w:ascii="Times New Roman" w:hAnsi="Times New Roman" w:eastAsia="宋体" w:cs="Times New Roman"/>
                      <w:bCs/>
                      <w:color w:val="auto"/>
                      <w:sz w:val="24"/>
                      <w:szCs w:val="24"/>
                      <w:u w:val="none" w:color="auto"/>
                    </w:rPr>
                    <w:t>供电系统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给水系统</w:t>
                  </w:r>
                </w:p>
              </w:tc>
              <w:tc>
                <w:tcPr>
                  <w:tcW w:w="6789"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市政给水管网给水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6"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排水系统</w:t>
                  </w:r>
                </w:p>
              </w:tc>
              <w:tc>
                <w:tcPr>
                  <w:tcW w:w="6789" w:type="dxa"/>
                  <w:gridSpan w:val="2"/>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color w:val="auto"/>
                      <w:sz w:val="24"/>
                      <w:szCs w:val="24"/>
                      <w:u w:val="none" w:color="auto"/>
                    </w:rPr>
                    <w:t>实行“雨污分流”排水方式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821" w:type="dxa"/>
                  <w:vMerge w:val="restart"/>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环保工程</w:t>
                  </w:r>
                </w:p>
              </w:tc>
              <w:tc>
                <w:tcPr>
                  <w:tcW w:w="1458"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废水</w:t>
                  </w:r>
                </w:p>
              </w:tc>
              <w:tc>
                <w:tcPr>
                  <w:tcW w:w="6789"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color w:val="auto"/>
                      <w:sz w:val="24"/>
                      <w:szCs w:val="24"/>
                      <w:u w:val="none" w:color="auto"/>
                    </w:rPr>
                    <w:t>雨污分流，雨水进入园区雨水管网；</w:t>
                  </w:r>
                  <w:r>
                    <w:rPr>
                      <w:sz w:val="24"/>
                      <w:szCs w:val="24"/>
                      <w:u w:val="none" w:color="auto"/>
                    </w:rPr>
                    <w:t>在金龙新区工业区污水管网接入湘阴县第三污水处理厂之前，项目污水通过化粪池处理后排入园区污水管网再进入金龙新区人工湿地处理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default" w:ascii="Times New Roman" w:hAnsi="Times New Roman" w:eastAsia="宋体" w:cs="Times New Roman"/>
                      <w:color w:val="auto"/>
                      <w:sz w:val="24"/>
                      <w:szCs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6"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噪声</w:t>
                  </w:r>
                </w:p>
              </w:tc>
              <w:tc>
                <w:tcPr>
                  <w:tcW w:w="6789"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合理布局，</w:t>
                  </w:r>
                  <w:r>
                    <w:rPr>
                      <w:rFonts w:hint="default" w:ascii="Times New Roman" w:hAnsi="Times New Roman" w:eastAsia="宋体" w:cs="Times New Roman"/>
                      <w:color w:val="auto"/>
                      <w:sz w:val="24"/>
                      <w:szCs w:val="24"/>
                      <w:u w:val="none" w:color="auto"/>
                    </w:rPr>
                    <w:t>对高噪设备采取隔声、减振措施进行处理。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restart"/>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废气</w:t>
                  </w:r>
                </w:p>
              </w:tc>
              <w:tc>
                <w:tcPr>
                  <w:tcW w:w="6789" w:type="dxa"/>
                  <w:gridSpan w:val="2"/>
                  <w:vAlign w:val="center"/>
                </w:tcPr>
                <w:p>
                  <w:pPr>
                    <w:adjustRightInd w:val="0"/>
                    <w:snapToGrid w:val="0"/>
                    <w:spacing w:line="360" w:lineRule="auto"/>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焊接烟尘经移动式烟尘净化器处理后无组织排放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91"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bottom w:val="single" w:color="auto" w:sz="4" w:space="0"/>
                  </w:tcBorders>
                  <w:vAlign w:val="center"/>
                </w:tcPr>
                <w:p>
                  <w:pPr>
                    <w:adjustRightInd w:val="0"/>
                    <w:snapToGrid w:val="0"/>
                    <w:spacing w:line="360" w:lineRule="auto"/>
                    <w:rPr>
                      <w:rFonts w:hint="eastAsia" w:ascii="Times New Roman" w:hAnsi="Times New Roman" w:eastAsia="宋体" w:cs="Times New Roman"/>
                      <w:bCs/>
                      <w:color w:val="auto"/>
                      <w:sz w:val="24"/>
                      <w:szCs w:val="24"/>
                      <w:u w:val="none" w:color="auto"/>
                      <w:lang w:eastAsia="zh-CN"/>
                    </w:rPr>
                  </w:pPr>
                  <w:r>
                    <w:rPr>
                      <w:rFonts w:hint="eastAsia" w:cs="Times New Roman"/>
                      <w:color w:val="auto"/>
                      <w:sz w:val="24"/>
                      <w:szCs w:val="24"/>
                      <w:u w:val="none" w:color="auto"/>
                      <w:lang w:val="en-US" w:eastAsia="zh-CN"/>
                    </w:rPr>
                    <w:t>喷塑车间：</w:t>
                  </w:r>
                  <w:r>
                    <w:rPr>
                      <w:rFonts w:hint="eastAsia" w:cs="Times New Roman"/>
                      <w:color w:val="auto"/>
                      <w:sz w:val="24"/>
                      <w:szCs w:val="24"/>
                      <w:u w:val="none" w:color="auto"/>
                      <w:lang w:eastAsia="zh-CN"/>
                    </w:rPr>
                    <w:t>喷塑废气经收集后通过自带粉末回收系统处理后由</w:t>
                  </w:r>
                  <w:r>
                    <w:rPr>
                      <w:rFonts w:hint="eastAsia" w:cs="Times New Roman"/>
                      <w:color w:val="auto"/>
                      <w:sz w:val="24"/>
                      <w:szCs w:val="24"/>
                      <w:u w:val="none" w:color="auto"/>
                      <w:lang w:val="en-US" w:eastAsia="zh-CN"/>
                    </w:rPr>
                    <w:t>15m高排气筒高空排放（</w:t>
                  </w:r>
                  <w:r>
                    <w:rPr>
                      <w:rFonts w:hint="eastAsia" w:cs="Times New Roman"/>
                      <w:bCs/>
                      <w:color w:val="auto"/>
                      <w:sz w:val="24"/>
                      <w:szCs w:val="24"/>
                      <w:u w:val="none" w:color="auto"/>
                      <w:lang w:val="en-US" w:eastAsia="zh-CN"/>
                    </w:rPr>
                    <w:t>G1</w:t>
                  </w:r>
                  <w:r>
                    <w:rPr>
                      <w:rFonts w:hint="eastAsia" w:cs="Times New Roman"/>
                      <w:color w:val="auto"/>
                      <w:sz w:val="24"/>
                      <w:szCs w:val="24"/>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4"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top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color w:val="auto"/>
                      <w:sz w:val="24"/>
                      <w:szCs w:val="24"/>
                      <w:u w:val="none" w:color="auto"/>
                    </w:rPr>
                  </w:pPr>
                  <w:r>
                    <w:rPr>
                      <w:rFonts w:hint="eastAsia" w:cs="Times New Roman"/>
                      <w:color w:val="auto"/>
                      <w:sz w:val="24"/>
                      <w:szCs w:val="24"/>
                      <w:u w:val="none" w:color="auto"/>
                      <w:lang w:val="en-US" w:eastAsia="zh-CN"/>
                    </w:rPr>
                    <w:t>烘干固化：烘干固化废气废气经活性炭+UV光解处理设施+15m高排气筒排放（</w:t>
                  </w:r>
                  <w:r>
                    <w:rPr>
                      <w:rFonts w:hint="eastAsia" w:cs="Times New Roman"/>
                      <w:bCs/>
                      <w:color w:val="auto"/>
                      <w:sz w:val="24"/>
                      <w:szCs w:val="24"/>
                      <w:u w:val="none" w:color="auto"/>
                      <w:lang w:val="en-US" w:eastAsia="zh-CN"/>
                    </w:rPr>
                    <w:t>G2</w:t>
                  </w:r>
                  <w:r>
                    <w:rPr>
                      <w:rFonts w:hint="eastAsia" w:cs="Times New Roman"/>
                      <w:color w:val="auto"/>
                      <w:sz w:val="24"/>
                      <w:szCs w:val="24"/>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66"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top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color w:val="auto"/>
                      <w:sz w:val="24"/>
                      <w:szCs w:val="24"/>
                      <w:u w:val="none" w:color="auto"/>
                    </w:rPr>
                  </w:pPr>
                  <w:r>
                    <w:rPr>
                      <w:rFonts w:hint="eastAsia" w:cs="Times New Roman"/>
                      <w:color w:val="auto"/>
                      <w:sz w:val="24"/>
                      <w:szCs w:val="24"/>
                      <w:u w:val="none" w:color="auto"/>
                      <w:lang w:val="en-US" w:eastAsia="zh-CN"/>
                    </w:rPr>
                    <w:t>喷漆房和喷涂流水线：</w:t>
                  </w:r>
                  <w:r>
                    <w:rPr>
                      <w:rFonts w:hint="eastAsia" w:cs="Times New Roman"/>
                      <w:color w:val="auto"/>
                      <w:sz w:val="24"/>
                      <w:szCs w:val="24"/>
                      <w:u w:val="none" w:color="auto"/>
                      <w:lang w:eastAsia="zh-CN"/>
                    </w:rPr>
                    <w:t>废气</w:t>
                  </w:r>
                  <w:r>
                    <w:rPr>
                      <w:rFonts w:hint="default" w:ascii="Times New Roman" w:hAnsi="Times New Roman" w:cs="Times New Roman"/>
                      <w:color w:val="auto"/>
                      <w:sz w:val="24"/>
                      <w:szCs w:val="24"/>
                      <w:u w:val="none" w:color="auto"/>
                      <w:lang w:eastAsia="zh-CN"/>
                    </w:rPr>
                    <w:t>经</w:t>
                  </w:r>
                  <w:r>
                    <w:rPr>
                      <w:rFonts w:hint="eastAsia" w:cs="Times New Roman"/>
                      <w:color w:val="auto"/>
                      <w:sz w:val="24"/>
                      <w:szCs w:val="24"/>
                      <w:u w:val="none" w:color="auto"/>
                      <w:lang w:eastAsia="zh-CN"/>
                    </w:rPr>
                    <w:t>水帘装置</w:t>
                  </w:r>
                  <w:r>
                    <w:rPr>
                      <w:rFonts w:hint="eastAsia" w:cs="Times New Roman"/>
                      <w:color w:val="auto"/>
                      <w:sz w:val="24"/>
                      <w:szCs w:val="24"/>
                      <w:u w:val="none" w:color="auto"/>
                      <w:lang w:val="en-US" w:eastAsia="zh-CN"/>
                    </w:rPr>
                    <w:t>+活性炭+UV光解处理设施</w:t>
                  </w:r>
                  <w:r>
                    <w:rPr>
                      <w:rFonts w:hint="default" w:ascii="Times New Roman" w:hAnsi="Times New Roman" w:cs="Times New Roman"/>
                      <w:color w:val="auto"/>
                      <w:sz w:val="24"/>
                      <w:szCs w:val="24"/>
                      <w:u w:val="none" w:color="auto"/>
                      <w:lang w:eastAsia="zh-CN"/>
                    </w:rPr>
                    <w:t>处理后</w:t>
                  </w:r>
                  <w:r>
                    <w:rPr>
                      <w:rFonts w:hint="default" w:ascii="Times New Roman" w:hAnsi="Times New Roman" w:eastAsia="宋体" w:cs="Times New Roman"/>
                      <w:color w:val="auto"/>
                      <w:sz w:val="24"/>
                      <w:szCs w:val="24"/>
                      <w:u w:val="none" w:color="auto"/>
                    </w:rPr>
                    <w:t>通过 15m 排气筒排放</w:t>
                  </w:r>
                  <w:r>
                    <w:rPr>
                      <w:rFonts w:hint="eastAsia" w:cs="Times New Roman"/>
                      <w:color w:val="auto"/>
                      <w:sz w:val="24"/>
                      <w:szCs w:val="24"/>
                      <w:u w:val="none" w:color="auto"/>
                      <w:lang w:eastAsia="zh-CN"/>
                    </w:rPr>
                    <w:t>（</w:t>
                  </w:r>
                  <w:r>
                    <w:rPr>
                      <w:rFonts w:hint="eastAsia" w:cs="Times New Roman"/>
                      <w:bCs/>
                      <w:color w:val="auto"/>
                      <w:sz w:val="24"/>
                      <w:szCs w:val="24"/>
                      <w:u w:val="none" w:color="auto"/>
                      <w:lang w:val="en-US" w:eastAsia="zh-CN"/>
                    </w:rPr>
                    <w:t>G3</w:t>
                  </w:r>
                  <w:r>
                    <w:rPr>
                      <w:rFonts w:hint="eastAsia" w:cs="Times New Roman"/>
                      <w:color w:val="auto"/>
                      <w:sz w:val="24"/>
                      <w:szCs w:val="24"/>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9"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top w:val="single" w:color="auto" w:sz="4" w:space="0"/>
                    <w:bottom w:val="single" w:color="auto" w:sz="4" w:space="0"/>
                  </w:tcBorders>
                  <w:vAlign w:val="center"/>
                </w:tcPr>
                <w:p>
                  <w:pPr>
                    <w:adjustRightInd w:val="0"/>
                    <w:snapToGrid w:val="0"/>
                    <w:spacing w:line="360" w:lineRule="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喷塑后烘干：液化石油气燃烧废气经收集后由15m高排气筒排放（</w:t>
                  </w:r>
                  <w:r>
                    <w:rPr>
                      <w:rFonts w:hint="eastAsia" w:cs="Times New Roman"/>
                      <w:bCs/>
                      <w:color w:val="auto"/>
                      <w:sz w:val="24"/>
                      <w:szCs w:val="24"/>
                      <w:u w:val="none" w:color="auto"/>
                      <w:lang w:val="en-US" w:eastAsia="zh-CN"/>
                    </w:rPr>
                    <w:t>G4</w:t>
                  </w:r>
                  <w:r>
                    <w:rPr>
                      <w:rFonts w:hint="eastAsia" w:cs="Times New Roman"/>
                      <w:color w:val="auto"/>
                      <w:sz w:val="24"/>
                      <w:szCs w:val="24"/>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1"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top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color w:val="auto"/>
                      <w:sz w:val="24"/>
                      <w:szCs w:val="24"/>
                      <w:u w:val="none" w:color="auto"/>
                    </w:rPr>
                  </w:pPr>
                  <w:r>
                    <w:rPr>
                      <w:rFonts w:hint="eastAsia" w:cs="Times New Roman"/>
                      <w:color w:val="auto"/>
                      <w:sz w:val="24"/>
                      <w:szCs w:val="24"/>
                      <w:u w:val="none" w:color="auto"/>
                      <w:lang w:eastAsia="zh-CN"/>
                    </w:rPr>
                    <w:t>耐高温实验废气（主要为液化气燃烧废气）经收集后由</w:t>
                  </w:r>
                  <w:r>
                    <w:rPr>
                      <w:rFonts w:hint="eastAsia" w:cs="Times New Roman"/>
                      <w:color w:val="auto"/>
                      <w:sz w:val="24"/>
                      <w:szCs w:val="24"/>
                      <w:u w:val="none" w:color="auto"/>
                      <w:lang w:val="en-US" w:eastAsia="zh-CN"/>
                    </w:rPr>
                    <w:t>15m高排气筒排放（</w:t>
                  </w:r>
                  <w:r>
                    <w:rPr>
                      <w:rFonts w:hint="eastAsia" w:cs="Times New Roman"/>
                      <w:bCs/>
                      <w:color w:val="auto"/>
                      <w:sz w:val="24"/>
                      <w:szCs w:val="24"/>
                      <w:u w:val="none" w:color="auto"/>
                      <w:lang w:val="en-US" w:eastAsia="zh-CN"/>
                    </w:rPr>
                    <w:t>G5</w:t>
                  </w:r>
                  <w:r>
                    <w:rPr>
                      <w:rFonts w:hint="eastAsia" w:cs="Times New Roman"/>
                      <w:color w:val="auto"/>
                      <w:sz w:val="24"/>
                      <w:szCs w:val="24"/>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5"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top w:val="single" w:color="auto" w:sz="4" w:space="0"/>
                    <w:bottom w:val="single" w:color="auto" w:sz="4" w:space="0"/>
                  </w:tcBorders>
                  <w:vAlign w:val="center"/>
                </w:tcPr>
                <w:p>
                  <w:pPr>
                    <w:adjustRightInd w:val="0"/>
                    <w:snapToGrid w:val="0"/>
                    <w:spacing w:line="360" w:lineRule="auto"/>
                    <w:rPr>
                      <w:rFonts w:hint="eastAsia" w:cs="Times New Roman"/>
                      <w:color w:val="auto"/>
                      <w:sz w:val="24"/>
                      <w:szCs w:val="24"/>
                      <w:u w:val="none" w:color="auto"/>
                      <w:lang w:val="en-US" w:eastAsia="zh-CN"/>
                    </w:rPr>
                  </w:pPr>
                  <w:r>
                    <w:rPr>
                      <w:rFonts w:hint="eastAsia" w:cs="Times New Roman"/>
                      <w:color w:val="auto"/>
                      <w:sz w:val="24"/>
                      <w:szCs w:val="24"/>
                      <w:u w:val="none" w:color="auto"/>
                      <w:lang w:eastAsia="zh-CN"/>
                    </w:rPr>
                    <w:t>激光切割废气（</w:t>
                  </w:r>
                  <w:r>
                    <w:rPr>
                      <w:rFonts w:hint="eastAsia" w:cs="Times New Roman"/>
                      <w:bCs/>
                      <w:color w:val="auto"/>
                      <w:sz w:val="24"/>
                      <w:szCs w:val="24"/>
                      <w:u w:val="none" w:color="auto"/>
                      <w:lang w:eastAsia="zh-CN"/>
                    </w:rPr>
                    <w:t>生产车间</w:t>
                  </w:r>
                  <w:r>
                    <w:rPr>
                      <w:rFonts w:hint="eastAsia" w:cs="Times New Roman"/>
                      <w:bCs/>
                      <w:color w:val="auto"/>
                      <w:sz w:val="24"/>
                      <w:szCs w:val="24"/>
                      <w:u w:val="none" w:color="auto"/>
                      <w:lang w:val="en-US" w:eastAsia="zh-CN"/>
                    </w:rPr>
                    <w:t>3#</w:t>
                  </w:r>
                  <w:r>
                    <w:rPr>
                      <w:rFonts w:hint="eastAsia" w:cs="Times New Roman"/>
                      <w:color w:val="auto"/>
                      <w:sz w:val="24"/>
                      <w:szCs w:val="24"/>
                      <w:u w:val="none" w:color="auto"/>
                      <w:lang w:eastAsia="zh-CN"/>
                    </w:rPr>
                    <w:t>）：废气经收集后由脉冲式除尘器处理后通过</w:t>
                  </w:r>
                  <w:r>
                    <w:rPr>
                      <w:rFonts w:hint="eastAsia" w:cs="Times New Roman"/>
                      <w:color w:val="auto"/>
                      <w:sz w:val="24"/>
                      <w:szCs w:val="24"/>
                      <w:u w:val="none" w:color="auto"/>
                      <w:lang w:val="en-US" w:eastAsia="zh-CN"/>
                    </w:rPr>
                    <w:t>15m高排气筒排放</w:t>
                  </w:r>
                  <w:r>
                    <w:rPr>
                      <w:rFonts w:hint="eastAsia" w:cs="Times New Roman"/>
                      <w:color w:val="auto"/>
                      <w:sz w:val="24"/>
                      <w:szCs w:val="24"/>
                      <w:u w:val="none" w:color="auto"/>
                      <w:lang w:eastAsia="zh-CN"/>
                    </w:rPr>
                    <w:t>（</w:t>
                  </w:r>
                  <w:r>
                    <w:rPr>
                      <w:rFonts w:hint="eastAsia" w:cs="Times New Roman"/>
                      <w:bCs/>
                      <w:color w:val="auto"/>
                      <w:sz w:val="24"/>
                      <w:szCs w:val="24"/>
                      <w:u w:val="none" w:color="auto"/>
                      <w:lang w:val="en-US" w:eastAsia="zh-CN"/>
                    </w:rPr>
                    <w:t>G6</w:t>
                  </w:r>
                  <w:r>
                    <w:rPr>
                      <w:rFonts w:hint="eastAsia" w:cs="Times New Roman"/>
                      <w:color w:val="auto"/>
                      <w:sz w:val="24"/>
                      <w:szCs w:val="24"/>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1"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top w:val="single" w:color="auto" w:sz="4" w:space="0"/>
                    <w:bottom w:val="single" w:color="auto" w:sz="4" w:space="0"/>
                  </w:tcBorders>
                  <w:vAlign w:val="center"/>
                </w:tcPr>
                <w:p>
                  <w:pPr>
                    <w:adjustRightInd w:val="0"/>
                    <w:snapToGrid w:val="0"/>
                    <w:spacing w:line="360" w:lineRule="auto"/>
                    <w:rPr>
                      <w:rFonts w:hint="eastAsia" w:cs="Times New Roman"/>
                      <w:color w:val="auto"/>
                      <w:sz w:val="24"/>
                      <w:szCs w:val="24"/>
                      <w:u w:val="none" w:color="auto"/>
                      <w:lang w:val="en-US" w:eastAsia="zh-CN"/>
                    </w:rPr>
                  </w:pPr>
                  <w:r>
                    <w:rPr>
                      <w:rFonts w:hint="eastAsia" w:cs="Times New Roman"/>
                      <w:color w:val="auto"/>
                      <w:sz w:val="24"/>
                      <w:szCs w:val="24"/>
                      <w:u w:val="none" w:color="auto"/>
                      <w:lang w:eastAsia="zh-CN"/>
                    </w:rPr>
                    <w:t>等离子切割废气（</w:t>
                  </w:r>
                  <w:r>
                    <w:rPr>
                      <w:rFonts w:hint="eastAsia" w:cs="Times New Roman"/>
                      <w:bCs/>
                      <w:color w:val="auto"/>
                      <w:sz w:val="24"/>
                      <w:szCs w:val="24"/>
                      <w:u w:val="none" w:color="auto"/>
                      <w:lang w:eastAsia="zh-CN"/>
                    </w:rPr>
                    <w:t>生产车间</w:t>
                  </w:r>
                  <w:r>
                    <w:rPr>
                      <w:rFonts w:hint="eastAsia" w:cs="Times New Roman"/>
                      <w:bCs/>
                      <w:color w:val="auto"/>
                      <w:sz w:val="24"/>
                      <w:szCs w:val="24"/>
                      <w:u w:val="none" w:color="auto"/>
                      <w:lang w:val="en-US" w:eastAsia="zh-CN"/>
                    </w:rPr>
                    <w:t>3#</w:t>
                  </w:r>
                  <w:r>
                    <w:rPr>
                      <w:rFonts w:hint="eastAsia" w:cs="Times New Roman"/>
                      <w:color w:val="auto"/>
                      <w:sz w:val="24"/>
                      <w:szCs w:val="24"/>
                      <w:u w:val="none" w:color="auto"/>
                      <w:lang w:eastAsia="zh-CN"/>
                    </w:rPr>
                    <w:t>）：废气经收集后由脉冲式除尘器处理后通过</w:t>
                  </w:r>
                  <w:r>
                    <w:rPr>
                      <w:rFonts w:hint="eastAsia" w:cs="Times New Roman"/>
                      <w:color w:val="auto"/>
                      <w:sz w:val="24"/>
                      <w:szCs w:val="24"/>
                      <w:u w:val="none" w:color="auto"/>
                      <w:lang w:val="en-US" w:eastAsia="zh-CN"/>
                    </w:rPr>
                    <w:t>15m高排气筒排放</w:t>
                  </w:r>
                  <w:r>
                    <w:rPr>
                      <w:rFonts w:hint="eastAsia" w:cs="Times New Roman"/>
                      <w:color w:val="auto"/>
                      <w:sz w:val="24"/>
                      <w:szCs w:val="24"/>
                      <w:u w:val="none" w:color="auto"/>
                      <w:lang w:eastAsia="zh-CN"/>
                    </w:rPr>
                    <w:t>（</w:t>
                  </w:r>
                  <w:r>
                    <w:rPr>
                      <w:rFonts w:hint="eastAsia" w:cs="Times New Roman"/>
                      <w:bCs/>
                      <w:color w:val="auto"/>
                      <w:sz w:val="24"/>
                      <w:szCs w:val="24"/>
                      <w:u w:val="none" w:color="auto"/>
                      <w:lang w:val="en-US" w:eastAsia="zh-CN"/>
                    </w:rPr>
                    <w:t>G7</w:t>
                  </w:r>
                  <w:r>
                    <w:rPr>
                      <w:rFonts w:hint="eastAsia" w:cs="Times New Roman"/>
                      <w:color w:val="auto"/>
                      <w:sz w:val="24"/>
                      <w:szCs w:val="24"/>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7"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top w:val="single" w:color="auto" w:sz="4" w:space="0"/>
                    <w:bottom w:val="single" w:color="auto" w:sz="4" w:space="0"/>
                  </w:tcBorders>
                  <w:vAlign w:val="center"/>
                </w:tcPr>
                <w:p>
                  <w:pPr>
                    <w:adjustRightInd w:val="0"/>
                    <w:snapToGrid w:val="0"/>
                    <w:spacing w:line="360" w:lineRule="auto"/>
                    <w:rPr>
                      <w:rFonts w:hint="eastAsia" w:cs="Times New Roman"/>
                      <w:color w:val="auto"/>
                      <w:sz w:val="24"/>
                      <w:szCs w:val="24"/>
                      <w:u w:val="none" w:color="auto"/>
                      <w:lang w:val="en-US" w:eastAsia="zh-CN"/>
                    </w:rPr>
                  </w:pPr>
                  <w:r>
                    <w:rPr>
                      <w:rFonts w:hint="eastAsia" w:cs="Times New Roman"/>
                      <w:color w:val="auto"/>
                      <w:sz w:val="24"/>
                      <w:szCs w:val="24"/>
                      <w:u w:val="none" w:color="auto"/>
                      <w:lang w:eastAsia="zh-CN"/>
                    </w:rPr>
                    <w:t>激光及等离子切割废气（</w:t>
                  </w:r>
                  <w:r>
                    <w:rPr>
                      <w:rFonts w:hint="eastAsia" w:cs="Times New Roman"/>
                      <w:bCs/>
                      <w:color w:val="auto"/>
                      <w:sz w:val="24"/>
                      <w:szCs w:val="24"/>
                      <w:u w:val="none" w:color="auto"/>
                      <w:lang w:eastAsia="zh-CN"/>
                    </w:rPr>
                    <w:t>生产车间</w:t>
                  </w:r>
                  <w:r>
                    <w:rPr>
                      <w:rFonts w:hint="eastAsia" w:cs="Times New Roman"/>
                      <w:bCs/>
                      <w:color w:val="auto"/>
                      <w:sz w:val="24"/>
                      <w:szCs w:val="24"/>
                      <w:u w:val="none" w:color="auto"/>
                      <w:lang w:val="en-US" w:eastAsia="zh-CN"/>
                    </w:rPr>
                    <w:t>4#</w:t>
                  </w:r>
                  <w:r>
                    <w:rPr>
                      <w:rFonts w:hint="eastAsia" w:cs="Times New Roman"/>
                      <w:color w:val="auto"/>
                      <w:sz w:val="24"/>
                      <w:szCs w:val="24"/>
                      <w:u w:val="none" w:color="auto"/>
                      <w:lang w:eastAsia="zh-CN"/>
                    </w:rPr>
                    <w:t>）：废气经收集后由脉冲式除尘器处理后通过</w:t>
                  </w:r>
                  <w:r>
                    <w:rPr>
                      <w:rFonts w:hint="eastAsia" w:cs="Times New Roman"/>
                      <w:color w:val="auto"/>
                      <w:sz w:val="24"/>
                      <w:szCs w:val="24"/>
                      <w:u w:val="none" w:color="auto"/>
                      <w:lang w:val="en-US" w:eastAsia="zh-CN"/>
                    </w:rPr>
                    <w:t>15m高排气筒排放</w:t>
                  </w:r>
                  <w:r>
                    <w:rPr>
                      <w:rFonts w:hint="eastAsia" w:cs="Times New Roman"/>
                      <w:color w:val="auto"/>
                      <w:sz w:val="24"/>
                      <w:szCs w:val="24"/>
                      <w:u w:val="none" w:color="auto"/>
                      <w:lang w:eastAsia="zh-CN"/>
                    </w:rPr>
                    <w:t>（</w:t>
                  </w:r>
                  <w:r>
                    <w:rPr>
                      <w:rFonts w:hint="eastAsia" w:cs="Times New Roman"/>
                      <w:bCs/>
                      <w:color w:val="auto"/>
                      <w:sz w:val="24"/>
                      <w:szCs w:val="24"/>
                      <w:u w:val="none" w:color="auto"/>
                      <w:lang w:val="en-US" w:eastAsia="zh-CN"/>
                    </w:rPr>
                    <w:t>G8</w:t>
                  </w:r>
                  <w:r>
                    <w:rPr>
                      <w:rFonts w:hint="eastAsia" w:cs="Times New Roman"/>
                      <w:color w:val="auto"/>
                      <w:sz w:val="24"/>
                      <w:szCs w:val="24"/>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8"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top w:val="single" w:color="auto" w:sz="4" w:space="0"/>
                    <w:bottom w:val="single" w:color="auto" w:sz="4" w:space="0"/>
                  </w:tcBorders>
                  <w:vAlign w:val="center"/>
                </w:tcPr>
                <w:p>
                  <w:pPr>
                    <w:adjustRightInd w:val="0"/>
                    <w:snapToGrid w:val="0"/>
                    <w:spacing w:line="360" w:lineRule="auto"/>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抛丸粉尘经布袋除尘器处理后无组织排放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8"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789" w:type="dxa"/>
                  <w:gridSpan w:val="2"/>
                  <w:tcBorders>
                    <w:top w:val="single" w:color="auto" w:sz="4" w:space="0"/>
                  </w:tcBorders>
                  <w:vAlign w:val="center"/>
                </w:tcPr>
                <w:p>
                  <w:pPr>
                    <w:adjustRightInd w:val="0"/>
                    <w:snapToGrid w:val="0"/>
                    <w:spacing w:line="360" w:lineRule="auto"/>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食堂油烟经油烟净化器处理后由高于屋顶的管道排放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dxa"/>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458"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固废</w:t>
                  </w:r>
                </w:p>
              </w:tc>
              <w:tc>
                <w:tcPr>
                  <w:tcW w:w="6789"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设置垃圾收集箱若干，1座</w:t>
                  </w:r>
                  <w:r>
                    <w:rPr>
                      <w:rFonts w:hint="eastAsia" w:cs="Times New Roman"/>
                      <w:bCs/>
                      <w:color w:val="auto"/>
                      <w:sz w:val="24"/>
                      <w:szCs w:val="24"/>
                      <w:u w:val="none" w:color="auto"/>
                      <w:lang w:eastAsia="zh-CN"/>
                    </w:rPr>
                    <w:t>危险废物</w:t>
                  </w:r>
                  <w:r>
                    <w:rPr>
                      <w:rFonts w:hint="default" w:ascii="Times New Roman" w:hAnsi="Times New Roman" w:eastAsia="宋体" w:cs="Times New Roman"/>
                      <w:bCs/>
                      <w:color w:val="auto"/>
                      <w:sz w:val="24"/>
                      <w:szCs w:val="24"/>
                      <w:u w:val="none" w:color="auto"/>
                    </w:rPr>
                    <w:t>暂存间（</w:t>
                  </w:r>
                  <w:r>
                    <w:rPr>
                      <w:rFonts w:hint="eastAsia" w:cs="Times New Roman"/>
                      <w:bCs/>
                      <w:color w:val="auto"/>
                      <w:sz w:val="24"/>
                      <w:szCs w:val="24"/>
                      <w:u w:val="none" w:color="auto"/>
                      <w:lang w:eastAsia="zh-CN"/>
                    </w:rPr>
                    <w:t>约</w:t>
                  </w:r>
                  <w:r>
                    <w:rPr>
                      <w:rFonts w:hint="eastAsia" w:cs="Times New Roman"/>
                      <w:bCs/>
                      <w:color w:val="auto"/>
                      <w:sz w:val="24"/>
                      <w:szCs w:val="24"/>
                      <w:u w:val="none" w:color="auto"/>
                      <w:lang w:val="en-US" w:eastAsia="zh-CN"/>
                    </w:rPr>
                    <w:t>24</w:t>
                  </w:r>
                  <w:r>
                    <w:rPr>
                      <w:rFonts w:hint="default" w:ascii="Times New Roman" w:hAnsi="Times New Roman" w:eastAsia="宋体" w:cs="Times New Roman"/>
                      <w:bCs/>
                      <w:color w:val="auto"/>
                      <w:sz w:val="24"/>
                      <w:szCs w:val="24"/>
                      <w:u w:val="none" w:color="auto"/>
                    </w:rPr>
                    <w:t>m</w:t>
                  </w:r>
                  <w:r>
                    <w:rPr>
                      <w:rFonts w:hint="default" w:ascii="Times New Roman" w:hAnsi="Times New Roman" w:eastAsia="宋体" w:cs="Times New Roman"/>
                      <w:bCs/>
                      <w:color w:val="auto"/>
                      <w:sz w:val="24"/>
                      <w:szCs w:val="24"/>
                      <w:u w:val="none" w:color="auto"/>
                      <w:vertAlign w:val="superscript"/>
                    </w:rPr>
                    <w:t>3</w:t>
                  </w:r>
                  <w:r>
                    <w:rPr>
                      <w:rFonts w:hint="default" w:ascii="Times New Roman" w:hAnsi="Times New Roman" w:eastAsia="宋体" w:cs="Times New Roman"/>
                      <w:bCs/>
                      <w:color w:val="auto"/>
                      <w:sz w:val="24"/>
                      <w:szCs w:val="24"/>
                      <w:u w:val="none" w:color="auto"/>
                    </w:rPr>
                    <w:t>）</w:t>
                  </w:r>
                  <w:r>
                    <w:rPr>
                      <w:rFonts w:hint="eastAsia" w:cs="Times New Roman"/>
                      <w:bCs/>
                      <w:color w:val="auto"/>
                      <w:sz w:val="24"/>
                      <w:szCs w:val="24"/>
                      <w:u w:val="none" w:color="auto"/>
                      <w:lang w:eastAsia="zh-CN"/>
                    </w:rPr>
                    <w:t>、一般固废堆放区</w:t>
                  </w:r>
                  <w:r>
                    <w:rPr>
                      <w:rFonts w:hint="default" w:ascii="Times New Roman" w:hAnsi="Times New Roman" w:eastAsia="宋体" w:cs="Times New Roman"/>
                      <w:bCs/>
                      <w:color w:val="auto"/>
                      <w:sz w:val="24"/>
                      <w:szCs w:val="24"/>
                      <w:u w:val="none" w:color="auto"/>
                    </w:rPr>
                    <w:t>。生活垃圾交由环卫部门处理，</w:t>
                  </w:r>
                  <w:r>
                    <w:rPr>
                      <w:rFonts w:hint="eastAsia" w:cs="Times New Roman"/>
                      <w:bCs/>
                      <w:color w:val="auto"/>
                      <w:sz w:val="24"/>
                      <w:szCs w:val="24"/>
                      <w:u w:val="none" w:color="auto"/>
                      <w:lang w:eastAsia="zh-CN"/>
                    </w:rPr>
                    <w:t>一般固废收集后交由安全处置，危险废物收集于危险废物储存间，再交由有资质单位进行处理</w:t>
                  </w:r>
                  <w:r>
                    <w:rPr>
                      <w:rFonts w:hint="default" w:ascii="Times New Roman" w:hAnsi="Times New Roman" w:eastAsia="宋体" w:cs="Times New Roman"/>
                      <w:bCs/>
                      <w:color w:val="auto"/>
                      <w:sz w:val="24"/>
                      <w:szCs w:val="24"/>
                      <w:u w:val="none" w:color="auto"/>
                    </w:rPr>
                    <w:t>。</w:t>
                  </w:r>
                </w:p>
              </w:tc>
            </w:tr>
          </w:tbl>
          <w:p>
            <w:pPr>
              <w:adjustRightInd w:val="0"/>
              <w:snapToGrid w:val="0"/>
              <w:spacing w:line="360" w:lineRule="auto"/>
              <w:ind w:firstLine="482" w:firstLineChars="200"/>
              <w:rPr>
                <w:rFonts w:hint="default" w:ascii="Times New Roman" w:hAnsi="Times New Roman" w:cs="Times New Roman"/>
                <w:b/>
                <w:color w:val="auto"/>
                <w:sz w:val="24"/>
                <w:szCs w:val="24"/>
                <w:u w:val="none" w:color="auto"/>
              </w:rPr>
            </w:pPr>
          </w:p>
          <w:p>
            <w:pPr>
              <w:adjustRightInd w:val="0"/>
              <w:snapToGrid w:val="0"/>
              <w:spacing w:line="360" w:lineRule="auto"/>
              <w:ind w:firstLine="482" w:firstLineChars="200"/>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4、主要生产设备</w:t>
            </w:r>
          </w:p>
          <w:p>
            <w:pPr>
              <w:pStyle w:val="170"/>
              <w:shd w:val="clear" w:color="auto" w:fill="FFFFFF"/>
              <w:spacing w:before="0" w:beforeLines="0" w:after="0" w:afterLines="0" w:line="360" w:lineRule="auto"/>
              <w:ind w:firstLine="480" w:firstLineChars="200"/>
              <w:jc w:val="left"/>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rPr>
              <w:t>主要生产设备数量及型号见表</w:t>
            </w:r>
            <w:r>
              <w:rPr>
                <w:rFonts w:hint="default" w:ascii="Times New Roman" w:hAnsi="Times New Roman" w:cs="Times New Roman"/>
                <w:color w:val="auto"/>
                <w:u w:val="none" w:color="auto"/>
              </w:rPr>
              <w:t>1-2。</w:t>
            </w:r>
          </w:p>
          <w:p>
            <w:pPr>
              <w:pStyle w:val="33"/>
              <w:jc w:val="center"/>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rPr>
              <w:t>表1-2   主要生产设备一览表</w:t>
            </w:r>
          </w:p>
          <w:tbl>
            <w:tblPr>
              <w:tblStyle w:val="39"/>
              <w:tblW w:w="9088"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615"/>
              <w:gridCol w:w="2644"/>
              <w:gridCol w:w="1618"/>
              <w:gridCol w:w="2981"/>
              <w:gridCol w:w="615"/>
              <w:gridCol w:w="61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38" w:hRule="atLeast"/>
              </w:trPr>
              <w:tc>
                <w:tcPr>
                  <w:tcW w:w="615" w:type="dxa"/>
                  <w:tcBorders>
                    <w:bottom w:val="single" w:color="auto" w:sz="4" w:space="0"/>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sz w:val="22"/>
                      <w:szCs w:val="22"/>
                      <w:u w:val="none" w:color="auto"/>
                    </w:rPr>
                  </w:pPr>
                  <w:r>
                    <w:rPr>
                      <w:rFonts w:hint="default" w:ascii="Times New Roman" w:hAnsi="Times New Roman" w:eastAsia="宋体" w:cs="Times New Roman"/>
                      <w:b/>
                      <w:i w:val="0"/>
                      <w:color w:val="auto"/>
                      <w:kern w:val="0"/>
                      <w:sz w:val="22"/>
                      <w:szCs w:val="22"/>
                      <w:u w:val="none" w:color="auto"/>
                      <w:lang w:val="en-US" w:eastAsia="zh-CN" w:bidi="ar"/>
                    </w:rPr>
                    <w:t>序号</w:t>
                  </w:r>
                </w:p>
              </w:tc>
              <w:tc>
                <w:tcPr>
                  <w:tcW w:w="2644" w:type="dxa"/>
                  <w:tcBorders>
                    <w:bottom w:val="single" w:color="auto" w:sz="4" w:space="0"/>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sz w:val="22"/>
                      <w:szCs w:val="22"/>
                      <w:u w:val="none" w:color="auto"/>
                    </w:rPr>
                  </w:pPr>
                  <w:r>
                    <w:rPr>
                      <w:rFonts w:hint="default" w:ascii="Times New Roman" w:hAnsi="Times New Roman" w:eastAsia="宋体" w:cs="Times New Roman"/>
                      <w:b/>
                      <w:i w:val="0"/>
                      <w:color w:val="auto"/>
                      <w:kern w:val="0"/>
                      <w:sz w:val="22"/>
                      <w:szCs w:val="22"/>
                      <w:u w:val="none" w:color="auto"/>
                      <w:lang w:val="en-US" w:eastAsia="zh-CN" w:bidi="ar"/>
                    </w:rPr>
                    <w:t>设备名称</w:t>
                  </w:r>
                </w:p>
              </w:tc>
              <w:tc>
                <w:tcPr>
                  <w:tcW w:w="1618" w:type="dxa"/>
                  <w:tcBorders>
                    <w:bottom w:val="single" w:color="auto" w:sz="4" w:space="0"/>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sz w:val="22"/>
                      <w:szCs w:val="22"/>
                      <w:u w:val="none" w:color="auto"/>
                    </w:rPr>
                  </w:pPr>
                  <w:r>
                    <w:rPr>
                      <w:rFonts w:hint="default" w:ascii="Times New Roman" w:hAnsi="Times New Roman" w:eastAsia="宋体" w:cs="Times New Roman"/>
                      <w:b/>
                      <w:i w:val="0"/>
                      <w:color w:val="auto"/>
                      <w:kern w:val="0"/>
                      <w:sz w:val="22"/>
                      <w:szCs w:val="22"/>
                      <w:u w:val="none" w:color="auto"/>
                      <w:lang w:val="en-US" w:eastAsia="zh-CN" w:bidi="ar"/>
                    </w:rPr>
                    <w:t>规格型号</w:t>
                  </w:r>
                </w:p>
              </w:tc>
              <w:tc>
                <w:tcPr>
                  <w:tcW w:w="2981" w:type="dxa"/>
                  <w:tcBorders>
                    <w:bottom w:val="single" w:color="auto" w:sz="4" w:space="0"/>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sz w:val="22"/>
                      <w:szCs w:val="22"/>
                      <w:u w:val="none" w:color="auto"/>
                    </w:rPr>
                  </w:pPr>
                  <w:r>
                    <w:rPr>
                      <w:rFonts w:hint="default" w:ascii="Times New Roman" w:hAnsi="Times New Roman" w:eastAsia="宋体" w:cs="Times New Roman"/>
                      <w:b/>
                      <w:i w:val="0"/>
                      <w:color w:val="auto"/>
                      <w:kern w:val="0"/>
                      <w:sz w:val="22"/>
                      <w:szCs w:val="22"/>
                      <w:u w:val="none" w:color="auto"/>
                      <w:lang w:val="en-US" w:eastAsia="zh-CN" w:bidi="ar"/>
                    </w:rPr>
                    <w:t>制造厂家</w:t>
                  </w:r>
                </w:p>
              </w:tc>
              <w:tc>
                <w:tcPr>
                  <w:tcW w:w="615" w:type="dxa"/>
                  <w:tcBorders>
                    <w:bottom w:val="single" w:color="auto" w:sz="4" w:space="0"/>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数量</w:t>
                  </w:r>
                </w:p>
              </w:tc>
              <w:tc>
                <w:tcPr>
                  <w:tcW w:w="615" w:type="dxa"/>
                  <w:tcBorders>
                    <w:bottom w:val="single" w:color="auto" w:sz="4" w:space="0"/>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单位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4" w:hRule="atLeast"/>
              </w:trPr>
              <w:tc>
                <w:tcPr>
                  <w:tcW w:w="9088" w:type="dxa"/>
                  <w:gridSpan w:val="6"/>
                  <w:tcBorders>
                    <w:top w:val="single" w:color="auto" w:sz="4" w:space="0"/>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kern w:val="0"/>
                      <w:sz w:val="22"/>
                      <w:szCs w:val="22"/>
                      <w:u w:val="none" w:color="auto"/>
                      <w:lang w:val="en-US" w:eastAsia="zh-CN" w:bidi="ar"/>
                    </w:rPr>
                  </w:pPr>
                  <w:r>
                    <w:rPr>
                      <w:rFonts w:hint="eastAsia" w:cs="Times New Roman"/>
                      <w:i w:val="0"/>
                      <w:color w:val="auto"/>
                      <w:kern w:val="0"/>
                      <w:sz w:val="22"/>
                      <w:szCs w:val="22"/>
                      <w:u w:val="none" w:color="auto"/>
                      <w:lang w:val="en-US" w:eastAsia="zh-CN" w:bidi="ar"/>
                    </w:rPr>
                    <w:t>依托原有项目的设备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半自动折弯机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ZX-28</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中械自动化设备有限公司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拨筒机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玻璃纤维冷却塔</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LY-10T</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裁线机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超静音端子机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XEL2.0T</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车床</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CY-6150B/2000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云南机床厂</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3</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冲床</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充电手电钻</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6</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储气罐</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1.0M</w:t>
                  </w:r>
                  <w:r>
                    <w:rPr>
                      <w:rFonts w:hint="default" w:ascii="Times New Roman" w:hAnsi="Times New Roman" w:eastAsia="宋体" w:cs="Times New Roman"/>
                      <w:i w:val="0"/>
                      <w:color w:val="000000"/>
                      <w:kern w:val="0"/>
                      <w:sz w:val="22"/>
                      <w:szCs w:val="22"/>
                      <w:u w:val="none"/>
                      <w:vertAlign w:val="superscript"/>
                      <w:lang w:val="en-US" w:eastAsia="zh-CN" w:bidi="ar"/>
                    </w:rPr>
                    <w:t>3</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浙江临东压力容器制造有限公司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大翻边机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河北祥兆环保设备有限公司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大型吸尘吸烟器</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单臂净化器</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4</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弹簧片型材机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金诺</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等离子</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LGK-120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瑞凌</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等离子</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power max 85</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海宝</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3</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等离子焊机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NB-270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金威</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点焊机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电动单梁起重机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LDA10-22.8</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河南省矿山起重机有限公司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电动切管机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电机测试柜</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电机罩冲孔模</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电阻测试仪</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吊机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定柱式悬臂吊起重机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多功能冲剪机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QA32-8B</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河北省邢台市邢诺公司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4</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多功能三相电参数测量仪</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多头钻</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无锡速易达机械有限公司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阀门板切角模</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阀门叶片切断冲孔模</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JNMT010.00</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30</w:t>
                  </w:r>
                </w:p>
              </w:tc>
              <w:tc>
                <w:tcPr>
                  <w:tcW w:w="2644"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防火阀挡板全自动生产线</w:t>
                  </w:r>
                </w:p>
              </w:tc>
              <w:tc>
                <w:tcPr>
                  <w:tcW w:w="1618" w:type="dxa"/>
                  <w:vMerge w:val="restart"/>
                  <w:tcBorders>
                    <w:tl2br w:val="nil"/>
                    <w:tr2bl w:val="nil"/>
                  </w:tcBorders>
                  <w:shd w:val="clear" w:color="auto" w:fill="auto"/>
                  <w:noWrap/>
                  <w:tcMar>
                    <w:top w:w="15" w:type="dxa"/>
                    <w:left w:w="15" w:type="dxa"/>
                    <w:right w:w="15" w:type="dxa"/>
                  </w:tcMar>
                  <w:vAlign w:val="center"/>
                </w:tcPr>
                <w:p>
                  <w:pPr>
                    <w:jc w:val="center"/>
                    <w:rPr>
                      <w:rFonts w:hint="eastAsia" w:ascii="Times New Roman" w:hAnsi="Times New Roman" w:eastAsia="宋体"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w:t>
                  </w:r>
                </w:p>
              </w:tc>
              <w:tc>
                <w:tcPr>
                  <w:tcW w:w="2981" w:type="dxa"/>
                  <w:vMerge w:val="restart"/>
                  <w:tcBorders>
                    <w:tl2br w:val="nil"/>
                    <w:tr2bl w:val="nil"/>
                  </w:tcBorders>
                  <w:shd w:val="clear" w:color="auto" w:fill="auto"/>
                  <w:noWrap/>
                  <w:tcMar>
                    <w:top w:w="15" w:type="dxa"/>
                    <w:left w:w="15" w:type="dxa"/>
                    <w:right w:w="15" w:type="dxa"/>
                  </w:tcMar>
                  <w:vAlign w:val="center"/>
                </w:tcPr>
                <w:p>
                  <w:pPr>
                    <w:jc w:val="center"/>
                    <w:rPr>
                      <w:rFonts w:hint="eastAsia" w:ascii="Times New Roman" w:hAnsi="Times New Roman" w:eastAsia="宋体"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w:t>
                  </w:r>
                </w:p>
              </w:tc>
              <w:tc>
                <w:tcPr>
                  <w:tcW w:w="615" w:type="dxa"/>
                  <w:vMerge w:val="restar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vMerge w:val="restar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防火阀正压送风口全自动生产线</w:t>
                  </w:r>
                </w:p>
              </w:tc>
              <w:tc>
                <w:tcPr>
                  <w:tcW w:w="1618"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防火阀支撑条</w:t>
                  </w:r>
                </w:p>
              </w:tc>
              <w:tc>
                <w:tcPr>
                  <w:tcW w:w="1618"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全自动生产线</w:t>
                  </w:r>
                </w:p>
              </w:tc>
              <w:tc>
                <w:tcPr>
                  <w:tcW w:w="1618"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防火阀挡风条压铆平台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佛山市信嘉机械有限公司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防火阀角码压铆平台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佛山市弘创消防设备有限公司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防火阀框体压铆平台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佛山市弘创消防设备有限公司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防火阀外框成型机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佛山市金力潮机械有限公司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防火阀叶片成型机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佛山市金力潮机械有限公司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防火阀支架成型机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佛山市金力潮机械有限公司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防火阀支架压铆平台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佛山市弘创消防设备有限公司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风机压筋</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河北祥兆环保设备有限公司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固定台式压力机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J21-40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郑州万隆机械制造有限公司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5</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固定台式压力机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J21-63</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滚筒流水线</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焊机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55</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后盖型材机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激光机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3</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加强筋箱</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26</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剪板机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QC12Y-4*2500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安徽中德机床股份有限公司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4</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简易分条机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XH-6613</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佛山新虹机械有限公司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角磨机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3</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节能静音端子压着机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DTJ-2.0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中械自动化设备有限公司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锯力煌锯床</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GB4028</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浙江锯力煌锯床股份有限公司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卷筒/</w:t>
                  </w:r>
                  <w:r>
                    <w:rPr>
                      <w:rFonts w:hint="eastAsia" w:ascii="宋体" w:hAnsi="宋体" w:eastAsia="宋体" w:cs="宋体"/>
                      <w:i w:val="0"/>
                      <w:color w:val="000000"/>
                      <w:kern w:val="0"/>
                      <w:sz w:val="22"/>
                      <w:szCs w:val="22"/>
                      <w:u w:val="none"/>
                      <w:lang w:val="en-US" w:eastAsia="zh-CN" w:bidi="ar"/>
                    </w:rPr>
                    <w:t>板机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绝缘纸剪切机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JN/SCO</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开式可倾压力机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JB23-40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郑州万隆机械制造有限公司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开式可倾压力机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J21-63</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开式可倾压力机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JB23-25</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4</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空气等离子弧切割机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LGK-120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亿泰</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空气等离子切割机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LGK-100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瑞凌</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空气等离子切割机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LGK100I</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唐山松下产业机器有限公司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空气等离子切割机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LGK-63MA</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成都华远中器设备有限公司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空压机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15</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扣接式阀门外框成型机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佛山市南海佛迪机械有限公司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框架型材机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金诺</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棱柱成型机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冷冻式压缩空气干燥机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15AC</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中山市宏大机械有限公司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冷弯轧机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XH-6612</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佛山新虹机械有限公司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冷压机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冷轧成型机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中国海门市宇德机械有限责任公司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7</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立式砂轮机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250MM</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辘骨机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LB2-F</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广州市花都区镜湖大道石塘工业区</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耐电高压机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抛丸机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炮塔铣</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M4A</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佛山台佳数控机床有限公司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76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喷</w:t>
                  </w:r>
                  <w:r>
                    <w:rPr>
                      <w:rFonts w:hint="eastAsia" w:ascii="宋体" w:hAnsi="宋体" w:eastAsia="宋体" w:cs="宋体"/>
                      <w:i w:val="0"/>
                      <w:color w:val="000000"/>
                      <w:kern w:val="0"/>
                      <w:sz w:val="22"/>
                      <w:szCs w:val="22"/>
                      <w:u w:val="none"/>
                      <w:lang w:val="en-US" w:eastAsia="zh-CN" w:bidi="ar"/>
                    </w:rPr>
                    <w:t>塑</w:t>
                  </w:r>
                  <w:r>
                    <w:rPr>
                      <w:rFonts w:hint="default" w:ascii="Times New Roman" w:hAnsi="Times New Roman" w:eastAsia="宋体" w:cs="Times New Roman"/>
                      <w:i w:val="0"/>
                      <w:color w:val="000000"/>
                      <w:kern w:val="0"/>
                      <w:sz w:val="22"/>
                      <w:szCs w:val="22"/>
                      <w:u w:val="none"/>
                      <w:lang w:val="en-US" w:eastAsia="zh-CN" w:bidi="ar"/>
                    </w:rPr>
                    <w:t>流水线</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eastAsia" w:ascii="宋体" w:hAnsi="宋体" w:eastAsia="宋体" w:cs="宋体"/>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喷漆房</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eastAsia" w:ascii="宋体" w:hAnsi="宋体" w:eastAsia="宋体" w:cs="宋体"/>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eastAsia" w:ascii="宋体" w:hAnsi="宋体" w:eastAsia="宋体" w:cs="宋体"/>
                      <w:i w:val="0"/>
                      <w:color w:val="000000"/>
                      <w:kern w:val="0"/>
                      <w:sz w:val="22"/>
                      <w:szCs w:val="22"/>
                      <w:u w:val="none"/>
                      <w:lang w:val="en-US" w:eastAsia="zh-CN" w:bidi="ar"/>
                    </w:rPr>
                    <w:t>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喷</w:t>
                  </w:r>
                  <w:r>
                    <w:rPr>
                      <w:rFonts w:hint="eastAsia" w:ascii="宋体" w:hAnsi="宋体" w:eastAsia="宋体" w:cs="宋体"/>
                      <w:i w:val="0"/>
                      <w:color w:val="000000"/>
                      <w:kern w:val="0"/>
                      <w:sz w:val="22"/>
                      <w:szCs w:val="22"/>
                      <w:u w:val="none"/>
                      <w:lang w:val="en-US" w:eastAsia="zh-CN" w:bidi="ar"/>
                    </w:rPr>
                    <w:t>涂</w:t>
                  </w:r>
                  <w:r>
                    <w:rPr>
                      <w:rFonts w:hint="default" w:ascii="Times New Roman" w:hAnsi="Times New Roman" w:eastAsia="宋体" w:cs="Times New Roman"/>
                      <w:i w:val="0"/>
                      <w:color w:val="000000"/>
                      <w:kern w:val="0"/>
                      <w:sz w:val="22"/>
                      <w:szCs w:val="22"/>
                      <w:u w:val="none"/>
                      <w:lang w:val="en-US" w:eastAsia="zh-CN" w:bidi="ar"/>
                    </w:rPr>
                    <w:t>流水线</w:t>
                  </w:r>
                  <w:r>
                    <w:rPr>
                      <w:rFonts w:hint="eastAsia" w:ascii="宋体" w:hAnsi="宋体" w:eastAsia="宋体" w:cs="宋体"/>
                      <w:i w:val="0"/>
                      <w:color w:val="000000"/>
                      <w:kern w:val="0"/>
                      <w:sz w:val="22"/>
                      <w:szCs w:val="22"/>
                      <w:u w:val="none"/>
                      <w:lang w:val="en-US" w:eastAsia="zh-CN" w:bidi="ar"/>
                    </w:rPr>
                    <w:t>（包括浸漆）</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平板开料机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平板压筋</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河北祥兆环保设备有限公司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起重机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气动拉铆枪</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4</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全自动电脑剥线机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ZX-80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中械自动化设备有限公司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全自动转换焊机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NB-270L</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金威</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绕线机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隆江LJ-880</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绕线机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隆江LJ-2270</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绕线机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飞之-730</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三相交流可调测试负载柜</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FZ-R90K-RJ</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上海伏泽实业有限公司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手电钻</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60</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手动翻边机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新乡市开基利设备制造有限公司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手动平面磨床</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M618</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大丰锐华机械</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数控冲床</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MASDA-1518</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金诺</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数控冲面板机/</w:t>
                  </w:r>
                  <w:r>
                    <w:rPr>
                      <w:rFonts w:hint="eastAsia" w:ascii="宋体" w:hAnsi="宋体" w:eastAsia="宋体" w:cs="宋体"/>
                      <w:i w:val="0"/>
                      <w:color w:val="000000"/>
                      <w:kern w:val="0"/>
                      <w:sz w:val="22"/>
                      <w:szCs w:val="22"/>
                      <w:u w:val="none"/>
                      <w:lang w:val="en-US" w:eastAsia="zh-CN" w:bidi="ar"/>
                    </w:rPr>
                    <w:t>整体们</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222-14-0.5</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数控导叶自动焊</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常州铭协机械有限公司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数控缝焊机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金诺</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数控剪板机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数控角铁冲孔</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JTC-05</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佛山市亚博机械有限公司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数控卷板机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WDS-15*2000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江苏春秋重型机械有限公司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数控卷圆机（小）</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数控平衡机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数控折弯机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数控自动翻边机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金诺</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双臂焊烟净化器</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16</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水焊机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4</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四柱液压机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台式精密压力机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台式钻床</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Z512B</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浙江西陵台钻制造有限公司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外圆磨机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M1322B*1500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上海机床厂有限公司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109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万向摇臂钻床</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Z3032*10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滕州市天盛机床厂</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3</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eastAsia="zh-CN"/>
                    </w:rPr>
                  </w:pPr>
                  <w:r>
                    <w:rPr>
                      <w:rFonts w:hint="default" w:ascii="Times New Roman" w:hAnsi="Times New Roman" w:eastAsia="宋体" w:cs="Times New Roman"/>
                      <w:i w:val="0"/>
                      <w:color w:val="auto"/>
                      <w:kern w:val="0"/>
                      <w:sz w:val="22"/>
                      <w:szCs w:val="22"/>
                      <w:u w:val="none" w:color="auto"/>
                      <w:lang w:val="en-US" w:eastAsia="zh-CN" w:bidi="ar"/>
                    </w:rPr>
                    <w:t>110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万向摇臂钻床</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Z3132D</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山东福临机械制造有限公司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危废暂存房</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小型自动焊</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型卧式平衡机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YW-300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孝感中亚动平衡机设备有限公司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压力机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50T</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压力机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25T</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压铆机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QY5-500C</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深圳市力奥特机械有限公司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4</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压铆平台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佛迪</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4</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压条压铆机/</w:t>
                  </w:r>
                  <w:r>
                    <w:rPr>
                      <w:rFonts w:hint="eastAsia" w:ascii="宋体" w:hAnsi="宋体" w:eastAsia="宋体" w:cs="宋体"/>
                      <w:i w:val="0"/>
                      <w:color w:val="000000"/>
                      <w:kern w:val="0"/>
                      <w:sz w:val="22"/>
                      <w:szCs w:val="22"/>
                      <w:u w:val="none"/>
                      <w:lang w:val="en-US" w:eastAsia="zh-CN" w:bidi="ar"/>
                    </w:rPr>
                    <w:t>挡风条悬臂</w:t>
                  </w:r>
                </w:p>
              </w:tc>
              <w:tc>
                <w:tcPr>
                  <w:tcW w:w="1618" w:type="dxa"/>
                  <w:vMerge w:val="restart"/>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vMerge w:val="restart"/>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vMerge w:val="restar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vMerge w:val="restar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式铆接机构</w:t>
                  </w:r>
                </w:p>
              </w:tc>
              <w:tc>
                <w:tcPr>
                  <w:tcW w:w="1618"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vMerge w:val="continue"/>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氧割设备</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叶轮生产线</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叶片型材机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金诺</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液压割床</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液压机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德州铭扬液压机械有限公司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3</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硬支承平衡机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YFW-500</w:t>
                  </w: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油压机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中合</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圆阀冲孔</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河北祥兆环保设备有限公司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折弯机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WC67Y-63/2500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安徽中德机床股份有限公司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6</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真空浸漆烘干成套设备</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130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直缝焊机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河北祥兆环保设备有限公司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rPr>
                  </w:pPr>
                  <w:r>
                    <w:rPr>
                      <w:rFonts w:hint="eastAsia" w:cs="Times New Roman"/>
                      <w:i w:val="0"/>
                      <w:color w:val="auto"/>
                      <w:kern w:val="0"/>
                      <w:sz w:val="22"/>
                      <w:szCs w:val="22"/>
                      <w:u w:val="none" w:color="auto"/>
                      <w:lang w:val="en-US" w:eastAsia="zh-CN" w:bidi="ar"/>
                    </w:rPr>
                    <w:t>131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珠槽型材机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金诺</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rPr>
                  </w:pPr>
                  <w:r>
                    <w:rPr>
                      <w:rFonts w:hint="eastAsia" w:cs="Times New Roman"/>
                      <w:i w:val="0"/>
                      <w:color w:val="auto"/>
                      <w:kern w:val="0"/>
                      <w:sz w:val="22"/>
                      <w:szCs w:val="22"/>
                      <w:u w:val="none" w:color="auto"/>
                      <w:lang w:val="en-US" w:eastAsia="zh-CN" w:bidi="ar"/>
                    </w:rPr>
                    <w:t>132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自动翻边机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color="auto"/>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133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自动焊机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金诺</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134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自动环缝焊</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MXHF-O60D</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常州铭协机械有限公司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135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综合测试台</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LX-XFDQ-CS</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深圳翎翔设备有限公司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136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综合功能试验台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2981"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137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钻铣床</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Z*50C</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滕州市天盛机床厂</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9088" w:type="dxa"/>
                  <w:gridSpan w:val="6"/>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i w:val="0"/>
                      <w:color w:val="auto"/>
                      <w:kern w:val="0"/>
                      <w:sz w:val="22"/>
                      <w:szCs w:val="22"/>
                      <w:u w:val="none" w:color="auto"/>
                      <w:lang w:val="en-US" w:eastAsia="zh-CN" w:bidi="ar"/>
                    </w:rPr>
                    <w:t>新增设备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138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防火阀挡风条压铆平台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佛山市弘创消防设备有限公司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139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防火阀角码压铆平台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佛山市弘创消防设备有限公司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防火阀框体压铆平台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佛山市弘创消防设备有限公司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防火阀支架压铆平台</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佛山市弘创消防设备有限公司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142</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平板拉杆机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21-2.0</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德州荣德机械设备有限公司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143</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直角挡板机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70-70-1.5</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德州荣德机械设备有限公司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144</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不锈钢弹片机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42-0.2</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德州荣德机械设备有限公司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145</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Z字型挡角机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25-55-0.8</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德州荣德机械设备有限公司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146</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165度直角挡角机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15-35-0.8</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德州荣德机械设备有限公司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2</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147</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钢筋调直切断机</w:t>
                  </w:r>
                </w:p>
              </w:tc>
              <w:tc>
                <w:tcPr>
                  <w:tcW w:w="1618"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GT6-12型</w:t>
                  </w: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邢台辰源机械制造有限公司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148</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C型钢电机脚</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佛山市金力潮机械有限公司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149</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止回阀叶片成型机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佛山市金力潮机械有限公司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150</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槽钢切断冲孔机</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佛山市亚博机械有限公司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15"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cs="Times New Roman"/>
                      <w:i w:val="0"/>
                      <w:color w:val="auto"/>
                      <w:sz w:val="22"/>
                      <w:szCs w:val="22"/>
                      <w:u w:val="none" w:color="auto"/>
                      <w:lang w:val="en-US" w:eastAsia="zh-CN"/>
                    </w:rPr>
                  </w:pPr>
                  <w:r>
                    <w:rPr>
                      <w:rFonts w:hint="eastAsia" w:cs="Times New Roman"/>
                      <w:i w:val="0"/>
                      <w:color w:val="auto"/>
                      <w:sz w:val="22"/>
                      <w:szCs w:val="22"/>
                      <w:u w:val="none" w:color="auto"/>
                      <w:lang w:val="en-US" w:eastAsia="zh-CN"/>
                    </w:rPr>
                    <w:t>151</w:t>
                  </w:r>
                </w:p>
              </w:tc>
              <w:tc>
                <w:tcPr>
                  <w:tcW w:w="2644"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风管自动生产线</w:t>
                  </w:r>
                </w:p>
              </w:tc>
              <w:tc>
                <w:tcPr>
                  <w:tcW w:w="1618" w:type="dxa"/>
                  <w:tcBorders>
                    <w:tl2br w:val="nil"/>
                    <w:tr2bl w:val="nil"/>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2981"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佛山市南海佛迪机械有限公司</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宋体" w:hAnsi="宋体" w:eastAsia="宋体" w:cs="宋体"/>
                      <w:i w:val="0"/>
                      <w:color w:val="000000"/>
                      <w:kern w:val="0"/>
                      <w:sz w:val="22"/>
                      <w:szCs w:val="22"/>
                      <w:u w:val="none"/>
                      <w:lang w:val="en-US" w:eastAsia="zh-CN" w:bidi="ar"/>
                    </w:rPr>
                    <w:t>1</w:t>
                  </w:r>
                </w:p>
              </w:tc>
              <w:tc>
                <w:tcPr>
                  <w:tcW w:w="615" w:type="dxa"/>
                  <w:tcBorders>
                    <w:tl2br w:val="nil"/>
                    <w:tr2bl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000000"/>
                      <w:kern w:val="0"/>
                      <w:sz w:val="22"/>
                      <w:szCs w:val="22"/>
                      <w:u w:val="none"/>
                      <w:lang w:val="en-US" w:eastAsia="zh-CN" w:bidi="ar"/>
                    </w:rPr>
                    <w:t>台</w:t>
                  </w:r>
                </w:p>
              </w:tc>
            </w:tr>
          </w:tbl>
          <w:p>
            <w:pPr>
              <w:ind w:firstLine="482" w:firstLineChars="200"/>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5、产品方案及原辅材料消耗</w:t>
            </w:r>
          </w:p>
          <w:p>
            <w:pPr>
              <w:spacing w:line="500" w:lineRule="exact"/>
              <w:ind w:firstLine="480"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（1）本项目产品方案见表1-3。</w:t>
            </w:r>
          </w:p>
          <w:p>
            <w:pPr>
              <w:jc w:val="center"/>
              <w:rPr>
                <w:rFonts w:hint="default" w:ascii="Times New Roman" w:hAnsi="Times New Roman" w:cs="Times New Roman"/>
                <w:color w:val="auto"/>
                <w:sz w:val="24"/>
                <w:szCs w:val="24"/>
                <w:u w:val="none" w:color="auto"/>
              </w:rPr>
            </w:pPr>
            <w:r>
              <w:rPr>
                <w:rFonts w:hint="default" w:ascii="Times New Roman" w:hAnsi="Times New Roman" w:cs="Times New Roman"/>
                <w:b/>
                <w:bCs/>
                <w:color w:val="auto"/>
                <w:sz w:val="24"/>
                <w:szCs w:val="24"/>
                <w:u w:val="none" w:color="auto"/>
              </w:rPr>
              <w:t>表1-3  产品方案一览表</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3370"/>
              <w:gridCol w:w="2856"/>
              <w:gridCol w:w="284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66" w:hRule="atLeast"/>
                <w:jc w:val="center"/>
              </w:trPr>
              <w:tc>
                <w:tcPr>
                  <w:tcW w:w="3370" w:type="dxa"/>
                  <w:vAlign w:val="center"/>
                </w:tcPr>
                <w:p>
                  <w:pPr>
                    <w:pStyle w:val="169"/>
                    <w:spacing w:line="360" w:lineRule="auto"/>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产品名称</w:t>
                  </w:r>
                </w:p>
              </w:tc>
              <w:tc>
                <w:tcPr>
                  <w:tcW w:w="2856" w:type="dxa"/>
                  <w:vAlign w:val="center"/>
                </w:tcPr>
                <w:p>
                  <w:pPr>
                    <w:pStyle w:val="169"/>
                    <w:spacing w:line="360" w:lineRule="auto"/>
                    <w:rPr>
                      <w:rFonts w:hint="eastAsia" w:ascii="Times New Roman" w:hAnsi="Times New Roman" w:eastAsia="宋体" w:cs="Times New Roman"/>
                      <w:b/>
                      <w:color w:val="auto"/>
                      <w:sz w:val="22"/>
                      <w:szCs w:val="22"/>
                      <w:u w:val="none" w:color="auto"/>
                      <w:lang w:eastAsia="zh-CN"/>
                    </w:rPr>
                  </w:pPr>
                  <w:r>
                    <w:rPr>
                      <w:rFonts w:hint="default" w:ascii="Times New Roman" w:hAnsi="Times New Roman" w:cs="Times New Roman"/>
                      <w:b/>
                      <w:color w:val="auto"/>
                      <w:sz w:val="22"/>
                      <w:szCs w:val="22"/>
                      <w:u w:val="none" w:color="auto"/>
                    </w:rPr>
                    <w:t>年</w:t>
                  </w:r>
                  <w:r>
                    <w:rPr>
                      <w:rFonts w:hint="eastAsia" w:cs="Times New Roman"/>
                      <w:b/>
                      <w:color w:val="auto"/>
                      <w:sz w:val="22"/>
                      <w:szCs w:val="22"/>
                      <w:u w:val="none" w:color="auto"/>
                      <w:lang w:eastAsia="zh-CN"/>
                    </w:rPr>
                    <w:t>产量（件）</w:t>
                  </w:r>
                </w:p>
              </w:tc>
              <w:tc>
                <w:tcPr>
                  <w:tcW w:w="2842" w:type="dxa"/>
                  <w:vAlign w:val="center"/>
                </w:tcPr>
                <w:p>
                  <w:pPr>
                    <w:pStyle w:val="169"/>
                    <w:spacing w:line="360" w:lineRule="auto"/>
                    <w:rPr>
                      <w:rFonts w:hint="eastAsia" w:ascii="Times New Roman" w:hAnsi="Times New Roman" w:eastAsia="宋体" w:cs="Times New Roman"/>
                      <w:b/>
                      <w:color w:val="auto"/>
                      <w:sz w:val="22"/>
                      <w:szCs w:val="22"/>
                      <w:u w:val="none" w:color="auto"/>
                      <w:lang w:eastAsia="zh-CN"/>
                    </w:rPr>
                  </w:pPr>
                  <w:r>
                    <w:rPr>
                      <w:rFonts w:hint="eastAsia" w:cs="Times New Roman"/>
                      <w:b/>
                      <w:color w:val="auto"/>
                      <w:sz w:val="22"/>
                      <w:szCs w:val="22"/>
                      <w:u w:val="none" w:color="auto"/>
                      <w:lang w:eastAsia="zh-CN"/>
                    </w:rPr>
                    <w:t>用途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3370" w:type="dxa"/>
                  <w:vAlign w:val="center"/>
                </w:tcPr>
                <w:p>
                  <w:pPr>
                    <w:pStyle w:val="169"/>
                    <w:spacing w:line="360" w:lineRule="auto"/>
                    <w:rPr>
                      <w:rFonts w:hint="default"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轴流式消防排烟风机</w:t>
                  </w:r>
                </w:p>
              </w:tc>
              <w:tc>
                <w:tcPr>
                  <w:tcW w:w="2856" w:type="dxa"/>
                  <w:vAlign w:val="center"/>
                </w:tcPr>
                <w:p>
                  <w:pPr>
                    <w:pStyle w:val="169"/>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1500</w:t>
                  </w:r>
                </w:p>
              </w:tc>
              <w:tc>
                <w:tcPr>
                  <w:tcW w:w="2842" w:type="dxa"/>
                  <w:vAlign w:val="center"/>
                </w:tcPr>
                <w:p>
                  <w:pPr>
                    <w:pStyle w:val="169"/>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排烟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3370" w:type="dxa"/>
                  <w:vAlign w:val="center"/>
                </w:tcPr>
                <w:p>
                  <w:pPr>
                    <w:pStyle w:val="169"/>
                    <w:spacing w:line="360" w:lineRule="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离心式消防排烟风机</w:t>
                  </w:r>
                </w:p>
              </w:tc>
              <w:tc>
                <w:tcPr>
                  <w:tcW w:w="2856" w:type="dxa"/>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1500</w:t>
                  </w:r>
                </w:p>
              </w:tc>
              <w:tc>
                <w:tcPr>
                  <w:tcW w:w="2842" w:type="dxa"/>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排烟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3370" w:type="dxa"/>
                  <w:vAlign w:val="center"/>
                </w:tcPr>
                <w:p>
                  <w:pPr>
                    <w:pStyle w:val="169"/>
                    <w:spacing w:line="360" w:lineRule="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正压送风口</w:t>
                  </w:r>
                </w:p>
              </w:tc>
              <w:tc>
                <w:tcPr>
                  <w:tcW w:w="2856" w:type="dxa"/>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1000</w:t>
                  </w:r>
                </w:p>
              </w:tc>
              <w:tc>
                <w:tcPr>
                  <w:tcW w:w="2842" w:type="dxa"/>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通风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3370" w:type="dxa"/>
                  <w:vAlign w:val="center"/>
                </w:tcPr>
                <w:p>
                  <w:pPr>
                    <w:pStyle w:val="169"/>
                    <w:spacing w:line="360" w:lineRule="auto"/>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板式排烟口</w:t>
                  </w:r>
                </w:p>
              </w:tc>
              <w:tc>
                <w:tcPr>
                  <w:tcW w:w="2856" w:type="dxa"/>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1000</w:t>
                  </w:r>
                </w:p>
              </w:tc>
              <w:tc>
                <w:tcPr>
                  <w:tcW w:w="2842" w:type="dxa"/>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通风</w:t>
                  </w:r>
                </w:p>
              </w:tc>
            </w:tr>
          </w:tbl>
          <w:p>
            <w:pPr>
              <w:pStyle w:val="171"/>
              <w:ind w:firstLine="480"/>
              <w:rPr>
                <w:rFonts w:hint="default" w:ascii="Times New Roman" w:hAnsi="Times New Roman" w:eastAsia="宋体" w:cs="Times New Roman"/>
                <w:b/>
                <w:color w:val="auto"/>
                <w:u w:val="none" w:color="auto"/>
              </w:rPr>
            </w:pPr>
            <w:r>
              <w:rPr>
                <w:rFonts w:hint="default" w:ascii="Times New Roman" w:hAnsi="Times New Roman" w:cs="Times New Roman"/>
                <w:color w:val="auto"/>
                <w:u w:val="none" w:color="auto"/>
              </w:rPr>
              <w:t>（2）本项目主要的原材料</w:t>
            </w:r>
            <w:r>
              <w:rPr>
                <w:rFonts w:hint="eastAsia" w:cs="Times New Roman"/>
                <w:color w:val="auto"/>
                <w:u w:val="none" w:color="auto"/>
                <w:lang w:eastAsia="zh-CN"/>
              </w:rPr>
              <w:t>及能源</w:t>
            </w:r>
            <w:r>
              <w:rPr>
                <w:rFonts w:hint="default" w:ascii="Times New Roman" w:hAnsi="Times New Roman" w:cs="Times New Roman"/>
                <w:color w:val="auto"/>
                <w:u w:val="none" w:color="auto"/>
              </w:rPr>
              <w:t xml:space="preserve">消耗情况详见表1-4。 </w:t>
            </w:r>
          </w:p>
          <w:p>
            <w:pPr>
              <w:pStyle w:val="170"/>
              <w:spacing w:before="0" w:beforeLines="0" w:after="0" w:afterLines="0" w:line="240" w:lineRule="auto"/>
              <w:rPr>
                <w:rFonts w:hint="default" w:ascii="Times New Roman" w:hAnsi="Times New Roman" w:eastAsia="宋体" w:cs="Times New Roman"/>
                <w:b/>
                <w:color w:val="auto"/>
                <w:u w:val="none" w:color="auto"/>
              </w:rPr>
            </w:pPr>
            <w:r>
              <w:rPr>
                <w:rFonts w:hint="default" w:ascii="Times New Roman" w:hAnsi="Times New Roman" w:eastAsia="宋体" w:cs="Times New Roman"/>
                <w:b/>
                <w:color w:val="auto"/>
                <w:u w:val="none" w:color="auto"/>
              </w:rPr>
              <w:t>表1-4  主要原辅材料</w:t>
            </w:r>
            <w:r>
              <w:rPr>
                <w:rFonts w:hint="eastAsia" w:eastAsia="宋体" w:cs="Times New Roman"/>
                <w:b/>
                <w:color w:val="auto"/>
                <w:u w:val="none" w:color="auto"/>
                <w:lang w:eastAsia="zh-CN"/>
              </w:rPr>
              <w:t>及能源</w:t>
            </w:r>
            <w:r>
              <w:rPr>
                <w:rFonts w:hint="default" w:ascii="Times New Roman" w:hAnsi="Times New Roman" w:eastAsia="宋体" w:cs="Times New Roman"/>
                <w:b/>
                <w:color w:val="auto"/>
                <w:u w:val="none" w:color="auto"/>
              </w:rPr>
              <w:t>消耗一览表</w:t>
            </w:r>
          </w:p>
          <w:tbl>
            <w:tblPr>
              <w:tblStyle w:val="39"/>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58"/>
              <w:gridCol w:w="1764"/>
              <w:gridCol w:w="1265"/>
              <w:gridCol w:w="1512"/>
              <w:gridCol w:w="1445"/>
              <w:gridCol w:w="20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3" w:hRule="atLeast"/>
                <w:tblHeader/>
              </w:trPr>
              <w:tc>
                <w:tcPr>
                  <w:tcW w:w="1058"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序号</w:t>
                  </w:r>
                </w:p>
              </w:tc>
              <w:tc>
                <w:tcPr>
                  <w:tcW w:w="1764"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名称</w:t>
                  </w:r>
                </w:p>
              </w:tc>
              <w:tc>
                <w:tcPr>
                  <w:tcW w:w="1265"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单位</w:t>
                  </w:r>
                </w:p>
              </w:tc>
              <w:tc>
                <w:tcPr>
                  <w:tcW w:w="2957" w:type="dxa"/>
                  <w:gridSpan w:val="2"/>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年用量</w:t>
                  </w:r>
                </w:p>
              </w:tc>
              <w:tc>
                <w:tcPr>
                  <w:tcW w:w="2024" w:type="dxa"/>
                  <w:tcBorders>
                    <w:tl2br w:val="nil"/>
                    <w:tr2bl w:val="nil"/>
                  </w:tcBorders>
                </w:tcPr>
                <w:p>
                  <w:pPr>
                    <w:pStyle w:val="170"/>
                    <w:spacing w:before="48" w:after="48" w:line="360" w:lineRule="auto"/>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05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1</w:t>
                  </w:r>
                </w:p>
              </w:tc>
              <w:tc>
                <w:tcPr>
                  <w:tcW w:w="1764"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钢材</w:t>
                  </w:r>
                </w:p>
              </w:tc>
              <w:tc>
                <w:tcPr>
                  <w:tcW w:w="1265"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val="en-US" w:eastAsia="zh-CN"/>
                    </w:rPr>
                    <w:t>t</w:t>
                  </w:r>
                </w:p>
              </w:tc>
              <w:tc>
                <w:tcPr>
                  <w:tcW w:w="2957" w:type="dxa"/>
                  <w:gridSpan w:val="2"/>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2130</w:t>
                  </w:r>
                </w:p>
              </w:tc>
              <w:tc>
                <w:tcPr>
                  <w:tcW w:w="2024"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05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2</w:t>
                  </w:r>
                </w:p>
              </w:tc>
              <w:tc>
                <w:tcPr>
                  <w:tcW w:w="1764"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辅料配件</w:t>
                  </w:r>
                </w:p>
              </w:tc>
              <w:tc>
                <w:tcPr>
                  <w:tcW w:w="1265" w:type="dxa"/>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个</w:t>
                  </w:r>
                </w:p>
              </w:tc>
              <w:tc>
                <w:tcPr>
                  <w:tcW w:w="2957" w:type="dxa"/>
                  <w:gridSpan w:val="2"/>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2000</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58"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3</w:t>
                  </w:r>
                </w:p>
              </w:tc>
              <w:tc>
                <w:tcPr>
                  <w:tcW w:w="1764"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塑粉</w:t>
                  </w:r>
                </w:p>
              </w:tc>
              <w:tc>
                <w:tcPr>
                  <w:tcW w:w="126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eastAsia" w:eastAsia="宋体" w:cs="Times New Roman"/>
                      <w:color w:val="auto"/>
                      <w:sz w:val="22"/>
                      <w:szCs w:val="22"/>
                      <w:u w:val="none" w:color="auto"/>
                      <w:lang w:val="en-US" w:eastAsia="zh-CN"/>
                    </w:rPr>
                    <w:t>t</w:t>
                  </w:r>
                </w:p>
              </w:tc>
              <w:tc>
                <w:tcPr>
                  <w:tcW w:w="2957" w:type="dxa"/>
                  <w:gridSpan w:val="2"/>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6.0</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058"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4</w:t>
                  </w:r>
                </w:p>
              </w:tc>
              <w:tc>
                <w:tcPr>
                  <w:tcW w:w="1764" w:type="dxa"/>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焊线（碳钢焊条）</w:t>
                  </w:r>
                </w:p>
              </w:tc>
              <w:tc>
                <w:tcPr>
                  <w:tcW w:w="1265" w:type="dxa"/>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t</w:t>
                  </w:r>
                </w:p>
              </w:tc>
              <w:tc>
                <w:tcPr>
                  <w:tcW w:w="2957" w:type="dxa"/>
                  <w:gridSpan w:val="2"/>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0.5</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1058"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5</w:t>
                  </w:r>
                </w:p>
              </w:tc>
              <w:tc>
                <w:tcPr>
                  <w:tcW w:w="1764" w:type="dxa"/>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润滑油</w:t>
                  </w:r>
                </w:p>
              </w:tc>
              <w:tc>
                <w:tcPr>
                  <w:tcW w:w="126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eastAsia" w:eastAsia="宋体" w:cs="Times New Roman"/>
                      <w:color w:val="auto"/>
                      <w:sz w:val="22"/>
                      <w:szCs w:val="22"/>
                      <w:u w:val="none" w:color="auto"/>
                      <w:lang w:val="en-US" w:eastAsia="zh-CN"/>
                    </w:rPr>
                    <w:t>t</w:t>
                  </w:r>
                </w:p>
              </w:tc>
              <w:tc>
                <w:tcPr>
                  <w:tcW w:w="2957" w:type="dxa"/>
                  <w:gridSpan w:val="2"/>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2.0</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105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6</w:t>
                  </w:r>
                </w:p>
              </w:tc>
              <w:tc>
                <w:tcPr>
                  <w:tcW w:w="1764" w:type="dxa"/>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抗磨液压油</w:t>
                  </w:r>
                </w:p>
              </w:tc>
              <w:tc>
                <w:tcPr>
                  <w:tcW w:w="126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eastAsia" w:eastAsia="宋体" w:cs="Times New Roman"/>
                      <w:color w:val="auto"/>
                      <w:sz w:val="22"/>
                      <w:szCs w:val="22"/>
                      <w:u w:val="none" w:color="auto"/>
                      <w:lang w:val="en-US" w:eastAsia="zh-CN"/>
                    </w:rPr>
                    <w:t>t</w:t>
                  </w:r>
                </w:p>
              </w:tc>
              <w:tc>
                <w:tcPr>
                  <w:tcW w:w="2957" w:type="dxa"/>
                  <w:gridSpan w:val="2"/>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3.0</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1058" w:type="dxa"/>
                  <w:vMerge w:val="restar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7</w:t>
                  </w:r>
                </w:p>
              </w:tc>
              <w:tc>
                <w:tcPr>
                  <w:tcW w:w="1764"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水性漆</w:t>
                  </w:r>
                </w:p>
              </w:tc>
              <w:tc>
                <w:tcPr>
                  <w:tcW w:w="126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eastAsia" w:eastAsia="宋体" w:cs="Times New Roman"/>
                      <w:color w:val="auto"/>
                      <w:sz w:val="22"/>
                      <w:szCs w:val="22"/>
                      <w:u w:val="none" w:color="auto"/>
                      <w:lang w:val="en-US" w:eastAsia="zh-CN"/>
                    </w:rPr>
                    <w:t>t</w:t>
                  </w:r>
                </w:p>
              </w:tc>
              <w:tc>
                <w:tcPr>
                  <w:tcW w:w="2957" w:type="dxa"/>
                  <w:gridSpan w:val="2"/>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8.0</w:t>
                  </w:r>
                </w:p>
              </w:tc>
              <w:tc>
                <w:tcPr>
                  <w:tcW w:w="2024" w:type="dxa"/>
                  <w:vMerge w:val="restart"/>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058" w:type="dxa"/>
                  <w:vMerge w:val="continue"/>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val="en-US" w:eastAsia="zh-CN"/>
                    </w:rPr>
                  </w:pPr>
                </w:p>
              </w:tc>
              <w:tc>
                <w:tcPr>
                  <w:tcW w:w="1764" w:type="dxa"/>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绝缘漆</w:t>
                  </w:r>
                </w:p>
              </w:tc>
              <w:tc>
                <w:tcPr>
                  <w:tcW w:w="1265" w:type="dxa"/>
                  <w:tcBorders>
                    <w:tl2br w:val="nil"/>
                    <w:tr2bl w:val="nil"/>
                  </w:tcBorders>
                  <w:vAlign w:val="center"/>
                </w:tcPr>
                <w:p>
                  <w:pPr>
                    <w:spacing w:before="48" w:after="48" w:line="360" w:lineRule="auto"/>
                    <w:jc w:val="center"/>
                    <w:rPr>
                      <w:rFonts w:hint="default"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t</w:t>
                  </w:r>
                </w:p>
              </w:tc>
              <w:tc>
                <w:tcPr>
                  <w:tcW w:w="1512" w:type="dxa"/>
                  <w:tcBorders>
                    <w:tl2br w:val="nil"/>
                    <w:tr2bl w:val="nil"/>
                  </w:tcBorders>
                  <w:vAlign w:val="center"/>
                </w:tcPr>
                <w:p>
                  <w:pPr>
                    <w:pStyle w:val="170"/>
                    <w:spacing w:before="48" w:after="48" w:line="360" w:lineRule="auto"/>
                    <w:rPr>
                      <w:rFonts w:hint="default"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1.5</w:t>
                  </w:r>
                </w:p>
              </w:tc>
              <w:tc>
                <w:tcPr>
                  <w:tcW w:w="1445" w:type="dxa"/>
                  <w:vMerge w:val="restart"/>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w:t>
                  </w:r>
                  <w:r>
                    <w:rPr>
                      <w:rFonts w:hint="eastAsia" w:cs="Times New Roman"/>
                      <w:color w:val="auto"/>
                      <w:sz w:val="22"/>
                      <w:szCs w:val="22"/>
                      <w:u w:val="none" w:color="auto"/>
                      <w:lang w:val="en-US" w:eastAsia="zh-CN"/>
                    </w:rPr>
                    <w:t>85</w:t>
                  </w:r>
                  <w:r>
                    <w:rPr>
                      <w:rFonts w:hint="default" w:ascii="Times New Roman" w:hAnsi="Times New Roman" w:eastAsia="宋体" w:cs="Times New Roman"/>
                      <w:color w:val="auto"/>
                      <w:sz w:val="22"/>
                      <w:szCs w:val="22"/>
                      <w:u w:val="none" w:color="auto"/>
                      <w:lang w:val="en-US" w:eastAsia="zh-CN"/>
                    </w:rPr>
                    <w:t>&lt;</w:t>
                  </w:r>
                  <w:r>
                    <w:rPr>
                      <w:rFonts w:hint="eastAsia" w:eastAsia="宋体" w:cs="Times New Roman"/>
                      <w:color w:val="auto"/>
                      <w:sz w:val="22"/>
                      <w:szCs w:val="22"/>
                      <w:u w:val="none" w:color="auto"/>
                      <w:lang w:val="en-US" w:eastAsia="zh-CN"/>
                    </w:rPr>
                    <w:t>10</w:t>
                  </w:r>
                </w:p>
              </w:tc>
              <w:tc>
                <w:tcPr>
                  <w:tcW w:w="2024" w:type="dxa"/>
                  <w:vMerge w:val="continue"/>
                  <w:tcBorders>
                    <w:tl2br w:val="nil"/>
                    <w:tr2bl w:val="nil"/>
                  </w:tcBorders>
                  <w:vAlign w:val="center"/>
                </w:tcPr>
                <w:p>
                  <w:pPr>
                    <w:pStyle w:val="170"/>
                    <w:spacing w:before="48" w:after="48" w:line="360" w:lineRule="auto"/>
                    <w:jc w:val="center"/>
                    <w:rPr>
                      <w:rFonts w:hint="eastAsia" w:ascii="Times New Roman" w:hAnsi="Times New Roman" w:eastAsia="宋体" w:cs="Times New Roman"/>
                      <w:color w:val="auto"/>
                      <w:sz w:val="22"/>
                      <w:szCs w:val="22"/>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1058" w:type="dxa"/>
                  <w:vMerge w:val="continue"/>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val="en-US" w:eastAsia="zh-CN"/>
                    </w:rPr>
                  </w:pPr>
                </w:p>
              </w:tc>
              <w:tc>
                <w:tcPr>
                  <w:tcW w:w="1764" w:type="dxa"/>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稀释剂</w:t>
                  </w:r>
                </w:p>
              </w:tc>
              <w:tc>
                <w:tcPr>
                  <w:tcW w:w="1265" w:type="dxa"/>
                  <w:tcBorders>
                    <w:tl2br w:val="nil"/>
                    <w:tr2bl w:val="nil"/>
                  </w:tcBorders>
                  <w:vAlign w:val="center"/>
                </w:tcPr>
                <w:p>
                  <w:pPr>
                    <w:spacing w:before="48" w:after="48"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t</w:t>
                  </w:r>
                </w:p>
              </w:tc>
              <w:tc>
                <w:tcPr>
                  <w:tcW w:w="1512" w:type="dxa"/>
                  <w:tcBorders>
                    <w:tl2br w:val="nil"/>
                    <w:tr2bl w:val="nil"/>
                  </w:tcBorders>
                  <w:vAlign w:val="center"/>
                </w:tcPr>
                <w:p>
                  <w:pPr>
                    <w:pStyle w:val="170"/>
                    <w:spacing w:before="48" w:after="48" w:line="360" w:lineRule="auto"/>
                    <w:rPr>
                      <w:rFonts w:hint="default"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0.35</w:t>
                  </w:r>
                </w:p>
              </w:tc>
              <w:tc>
                <w:tcPr>
                  <w:tcW w:w="1445" w:type="dxa"/>
                  <w:vMerge w:val="continue"/>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val="en-US" w:eastAsia="zh-CN"/>
                    </w:rPr>
                  </w:pPr>
                </w:p>
              </w:tc>
              <w:tc>
                <w:tcPr>
                  <w:tcW w:w="2024" w:type="dxa"/>
                  <w:vMerge w:val="continue"/>
                  <w:tcBorders>
                    <w:tl2br w:val="nil"/>
                    <w:tr2bl w:val="nil"/>
                  </w:tcBorders>
                  <w:vAlign w:val="center"/>
                </w:tcPr>
                <w:p>
                  <w:pPr>
                    <w:pStyle w:val="170"/>
                    <w:spacing w:before="48" w:after="48" w:line="360" w:lineRule="auto"/>
                    <w:jc w:val="center"/>
                    <w:rPr>
                      <w:rFonts w:hint="eastAsia" w:eastAsia="宋体" w:cs="Times New Roman"/>
                      <w:color w:val="auto"/>
                      <w:sz w:val="22"/>
                      <w:szCs w:val="22"/>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8</w:t>
                  </w:r>
                </w:p>
              </w:tc>
              <w:tc>
                <w:tcPr>
                  <w:tcW w:w="1764"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ascii="Times New Roman" w:hAnsi="Times New Roman" w:eastAsia="宋体" w:cs="Times New Roman"/>
                      <w:color w:val="auto"/>
                      <w:sz w:val="22"/>
                      <w:szCs w:val="22"/>
                      <w:u w:val="none" w:color="auto"/>
                      <w:lang w:eastAsia="zh-CN"/>
                    </w:rPr>
                    <w:t>二氧化碳混合气</w:t>
                  </w:r>
                </w:p>
              </w:tc>
              <w:tc>
                <w:tcPr>
                  <w:tcW w:w="126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t</w:t>
                  </w:r>
                </w:p>
              </w:tc>
              <w:tc>
                <w:tcPr>
                  <w:tcW w:w="2957" w:type="dxa"/>
                  <w:gridSpan w:val="2"/>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rPr>
                  </w:pPr>
                  <w:r>
                    <w:rPr>
                      <w:rFonts w:hint="eastAsia" w:eastAsia="宋体" w:cs="Times New Roman"/>
                      <w:color w:val="auto"/>
                      <w:sz w:val="22"/>
                      <w:szCs w:val="22"/>
                      <w:u w:val="none" w:color="auto"/>
                      <w:lang w:val="en-US" w:eastAsia="zh-CN"/>
                    </w:rPr>
                    <w:t>8</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9</w:t>
                  </w:r>
                </w:p>
              </w:tc>
              <w:tc>
                <w:tcPr>
                  <w:tcW w:w="1764"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ascii="Times New Roman" w:hAnsi="Times New Roman" w:eastAsia="宋体" w:cs="Times New Roman"/>
                      <w:color w:val="auto"/>
                      <w:sz w:val="22"/>
                      <w:szCs w:val="22"/>
                      <w:u w:val="none" w:color="auto"/>
                      <w:lang w:eastAsia="zh-CN"/>
                    </w:rPr>
                    <w:t>氩气</w:t>
                  </w:r>
                </w:p>
              </w:tc>
              <w:tc>
                <w:tcPr>
                  <w:tcW w:w="1265"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t</w:t>
                  </w:r>
                </w:p>
              </w:tc>
              <w:tc>
                <w:tcPr>
                  <w:tcW w:w="2957" w:type="dxa"/>
                  <w:gridSpan w:val="2"/>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rPr>
                  </w:pPr>
                  <w:r>
                    <w:rPr>
                      <w:rFonts w:hint="eastAsia" w:ascii="Times New Roman" w:hAnsi="Times New Roman" w:eastAsia="宋体" w:cs="Times New Roman"/>
                      <w:color w:val="auto"/>
                      <w:sz w:val="22"/>
                      <w:szCs w:val="22"/>
                      <w:u w:val="none" w:color="auto"/>
                      <w:lang w:eastAsia="zh-CN"/>
                    </w:rPr>
                    <w:t>6</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10</w:t>
                  </w:r>
                </w:p>
              </w:tc>
              <w:tc>
                <w:tcPr>
                  <w:tcW w:w="1764"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水</w:t>
                  </w:r>
                </w:p>
              </w:tc>
              <w:tc>
                <w:tcPr>
                  <w:tcW w:w="1265" w:type="dxa"/>
                  <w:tcBorders>
                    <w:tl2br w:val="nil"/>
                    <w:tr2bl w:val="nil"/>
                  </w:tcBorders>
                  <w:vAlign w:val="center"/>
                </w:tcPr>
                <w:p>
                  <w:pPr>
                    <w:spacing w:before="48" w:after="48" w:line="360" w:lineRule="auto"/>
                    <w:jc w:val="center"/>
                    <w:rPr>
                      <w:rFonts w:hint="default"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t</w:t>
                  </w:r>
                </w:p>
              </w:tc>
              <w:tc>
                <w:tcPr>
                  <w:tcW w:w="2957" w:type="dxa"/>
                  <w:gridSpan w:val="2"/>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8000</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11</w:t>
                  </w:r>
                </w:p>
              </w:tc>
              <w:tc>
                <w:tcPr>
                  <w:tcW w:w="1764"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single" w:color="auto"/>
                      <w:lang w:eastAsia="zh-CN"/>
                    </w:rPr>
                  </w:pPr>
                  <w:r>
                    <w:rPr>
                      <w:rFonts w:hint="eastAsia" w:eastAsia="宋体" w:cs="Times New Roman"/>
                      <w:color w:val="auto"/>
                      <w:sz w:val="22"/>
                      <w:szCs w:val="22"/>
                      <w:u w:val="single" w:color="auto"/>
                      <w:lang w:eastAsia="zh-CN"/>
                    </w:rPr>
                    <w:t>电</w:t>
                  </w:r>
                </w:p>
              </w:tc>
              <w:tc>
                <w:tcPr>
                  <w:tcW w:w="1265" w:type="dxa"/>
                  <w:tcBorders>
                    <w:tl2br w:val="nil"/>
                    <w:tr2bl w:val="nil"/>
                  </w:tcBorders>
                  <w:vAlign w:val="center"/>
                </w:tcPr>
                <w:p>
                  <w:pPr>
                    <w:spacing w:before="48" w:after="48" w:line="360" w:lineRule="auto"/>
                    <w:jc w:val="center"/>
                    <w:rPr>
                      <w:rFonts w:hint="default"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KWA/a</w:t>
                  </w:r>
                </w:p>
              </w:tc>
              <w:tc>
                <w:tcPr>
                  <w:tcW w:w="2957" w:type="dxa"/>
                  <w:gridSpan w:val="2"/>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50万</w:t>
                  </w:r>
                </w:p>
              </w:tc>
              <w:tc>
                <w:tcPr>
                  <w:tcW w:w="2024" w:type="dxa"/>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8" w:type="dxa"/>
                  <w:tcBorders>
                    <w:tl2br w:val="nil"/>
                    <w:tr2bl w:val="nil"/>
                  </w:tcBorders>
                  <w:vAlign w:val="center"/>
                </w:tcPr>
                <w:p>
                  <w:pPr>
                    <w:pStyle w:val="170"/>
                    <w:spacing w:before="48" w:after="48" w:line="360" w:lineRule="auto"/>
                    <w:rPr>
                      <w:rFonts w:hint="default"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12</w:t>
                  </w:r>
                </w:p>
              </w:tc>
              <w:tc>
                <w:tcPr>
                  <w:tcW w:w="1764" w:type="dxa"/>
                  <w:tcBorders>
                    <w:tl2br w:val="nil"/>
                    <w:tr2bl w:val="nil"/>
                  </w:tcBorders>
                  <w:vAlign w:val="center"/>
                </w:tcPr>
                <w:p>
                  <w:pPr>
                    <w:pStyle w:val="170"/>
                    <w:spacing w:before="48" w:after="48" w:line="360" w:lineRule="auto"/>
                    <w:rPr>
                      <w:rFonts w:hint="eastAsia" w:eastAsia="宋体" w:cs="Times New Roman"/>
                      <w:color w:val="auto"/>
                      <w:sz w:val="22"/>
                      <w:szCs w:val="22"/>
                      <w:u w:val="single" w:color="auto"/>
                      <w:lang w:eastAsia="zh-CN"/>
                    </w:rPr>
                  </w:pPr>
                  <w:r>
                    <w:rPr>
                      <w:rFonts w:hint="eastAsia" w:eastAsia="宋体" w:cs="Times New Roman"/>
                      <w:color w:val="auto"/>
                      <w:sz w:val="22"/>
                      <w:szCs w:val="22"/>
                      <w:u w:val="single" w:color="auto"/>
                      <w:lang w:eastAsia="zh-CN"/>
                    </w:rPr>
                    <w:t>液化石油气</w:t>
                  </w:r>
                </w:p>
              </w:tc>
              <w:tc>
                <w:tcPr>
                  <w:tcW w:w="1265" w:type="dxa"/>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t</w:t>
                  </w:r>
                </w:p>
              </w:tc>
              <w:tc>
                <w:tcPr>
                  <w:tcW w:w="2957" w:type="dxa"/>
                  <w:gridSpan w:val="2"/>
                  <w:tcBorders>
                    <w:tl2br w:val="nil"/>
                    <w:tr2bl w:val="nil"/>
                  </w:tcBorders>
                  <w:vAlign w:val="center"/>
                </w:tcPr>
                <w:p>
                  <w:pPr>
                    <w:pStyle w:val="170"/>
                    <w:spacing w:before="48" w:after="48" w:line="360" w:lineRule="auto"/>
                    <w:rPr>
                      <w:rFonts w:hint="default" w:eastAsia="宋体" w:cs="Times New Roman"/>
                      <w:color w:val="auto"/>
                      <w:sz w:val="22"/>
                      <w:szCs w:val="22"/>
                      <w:u w:val="single" w:color="auto"/>
                      <w:lang w:val="en-US" w:eastAsia="zh-CN"/>
                    </w:rPr>
                  </w:pPr>
                  <w:r>
                    <w:rPr>
                      <w:rFonts w:hint="eastAsia" w:eastAsia="宋体" w:cs="Times New Roman"/>
                      <w:color w:val="auto"/>
                      <w:sz w:val="22"/>
                      <w:szCs w:val="22"/>
                      <w:u w:val="single" w:color="auto"/>
                      <w:lang w:val="en-US" w:eastAsia="zh-CN"/>
                    </w:rPr>
                    <w:t>4.2</w:t>
                  </w:r>
                </w:p>
              </w:tc>
              <w:tc>
                <w:tcPr>
                  <w:tcW w:w="2024" w:type="dxa"/>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外购，用于喷塑后烘干和耐高温检测供热</w:t>
                  </w:r>
                </w:p>
              </w:tc>
            </w:tr>
          </w:tbl>
          <w:p>
            <w:pPr>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表1-5</w:t>
            </w:r>
            <w:r>
              <w:rPr>
                <w:rFonts w:hint="default" w:ascii="Times New Roman" w:hAnsi="Times New Roman" w:cs="Times New Roman"/>
                <w:color w:val="auto"/>
                <w:u w:val="none" w:color="auto"/>
              </w:rPr>
              <w:t xml:space="preserve">  </w:t>
            </w:r>
            <w:r>
              <w:rPr>
                <w:rFonts w:hint="default" w:ascii="Times New Roman" w:hAnsi="Times New Roman" w:cs="Times New Roman"/>
                <w:b/>
                <w:color w:val="auto"/>
                <w:sz w:val="24"/>
                <w:szCs w:val="24"/>
                <w:u w:val="none" w:color="auto"/>
              </w:rPr>
              <w:t>主要原辅材料的理化性质</w:t>
            </w:r>
          </w:p>
          <w:tbl>
            <w:tblPr>
              <w:tblStyle w:val="40"/>
              <w:tblW w:w="90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5"/>
              <w:gridCol w:w="1654"/>
              <w:gridCol w:w="64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7" w:hRule="atLeast"/>
              </w:trPr>
              <w:tc>
                <w:tcPr>
                  <w:tcW w:w="945"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序号</w:t>
                  </w:r>
                </w:p>
              </w:tc>
              <w:tc>
                <w:tcPr>
                  <w:tcW w:w="1654"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类别</w:t>
                  </w:r>
                </w:p>
              </w:tc>
              <w:tc>
                <w:tcPr>
                  <w:tcW w:w="6469"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理化性质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45"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1</w:t>
                  </w:r>
                </w:p>
              </w:tc>
              <w:tc>
                <w:tcPr>
                  <w:tcW w:w="1654"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水性漆</w:t>
                  </w:r>
                </w:p>
              </w:tc>
              <w:tc>
                <w:tcPr>
                  <w:tcW w:w="6469"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both"/>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本项目采用水性防腐底面合一漆， 是以水溶性合成树脂为基料，加水、颜料、填料、助剂等，经研磨、分散而成的涂料。其中水性聚氨酯醇酸树脂 35%，磷酸锌 20%，硫酸钡 12.5%，乙二醇丁醚 1%、乙胺约 1%，去离子水 32.5%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94" w:hRule="atLeast"/>
              </w:trPr>
              <w:tc>
                <w:tcPr>
                  <w:tcW w:w="945"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sz w:val="22"/>
                      <w:szCs w:val="22"/>
                      <w:u w:val="single" w:color="auto"/>
                      <w:lang w:val="en-US" w:eastAsia="zh-CN"/>
                    </w:rPr>
                    <w:t>2</w:t>
                  </w:r>
                </w:p>
              </w:tc>
              <w:tc>
                <w:tcPr>
                  <w:tcW w:w="1654"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eastAsia="zh-CN"/>
                    </w:rPr>
                  </w:pPr>
                  <w:r>
                    <w:rPr>
                      <w:rFonts w:hint="default" w:ascii="Times New Roman" w:hAnsi="Times New Roman" w:eastAsia="宋体" w:cs="Times New Roman"/>
                      <w:color w:val="auto"/>
                      <w:sz w:val="22"/>
                      <w:szCs w:val="22"/>
                      <w:u w:val="single" w:color="auto"/>
                      <w:lang w:eastAsia="zh-CN"/>
                    </w:rPr>
                    <w:t>塑粉</w:t>
                  </w:r>
                </w:p>
              </w:tc>
              <w:tc>
                <w:tcPr>
                  <w:tcW w:w="646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热固性粉末（酚醛树脂），也叫</w:t>
                  </w:r>
                  <w:r>
                    <w:rPr>
                      <w:rFonts w:hint="default" w:ascii="Times New Roman" w:hAnsi="Times New Roman" w:eastAsia="宋体" w:cs="Times New Roman"/>
                      <w:color w:val="auto"/>
                      <w:sz w:val="22"/>
                      <w:szCs w:val="22"/>
                      <w:u w:val="single" w:color="auto"/>
                    </w:rPr>
                    <w:fldChar w:fldCharType="begin"/>
                  </w:r>
                  <w:r>
                    <w:rPr>
                      <w:rFonts w:hint="default" w:ascii="Times New Roman" w:hAnsi="Times New Roman" w:eastAsia="宋体" w:cs="Times New Roman"/>
                      <w:color w:val="auto"/>
                      <w:sz w:val="22"/>
                      <w:szCs w:val="22"/>
                      <w:u w:val="single" w:color="auto"/>
                    </w:rPr>
                    <w:instrText xml:space="preserve"> HYPERLINK "https://baike.sogou.com/lemma/ShowInnerLink.htm?lemmaId=180592&amp;ss_c=ssc.citiao.link" \t "_blank" </w:instrText>
                  </w:r>
                  <w:r>
                    <w:rPr>
                      <w:rFonts w:hint="default" w:ascii="Times New Roman" w:hAnsi="Times New Roman" w:eastAsia="宋体" w:cs="Times New Roman"/>
                      <w:color w:val="auto"/>
                      <w:sz w:val="22"/>
                      <w:szCs w:val="22"/>
                      <w:u w:val="single" w:color="auto"/>
                    </w:rPr>
                    <w:fldChar w:fldCharType="separate"/>
                  </w:r>
                  <w:r>
                    <w:rPr>
                      <w:rFonts w:hint="default" w:ascii="Times New Roman" w:hAnsi="Times New Roman" w:eastAsia="宋体" w:cs="Times New Roman"/>
                      <w:color w:val="auto"/>
                      <w:sz w:val="22"/>
                      <w:szCs w:val="22"/>
                      <w:u w:val="single" w:color="auto"/>
                    </w:rPr>
                    <w:t>电木</w:t>
                  </w:r>
                  <w:r>
                    <w:rPr>
                      <w:rFonts w:hint="default" w:ascii="Times New Roman" w:hAnsi="Times New Roman" w:eastAsia="宋体" w:cs="Times New Roman"/>
                      <w:color w:val="auto"/>
                      <w:sz w:val="22"/>
                      <w:szCs w:val="22"/>
                      <w:u w:val="single" w:color="auto"/>
                    </w:rPr>
                    <w:fldChar w:fldCharType="end"/>
                  </w:r>
                  <w:r>
                    <w:rPr>
                      <w:rFonts w:hint="default" w:ascii="Times New Roman" w:hAnsi="Times New Roman" w:eastAsia="宋体" w:cs="Times New Roman"/>
                      <w:color w:val="auto"/>
                      <w:sz w:val="22"/>
                      <w:szCs w:val="22"/>
                      <w:u w:val="single" w:color="auto"/>
                    </w:rPr>
                    <w:t>。为无色或黄褐色透明物，有颗粒、粉末状。耐弱酸和弱碱，遇强酸发生分解，遇强碱发生腐蚀。不溶于水，溶于丙酮、酒精等有机溶剂中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94" w:hRule="atLeast"/>
              </w:trPr>
              <w:tc>
                <w:tcPr>
                  <w:tcW w:w="945"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3</w:t>
                  </w:r>
                </w:p>
              </w:tc>
              <w:tc>
                <w:tcPr>
                  <w:tcW w:w="1654"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绝缘漆</w:t>
                  </w:r>
                </w:p>
              </w:tc>
              <w:tc>
                <w:tcPr>
                  <w:tcW w:w="646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rFonts w:hint="eastAsia"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kern w:val="2"/>
                      <w:sz w:val="22"/>
                      <w:szCs w:val="22"/>
                      <w:u w:val="single" w:color="auto"/>
                      <w:lang w:val="en-US" w:eastAsia="zh-CN" w:bidi="ar-SA"/>
                    </w:rPr>
                    <w:t xml:space="preserve"> 是一种具有优良电绝缘性的涂料。它有良好的电化性能、热性能、机械性能和化学性能, 多为清漆, 也有色漆。绝缘漆是漆类中的一种特种漆。 绝缘漆是以</w:t>
                  </w:r>
                  <w:r>
                    <w:rPr>
                      <w:rFonts w:hint="default" w:ascii="Times New Roman" w:hAnsi="Times New Roman" w:eastAsia="宋体" w:cs="Times New Roman"/>
                      <w:color w:val="auto"/>
                      <w:kern w:val="2"/>
                      <w:sz w:val="22"/>
                      <w:szCs w:val="22"/>
                      <w:u w:val="single" w:color="auto"/>
                      <w:lang w:val="en-US" w:eastAsia="zh-CN" w:bidi="ar-SA"/>
                    </w:rPr>
                    <w:fldChar w:fldCharType="begin"/>
                  </w:r>
                  <w:r>
                    <w:rPr>
                      <w:rFonts w:hint="default" w:ascii="Times New Roman" w:hAnsi="Times New Roman" w:eastAsia="宋体" w:cs="Times New Roman"/>
                      <w:color w:val="auto"/>
                      <w:kern w:val="2"/>
                      <w:sz w:val="22"/>
                      <w:szCs w:val="22"/>
                      <w:u w:val="single" w:color="auto"/>
                      <w:lang w:val="en-US" w:eastAsia="zh-CN" w:bidi="ar-SA"/>
                    </w:rPr>
                    <w:instrText xml:space="preserve"> HYPERLINK "https://baike.baidu.com/item/%E9%AB%98%E5%88%86%E5%AD%90%E8%81%9A%E5%90%88%E7%89%A9/10404353" \t "https://baike.baidu.com/item/%E7%BB%9D%E7%BC%98%E6%BC%86/_blank" </w:instrText>
                  </w:r>
                  <w:r>
                    <w:rPr>
                      <w:rFonts w:hint="default" w:ascii="Times New Roman" w:hAnsi="Times New Roman" w:eastAsia="宋体" w:cs="Times New Roman"/>
                      <w:color w:val="auto"/>
                      <w:kern w:val="2"/>
                      <w:sz w:val="22"/>
                      <w:szCs w:val="22"/>
                      <w:u w:val="single" w:color="auto"/>
                      <w:lang w:val="en-US" w:eastAsia="zh-CN" w:bidi="ar-SA"/>
                    </w:rPr>
                    <w:fldChar w:fldCharType="separate"/>
                  </w:r>
                  <w:r>
                    <w:rPr>
                      <w:rFonts w:hint="default" w:ascii="Times New Roman" w:hAnsi="Times New Roman" w:eastAsia="宋体" w:cs="Times New Roman"/>
                      <w:color w:val="auto"/>
                      <w:kern w:val="2"/>
                      <w:sz w:val="22"/>
                      <w:szCs w:val="22"/>
                      <w:u w:val="single" w:color="auto"/>
                      <w:lang w:val="en-US" w:eastAsia="zh-CN" w:bidi="ar-SA"/>
                    </w:rPr>
                    <w:t>高分子聚合物</w:t>
                  </w:r>
                  <w:r>
                    <w:rPr>
                      <w:rFonts w:hint="default" w:ascii="Times New Roman" w:hAnsi="Times New Roman" w:eastAsia="宋体" w:cs="Times New Roman"/>
                      <w:color w:val="auto"/>
                      <w:kern w:val="2"/>
                      <w:sz w:val="22"/>
                      <w:szCs w:val="22"/>
                      <w:u w:val="single" w:color="auto"/>
                      <w:lang w:val="en-US" w:eastAsia="zh-CN" w:bidi="ar-SA"/>
                    </w:rPr>
                    <w:fldChar w:fldCharType="end"/>
                  </w:r>
                  <w:r>
                    <w:rPr>
                      <w:rFonts w:hint="default" w:ascii="Times New Roman" w:hAnsi="Times New Roman" w:eastAsia="宋体" w:cs="Times New Roman"/>
                      <w:color w:val="auto"/>
                      <w:kern w:val="2"/>
                      <w:sz w:val="22"/>
                      <w:szCs w:val="22"/>
                      <w:u w:val="single" w:color="auto"/>
                      <w:lang w:val="en-US" w:eastAsia="zh-CN" w:bidi="ar-SA"/>
                    </w:rPr>
                    <w:t>为基础，能在一定的条件下固化成绝缘膜或</w:t>
                  </w:r>
                  <w:r>
                    <w:rPr>
                      <w:rFonts w:hint="default" w:ascii="Times New Roman" w:hAnsi="Times New Roman" w:eastAsia="宋体" w:cs="Times New Roman"/>
                      <w:color w:val="auto"/>
                      <w:kern w:val="2"/>
                      <w:sz w:val="22"/>
                      <w:szCs w:val="22"/>
                      <w:u w:val="single" w:color="auto"/>
                      <w:lang w:val="en-US" w:eastAsia="zh-CN" w:bidi="ar-SA"/>
                    </w:rPr>
                    <w:fldChar w:fldCharType="begin"/>
                  </w:r>
                  <w:r>
                    <w:rPr>
                      <w:rFonts w:hint="default" w:ascii="Times New Roman" w:hAnsi="Times New Roman" w:eastAsia="宋体" w:cs="Times New Roman"/>
                      <w:color w:val="auto"/>
                      <w:kern w:val="2"/>
                      <w:sz w:val="22"/>
                      <w:szCs w:val="22"/>
                      <w:u w:val="single" w:color="auto"/>
                      <w:lang w:val="en-US" w:eastAsia="zh-CN" w:bidi="ar-SA"/>
                    </w:rPr>
                    <w:instrText xml:space="preserve"> HYPERLINK "https://baike.baidu.com/item/%E7%BB%9D%E7%BC%98/13466698" \t "https://baike.baidu.com/item/%E7%BB%9D%E7%BC%98%E6%BC%86/_blank" </w:instrText>
                  </w:r>
                  <w:r>
                    <w:rPr>
                      <w:rFonts w:hint="default" w:ascii="Times New Roman" w:hAnsi="Times New Roman" w:eastAsia="宋体" w:cs="Times New Roman"/>
                      <w:color w:val="auto"/>
                      <w:kern w:val="2"/>
                      <w:sz w:val="22"/>
                      <w:szCs w:val="22"/>
                      <w:u w:val="single" w:color="auto"/>
                      <w:lang w:val="en-US" w:eastAsia="zh-CN" w:bidi="ar-SA"/>
                    </w:rPr>
                    <w:fldChar w:fldCharType="separate"/>
                  </w:r>
                  <w:r>
                    <w:rPr>
                      <w:rFonts w:hint="default" w:ascii="Times New Roman" w:hAnsi="Times New Roman" w:eastAsia="宋体" w:cs="Times New Roman"/>
                      <w:color w:val="auto"/>
                      <w:kern w:val="2"/>
                      <w:sz w:val="22"/>
                      <w:szCs w:val="22"/>
                      <w:u w:val="single" w:color="auto"/>
                      <w:lang w:val="en-US" w:eastAsia="zh-CN" w:bidi="ar-SA"/>
                    </w:rPr>
                    <w:t>绝缘</w:t>
                  </w:r>
                  <w:r>
                    <w:rPr>
                      <w:rFonts w:hint="default" w:ascii="Times New Roman" w:hAnsi="Times New Roman" w:eastAsia="宋体" w:cs="Times New Roman"/>
                      <w:color w:val="auto"/>
                      <w:kern w:val="2"/>
                      <w:sz w:val="22"/>
                      <w:szCs w:val="22"/>
                      <w:u w:val="single" w:color="auto"/>
                      <w:lang w:val="en-US" w:eastAsia="zh-CN" w:bidi="ar-SA"/>
                    </w:rPr>
                    <w:fldChar w:fldCharType="end"/>
                  </w:r>
                  <w:r>
                    <w:rPr>
                      <w:rFonts w:hint="default" w:ascii="Times New Roman" w:hAnsi="Times New Roman" w:eastAsia="宋体" w:cs="Times New Roman"/>
                      <w:color w:val="auto"/>
                      <w:kern w:val="2"/>
                      <w:sz w:val="22"/>
                      <w:szCs w:val="22"/>
                      <w:u w:val="single" w:color="auto"/>
                      <w:lang w:val="en-US" w:eastAsia="zh-CN" w:bidi="ar-SA"/>
                    </w:rPr>
                    <w:t>整体的重要绝缘材料。绝缘漆由基料、阻燃剂、</w:t>
                  </w:r>
                  <w:r>
                    <w:rPr>
                      <w:rFonts w:hint="eastAsia" w:cs="Times New Roman"/>
                      <w:color w:val="auto"/>
                      <w:kern w:val="2"/>
                      <w:sz w:val="22"/>
                      <w:szCs w:val="22"/>
                      <w:u w:val="single" w:color="auto"/>
                      <w:lang w:val="en-US" w:eastAsia="zh-CN" w:bidi="ar-SA"/>
                    </w:rPr>
                    <w:t>固化剂</w:t>
                  </w:r>
                  <w:r>
                    <w:rPr>
                      <w:rFonts w:hint="default" w:ascii="Times New Roman" w:hAnsi="Times New Roman" w:eastAsia="宋体" w:cs="Times New Roman"/>
                      <w:color w:val="auto"/>
                      <w:kern w:val="2"/>
                      <w:sz w:val="22"/>
                      <w:szCs w:val="22"/>
                      <w:u w:val="single" w:color="auto"/>
                      <w:lang w:val="en-US" w:eastAsia="zh-CN" w:bidi="ar-SA"/>
                    </w:rPr>
                    <w:t>、颜填料和溶剂等组成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94" w:hRule="atLeast"/>
              </w:trPr>
              <w:tc>
                <w:tcPr>
                  <w:tcW w:w="945"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4</w:t>
                  </w:r>
                </w:p>
              </w:tc>
              <w:tc>
                <w:tcPr>
                  <w:tcW w:w="1654"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稀释剂</w:t>
                  </w:r>
                </w:p>
              </w:tc>
              <w:tc>
                <w:tcPr>
                  <w:tcW w:w="646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rFonts w:hint="default" w:ascii="Times New Roman" w:hAnsi="Times New Roman" w:eastAsia="宋体" w:cs="Times New Roman"/>
                      <w:color w:val="auto"/>
                      <w:kern w:val="2"/>
                      <w:sz w:val="22"/>
                      <w:szCs w:val="22"/>
                      <w:u w:val="single" w:color="auto"/>
                      <w:lang w:val="en-US" w:eastAsia="zh-CN" w:bidi="ar-SA"/>
                    </w:rPr>
                  </w:pPr>
                  <w:r>
                    <w:rPr>
                      <w:u w:val="single" w:color="auto"/>
                    </w:rPr>
                    <w:t>用于调稀油漆，以便能够用喷枪进行喷漆。无色透明易挥发的液体，有较浓的香，主要成分是二甲苯，其中二甲苯含量为45%，其他酮类和乙酸丁酯含量55%，挥发性极强易燃易爆有毒，是危险品，微溶于水，能溶于各种有机溶剂，易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94" w:hRule="atLeast"/>
              </w:trPr>
              <w:tc>
                <w:tcPr>
                  <w:tcW w:w="945"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5</w:t>
                  </w:r>
                </w:p>
              </w:tc>
              <w:tc>
                <w:tcPr>
                  <w:tcW w:w="1654" w:type="dxa"/>
                  <w:vAlign w:val="center"/>
                </w:tcPr>
                <w:p>
                  <w:pPr>
                    <w:pStyle w:val="33"/>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液化石油气</w:t>
                  </w:r>
                </w:p>
              </w:tc>
              <w:tc>
                <w:tcPr>
                  <w:tcW w:w="6469" w:type="dxa"/>
                  <w:vAlign w:val="center"/>
                </w:tcPr>
                <w:p>
                  <w:pPr>
                    <w:keepNext w:val="0"/>
                    <w:keepLines w:val="0"/>
                    <w:widowControl/>
                    <w:suppressLineNumbers w:val="0"/>
                    <w:shd w:val="clear" w:fill="FFFFFF"/>
                    <w:spacing w:after="225" w:afterAutospacing="0" w:line="360" w:lineRule="atLeast"/>
                    <w:jc w:val="left"/>
                    <w:rPr>
                      <w:u w:val="single" w:color="auto"/>
                    </w:rPr>
                  </w:pP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液化石油气是在</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"https://baike.baidu.com/item/%E7%82%BC%E6%B2%B9%E5%8E%82/3170520"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炼油厂</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内，由</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"https://baike.baidu.com/item/%E5%A4%A9%E7%84%B6%E6%B0%94/36482"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天然气</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或者</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"https://baike.baidu.com/item/%E7%9F%B3%E6%B2%B9/322780"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石油</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进行加压降温</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"https://baike.baidu.com/item/%E6%B6%B2%E5%8C%96/875256"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液化</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所得到的一种无色</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"https://baike.baidu.com/item/%E6%8C%A5%E5%8F%91%E6%80%A7/7644527"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挥发性</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液体，液化石油气的主要成分是丙烷和丁烷。它极易</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"https://baike.baidu.com/item/%E8%87%AA%E7%87%83/1377153"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自燃</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，当其在空气中的含量达到了一定的</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"https://baike.baidu.com/item/%E6%B5%93%E5%BA%A6/1143380"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浓度</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范围后，它遇到</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"https://baike.baidu.com/item/%E6%98%8E%E7%81%AB/92020"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明火</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就能爆炸。外观与性状：无色气体或黄棕色油状液体有特殊臭味，贮存于耐高压的钢罐中，使用时拧开液化气罐的阀门，可燃性的</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"https://baike.baidu.com/item/%E7%A2%B3%E6%B0%A2%E5%8C%96%E5%90%88%E7%89%A9%E6%B0%94%E4%BD%93"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碳氢化合物气体</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就会通过管道进入</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"https://baike.baidu.com/item/%E7%87%83%E7%83%A7%E5%99%A8"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燃烧器</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。点燃后形成淡蓝色</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begin"/>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instrText xml:space="preserve"> HYPERLINK "https://baike.baidu.com/item/%E7%81%AB%E7%84%B0" \t "https://baike.baidu.com/item/%E6%B6%B2%E5%8C%96%E7%9F%B3%E6%B2%B9%E6%B0%94/_blank" </w:instrTex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separate"/>
                  </w:r>
                  <w:r>
                    <w:rPr>
                      <w:rStyle w:val="48"/>
                      <w:rFonts w:hint="default" w:ascii="Times New Roman" w:hAnsi="Times New Roman" w:eastAsia="宋体" w:cs="Times New Roman"/>
                      <w:i w:val="0"/>
                      <w:caps w:val="0"/>
                      <w:color w:val="auto"/>
                      <w:spacing w:val="0"/>
                      <w:sz w:val="22"/>
                      <w:szCs w:val="22"/>
                      <w:u w:val="single" w:color="auto"/>
                      <w:shd w:val="clear" w:fill="FFFFFF"/>
                    </w:rPr>
                    <w:t>火焰</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fldChar w:fldCharType="end"/>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，燃烧过程中产生大量热（发热值约为92 100 kJ/m</w:t>
                  </w:r>
                  <w:r>
                    <w:rPr>
                      <w:rFonts w:hint="default" w:ascii="Times New Roman" w:hAnsi="Times New Roman" w:eastAsia="宋体" w:cs="Times New Roman"/>
                      <w:i w:val="0"/>
                      <w:caps w:val="0"/>
                      <w:color w:val="auto"/>
                      <w:spacing w:val="0"/>
                      <w:kern w:val="0"/>
                      <w:sz w:val="22"/>
                      <w:szCs w:val="22"/>
                      <w:u w:val="single" w:color="auto"/>
                      <w:shd w:val="clear" w:fill="FFFFFF"/>
                      <w:vertAlign w:val="superscript"/>
                      <w:lang w:val="en-US" w:eastAsia="zh-CN" w:bidi="ar"/>
                    </w:rPr>
                    <w:t>3</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-121 400 kJ/m</w:t>
                  </w:r>
                  <w:r>
                    <w:rPr>
                      <w:rFonts w:hint="default" w:ascii="Times New Roman" w:hAnsi="Times New Roman" w:eastAsia="宋体" w:cs="Times New Roman"/>
                      <w:i w:val="0"/>
                      <w:caps w:val="0"/>
                      <w:color w:val="auto"/>
                      <w:spacing w:val="0"/>
                      <w:kern w:val="0"/>
                      <w:sz w:val="22"/>
                      <w:szCs w:val="22"/>
                      <w:u w:val="single" w:color="auto"/>
                      <w:shd w:val="clear" w:fill="FFFFFF"/>
                      <w:vertAlign w:val="superscript"/>
                      <w:lang w:val="en-US" w:eastAsia="zh-CN" w:bidi="ar"/>
                    </w:rPr>
                    <w:t>3</w:t>
                  </w:r>
                  <w:r>
                    <w:rPr>
                      <w:rFonts w:hint="default" w:ascii="Times New Roman" w:hAnsi="Times New Roman" w:eastAsia="宋体" w:cs="Times New Roman"/>
                      <w:i w:val="0"/>
                      <w:caps w:val="0"/>
                      <w:color w:val="auto"/>
                      <w:spacing w:val="0"/>
                      <w:kern w:val="0"/>
                      <w:sz w:val="22"/>
                      <w:szCs w:val="22"/>
                      <w:u w:val="single" w:color="auto"/>
                      <w:shd w:val="clear" w:fill="FFFFFF"/>
                      <w:lang w:val="en-US" w:eastAsia="zh-CN" w:bidi="ar"/>
                    </w:rPr>
                    <w:t>）</w:t>
                  </w:r>
                  <w:r>
                    <w:rPr>
                      <w:rFonts w:hint="default" w:ascii="Times New Roman" w:hAnsi="Times New Roman" w:eastAsia="宋体" w:cs="Times New Roman"/>
                      <w:i w:val="0"/>
                      <w:caps w:val="0"/>
                      <w:color w:val="auto"/>
                      <w:spacing w:val="0"/>
                      <w:kern w:val="0"/>
                      <w:sz w:val="22"/>
                      <w:szCs w:val="22"/>
                      <w:u w:val="single" w:color="auto"/>
                      <w:shd w:val="clear" w:fill="FFFFFF"/>
                      <w:vertAlign w:val="baseline"/>
                      <w:lang w:val="en-US" w:eastAsia="zh-CN" w:bidi="ar"/>
                    </w:rPr>
                    <w:t> </w:t>
                  </w:r>
                </w:p>
              </w:tc>
            </w:tr>
          </w:tbl>
          <w:p>
            <w:pPr>
              <w:pStyle w:val="33"/>
              <w:spacing w:line="360" w:lineRule="auto"/>
              <w:ind w:left="0" w:leftChars="0" w:firstLine="482" w:firstLineChars="200"/>
              <w:rPr>
                <w:rFonts w:hint="default" w:ascii="Times New Roman" w:hAnsi="Times New Roman" w:cs="Times New Roman"/>
                <w:color w:val="auto"/>
                <w:sz w:val="24"/>
                <w:u w:val="none" w:color="auto"/>
              </w:rPr>
            </w:pPr>
            <w:r>
              <w:rPr>
                <w:rFonts w:hint="default" w:ascii="Times New Roman" w:hAnsi="Times New Roman" w:cs="Times New Roman"/>
                <w:b/>
                <w:color w:val="auto"/>
                <w:sz w:val="24"/>
                <w:u w:val="none" w:color="auto"/>
              </w:rPr>
              <w:t>6、公用工程：</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（1）用水</w:t>
            </w:r>
          </w:p>
          <w:p>
            <w:pPr>
              <w:snapToGrid w:val="0"/>
              <w:spacing w:line="360" w:lineRule="auto"/>
              <w:ind w:firstLine="480" w:firstLineChars="200"/>
              <w:rPr>
                <w:rFonts w:hint="default" w:ascii="Times New Roman" w:hAnsi="Times New Roman" w:cs="Times New Roman"/>
                <w:b/>
                <w:color w:val="auto"/>
                <w:u w:val="none" w:color="auto"/>
              </w:rPr>
            </w:pPr>
            <w:r>
              <w:rPr>
                <w:rFonts w:hint="default" w:ascii="Times New Roman" w:hAnsi="Times New Roman" w:cs="Times New Roman"/>
                <w:color w:val="auto"/>
                <w:sz w:val="24"/>
                <w:szCs w:val="24"/>
                <w:u w:val="none" w:color="auto"/>
              </w:rPr>
              <w:t>本项目给水水源来自市政给水管网，本项目用水包括职工生活</w:t>
            </w:r>
            <w:r>
              <w:rPr>
                <w:rFonts w:hint="eastAsia" w:cs="Times New Roman"/>
                <w:color w:val="auto"/>
                <w:sz w:val="24"/>
                <w:szCs w:val="24"/>
                <w:u w:val="none" w:color="auto"/>
                <w:lang w:eastAsia="zh-CN"/>
              </w:rPr>
              <w:t>、办公</w:t>
            </w:r>
            <w:r>
              <w:rPr>
                <w:rFonts w:hint="default" w:ascii="Times New Roman" w:hAnsi="Times New Roman" w:cs="Times New Roman"/>
                <w:color w:val="auto"/>
                <w:sz w:val="24"/>
                <w:szCs w:val="24"/>
                <w:u w:val="none" w:color="auto"/>
              </w:rPr>
              <w:t>用水，</w:t>
            </w:r>
            <w:r>
              <w:rPr>
                <w:rFonts w:hint="default" w:ascii="Times New Roman" w:hAnsi="Times New Roman" w:cs="Times New Roman"/>
                <w:bCs/>
                <w:color w:val="auto"/>
                <w:sz w:val="24"/>
                <w:u w:val="none" w:color="auto"/>
              </w:rPr>
              <w:t>本项目营运期劳动定员</w:t>
            </w:r>
            <w:r>
              <w:rPr>
                <w:rFonts w:hint="eastAsia" w:cs="Times New Roman"/>
                <w:bCs/>
                <w:color w:val="auto"/>
                <w:sz w:val="24"/>
                <w:u w:val="none" w:color="auto"/>
                <w:lang w:val="en-US" w:eastAsia="zh-CN"/>
              </w:rPr>
              <w:t>200</w:t>
            </w:r>
            <w:r>
              <w:rPr>
                <w:rFonts w:hint="default" w:ascii="Times New Roman" w:hAnsi="Times New Roman" w:cs="Times New Roman"/>
                <w:bCs/>
                <w:color w:val="auto"/>
                <w:sz w:val="24"/>
                <w:u w:val="none" w:color="auto"/>
              </w:rPr>
              <w:t>人，</w:t>
            </w:r>
            <w:r>
              <w:rPr>
                <w:rFonts w:hint="eastAsia" w:cs="Times New Roman"/>
                <w:bCs/>
                <w:color w:val="auto"/>
                <w:sz w:val="24"/>
                <w:u w:val="none" w:color="auto"/>
                <w:lang w:eastAsia="zh-CN"/>
              </w:rPr>
              <w:t>均在</w:t>
            </w:r>
            <w:r>
              <w:rPr>
                <w:rFonts w:hint="default" w:ascii="Times New Roman" w:hAnsi="Times New Roman" w:cs="Times New Roman"/>
                <w:bCs/>
                <w:color w:val="auto"/>
                <w:sz w:val="24"/>
                <w:u w:val="none" w:color="auto"/>
              </w:rPr>
              <w:t>厂区</w:t>
            </w:r>
            <w:r>
              <w:rPr>
                <w:rFonts w:hint="eastAsia" w:cs="Times New Roman"/>
                <w:bCs/>
                <w:color w:val="auto"/>
                <w:sz w:val="24"/>
                <w:u w:val="none" w:color="auto"/>
                <w:lang w:eastAsia="zh-CN"/>
              </w:rPr>
              <w:t>就餐，其中</w:t>
            </w:r>
            <w:r>
              <w:rPr>
                <w:rFonts w:hint="eastAsia" w:cs="Times New Roman"/>
                <w:bCs/>
                <w:color w:val="auto"/>
                <w:sz w:val="24"/>
                <w:u w:val="none" w:color="auto"/>
                <w:lang w:val="en-US" w:eastAsia="zh-CN"/>
              </w:rPr>
              <w:t>150人在厂内住</w:t>
            </w:r>
            <w:r>
              <w:rPr>
                <w:rFonts w:hint="default" w:ascii="Times New Roman" w:hAnsi="Times New Roman" w:cs="Times New Roman"/>
                <w:bCs/>
                <w:color w:val="auto"/>
                <w:sz w:val="24"/>
                <w:u w:val="none" w:color="auto"/>
              </w:rPr>
              <w:t>宿，根据《湖南省用水定额》（DB43T388-2014）的规定，生活用水量按50L/人•d计</w:t>
            </w:r>
            <w:r>
              <w:rPr>
                <w:rFonts w:hint="eastAsia" w:cs="Times New Roman"/>
                <w:bCs/>
                <w:color w:val="auto"/>
                <w:sz w:val="24"/>
                <w:u w:val="none" w:color="auto"/>
                <w:lang w:eastAsia="zh-CN"/>
              </w:rPr>
              <w:t>（不住宿），住宿按</w:t>
            </w:r>
            <w:r>
              <w:rPr>
                <w:rFonts w:hint="eastAsia" w:cs="Times New Roman"/>
                <w:bCs/>
                <w:color w:val="auto"/>
                <w:sz w:val="24"/>
                <w:u w:val="none" w:color="auto"/>
                <w:lang w:val="en-US" w:eastAsia="zh-CN"/>
              </w:rPr>
              <w:t>1</w:t>
            </w:r>
            <w:r>
              <w:rPr>
                <w:rFonts w:hint="default" w:ascii="Times New Roman" w:hAnsi="Times New Roman" w:cs="Times New Roman"/>
                <w:bCs/>
                <w:color w:val="auto"/>
                <w:sz w:val="24"/>
                <w:u w:val="none" w:color="auto"/>
              </w:rPr>
              <w:t>50L/人•d计，则生活用水量为</w:t>
            </w:r>
            <w:r>
              <w:rPr>
                <w:rFonts w:hint="eastAsia" w:cs="Times New Roman"/>
                <w:bCs/>
                <w:color w:val="auto"/>
                <w:sz w:val="24"/>
                <w:u w:val="none" w:color="auto"/>
                <w:lang w:val="en-US" w:eastAsia="zh-CN"/>
              </w:rPr>
              <w:t>25</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/d，</w:t>
            </w:r>
            <w:r>
              <w:rPr>
                <w:rFonts w:hint="eastAsia" w:cs="Times New Roman"/>
                <w:bCs/>
                <w:color w:val="auto"/>
                <w:sz w:val="24"/>
                <w:u w:val="none" w:color="auto"/>
                <w:lang w:val="en-US" w:eastAsia="zh-CN"/>
              </w:rPr>
              <w:t>7500</w:t>
            </w:r>
            <w:r>
              <w:rPr>
                <w:rFonts w:hint="default" w:ascii="Times New Roman" w:hAnsi="Times New Roman" w:cs="Times New Roman"/>
                <w:bCs/>
                <w:color w:val="auto"/>
                <w:sz w:val="24"/>
                <w:u w:val="none" w:color="auto"/>
              </w:rPr>
              <w:t xml:space="preserve"> 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/a</w:t>
            </w:r>
            <w:r>
              <w:rPr>
                <w:rFonts w:hint="default" w:ascii="Times New Roman" w:hAnsi="Times New Roman" w:cs="Times New Roman"/>
                <w:color w:val="auto"/>
                <w:sz w:val="24"/>
                <w:szCs w:val="24"/>
                <w:u w:val="none" w:color="auto"/>
              </w:rPr>
              <w:t>。</w:t>
            </w:r>
            <w:r>
              <w:rPr>
                <w:rFonts w:hint="default" w:ascii="Times New Roman" w:hAnsi="Times New Roman" w:cs="Times New Roman"/>
                <w:bCs/>
                <w:color w:val="auto"/>
                <w:sz w:val="24"/>
                <w:u w:val="none" w:color="auto"/>
              </w:rPr>
              <w:t>本项目用水情况如表1-</w:t>
            </w:r>
            <w:r>
              <w:rPr>
                <w:rFonts w:hint="eastAsia" w:cs="Times New Roman"/>
                <w:bCs/>
                <w:color w:val="auto"/>
                <w:sz w:val="24"/>
                <w:u w:val="none" w:color="auto"/>
                <w:lang w:val="en-US" w:eastAsia="zh-CN"/>
              </w:rPr>
              <w:t>6</w:t>
            </w:r>
            <w:r>
              <w:rPr>
                <w:rFonts w:hint="default" w:ascii="Times New Roman" w:hAnsi="Times New Roman" w:cs="Times New Roman"/>
                <w:bCs/>
                <w:color w:val="auto"/>
                <w:sz w:val="24"/>
                <w:u w:val="none" w:color="auto"/>
              </w:rPr>
              <w:t>所示：</w:t>
            </w:r>
          </w:p>
          <w:p>
            <w:pPr>
              <w:pStyle w:val="171"/>
              <w:spacing w:line="240" w:lineRule="auto"/>
              <w:ind w:firstLine="482"/>
              <w:jc w:val="center"/>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表1-</w:t>
            </w:r>
            <w:r>
              <w:rPr>
                <w:rFonts w:hint="eastAsia" w:cs="Times New Roman"/>
                <w:b/>
                <w:color w:val="auto"/>
                <w:u w:val="none" w:color="auto"/>
                <w:lang w:val="en-US" w:eastAsia="zh-CN"/>
              </w:rPr>
              <w:t>6</w:t>
            </w:r>
            <w:r>
              <w:rPr>
                <w:rFonts w:hint="default" w:ascii="Times New Roman" w:hAnsi="Times New Roman" w:cs="Times New Roman"/>
                <w:b/>
                <w:color w:val="auto"/>
                <w:u w:val="none" w:color="auto"/>
              </w:rPr>
              <w:t xml:space="preserve"> 项目用水情况估算一览表</w:t>
            </w:r>
          </w:p>
          <w:tbl>
            <w:tblPr>
              <w:tblStyle w:val="39"/>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128"/>
              <w:gridCol w:w="713"/>
              <w:gridCol w:w="1273"/>
              <w:gridCol w:w="1416"/>
              <w:gridCol w:w="1844"/>
              <w:gridCol w:w="19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6" w:hRule="atLeast"/>
                <w:tblHeader/>
              </w:trPr>
              <w:tc>
                <w:tcPr>
                  <w:tcW w:w="737"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序号</w:t>
                  </w:r>
                </w:p>
              </w:tc>
              <w:tc>
                <w:tcPr>
                  <w:tcW w:w="1128"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项目</w:t>
                  </w:r>
                </w:p>
              </w:tc>
              <w:tc>
                <w:tcPr>
                  <w:tcW w:w="713"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人数</w:t>
                  </w:r>
                </w:p>
              </w:tc>
              <w:tc>
                <w:tcPr>
                  <w:tcW w:w="1273"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用水定额</w:t>
                  </w:r>
                </w:p>
              </w:tc>
              <w:tc>
                <w:tcPr>
                  <w:tcW w:w="1416"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年工作天数</w:t>
                  </w:r>
                </w:p>
              </w:tc>
              <w:tc>
                <w:tcPr>
                  <w:tcW w:w="1844"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日用水量（t/a）</w:t>
                  </w:r>
                </w:p>
              </w:tc>
              <w:tc>
                <w:tcPr>
                  <w:tcW w:w="1957"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年用水量（t/a）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737"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1128" w:type="dxa"/>
                  <w:vMerge w:val="restar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生活用水</w:t>
                  </w:r>
                </w:p>
              </w:tc>
              <w:tc>
                <w:tcPr>
                  <w:tcW w:w="713"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50</w:t>
                  </w:r>
                </w:p>
              </w:tc>
              <w:tc>
                <w:tcPr>
                  <w:tcW w:w="1273"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50 L/人·d</w:t>
                  </w:r>
                </w:p>
              </w:tc>
              <w:tc>
                <w:tcPr>
                  <w:tcW w:w="1416" w:type="dxa"/>
                  <w:vMerge w:val="restart"/>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300</w:t>
                  </w:r>
                </w:p>
              </w:tc>
              <w:tc>
                <w:tcPr>
                  <w:tcW w:w="1844"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2.5</w:t>
                  </w:r>
                </w:p>
              </w:tc>
              <w:tc>
                <w:tcPr>
                  <w:tcW w:w="1957"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750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737"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2</w:t>
                  </w:r>
                </w:p>
              </w:tc>
              <w:tc>
                <w:tcPr>
                  <w:tcW w:w="1128" w:type="dxa"/>
                  <w:vMerge w:val="continue"/>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p>
              </w:tc>
              <w:tc>
                <w:tcPr>
                  <w:tcW w:w="713"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150</w:t>
                  </w:r>
                </w:p>
              </w:tc>
              <w:tc>
                <w:tcPr>
                  <w:tcW w:w="1273" w:type="dxa"/>
                  <w:tcBorders>
                    <w:tl2br w:val="nil"/>
                    <w:tr2bl w:val="nil"/>
                  </w:tcBorders>
                  <w:vAlign w:val="center"/>
                </w:tcPr>
                <w:p>
                  <w:pPr>
                    <w:pStyle w:val="170"/>
                    <w:spacing w:before="48" w:after="48" w:line="360" w:lineRule="auto"/>
                    <w:jc w:val="center"/>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1</w:t>
                  </w:r>
                  <w:r>
                    <w:rPr>
                      <w:rFonts w:hint="default" w:ascii="Times New Roman" w:hAnsi="Times New Roman" w:cs="Times New Roman"/>
                      <w:color w:val="auto"/>
                      <w:sz w:val="21"/>
                      <w:szCs w:val="21"/>
                      <w:u w:val="none" w:color="auto"/>
                    </w:rPr>
                    <w:t>50 L/人·d</w:t>
                  </w:r>
                </w:p>
              </w:tc>
              <w:tc>
                <w:tcPr>
                  <w:tcW w:w="1416" w:type="dxa"/>
                  <w:vMerge w:val="continue"/>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rPr>
                  </w:pPr>
                </w:p>
              </w:tc>
              <w:tc>
                <w:tcPr>
                  <w:tcW w:w="1844"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22.5</w:t>
                  </w:r>
                </w:p>
              </w:tc>
              <w:tc>
                <w:tcPr>
                  <w:tcW w:w="1957"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6750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737"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1"/>
                      <w:szCs w:val="21"/>
                      <w:u w:val="none" w:color="auto"/>
                      <w:lang w:eastAsia="zh-CN"/>
                    </w:rPr>
                  </w:pPr>
                  <w:r>
                    <w:rPr>
                      <w:rFonts w:hint="eastAsia" w:eastAsia="宋体" w:cs="Times New Roman"/>
                      <w:color w:val="auto"/>
                      <w:sz w:val="21"/>
                      <w:szCs w:val="21"/>
                      <w:u w:val="none" w:color="auto"/>
                      <w:lang w:val="en-US" w:eastAsia="zh-CN"/>
                    </w:rPr>
                    <w:t>3</w:t>
                  </w:r>
                </w:p>
              </w:tc>
              <w:tc>
                <w:tcPr>
                  <w:tcW w:w="4530" w:type="dxa"/>
                  <w:gridSpan w:val="4"/>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合计</w:t>
                  </w:r>
                </w:p>
              </w:tc>
              <w:tc>
                <w:tcPr>
                  <w:tcW w:w="1844" w:type="dxa"/>
                  <w:tcBorders>
                    <w:tl2br w:val="nil"/>
                    <w:tr2bl w:val="nil"/>
                  </w:tcBorders>
                </w:tcPr>
                <w:p>
                  <w:pPr>
                    <w:pStyle w:val="170"/>
                    <w:spacing w:before="48" w:after="48" w:line="360" w:lineRule="auto"/>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25</w:t>
                  </w:r>
                </w:p>
              </w:tc>
              <w:tc>
                <w:tcPr>
                  <w:tcW w:w="1957" w:type="dxa"/>
                  <w:tcBorders>
                    <w:tl2br w:val="nil"/>
                    <w:tr2bl w:val="nil"/>
                  </w:tcBorders>
                </w:tcPr>
                <w:p>
                  <w:pPr>
                    <w:pStyle w:val="170"/>
                    <w:spacing w:before="48" w:after="48" w:line="360" w:lineRule="auto"/>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7500</w:t>
                  </w:r>
                </w:p>
              </w:tc>
            </w:tr>
          </w:tbl>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（2）排水</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color w:val="auto"/>
                <w:sz w:val="24"/>
                <w:szCs w:val="24"/>
                <w:u w:val="none" w:color="auto"/>
              </w:rPr>
              <w:t>本项目</w:t>
            </w:r>
            <w:r>
              <w:rPr>
                <w:rFonts w:hint="default" w:ascii="Times New Roman" w:hAnsi="Times New Roman" w:cs="Times New Roman"/>
                <w:bCs/>
                <w:color w:val="auto"/>
                <w:sz w:val="24"/>
                <w:szCs w:val="24"/>
                <w:u w:val="none" w:color="auto"/>
              </w:rPr>
              <w:t>生活污水按</w:t>
            </w:r>
            <w:r>
              <w:rPr>
                <w:rFonts w:hint="default" w:ascii="Times New Roman" w:hAnsi="Times New Roman" w:cs="Times New Roman"/>
                <w:color w:val="auto"/>
                <w:sz w:val="24"/>
                <w:szCs w:val="24"/>
                <w:u w:val="none" w:color="auto"/>
              </w:rPr>
              <w:t>产生率按</w:t>
            </w:r>
            <w:r>
              <w:rPr>
                <w:rFonts w:hint="default" w:ascii="Times New Roman" w:hAnsi="Times New Roman" w:eastAsia="Times New Roman" w:cs="Times New Roman"/>
                <w:color w:val="auto"/>
                <w:sz w:val="24"/>
                <w:szCs w:val="24"/>
                <w:u w:val="none" w:color="auto"/>
              </w:rPr>
              <w:t>80%</w:t>
            </w:r>
            <w:r>
              <w:rPr>
                <w:rFonts w:hint="default" w:ascii="Times New Roman" w:hAnsi="Times New Roman" w:cs="Times New Roman"/>
                <w:color w:val="auto"/>
                <w:sz w:val="24"/>
                <w:szCs w:val="24"/>
                <w:u w:val="none" w:color="auto"/>
              </w:rPr>
              <w:t>计，项目营运期生活污水产生量为</w:t>
            </w:r>
            <w:r>
              <w:rPr>
                <w:rFonts w:hint="eastAsia" w:cs="Times New Roman"/>
                <w:color w:val="auto"/>
                <w:sz w:val="24"/>
                <w:szCs w:val="24"/>
                <w:u w:val="none" w:color="auto"/>
                <w:lang w:val="en-US" w:eastAsia="zh-CN"/>
              </w:rPr>
              <w:t>20</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/d、</w:t>
            </w:r>
            <w:r>
              <w:rPr>
                <w:rFonts w:hint="eastAsia" w:cs="Times New Roman"/>
                <w:bCs/>
                <w:color w:val="auto"/>
                <w:sz w:val="24"/>
                <w:szCs w:val="24"/>
                <w:u w:val="none" w:color="auto"/>
                <w:lang w:val="en-US" w:eastAsia="zh-CN"/>
              </w:rPr>
              <w:t>6000</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/a。</w:t>
            </w:r>
            <w:r>
              <w:rPr>
                <w:sz w:val="24"/>
                <w:szCs w:val="24"/>
                <w:u w:val="none" w:color="auto"/>
              </w:rPr>
              <w:t>在金龙新区工业区污水管网接入湘阴县第三污水处理厂之前，项目污水通过化粪池处理后排入园区污水管网再进入金龙新区人工湿地处理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default" w:ascii="Times New Roman" w:hAnsi="Times New Roman" w:cs="Times New Roman"/>
                <w:color w:val="auto"/>
                <w:sz w:val="24"/>
                <w:szCs w:val="24"/>
                <w:u w:val="none" w:color="auto"/>
              </w:rPr>
              <w:t>。</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cs="Times New Roman"/>
                <w:color w:val="auto"/>
                <w:sz w:val="24"/>
                <w:u w:val="none" w:color="auto"/>
                <w:lang w:eastAsia="zh-CN"/>
              </w:rPr>
              <w:pict>
                <v:shape id="_x0000_s2050" o:spid="_x0000_s2050" o:spt="75" type="#_x0000_t75" style="position:absolute;left:0pt;margin-left:-0.3pt;margin-top:18.2pt;height:69.4pt;width:462.45pt;z-index:251663360;mso-width-relative:page;mso-height-relative:page;" o:ole="t" filled="f" o:preferrelative="t" stroked="f" coordsize="21600,21600">
                  <v:path/>
                  <v:fill on="f" focussize="0,0"/>
                  <v:stroke on="f"/>
                  <v:imagedata r:id="rId11" o:title=""/>
                  <o:lock v:ext="edit" aspectratio="f"/>
                </v:shape>
                <o:OLEObject Type="Embed" ProgID="Visio.Drawing.11" ShapeID="_x0000_s2050" DrawAspect="Content" ObjectID="_1468075725" r:id="rId10">
                  <o:LockedField>false</o:LockedField>
                </o:OLEObject>
              </w:pict>
            </w:r>
            <w:r>
              <w:rPr>
                <w:rFonts w:hint="default" w:ascii="Times New Roman" w:hAnsi="Times New Roman" w:cs="Times New Roman"/>
                <w:bCs/>
                <w:color w:val="auto"/>
                <w:sz w:val="24"/>
                <w:u w:val="none" w:color="auto"/>
              </w:rPr>
              <w:t>本项目水平衡情况如图1-1所示。</w:t>
            </w:r>
          </w:p>
          <w:p>
            <w:pPr>
              <w:pStyle w:val="171"/>
              <w:spacing w:line="360" w:lineRule="auto"/>
              <w:ind w:firstLine="0" w:firstLineChars="0"/>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left="0" w:leftChars="0" w:firstLine="0" w:firstLineChars="0"/>
              <w:jc w:val="both"/>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color w:val="auto"/>
                <w:sz w:val="24"/>
                <w:szCs w:val="24"/>
                <w:u w:val="none" w:color="auto"/>
              </w:rPr>
            </w:pPr>
            <w:r>
              <w:rPr>
                <w:rFonts w:hint="default" w:ascii="Times New Roman" w:hAnsi="Times New Roman" w:cs="Times New Roman"/>
                <w:b/>
                <w:bCs/>
                <w:color w:val="auto"/>
                <w:u w:val="none" w:color="auto"/>
              </w:rPr>
              <w:t>图1-1  项目水平衡图（单位：m</w:t>
            </w:r>
            <w:r>
              <w:rPr>
                <w:rFonts w:hint="default" w:ascii="Times New Roman" w:hAnsi="Times New Roman" w:cs="Times New Roman"/>
                <w:b/>
                <w:bCs/>
                <w:color w:val="auto"/>
                <w:u w:val="none" w:color="auto"/>
                <w:vertAlign w:val="superscript"/>
              </w:rPr>
              <w:t>3</w:t>
            </w:r>
            <w:r>
              <w:rPr>
                <w:rFonts w:hint="default" w:ascii="Times New Roman" w:hAnsi="Times New Roman" w:cs="Times New Roman"/>
                <w:b/>
                <w:bCs/>
                <w:color w:val="auto"/>
                <w:u w:val="none" w:color="auto"/>
              </w:rPr>
              <w:t>/d）</w:t>
            </w:r>
          </w:p>
          <w:p>
            <w:pPr>
              <w:spacing w:line="360" w:lineRule="auto"/>
              <w:ind w:firstLine="482" w:firstLineChars="200"/>
              <w:jc w:val="left"/>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7、劳动定员及生产制度</w:t>
            </w:r>
          </w:p>
          <w:p>
            <w:pPr>
              <w:tabs>
                <w:tab w:val="left" w:pos="630"/>
              </w:tabs>
              <w:spacing w:line="360" w:lineRule="auto"/>
              <w:ind w:firstLine="480" w:firstLineChars="200"/>
              <w:jc w:val="left"/>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劳动定员：项目劳动定员总数为</w:t>
            </w:r>
            <w:r>
              <w:rPr>
                <w:rFonts w:hint="eastAsia" w:cs="Times New Roman"/>
                <w:color w:val="auto"/>
                <w:sz w:val="24"/>
                <w:u w:val="none" w:color="auto"/>
                <w:lang w:val="en-US" w:eastAsia="zh-CN"/>
              </w:rPr>
              <w:t>200</w:t>
            </w:r>
            <w:r>
              <w:rPr>
                <w:rFonts w:hint="default" w:ascii="Times New Roman" w:hAnsi="Times New Roman" w:cs="Times New Roman"/>
                <w:color w:val="auto"/>
                <w:sz w:val="24"/>
                <w:u w:val="none" w:color="auto"/>
              </w:rPr>
              <w:t>人。年工作300天，每班运行8小时。</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1549" w:hRule="atLeast"/>
          <w:jc w:val="center"/>
        </w:trPr>
        <w:tc>
          <w:tcPr>
            <w:tcW w:w="9278" w:type="dxa"/>
            <w:gridSpan w:val="7"/>
          </w:tcPr>
          <w:p>
            <w:pPr>
              <w:adjustRightInd w:val="0"/>
              <w:snapToGrid w:val="0"/>
              <w:spacing w:line="360" w:lineRule="auto"/>
              <w:rPr>
                <w:rFonts w:hint="default" w:ascii="Times New Roman" w:hAnsi="Times New Roman" w:cs="Times New Roman"/>
                <w:b/>
                <w:bCs/>
                <w:color w:val="auto"/>
                <w:sz w:val="30"/>
                <w:szCs w:val="30"/>
                <w:u w:val="none" w:color="auto"/>
              </w:rPr>
            </w:pPr>
            <w:r>
              <w:rPr>
                <w:rFonts w:hint="default" w:ascii="Times New Roman" w:hAnsi="Times New Roman" w:cs="Times New Roman"/>
                <w:b/>
                <w:bCs/>
                <w:color w:val="auto"/>
                <w:sz w:val="30"/>
                <w:szCs w:val="30"/>
                <w:u w:val="none" w:color="auto"/>
              </w:rPr>
              <w:t>与本项目有关的原有污染情况及主要环境问题：</w:t>
            </w:r>
          </w:p>
          <w:p>
            <w:pPr>
              <w:spacing w:line="360" w:lineRule="auto"/>
              <w:ind w:firstLine="600" w:firstLineChars="250"/>
              <w:rPr>
                <w:rFonts w:hint="eastAsia" w:ascii="Times New Roman" w:hAnsi="Times New Roman" w:eastAsia="宋体" w:cs="Times New Roman"/>
                <w:bCs/>
                <w:color w:val="auto"/>
                <w:sz w:val="24"/>
                <w:u w:val="none" w:color="auto"/>
                <w:lang w:val="en-US" w:eastAsia="zh-CN"/>
              </w:rPr>
            </w:pPr>
            <w:r>
              <w:rPr>
                <w:rFonts w:hint="default" w:ascii="Times New Roman" w:hAnsi="Times New Roman" w:cs="Times New Roman"/>
                <w:bCs/>
                <w:color w:val="auto"/>
                <w:sz w:val="24"/>
                <w:u w:val="none" w:color="auto"/>
              </w:rPr>
              <w:t>本项目</w:t>
            </w:r>
            <w:r>
              <w:rPr>
                <w:rFonts w:hint="eastAsia" w:cs="Times New Roman"/>
                <w:bCs/>
                <w:color w:val="auto"/>
                <w:sz w:val="24"/>
                <w:u w:val="none" w:color="auto"/>
                <w:lang w:eastAsia="zh-CN"/>
              </w:rPr>
              <w:t>购买</w:t>
            </w:r>
            <w:r>
              <w:rPr>
                <w:rFonts w:hint="eastAsia" w:cs="Times New Roman"/>
                <w:color w:val="auto"/>
                <w:sz w:val="24"/>
                <w:szCs w:val="24"/>
                <w:u w:val="none" w:color="auto"/>
                <w:lang w:eastAsia="zh-CN"/>
              </w:rPr>
              <w:t>湘阴县金龙新区安嘉路西侧，文襄路南侧地块新建</w:t>
            </w:r>
            <w:r>
              <w:rPr>
                <w:rFonts w:hint="default" w:ascii="Times New Roman" w:hAnsi="Times New Roman" w:cs="Times New Roman"/>
                <w:color w:val="auto"/>
                <w:sz w:val="24"/>
                <w:szCs w:val="24"/>
                <w:u w:val="none" w:color="auto"/>
              </w:rPr>
              <w:t>厂房</w:t>
            </w:r>
            <w:r>
              <w:rPr>
                <w:rFonts w:hint="default" w:ascii="Times New Roman" w:hAnsi="Times New Roman" w:cs="Times New Roman"/>
                <w:bCs/>
                <w:color w:val="auto"/>
                <w:sz w:val="24"/>
                <w:u w:val="none" w:color="auto"/>
              </w:rPr>
              <w:t>进行生产</w:t>
            </w:r>
            <w:r>
              <w:rPr>
                <w:rFonts w:hint="eastAsia" w:cs="Times New Roman"/>
                <w:bCs/>
                <w:color w:val="auto"/>
                <w:sz w:val="24"/>
                <w:u w:val="none" w:color="auto"/>
                <w:lang w:val="en-US" w:eastAsia="zh-CN"/>
              </w:rPr>
              <w:t>。</w:t>
            </w:r>
          </w:p>
          <w:p>
            <w:pPr>
              <w:spacing w:line="360" w:lineRule="auto"/>
              <w:ind w:firstLine="600" w:firstLineChars="250"/>
              <w:rPr>
                <w:rFonts w:hint="default" w:ascii="Times New Roman" w:hAnsi="Times New Roman" w:cs="Times New Roman"/>
                <w:color w:val="auto"/>
                <w:sz w:val="24"/>
                <w:u w:val="none" w:color="auto"/>
              </w:rPr>
            </w:pPr>
            <w:r>
              <w:rPr>
                <w:rFonts w:hint="eastAsia" w:cs="Times New Roman"/>
                <w:color w:val="auto"/>
                <w:sz w:val="24"/>
                <w:u w:val="none" w:color="auto"/>
                <w:lang w:val="en-US" w:eastAsia="zh-CN"/>
              </w:rPr>
              <w:t>1、</w:t>
            </w:r>
            <w:r>
              <w:rPr>
                <w:rFonts w:hint="default" w:ascii="Times New Roman" w:hAnsi="Times New Roman" w:cs="Times New Roman"/>
                <w:color w:val="auto"/>
                <w:sz w:val="24"/>
                <w:u w:val="none" w:color="auto"/>
              </w:rPr>
              <w:t>与项目有关的原有污染情况</w:t>
            </w:r>
          </w:p>
          <w:p>
            <w:pPr>
              <w:spacing w:line="360" w:lineRule="auto"/>
              <w:ind w:firstLine="600" w:firstLineChars="250"/>
              <w:rPr>
                <w:rFonts w:hint="default" w:ascii="Times New Roman" w:hAnsi="Times New Roman" w:cs="Times New Roman"/>
                <w:color w:val="auto"/>
                <w:sz w:val="24"/>
                <w:u w:val="none" w:color="auto"/>
              </w:rPr>
            </w:pPr>
            <w:r>
              <w:rPr>
                <w:rFonts w:hint="eastAsia" w:cs="Times New Roman"/>
                <w:color w:val="auto"/>
                <w:kern w:val="0"/>
                <w:sz w:val="24"/>
                <w:u w:val="none" w:color="auto"/>
                <w:lang w:eastAsia="zh-CN"/>
              </w:rPr>
              <w:t>本公司原位于湘阴县工业园工业大道西侧，项目已完成环评手续，项目在搬迁后对场地进行清理、平整，废水进行处理后达标排放，固废全部交由环卫部门进行处理，设备拆除后综合利用，原有项目现在正在生产，等本项目建设完成后再进行停产搬迁</w:t>
            </w:r>
            <w:r>
              <w:rPr>
                <w:rFonts w:hint="default" w:ascii="Times New Roman" w:hAnsi="Times New Roman" w:cs="Times New Roman"/>
                <w:color w:val="auto"/>
                <w:sz w:val="24"/>
                <w:u w:val="none" w:color="auto"/>
              </w:rPr>
              <w:t>。</w:t>
            </w:r>
          </w:p>
          <w:p>
            <w:pPr>
              <w:spacing w:line="360" w:lineRule="auto"/>
              <w:ind w:firstLine="600" w:firstLineChars="250"/>
              <w:rPr>
                <w:rFonts w:hint="eastAsia" w:ascii="Times New Roman" w:hAnsi="Times New Roman" w:eastAsia="宋体" w:cs="Times New Roman"/>
                <w:color w:val="auto"/>
                <w:sz w:val="24"/>
                <w:u w:val="none" w:color="auto"/>
                <w:lang w:eastAsia="zh-CN"/>
              </w:rPr>
            </w:pPr>
            <w:r>
              <w:rPr>
                <w:rFonts w:hint="eastAsia" w:cs="Times New Roman"/>
                <w:color w:val="auto"/>
                <w:sz w:val="24"/>
                <w:u w:val="none" w:color="auto"/>
                <w:lang w:val="en-US" w:eastAsia="zh-CN"/>
              </w:rPr>
              <w:t>2、</w:t>
            </w:r>
            <w:r>
              <w:rPr>
                <w:rFonts w:hint="eastAsia" w:cs="Times New Roman"/>
                <w:color w:val="auto"/>
                <w:sz w:val="24"/>
                <w:u w:val="none" w:color="auto"/>
                <w:lang w:eastAsia="zh-CN"/>
              </w:rPr>
              <w:t>项目周边污染源</w:t>
            </w:r>
          </w:p>
          <w:p>
            <w:pPr>
              <w:spacing w:line="360" w:lineRule="auto"/>
              <w:ind w:firstLine="600" w:firstLineChars="250"/>
              <w:rPr>
                <w:rFonts w:hint="eastAsia" w:cs="Times New Roman"/>
                <w:color w:val="auto"/>
                <w:sz w:val="24"/>
                <w:u w:val="none" w:color="auto"/>
                <w:lang w:eastAsia="zh-CN"/>
              </w:rPr>
            </w:pPr>
            <w:r>
              <w:rPr>
                <w:rFonts w:hint="eastAsia" w:cs="Times New Roman"/>
                <w:color w:val="auto"/>
                <w:sz w:val="24"/>
                <w:u w:val="none" w:color="auto"/>
                <w:lang w:eastAsia="zh-CN"/>
              </w:rPr>
              <w:t>项目周边主要环境问题为附近工厂生产过程中产生的废气、噪声、废水。</w:t>
            </w:r>
          </w:p>
          <w:p>
            <w:pPr>
              <w:spacing w:line="360" w:lineRule="auto"/>
              <w:ind w:firstLine="600" w:firstLineChars="250"/>
              <w:rPr>
                <w:rFonts w:hint="eastAsia" w:cs="Times New Roman"/>
                <w:color w:val="auto"/>
                <w:sz w:val="24"/>
                <w:u w:val="none" w:color="auto"/>
                <w:lang w:eastAsia="zh-CN"/>
              </w:rPr>
            </w:pPr>
            <w:r>
              <w:rPr>
                <w:rFonts w:hint="eastAsia" w:cs="Times New Roman"/>
                <w:color w:val="auto"/>
                <w:sz w:val="24"/>
                <w:szCs w:val="24"/>
                <w:u w:val="none" w:color="auto"/>
                <w:lang w:eastAsia="zh-CN"/>
              </w:rPr>
              <w:t>安嘉路、文襄路行驶车辆产生的扬尘、车辆尾气、噪声</w:t>
            </w:r>
            <w:r>
              <w:rPr>
                <w:rFonts w:hint="eastAsia" w:cs="Times New Roman"/>
                <w:color w:val="auto"/>
                <w:sz w:val="24"/>
                <w:u w:val="none" w:color="auto"/>
                <w:lang w:eastAsia="zh-CN"/>
              </w:rPr>
              <w:t>，故可知，项目周边无明显污染。</w:t>
            </w:r>
          </w:p>
          <w:p>
            <w:pPr>
              <w:spacing w:line="360" w:lineRule="auto"/>
              <w:ind w:firstLine="600" w:firstLineChars="250"/>
              <w:rPr>
                <w:rFonts w:hint="default" w:ascii="Times New Roman" w:hAnsi="Times New Roman" w:cs="Times New Roman"/>
                <w:color w:val="auto"/>
                <w:sz w:val="24"/>
                <w:u w:val="single" w:color="auto"/>
                <w:lang w:val="en-US" w:eastAsia="zh-CN"/>
              </w:rPr>
            </w:pPr>
          </w:p>
          <w:p>
            <w:pPr>
              <w:spacing w:line="360" w:lineRule="auto"/>
              <w:ind w:firstLine="600" w:firstLineChars="250"/>
              <w:rPr>
                <w:rFonts w:hint="default" w:ascii="Times New Roman" w:hAnsi="Times New Roman" w:cs="Times New Roman"/>
                <w:color w:val="auto"/>
                <w:sz w:val="24"/>
                <w:u w:val="single" w:color="auto"/>
                <w:lang w:val="en-US" w:eastAsia="zh-CN"/>
              </w:rPr>
            </w:pPr>
          </w:p>
          <w:p>
            <w:pPr>
              <w:spacing w:line="360" w:lineRule="auto"/>
              <w:ind w:firstLine="600" w:firstLineChars="250"/>
              <w:rPr>
                <w:rFonts w:hint="default" w:ascii="Times New Roman" w:hAnsi="Times New Roman" w:eastAsia="宋体" w:cs="Times New Roman"/>
                <w:color w:val="auto"/>
                <w:sz w:val="24"/>
                <w:u w:val="single" w:color="auto"/>
                <w:lang w:eastAsia="zh-CN"/>
              </w:rPr>
            </w:pPr>
            <w:r>
              <w:rPr>
                <w:rFonts w:hint="default" w:ascii="Times New Roman" w:hAnsi="Times New Roman" w:cs="Times New Roman"/>
                <w:color w:val="auto"/>
                <w:sz w:val="24"/>
                <w:u w:val="single" w:color="auto"/>
                <w:lang w:val="en-US" w:eastAsia="zh-CN"/>
              </w:rPr>
              <w:t>3、</w:t>
            </w:r>
            <w:r>
              <w:rPr>
                <w:rFonts w:hint="eastAsia" w:cs="Times New Roman"/>
                <w:color w:val="auto"/>
                <w:sz w:val="24"/>
                <w:u w:val="single" w:color="auto"/>
                <w:lang w:val="en-US" w:eastAsia="zh-CN"/>
              </w:rPr>
              <w:t>现有</w:t>
            </w:r>
            <w:r>
              <w:rPr>
                <w:rFonts w:hint="default" w:ascii="Times New Roman" w:hAnsi="Times New Roman" w:cs="Times New Roman"/>
                <w:color w:val="auto"/>
                <w:sz w:val="24"/>
                <w:u w:val="single" w:color="auto"/>
                <w:lang w:eastAsia="zh-CN"/>
              </w:rPr>
              <w:t>项目污染现状及现有环保措施</w:t>
            </w:r>
          </w:p>
          <w:p>
            <w:pPr>
              <w:spacing w:line="360" w:lineRule="auto"/>
              <w:ind w:firstLine="480" w:firstLineChars="200"/>
              <w:rPr>
                <w:rFonts w:hint="default" w:ascii="Times New Roman" w:hAnsi="Times New Roman" w:cs="Times New Roman"/>
                <w:color w:val="auto"/>
                <w:sz w:val="24"/>
                <w:u w:val="single" w:color="auto"/>
                <w:lang w:val="en-US" w:eastAsia="zh-CN"/>
              </w:rPr>
            </w:pPr>
            <w:r>
              <w:rPr>
                <w:rFonts w:hint="default" w:ascii="Times New Roman" w:hAnsi="Times New Roman" w:cs="Times New Roman"/>
                <w:color w:val="auto"/>
                <w:sz w:val="24"/>
                <w:u w:val="single" w:color="auto"/>
                <w:lang w:eastAsia="zh-CN"/>
              </w:rPr>
              <w:t>（</w:t>
            </w:r>
            <w:r>
              <w:rPr>
                <w:rFonts w:hint="default" w:ascii="Times New Roman" w:hAnsi="Times New Roman" w:cs="Times New Roman"/>
                <w:color w:val="auto"/>
                <w:sz w:val="24"/>
                <w:u w:val="single" w:color="auto"/>
                <w:lang w:val="en-US" w:eastAsia="zh-CN"/>
              </w:rPr>
              <w:t>1</w:t>
            </w:r>
            <w:r>
              <w:rPr>
                <w:rFonts w:hint="default" w:ascii="Times New Roman" w:hAnsi="Times New Roman" w:cs="Times New Roman"/>
                <w:color w:val="auto"/>
                <w:sz w:val="24"/>
                <w:u w:val="single" w:color="auto"/>
                <w:lang w:eastAsia="zh-CN"/>
              </w:rPr>
              <w:t>）废水污染及现有的环保措施</w:t>
            </w:r>
            <w:r>
              <w:rPr>
                <w:rFonts w:hint="default" w:ascii="Times New Roman" w:hAnsi="Times New Roman" w:cs="Times New Roman"/>
                <w:color w:val="auto"/>
                <w:sz w:val="24"/>
                <w:u w:val="single" w:color="auto"/>
                <w:lang w:val="en-US" w:eastAsia="zh-CN"/>
              </w:rPr>
              <w:t xml:space="preserve"> </w:t>
            </w:r>
          </w:p>
          <w:p>
            <w:pPr>
              <w:spacing w:line="360" w:lineRule="auto"/>
              <w:ind w:firstLine="720" w:firstLineChars="3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2"/>
                <w:u w:val="single" w:color="auto"/>
                <w:lang w:val="en-US" w:eastAsia="zh-CN"/>
              </w:rPr>
              <w:t>项目</w:t>
            </w:r>
            <w:r>
              <w:rPr>
                <w:rFonts w:hint="default" w:ascii="Times New Roman" w:hAnsi="Times New Roman" w:cs="Times New Roman"/>
                <w:color w:val="auto"/>
                <w:sz w:val="24"/>
                <w:u w:val="single" w:color="auto"/>
                <w:lang w:eastAsia="zh-CN"/>
              </w:rPr>
              <w:t>生活污水</w:t>
            </w:r>
            <w:r>
              <w:rPr>
                <w:rFonts w:hint="default" w:ascii="Times New Roman" w:hAnsi="Times New Roman" w:cs="Times New Roman"/>
                <w:color w:val="auto"/>
                <w:sz w:val="24"/>
                <w:szCs w:val="22"/>
                <w:u w:val="single" w:color="auto"/>
                <w:lang w:val="en-US" w:eastAsia="zh-CN"/>
              </w:rPr>
              <w:t>经三级化粪池处理后</w:t>
            </w:r>
            <w:r>
              <w:rPr>
                <w:rFonts w:hint="eastAsia" w:cs="Times New Roman"/>
                <w:color w:val="auto"/>
                <w:sz w:val="24"/>
                <w:szCs w:val="22"/>
                <w:u w:val="single" w:color="auto"/>
                <w:lang w:val="en-US" w:eastAsia="zh-CN"/>
              </w:rPr>
              <w:t>排入园区污水管网进入湘阴县第二污水处理厂</w:t>
            </w:r>
            <w:r>
              <w:rPr>
                <w:rFonts w:hint="default" w:ascii="Times New Roman" w:hAnsi="Times New Roman" w:cs="Times New Roman"/>
                <w:color w:val="auto"/>
                <w:sz w:val="24"/>
                <w:szCs w:val="22"/>
                <w:u w:val="single" w:color="auto"/>
                <w:lang w:val="en-US" w:eastAsia="zh-CN"/>
              </w:rPr>
              <w:t>。</w:t>
            </w:r>
          </w:p>
          <w:p>
            <w:pPr>
              <w:spacing w:line="360" w:lineRule="auto"/>
              <w:ind w:firstLine="600" w:firstLineChars="250"/>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水</w:t>
            </w:r>
            <w:r>
              <w:rPr>
                <w:rFonts w:hint="eastAsia" w:cs="Times New Roman"/>
                <w:color w:val="auto"/>
                <w:sz w:val="24"/>
                <w:szCs w:val="24"/>
                <w:u w:val="single" w:color="auto"/>
                <w:lang w:eastAsia="zh-CN"/>
              </w:rPr>
              <w:t>帘</w:t>
            </w:r>
            <w:r>
              <w:rPr>
                <w:rFonts w:hint="default" w:ascii="Times New Roman" w:hAnsi="Times New Roman" w:cs="Times New Roman"/>
                <w:color w:val="auto"/>
                <w:sz w:val="24"/>
                <w:szCs w:val="24"/>
                <w:u w:val="single" w:color="auto"/>
                <w:lang w:eastAsia="zh-CN"/>
              </w:rPr>
              <w:t>废水经沉淀池沉淀后循环使用，不外排。</w:t>
            </w:r>
          </w:p>
          <w:p>
            <w:pPr>
              <w:spacing w:line="360" w:lineRule="auto"/>
              <w:ind w:firstLine="600" w:firstLineChars="250"/>
              <w:rPr>
                <w:rFonts w:hint="default" w:ascii="Times New Roman" w:hAnsi="Times New Roman" w:cs="Times New Roman"/>
                <w:color w:val="auto"/>
                <w:sz w:val="24"/>
                <w:szCs w:val="24"/>
                <w:u w:val="single" w:color="auto"/>
                <w:lang w:eastAsia="zh-CN"/>
              </w:rPr>
            </w:pPr>
            <w:r>
              <w:rPr>
                <w:rFonts w:hint="eastAsia" w:cs="Times New Roman"/>
                <w:bCs/>
                <w:color w:val="auto"/>
                <w:sz w:val="24"/>
                <w:szCs w:val="24"/>
                <w:u w:val="single" w:color="auto"/>
                <w:lang w:val="en-US" w:eastAsia="zh-CN"/>
              </w:rPr>
              <w:t>根据湖南精准通检测技术有限公司于2019年11月25日对生活污水总排口检测可知，监测期间项目正常生产（生产工况75%以上），具体详见表1-7</w:t>
            </w:r>
            <w:r>
              <w:rPr>
                <w:rFonts w:hint="default" w:ascii="Times New Roman" w:hAnsi="Times New Roman" w:eastAsia="宋体" w:cs="Times New Roman"/>
                <w:bCs/>
                <w:color w:val="auto"/>
                <w:sz w:val="24"/>
                <w:szCs w:val="24"/>
                <w:u w:val="single" w:color="auto"/>
                <w:lang w:val="en-US" w:eastAsia="zh-CN"/>
              </w:rPr>
              <w:t>。</w:t>
            </w:r>
          </w:p>
          <w:p>
            <w:pPr>
              <w:spacing w:line="360" w:lineRule="auto"/>
              <w:ind w:firstLine="600" w:firstLineChars="250"/>
              <w:jc w:val="center"/>
              <w:rPr>
                <w:rFonts w:hint="eastAsia" w:cs="Times New Roman"/>
                <w:color w:val="auto"/>
                <w:sz w:val="24"/>
                <w:szCs w:val="24"/>
                <w:u w:val="single" w:color="auto"/>
                <w:lang w:val="en-US" w:eastAsia="zh-CN"/>
              </w:rPr>
            </w:pPr>
            <w:r>
              <w:rPr>
                <w:rFonts w:hint="eastAsia" w:cs="Times New Roman"/>
                <w:color w:val="auto"/>
                <w:sz w:val="24"/>
                <w:szCs w:val="24"/>
                <w:u w:val="single" w:color="auto"/>
                <w:lang w:eastAsia="zh-CN"/>
              </w:rPr>
              <w:t>表</w:t>
            </w:r>
            <w:r>
              <w:rPr>
                <w:rFonts w:hint="eastAsia" w:cs="Times New Roman"/>
                <w:color w:val="auto"/>
                <w:sz w:val="24"/>
                <w:szCs w:val="24"/>
                <w:u w:val="single" w:color="auto"/>
                <w:lang w:val="en-US" w:eastAsia="zh-CN"/>
              </w:rPr>
              <w:t>1-7 生活废水总排口检测结果</w:t>
            </w:r>
          </w:p>
          <w:p>
            <w:pPr>
              <w:spacing w:line="360" w:lineRule="auto"/>
              <w:ind w:firstLine="600" w:firstLineChars="250"/>
              <w:jc w:val="right"/>
              <w:rPr>
                <w:rFonts w:hint="default" w:ascii="Times New Roman" w:hAnsi="Times New Roman" w:cs="Times New Roman"/>
                <w:color w:val="auto"/>
                <w:sz w:val="24"/>
                <w:szCs w:val="24"/>
                <w:u w:val="single" w:color="auto"/>
                <w:lang w:val="en-US" w:eastAsia="zh-CN"/>
              </w:rPr>
            </w:pPr>
            <w:r>
              <w:rPr>
                <w:rFonts w:hint="eastAsia" w:cs="Times New Roman"/>
                <w:color w:val="auto"/>
                <w:sz w:val="24"/>
                <w:szCs w:val="24"/>
                <w:u w:val="single" w:color="auto"/>
                <w:vertAlign w:val="baseline"/>
                <w:lang w:eastAsia="zh-CN"/>
              </w:rPr>
              <w:t>单位：</w:t>
            </w:r>
            <w:r>
              <w:rPr>
                <w:rFonts w:hint="eastAsia" w:cs="Times New Roman"/>
                <w:color w:val="auto"/>
                <w:sz w:val="24"/>
                <w:szCs w:val="24"/>
                <w:u w:val="single" w:color="auto"/>
                <w:vertAlign w:val="baseline"/>
                <w:lang w:val="en-US" w:eastAsia="zh-CN"/>
              </w:rPr>
              <w:t>mg/L,pH值：无量纲</w:t>
            </w:r>
          </w:p>
          <w:tbl>
            <w:tblPr>
              <w:tblStyle w:val="40"/>
              <w:tblW w:w="4997"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03"/>
              <w:gridCol w:w="1764"/>
              <w:gridCol w:w="1782"/>
              <w:gridCol w:w="1663"/>
              <w:gridCol w:w="15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69"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采样点位</w:t>
                  </w:r>
                </w:p>
              </w:tc>
              <w:tc>
                <w:tcPr>
                  <w:tcW w:w="97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监测因子</w:t>
                  </w:r>
                </w:p>
              </w:tc>
              <w:tc>
                <w:tcPr>
                  <w:tcW w:w="98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检测结果</w:t>
                  </w:r>
                </w:p>
              </w:tc>
              <w:tc>
                <w:tcPr>
                  <w:tcW w:w="916"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标准限值</w:t>
                  </w:r>
                </w:p>
              </w:tc>
              <w:tc>
                <w:tcPr>
                  <w:tcW w:w="860"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69" w:type="pct"/>
                  <w:vMerge w:val="restar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生活污水总排口</w:t>
                  </w:r>
                </w:p>
              </w:tc>
              <w:tc>
                <w:tcPr>
                  <w:tcW w:w="97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pH值</w:t>
                  </w:r>
                </w:p>
              </w:tc>
              <w:tc>
                <w:tcPr>
                  <w:tcW w:w="98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6.47</w:t>
                  </w:r>
                </w:p>
              </w:tc>
              <w:tc>
                <w:tcPr>
                  <w:tcW w:w="916"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6-9</w:t>
                  </w:r>
                </w:p>
              </w:tc>
              <w:tc>
                <w:tcPr>
                  <w:tcW w:w="860"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69" w:type="pct"/>
                  <w:vMerge w:val="continue"/>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p>
              </w:tc>
              <w:tc>
                <w:tcPr>
                  <w:tcW w:w="97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化学需氧量</w:t>
                  </w:r>
                </w:p>
              </w:tc>
              <w:tc>
                <w:tcPr>
                  <w:tcW w:w="98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208</w:t>
                  </w:r>
                </w:p>
              </w:tc>
              <w:tc>
                <w:tcPr>
                  <w:tcW w:w="916"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500</w:t>
                  </w:r>
                </w:p>
              </w:tc>
              <w:tc>
                <w:tcPr>
                  <w:tcW w:w="860"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69" w:type="pct"/>
                  <w:vMerge w:val="continue"/>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p>
              </w:tc>
              <w:tc>
                <w:tcPr>
                  <w:tcW w:w="97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氨氮</w:t>
                  </w:r>
                </w:p>
              </w:tc>
              <w:tc>
                <w:tcPr>
                  <w:tcW w:w="98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0.864</w:t>
                  </w:r>
                </w:p>
              </w:tc>
              <w:tc>
                <w:tcPr>
                  <w:tcW w:w="916"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860"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69" w:type="pct"/>
                  <w:vMerge w:val="continue"/>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p>
              </w:tc>
              <w:tc>
                <w:tcPr>
                  <w:tcW w:w="97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悬浮物</w:t>
                  </w:r>
                </w:p>
              </w:tc>
              <w:tc>
                <w:tcPr>
                  <w:tcW w:w="98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57</w:t>
                  </w:r>
                </w:p>
              </w:tc>
              <w:tc>
                <w:tcPr>
                  <w:tcW w:w="916"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400</w:t>
                  </w:r>
                </w:p>
              </w:tc>
              <w:tc>
                <w:tcPr>
                  <w:tcW w:w="860"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69" w:type="pct"/>
                  <w:vMerge w:val="continue"/>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p>
              </w:tc>
              <w:tc>
                <w:tcPr>
                  <w:tcW w:w="97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石油类</w:t>
                  </w:r>
                </w:p>
              </w:tc>
              <w:tc>
                <w:tcPr>
                  <w:tcW w:w="98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0.57</w:t>
                  </w:r>
                </w:p>
              </w:tc>
              <w:tc>
                <w:tcPr>
                  <w:tcW w:w="916"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20</w:t>
                  </w:r>
                </w:p>
              </w:tc>
              <w:tc>
                <w:tcPr>
                  <w:tcW w:w="860"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69" w:type="pct"/>
                  <w:vMerge w:val="continue"/>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p>
              </w:tc>
              <w:tc>
                <w:tcPr>
                  <w:tcW w:w="972" w:type="pct"/>
                  <w:tcBorders>
                    <w:tl2br w:val="nil"/>
                    <w:tr2bl w:val="nil"/>
                  </w:tcBorders>
                  <w:vAlign w:val="center"/>
                </w:tcPr>
                <w:p>
                  <w:pPr>
                    <w:spacing w:line="360" w:lineRule="auto"/>
                    <w:jc w:val="center"/>
                    <w:rPr>
                      <w:rFonts w:hint="eastAsia"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动植物油</w:t>
                  </w:r>
                </w:p>
              </w:tc>
              <w:tc>
                <w:tcPr>
                  <w:tcW w:w="982"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0.22</w:t>
                  </w:r>
                </w:p>
              </w:tc>
              <w:tc>
                <w:tcPr>
                  <w:tcW w:w="916"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100</w:t>
                  </w:r>
                </w:p>
              </w:tc>
              <w:tc>
                <w:tcPr>
                  <w:tcW w:w="860" w:type="pct"/>
                  <w:tcBorders>
                    <w:tl2br w:val="nil"/>
                    <w:tr2bl w:val="nil"/>
                  </w:tcBorders>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达标</w:t>
                  </w:r>
                </w:p>
              </w:tc>
            </w:tr>
          </w:tbl>
          <w:p>
            <w:pPr>
              <w:spacing w:line="360" w:lineRule="auto"/>
              <w:ind w:firstLine="600" w:firstLineChars="250"/>
              <w:rPr>
                <w:rFonts w:hint="default" w:ascii="Times New Roman" w:hAnsi="Times New Roman" w:cs="Times New Roman"/>
                <w:color w:val="auto"/>
                <w:sz w:val="24"/>
                <w:szCs w:val="24"/>
                <w:u w:val="single" w:color="auto"/>
                <w:lang w:val="en-US" w:eastAsia="zh-CN"/>
              </w:rPr>
            </w:pPr>
            <w:r>
              <w:rPr>
                <w:rFonts w:hint="eastAsia" w:cs="Times New Roman"/>
                <w:color w:val="auto"/>
                <w:sz w:val="24"/>
                <w:szCs w:val="24"/>
                <w:u w:val="single" w:color="auto"/>
                <w:lang w:eastAsia="zh-CN"/>
              </w:rPr>
              <w:t>监测结果表明，项目生活污水总排口中监测因子均达到了《污水综合排放标准》（</w:t>
            </w:r>
            <w:r>
              <w:rPr>
                <w:rFonts w:hint="eastAsia" w:cs="Times New Roman"/>
                <w:color w:val="auto"/>
                <w:sz w:val="24"/>
                <w:szCs w:val="24"/>
                <w:u w:val="single" w:color="auto"/>
                <w:lang w:val="en-US" w:eastAsia="zh-CN"/>
              </w:rPr>
              <w:t>GB8978-1996</w:t>
            </w:r>
            <w:r>
              <w:rPr>
                <w:rFonts w:hint="eastAsia" w:cs="Times New Roman"/>
                <w:color w:val="auto"/>
                <w:sz w:val="24"/>
                <w:szCs w:val="24"/>
                <w:u w:val="single" w:color="auto"/>
                <w:lang w:eastAsia="zh-CN"/>
              </w:rPr>
              <w:t>）三级排放标准。</w:t>
            </w:r>
          </w:p>
          <w:p>
            <w:pPr>
              <w:spacing w:line="360" w:lineRule="auto"/>
              <w:ind w:firstLine="600" w:firstLineChars="250"/>
              <w:rPr>
                <w:rFonts w:hint="default" w:ascii="Times New Roman" w:hAnsi="Times New Roman" w:eastAsia="宋体"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2</w:t>
            </w:r>
            <w:r>
              <w:rPr>
                <w:rFonts w:hint="default" w:ascii="Times New Roman" w:hAnsi="Times New Roman" w:cs="Times New Roman"/>
                <w:color w:val="auto"/>
                <w:sz w:val="24"/>
                <w:szCs w:val="24"/>
                <w:u w:val="single" w:color="auto"/>
                <w:lang w:eastAsia="zh-CN"/>
              </w:rPr>
              <w:t>）废气污染及现有的环保措施</w:t>
            </w:r>
          </w:p>
          <w:p>
            <w:pPr>
              <w:spacing w:line="360" w:lineRule="auto"/>
              <w:ind w:firstLine="600" w:firstLineChars="250"/>
              <w:rPr>
                <w:rFonts w:hint="default" w:ascii="Times New Roman" w:hAnsi="Times New Roman" w:eastAsia="宋体"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项目生产过程中废气主要为</w:t>
            </w:r>
            <w:r>
              <w:rPr>
                <w:rFonts w:hint="eastAsia" w:cs="Times New Roman"/>
                <w:color w:val="auto"/>
                <w:sz w:val="24"/>
                <w:szCs w:val="24"/>
                <w:u w:val="single" w:color="auto"/>
                <w:lang w:eastAsia="zh-CN"/>
              </w:rPr>
              <w:t>喷塑废气、喷漆废气、烤漆废气、食堂油烟</w:t>
            </w:r>
            <w:r>
              <w:rPr>
                <w:rFonts w:hint="default" w:ascii="Times New Roman" w:hAnsi="Times New Roman" w:cs="Times New Roman"/>
                <w:color w:val="auto"/>
                <w:sz w:val="24"/>
                <w:szCs w:val="24"/>
                <w:u w:val="single" w:color="auto"/>
                <w:lang w:eastAsia="zh-CN"/>
              </w:rPr>
              <w:t>。</w:t>
            </w:r>
          </w:p>
          <w:p>
            <w:pPr>
              <w:spacing w:line="360" w:lineRule="auto"/>
              <w:ind w:firstLine="600" w:firstLineChars="250"/>
              <w:rPr>
                <w:rFonts w:hint="default" w:ascii="Times New Roman" w:hAnsi="Times New Roman" w:eastAsia="宋体" w:cs="Times New Roman"/>
                <w:color w:val="auto"/>
                <w:sz w:val="24"/>
                <w:u w:val="single" w:color="auto"/>
                <w:lang w:val="en-US" w:eastAsia="zh-CN"/>
              </w:rPr>
            </w:pPr>
            <w:r>
              <w:rPr>
                <w:rFonts w:hint="eastAsia" w:cs="Times New Roman"/>
                <w:color w:val="auto"/>
                <w:sz w:val="24"/>
                <w:u w:val="single" w:color="auto"/>
                <w:lang w:val="en-US" w:eastAsia="zh-CN"/>
              </w:rPr>
              <w:t>喷塑废气1#经滤芯回收系统处理后由15m高排气筒高空排放、喷塑废气2#经滤芯回收系统处理后由15m高排气筒高空排放、喷塑废气3#经滤芯回收系统处理后由15m高排气筒高空排放、喷塑废气4#经滤芯回收系统处理后由15m高排气筒高空排放；喷漆废气1#经水帘+活性炭处理后由15m高排气筒高空排放、喷漆废气2#经水帘+活性炭处理后由15m高排气筒高空排放、喷漆废气3#经水帘+活性炭+UV光解设施处理后由15m高排气筒高空排放；烤漆废气经活性炭吸附处理后由15m高排气筒高空排放；食堂油烟经油烟净化器处理后由高于屋顶排气筒排放</w:t>
            </w:r>
            <w:r>
              <w:rPr>
                <w:rFonts w:hint="default" w:ascii="Times New Roman" w:hAnsi="Times New Roman" w:cs="Times New Roman"/>
                <w:color w:val="auto"/>
                <w:sz w:val="24"/>
                <w:u w:val="single" w:color="auto"/>
                <w:lang w:val="en-US" w:eastAsia="zh-CN"/>
              </w:rPr>
              <w:t>。</w:t>
            </w:r>
          </w:p>
          <w:p>
            <w:pPr>
              <w:spacing w:line="360" w:lineRule="auto"/>
              <w:ind w:firstLine="600" w:firstLineChars="25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u w:val="single" w:color="auto"/>
                <w:lang w:eastAsia="zh-CN"/>
              </w:rPr>
              <w:t>根据湖南精准通检测技术有限公司于</w:t>
            </w:r>
            <w:r>
              <w:rPr>
                <w:rFonts w:hint="default" w:ascii="Times New Roman" w:hAnsi="Times New Roman" w:cs="Times New Roman"/>
                <w:color w:val="auto"/>
                <w:sz w:val="24"/>
                <w:u w:val="single" w:color="auto"/>
                <w:lang w:val="en-US" w:eastAsia="zh-CN"/>
              </w:rPr>
              <w:t>2019年1</w:t>
            </w:r>
            <w:r>
              <w:rPr>
                <w:rFonts w:hint="eastAsia" w:cs="Times New Roman"/>
                <w:color w:val="auto"/>
                <w:sz w:val="24"/>
                <w:u w:val="single" w:color="auto"/>
                <w:lang w:val="en-US" w:eastAsia="zh-CN"/>
              </w:rPr>
              <w:t>1</w:t>
            </w:r>
            <w:r>
              <w:rPr>
                <w:rFonts w:hint="default" w:ascii="Times New Roman" w:hAnsi="Times New Roman" w:cs="Times New Roman"/>
                <w:color w:val="auto"/>
                <w:sz w:val="24"/>
                <w:u w:val="single" w:color="auto"/>
                <w:lang w:val="en-US" w:eastAsia="zh-CN"/>
              </w:rPr>
              <w:t>月</w:t>
            </w:r>
            <w:r>
              <w:rPr>
                <w:rFonts w:hint="eastAsia" w:cs="Times New Roman"/>
                <w:color w:val="auto"/>
                <w:sz w:val="24"/>
                <w:u w:val="single" w:color="auto"/>
                <w:lang w:val="en-US" w:eastAsia="zh-CN"/>
              </w:rPr>
              <w:t>25</w:t>
            </w:r>
            <w:r>
              <w:rPr>
                <w:rFonts w:hint="default" w:ascii="Times New Roman" w:hAnsi="Times New Roman" w:cs="Times New Roman"/>
                <w:color w:val="auto"/>
                <w:sz w:val="24"/>
                <w:u w:val="single" w:color="auto"/>
                <w:lang w:val="en-US" w:eastAsia="zh-CN"/>
              </w:rPr>
              <w:t>日对</w:t>
            </w:r>
            <w:r>
              <w:rPr>
                <w:rFonts w:hint="eastAsia" w:cs="Times New Roman"/>
                <w:color w:val="auto"/>
                <w:sz w:val="24"/>
                <w:szCs w:val="24"/>
                <w:u w:val="single" w:color="auto"/>
                <w:vertAlign w:val="baseline"/>
                <w:lang w:val="en-US" w:eastAsia="zh-CN"/>
              </w:rPr>
              <w:t>喷漆废气排气筒1#、喷漆废气排气筒2#、喷漆废气排气筒3#、烤漆废气排气筒1#、喷塑废气排气筒1#、喷塑废气排气筒2#、喷塑废气排气筒3#、喷塑废气排气筒4#、食堂油烟和</w:t>
            </w:r>
            <w:r>
              <w:rPr>
                <w:rFonts w:hint="default" w:ascii="Times New Roman" w:hAnsi="Times New Roman" w:cs="Times New Roman"/>
                <w:color w:val="auto"/>
                <w:sz w:val="24"/>
                <w:u w:val="single" w:color="auto"/>
                <w:lang w:val="en-US" w:eastAsia="zh-CN"/>
              </w:rPr>
              <w:t>其厂界下风向进行了监测，</w:t>
            </w:r>
            <w:r>
              <w:rPr>
                <w:rFonts w:hint="default" w:ascii="Times New Roman" w:hAnsi="Times New Roman" w:cs="Times New Roman"/>
                <w:color w:val="auto"/>
                <w:sz w:val="24"/>
                <w:szCs w:val="24"/>
                <w:u w:val="single" w:color="auto"/>
                <w:lang w:eastAsia="zh-CN"/>
              </w:rPr>
              <w:t>监测期间</w:t>
            </w:r>
            <w:r>
              <w:rPr>
                <w:rFonts w:hint="eastAsia" w:cs="Times New Roman"/>
                <w:color w:val="auto"/>
                <w:sz w:val="24"/>
                <w:szCs w:val="24"/>
                <w:u w:val="single" w:color="auto"/>
                <w:lang w:eastAsia="zh-CN"/>
              </w:rPr>
              <w:t>现有</w:t>
            </w:r>
            <w:r>
              <w:rPr>
                <w:rFonts w:hint="default" w:ascii="Times New Roman" w:hAnsi="Times New Roman" w:cs="Times New Roman"/>
                <w:color w:val="auto"/>
                <w:sz w:val="24"/>
                <w:szCs w:val="24"/>
                <w:u w:val="single" w:color="auto"/>
                <w:lang w:eastAsia="zh-CN"/>
              </w:rPr>
              <w:t>项目正常运行，其工况约为</w:t>
            </w:r>
            <w:r>
              <w:rPr>
                <w:rFonts w:hint="default" w:ascii="Times New Roman" w:hAnsi="Times New Roman" w:cs="Times New Roman"/>
                <w:color w:val="auto"/>
                <w:sz w:val="24"/>
                <w:szCs w:val="24"/>
                <w:u w:val="single" w:color="auto"/>
                <w:lang w:val="en-US" w:eastAsia="zh-CN"/>
              </w:rPr>
              <w:t>75%</w:t>
            </w:r>
            <w:r>
              <w:rPr>
                <w:rFonts w:hint="default" w:ascii="Times New Roman" w:hAnsi="Times New Roman" w:cs="Times New Roman"/>
                <w:color w:val="auto"/>
                <w:sz w:val="24"/>
                <w:szCs w:val="24"/>
                <w:u w:val="single" w:color="auto"/>
                <w:lang w:eastAsia="zh-CN"/>
              </w:rPr>
              <w:t>，</w:t>
            </w:r>
            <w:r>
              <w:rPr>
                <w:rFonts w:hint="eastAsia" w:cs="Times New Roman"/>
                <w:color w:val="auto"/>
                <w:sz w:val="24"/>
                <w:szCs w:val="24"/>
                <w:u w:val="single" w:color="auto"/>
                <w:lang w:eastAsia="zh-CN"/>
              </w:rPr>
              <w:t>监测期间气象参数见表</w:t>
            </w:r>
            <w:r>
              <w:rPr>
                <w:rFonts w:hint="eastAsia" w:cs="Times New Roman"/>
                <w:color w:val="auto"/>
                <w:sz w:val="24"/>
                <w:szCs w:val="24"/>
                <w:u w:val="single" w:color="auto"/>
                <w:lang w:val="en-US" w:eastAsia="zh-CN"/>
              </w:rPr>
              <w:t>1-8，</w:t>
            </w:r>
            <w:r>
              <w:rPr>
                <w:rFonts w:hint="default" w:ascii="Times New Roman" w:hAnsi="Times New Roman" w:cs="Times New Roman"/>
                <w:color w:val="auto"/>
                <w:sz w:val="24"/>
                <w:szCs w:val="24"/>
                <w:u w:val="single" w:color="auto"/>
                <w:lang w:eastAsia="zh-CN"/>
              </w:rPr>
              <w:t>具体监测结果详见表</w:t>
            </w:r>
            <w:r>
              <w:rPr>
                <w:rFonts w:hint="default" w:ascii="Times New Roman" w:hAnsi="Times New Roman" w:cs="Times New Roman"/>
                <w:color w:val="auto"/>
                <w:sz w:val="24"/>
                <w:szCs w:val="24"/>
                <w:u w:val="single" w:color="auto"/>
                <w:lang w:val="en-US" w:eastAsia="zh-CN"/>
              </w:rPr>
              <w:t>1-</w:t>
            </w:r>
            <w:r>
              <w:rPr>
                <w:rFonts w:hint="eastAsia" w:cs="Times New Roman"/>
                <w:color w:val="auto"/>
                <w:sz w:val="24"/>
                <w:szCs w:val="24"/>
                <w:u w:val="single" w:color="auto"/>
                <w:lang w:val="en-US" w:eastAsia="zh-CN"/>
              </w:rPr>
              <w:t>9、表1-10、表1-11</w:t>
            </w:r>
            <w:r>
              <w:rPr>
                <w:rFonts w:hint="default" w:ascii="Times New Roman" w:hAnsi="Times New Roman" w:cs="Times New Roman"/>
                <w:color w:val="auto"/>
                <w:sz w:val="24"/>
                <w:szCs w:val="24"/>
                <w:u w:val="single" w:color="auto"/>
                <w:lang w:val="en-US" w:eastAsia="zh-CN"/>
              </w:rPr>
              <w:t>。</w:t>
            </w:r>
          </w:p>
          <w:p>
            <w:pPr>
              <w:bidi w:val="0"/>
              <w:spacing w:line="360" w:lineRule="auto"/>
              <w:jc w:val="center"/>
              <w:rPr>
                <w:rFonts w:hint="default" w:cs="Times New Roman"/>
                <w:color w:val="auto"/>
                <w:sz w:val="24"/>
                <w:szCs w:val="24"/>
                <w:u w:val="single" w:color="auto"/>
                <w:lang w:val="en-US" w:eastAsia="zh-CN"/>
              </w:rPr>
            </w:pPr>
            <w:r>
              <w:rPr>
                <w:rFonts w:hint="eastAsia" w:cs="Times New Roman"/>
                <w:color w:val="auto"/>
                <w:sz w:val="24"/>
                <w:szCs w:val="24"/>
                <w:u w:val="single" w:color="auto"/>
                <w:lang w:val="en-US" w:eastAsia="zh-CN"/>
              </w:rPr>
              <w:t>表1-8 监测期间气象参数</w:t>
            </w:r>
          </w:p>
          <w:tbl>
            <w:tblPr>
              <w:tblStyle w:val="4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5"/>
              <w:gridCol w:w="1348"/>
              <w:gridCol w:w="1305"/>
              <w:gridCol w:w="1350"/>
              <w:gridCol w:w="1097"/>
              <w:gridCol w:w="15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1360" w:type="pct"/>
                  <w:vAlign w:val="center"/>
                </w:tcPr>
                <w:p>
                  <w:pPr>
                    <w:bidi w:val="0"/>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监测时间</w:t>
                  </w:r>
                </w:p>
              </w:tc>
              <w:tc>
                <w:tcPr>
                  <w:tcW w:w="741" w:type="pct"/>
                  <w:vAlign w:val="center"/>
                </w:tcPr>
                <w:p>
                  <w:pPr>
                    <w:bidi w:val="0"/>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天气</w:t>
                  </w:r>
                </w:p>
              </w:tc>
              <w:tc>
                <w:tcPr>
                  <w:tcW w:w="717" w:type="pct"/>
                  <w:vAlign w:val="center"/>
                </w:tcPr>
                <w:p>
                  <w:pPr>
                    <w:bidi w:val="0"/>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气温（</w:t>
                  </w:r>
                  <w:r>
                    <w:rPr>
                      <w:rFonts w:hint="eastAsia" w:ascii="宋体" w:hAnsi="宋体" w:eastAsia="宋体" w:cs="宋体"/>
                      <w:color w:val="auto"/>
                      <w:sz w:val="24"/>
                      <w:szCs w:val="24"/>
                      <w:u w:val="single" w:color="auto"/>
                      <w:vertAlign w:val="baseline"/>
                      <w:lang w:val="en-US" w:eastAsia="zh-CN"/>
                    </w:rPr>
                    <w:t>℃</w:t>
                  </w:r>
                  <w:r>
                    <w:rPr>
                      <w:rFonts w:hint="eastAsia" w:cs="Times New Roman"/>
                      <w:color w:val="auto"/>
                      <w:sz w:val="24"/>
                      <w:szCs w:val="24"/>
                      <w:u w:val="single" w:color="auto"/>
                      <w:vertAlign w:val="baseline"/>
                      <w:lang w:val="en-US" w:eastAsia="zh-CN"/>
                    </w:rPr>
                    <w:t>）</w:t>
                  </w:r>
                </w:p>
              </w:tc>
              <w:tc>
                <w:tcPr>
                  <w:tcW w:w="742" w:type="pct"/>
                  <w:vAlign w:val="center"/>
                </w:tcPr>
                <w:p>
                  <w:pPr>
                    <w:bidi w:val="0"/>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气压（Kpa）</w:t>
                  </w:r>
                </w:p>
              </w:tc>
              <w:tc>
                <w:tcPr>
                  <w:tcW w:w="603" w:type="pct"/>
                  <w:vAlign w:val="center"/>
                </w:tcPr>
                <w:p>
                  <w:pPr>
                    <w:bidi w:val="0"/>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风向</w:t>
                  </w:r>
                </w:p>
              </w:tc>
              <w:tc>
                <w:tcPr>
                  <w:tcW w:w="834" w:type="pct"/>
                  <w:vAlign w:val="center"/>
                </w:tcPr>
                <w:p>
                  <w:pPr>
                    <w:bidi w:val="0"/>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风速（m/s）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1360" w:type="pct"/>
                  <w:vAlign w:val="center"/>
                </w:tcPr>
                <w:p>
                  <w:pPr>
                    <w:bidi w:val="0"/>
                    <w:spacing w:line="360" w:lineRule="auto"/>
                    <w:jc w:val="center"/>
                    <w:rPr>
                      <w:rFonts w:hint="default"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2019年11月25日</w:t>
                  </w:r>
                </w:p>
              </w:tc>
              <w:tc>
                <w:tcPr>
                  <w:tcW w:w="741" w:type="pct"/>
                  <w:vAlign w:val="center"/>
                </w:tcPr>
                <w:p>
                  <w:pPr>
                    <w:bidi w:val="0"/>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阴</w:t>
                  </w:r>
                </w:p>
              </w:tc>
              <w:tc>
                <w:tcPr>
                  <w:tcW w:w="717" w:type="pct"/>
                  <w:vAlign w:val="center"/>
                </w:tcPr>
                <w:p>
                  <w:pPr>
                    <w:bidi w:val="0"/>
                    <w:spacing w:line="360" w:lineRule="auto"/>
                    <w:jc w:val="center"/>
                    <w:rPr>
                      <w:rFonts w:hint="default"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8.9</w:t>
                  </w:r>
                </w:p>
              </w:tc>
              <w:tc>
                <w:tcPr>
                  <w:tcW w:w="742" w:type="pct"/>
                  <w:vAlign w:val="center"/>
                </w:tcPr>
                <w:p>
                  <w:pPr>
                    <w:bidi w:val="0"/>
                    <w:spacing w:line="360" w:lineRule="auto"/>
                    <w:jc w:val="center"/>
                    <w:rPr>
                      <w:rFonts w:hint="default"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101.56</w:t>
                  </w:r>
                </w:p>
              </w:tc>
              <w:tc>
                <w:tcPr>
                  <w:tcW w:w="603" w:type="pct"/>
                  <w:vAlign w:val="center"/>
                </w:tcPr>
                <w:p>
                  <w:pPr>
                    <w:bidi w:val="0"/>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北</w:t>
                  </w:r>
                </w:p>
              </w:tc>
              <w:tc>
                <w:tcPr>
                  <w:tcW w:w="834" w:type="pct"/>
                  <w:vAlign w:val="center"/>
                </w:tcPr>
                <w:p>
                  <w:pPr>
                    <w:bidi w:val="0"/>
                    <w:spacing w:line="360" w:lineRule="auto"/>
                    <w:jc w:val="center"/>
                    <w:rPr>
                      <w:rFonts w:hint="default"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1.6</w:t>
                  </w:r>
                </w:p>
              </w:tc>
            </w:tr>
          </w:tbl>
          <w:p>
            <w:pPr>
              <w:bidi w:val="0"/>
              <w:spacing w:line="360" w:lineRule="auto"/>
              <w:jc w:val="center"/>
              <w:rPr>
                <w:rFonts w:hint="default" w:ascii="Times New Roman" w:hAnsi="Times New Roman" w:cs="Times New Roman"/>
                <w:color w:val="auto"/>
                <w:sz w:val="24"/>
                <w:szCs w:val="24"/>
                <w:u w:val="single" w:color="auto"/>
                <w:lang w:val="en-US" w:eastAsia="zh-CN"/>
              </w:rPr>
            </w:pPr>
            <w:r>
              <w:rPr>
                <w:rFonts w:hint="eastAsia" w:cs="Times New Roman"/>
                <w:color w:val="auto"/>
                <w:sz w:val="24"/>
                <w:szCs w:val="24"/>
                <w:u w:val="single" w:color="auto"/>
                <w:lang w:val="en-US" w:eastAsia="zh-CN"/>
              </w:rPr>
              <w:t>表1-9 有组织废气检测结果</w:t>
            </w:r>
          </w:p>
          <w:tbl>
            <w:tblPr>
              <w:tblStyle w:val="40"/>
              <w:tblW w:w="90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4"/>
              <w:gridCol w:w="1350"/>
              <w:gridCol w:w="2295"/>
              <w:gridCol w:w="1575"/>
              <w:gridCol w:w="930"/>
              <w:gridCol w:w="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3" w:hRule="atLeast"/>
              </w:trPr>
              <w:tc>
                <w:tcPr>
                  <w:tcW w:w="221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采样点位</w:t>
                  </w: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检测项目</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检测结果</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标准限值</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2214"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喷漆废气排气筒1#</w:t>
                  </w: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8202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0.506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0.0042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甲苯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1.78</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0.015</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二甲苯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2.96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17</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0.024</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VOC</w:t>
                  </w:r>
                  <w:r>
                    <w:rPr>
                      <w:rFonts w:hint="eastAsia" w:cs="Times New Roman"/>
                      <w:color w:val="auto"/>
                      <w:sz w:val="24"/>
                      <w:szCs w:val="24"/>
                      <w:u w:val="single" w:color="auto"/>
                      <w:vertAlign w:val="subscript"/>
                      <w:lang w:val="en-US" w:eastAsia="zh-CN"/>
                    </w:rPr>
                    <w:t>S</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9.82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0.081</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8240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颗粒物</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2.5</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120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0.021</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3.5</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2214" w:type="dxa"/>
                  <w:vMerge w:val="restart"/>
                  <w:vAlign w:val="center"/>
                </w:tcPr>
                <w:p>
                  <w:pP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喷漆废气排气筒2#</w:t>
                  </w:r>
                </w:p>
                <w:p>
                  <w:pPr>
                    <w:rPr>
                      <w:rFonts w:hint="default"/>
                      <w:u w:val="single" w:color="auto"/>
                      <w:lang w:val="en-US" w:eastAsia="zh-CN"/>
                    </w:rPr>
                  </w:pP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9796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0.146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0.0014</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甲苯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0.675</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0.0066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二甲苯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1.59</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17</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0.016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VOC</w:t>
                  </w:r>
                  <w:r>
                    <w:rPr>
                      <w:rFonts w:hint="eastAsia" w:cs="Times New Roman"/>
                      <w:color w:val="auto"/>
                      <w:sz w:val="24"/>
                      <w:szCs w:val="24"/>
                      <w:u w:val="single" w:color="auto"/>
                      <w:vertAlign w:val="subscript"/>
                      <w:lang w:val="en-US" w:eastAsia="zh-CN"/>
                    </w:rPr>
                    <w:t>S</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5.41</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0.053</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9871</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颗粒物</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4.9</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120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0.048</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3.5</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restart"/>
                  <w:vAlign w:val="center"/>
                </w:tcPr>
                <w:p>
                  <w:pP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喷漆废气排气筒3#</w:t>
                  </w:r>
                </w:p>
                <w:p>
                  <w:pPr>
                    <w:rPr>
                      <w:rFonts w:hint="default"/>
                      <w:u w:val="single" w:color="auto"/>
                      <w:lang w:val="en-US" w:eastAsia="zh-CN"/>
                    </w:rPr>
                  </w:pP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6458</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0.114</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0.00074</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甲苯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0.034</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0.00022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二甲苯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0.063</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17</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0.00041</w:t>
                  </w:r>
                </w:p>
              </w:tc>
              <w:tc>
                <w:tcPr>
                  <w:tcW w:w="930"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tcBorders>
                    <w:bottom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3645" w:type="dxa"/>
                  <w:gridSpan w:val="2"/>
                  <w:tcBorders>
                    <w:top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tcBorders>
                    <w:top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6514</w:t>
                  </w:r>
                </w:p>
              </w:tc>
              <w:tc>
                <w:tcPr>
                  <w:tcW w:w="930" w:type="dxa"/>
                  <w:tcBorders>
                    <w:top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tcBorders>
                    <w:top w:val="single" w:color="000000" w:sz="12"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VOC</w:t>
                  </w:r>
                  <w:r>
                    <w:rPr>
                      <w:rFonts w:hint="eastAsia" w:cs="Times New Roman"/>
                      <w:color w:val="auto"/>
                      <w:sz w:val="24"/>
                      <w:szCs w:val="24"/>
                      <w:u w:val="single" w:color="auto"/>
                      <w:vertAlign w:val="subscript"/>
                      <w:lang w:val="en-US" w:eastAsia="zh-CN"/>
                    </w:rPr>
                    <w:t>S</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2.18</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0.014</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颗粒物</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120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0.014</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3.5</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烤漆废气排气筒1#</w:t>
                  </w: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1489</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0.0000089</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甲苯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2.5</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0.0037</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二甲苯</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5.23</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17</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0.0078</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VOC</w:t>
                  </w:r>
                  <w:r>
                    <w:rPr>
                      <w:rFonts w:hint="eastAsia" w:cs="Times New Roman"/>
                      <w:color w:val="auto"/>
                      <w:sz w:val="24"/>
                      <w:szCs w:val="24"/>
                      <w:u w:val="single" w:color="auto"/>
                      <w:vertAlign w:val="subscript"/>
                      <w:lang w:val="en-US" w:eastAsia="zh-CN"/>
                    </w:rPr>
                    <w:t>S</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21.9</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0.033</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2214"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喷塑废气排气筒1#</w:t>
                  </w: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2448</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VOC</w:t>
                  </w:r>
                  <w:r>
                    <w:rPr>
                      <w:rFonts w:hint="eastAsia" w:cs="Times New Roman"/>
                      <w:color w:val="auto"/>
                      <w:sz w:val="24"/>
                      <w:szCs w:val="24"/>
                      <w:u w:val="single" w:color="auto"/>
                      <w:vertAlign w:val="subscript"/>
                      <w:lang w:val="en-US" w:eastAsia="zh-CN"/>
                    </w:rPr>
                    <w:t>S</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3.89</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0.010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2472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颗粒物</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8.7</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120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0.022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3.5</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喷塑废气排气筒2#</w:t>
                  </w: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2373</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VOC</w:t>
                  </w:r>
                  <w:r>
                    <w:rPr>
                      <w:rFonts w:hint="eastAsia" w:cs="Times New Roman"/>
                      <w:color w:val="auto"/>
                      <w:sz w:val="24"/>
                      <w:szCs w:val="24"/>
                      <w:u w:val="single" w:color="auto"/>
                      <w:vertAlign w:val="subscript"/>
                      <w:lang w:val="en-US" w:eastAsia="zh-CN"/>
                    </w:rPr>
                    <w:t>S</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5.05</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0.012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2386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颗粒物</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6.8</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120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0.016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3.5</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喷塑废气排气筒3#</w:t>
                  </w: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2309</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VOC</w:t>
                  </w:r>
                  <w:r>
                    <w:rPr>
                      <w:rFonts w:hint="eastAsia" w:cs="Times New Roman"/>
                      <w:color w:val="auto"/>
                      <w:sz w:val="24"/>
                      <w:szCs w:val="24"/>
                      <w:u w:val="single" w:color="auto"/>
                      <w:vertAlign w:val="subscript"/>
                      <w:lang w:val="en-US" w:eastAsia="zh-CN"/>
                    </w:rPr>
                    <w:t>S</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10.3</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0.024</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2321</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颗粒物</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5.1</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120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0.0025</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3.5</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喷塑废气排气筒4#</w:t>
                  </w: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2472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VOC</w:t>
                  </w:r>
                  <w:r>
                    <w:rPr>
                      <w:rFonts w:hint="eastAsia" w:cs="Times New Roman"/>
                      <w:color w:val="auto"/>
                      <w:sz w:val="24"/>
                      <w:szCs w:val="24"/>
                      <w:u w:val="single" w:color="auto"/>
                      <w:vertAlign w:val="subscript"/>
                      <w:lang w:val="en-US" w:eastAsia="zh-CN"/>
                    </w:rPr>
                    <w:t>S</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4.88</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50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0.012</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364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标干流量（Nm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2436</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颗粒物</w:t>
                  </w: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实测浓度（mg/m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vertAlign w:val="baseline"/>
                      <w:lang w:val="en-US" w:eastAsia="zh-CN"/>
                    </w:rPr>
                    <w:t>）</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3.5</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120</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4"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1350"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p>
              </w:tc>
              <w:tc>
                <w:tcPr>
                  <w:tcW w:w="229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排放速率（kg/h）</w:t>
                  </w:r>
                </w:p>
              </w:tc>
              <w:tc>
                <w:tcPr>
                  <w:tcW w:w="1575"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0.0085</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3.5</w:t>
                  </w:r>
                </w:p>
              </w:tc>
              <w:tc>
                <w:tcPr>
                  <w:tcW w:w="73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达标</w:t>
                  </w:r>
                </w:p>
              </w:tc>
            </w:tr>
          </w:tbl>
          <w:p>
            <w:pPr>
              <w:bidi w:val="0"/>
              <w:spacing w:line="360" w:lineRule="auto"/>
              <w:ind w:firstLine="720" w:firstLineChars="300"/>
              <w:jc w:val="both"/>
              <w:rPr>
                <w:rFonts w:hint="default" w:ascii="Times New Roman" w:hAnsi="Times New Roman" w:cs="Times New Roman"/>
                <w:color w:val="auto"/>
                <w:sz w:val="24"/>
                <w:szCs w:val="24"/>
                <w:u w:val="single" w:color="auto"/>
                <w:lang w:val="en-US" w:eastAsia="zh-CN"/>
              </w:rPr>
            </w:pPr>
            <w:r>
              <w:rPr>
                <w:rFonts w:hint="eastAsia" w:cs="Times New Roman"/>
                <w:color w:val="auto"/>
                <w:sz w:val="24"/>
                <w:szCs w:val="24"/>
                <w:u w:val="single" w:color="auto"/>
                <w:lang w:val="en-US" w:eastAsia="zh-CN"/>
              </w:rPr>
              <w:t>监测结果表明，项目喷漆废气排气筒中苯、甲苯、二甲苯、VOCs检测结果均达到</w:t>
            </w:r>
            <w:r>
              <w:rPr>
                <w:rFonts w:hint="default" w:ascii="Times New Roman" w:hAnsi="Times New Roman" w:eastAsia="宋体" w:cs="Times New Roman"/>
                <w:color w:val="auto"/>
                <w:kern w:val="0"/>
                <w:sz w:val="24"/>
                <w:szCs w:val="24"/>
                <w:u w:val="single" w:color="auto"/>
                <w:lang w:val="en-US" w:eastAsia="zh-CN" w:bidi="ar"/>
              </w:rPr>
              <w:t>《表面涂装（汽车制造及维修）挥发性有机物、 镍排放标准》（DB43/1356-2017）表1中排放标准</w:t>
            </w:r>
            <w:r>
              <w:rPr>
                <w:rFonts w:hint="eastAsia" w:cs="Times New Roman"/>
                <w:color w:val="auto"/>
                <w:kern w:val="0"/>
                <w:sz w:val="24"/>
                <w:szCs w:val="24"/>
                <w:u w:val="single" w:color="auto"/>
                <w:lang w:val="en-US" w:eastAsia="zh-CN" w:bidi="ar"/>
              </w:rPr>
              <w:t>要求、</w:t>
            </w:r>
            <w:r>
              <w:rPr>
                <w:rFonts w:hint="default" w:ascii="Times New Roman" w:hAnsi="Times New Roman" w:eastAsia="宋体" w:cs="Times New Roman"/>
                <w:color w:val="auto"/>
                <w:kern w:val="0"/>
                <w:sz w:val="24"/>
                <w:szCs w:val="24"/>
                <w:u w:val="single" w:color="auto"/>
                <w:lang w:val="en-US" w:eastAsia="zh-CN" w:bidi="ar"/>
              </w:rPr>
              <w:t>颗粒物</w:t>
            </w:r>
            <w:r>
              <w:rPr>
                <w:rFonts w:hint="eastAsia" w:cs="Times New Roman"/>
                <w:color w:val="auto"/>
                <w:kern w:val="0"/>
                <w:sz w:val="24"/>
                <w:szCs w:val="24"/>
                <w:u w:val="single" w:color="auto"/>
                <w:lang w:val="en-US" w:eastAsia="zh-CN" w:bidi="ar"/>
              </w:rPr>
              <w:t>检测结果达到</w:t>
            </w:r>
            <w:r>
              <w:rPr>
                <w:rFonts w:hint="default" w:ascii="Times New Roman" w:hAnsi="Times New Roman" w:eastAsia="宋体" w:cs="Times New Roman"/>
                <w:color w:val="auto"/>
                <w:kern w:val="0"/>
                <w:sz w:val="24"/>
                <w:szCs w:val="24"/>
                <w:u w:val="single" w:color="auto"/>
                <w:lang w:val="en-US" w:eastAsia="zh-CN" w:bidi="ar"/>
              </w:rPr>
              <w:t>《大气污染物综合排放标准》（GB16297-1996）</w:t>
            </w:r>
            <w:r>
              <w:rPr>
                <w:rFonts w:hint="eastAsia" w:cs="Times New Roman"/>
                <w:color w:val="auto"/>
                <w:kern w:val="0"/>
                <w:sz w:val="24"/>
                <w:szCs w:val="24"/>
                <w:u w:val="single" w:color="auto"/>
                <w:lang w:val="en-US" w:eastAsia="zh-CN" w:bidi="ar"/>
              </w:rPr>
              <w:t>中</w:t>
            </w:r>
            <w:r>
              <w:rPr>
                <w:rFonts w:hint="default" w:ascii="Times New Roman" w:hAnsi="Times New Roman" w:eastAsia="宋体" w:cs="Times New Roman"/>
                <w:color w:val="auto"/>
                <w:kern w:val="0"/>
                <w:sz w:val="24"/>
                <w:szCs w:val="24"/>
                <w:u w:val="single" w:color="auto"/>
                <w:lang w:val="en-US" w:eastAsia="zh-CN" w:bidi="ar"/>
              </w:rPr>
              <w:t>二级</w:t>
            </w:r>
            <w:r>
              <w:rPr>
                <w:rFonts w:hint="eastAsia" w:cs="Times New Roman"/>
                <w:color w:val="auto"/>
                <w:kern w:val="0"/>
                <w:sz w:val="24"/>
                <w:szCs w:val="24"/>
                <w:u w:val="single" w:color="auto"/>
                <w:lang w:val="en-US" w:eastAsia="zh-CN" w:bidi="ar"/>
              </w:rPr>
              <w:t>排放</w:t>
            </w:r>
            <w:r>
              <w:rPr>
                <w:rFonts w:hint="default" w:ascii="Times New Roman" w:hAnsi="Times New Roman" w:eastAsia="宋体" w:cs="Times New Roman"/>
                <w:color w:val="auto"/>
                <w:kern w:val="0"/>
                <w:sz w:val="24"/>
                <w:szCs w:val="24"/>
                <w:u w:val="single" w:color="auto"/>
                <w:lang w:val="en-US" w:eastAsia="zh-CN" w:bidi="ar"/>
              </w:rPr>
              <w:t>标准</w:t>
            </w:r>
            <w:r>
              <w:rPr>
                <w:rFonts w:hint="eastAsia" w:cs="Times New Roman"/>
                <w:color w:val="auto"/>
                <w:kern w:val="0"/>
                <w:sz w:val="24"/>
                <w:szCs w:val="24"/>
                <w:u w:val="single" w:color="auto"/>
                <w:lang w:val="en-US" w:eastAsia="zh-CN" w:bidi="ar"/>
              </w:rPr>
              <w:t>要求；烤</w:t>
            </w:r>
            <w:r>
              <w:rPr>
                <w:rFonts w:hint="eastAsia" w:cs="Times New Roman"/>
                <w:color w:val="auto"/>
                <w:sz w:val="24"/>
                <w:szCs w:val="24"/>
                <w:u w:val="single" w:color="auto"/>
                <w:lang w:val="en-US" w:eastAsia="zh-CN"/>
              </w:rPr>
              <w:t>漆废气排气筒中苯、甲苯、二甲苯、VOCs检测结果均达到</w:t>
            </w:r>
            <w:r>
              <w:rPr>
                <w:rFonts w:hint="default" w:ascii="Times New Roman" w:hAnsi="Times New Roman" w:eastAsia="宋体" w:cs="Times New Roman"/>
                <w:color w:val="auto"/>
                <w:kern w:val="0"/>
                <w:sz w:val="24"/>
                <w:szCs w:val="24"/>
                <w:u w:val="single" w:color="auto"/>
                <w:lang w:val="en-US" w:eastAsia="zh-CN" w:bidi="ar"/>
              </w:rPr>
              <w:t>《表面涂装（汽车制造及维修）挥发性有机物、 镍排放标准》（DB43/1356-2017）表1中排放标准</w:t>
            </w:r>
            <w:r>
              <w:rPr>
                <w:rFonts w:hint="eastAsia" w:cs="Times New Roman"/>
                <w:color w:val="auto"/>
                <w:kern w:val="0"/>
                <w:sz w:val="24"/>
                <w:szCs w:val="24"/>
                <w:u w:val="single" w:color="auto"/>
                <w:lang w:val="en-US" w:eastAsia="zh-CN" w:bidi="ar"/>
              </w:rPr>
              <w:t>要求；</w:t>
            </w:r>
            <w:r>
              <w:rPr>
                <w:rFonts w:hint="eastAsia" w:cs="Times New Roman"/>
                <w:color w:val="auto"/>
                <w:sz w:val="24"/>
                <w:szCs w:val="24"/>
                <w:u w:val="single" w:color="auto"/>
                <w:lang w:val="en-US" w:eastAsia="zh-CN"/>
              </w:rPr>
              <w:t>喷塑废气排气筒中VOCs检测结果均达到（参照执行）</w:t>
            </w:r>
            <w:r>
              <w:rPr>
                <w:rFonts w:hint="default" w:ascii="Times New Roman" w:hAnsi="Times New Roman" w:eastAsia="宋体" w:cs="Times New Roman"/>
                <w:color w:val="auto"/>
                <w:kern w:val="0"/>
                <w:sz w:val="24"/>
                <w:szCs w:val="24"/>
                <w:u w:val="single" w:color="auto"/>
                <w:lang w:val="en-US" w:eastAsia="zh-CN" w:bidi="ar"/>
              </w:rPr>
              <w:t>《表面涂装（汽车制造及维修）挥发性有机物、 镍排放标准》（DB43/1356-2017）表1中排放标准</w:t>
            </w:r>
            <w:r>
              <w:rPr>
                <w:rFonts w:hint="eastAsia" w:cs="Times New Roman"/>
                <w:color w:val="auto"/>
                <w:kern w:val="0"/>
                <w:sz w:val="24"/>
                <w:szCs w:val="24"/>
                <w:u w:val="single" w:color="auto"/>
                <w:lang w:val="en-US" w:eastAsia="zh-CN" w:bidi="ar"/>
              </w:rPr>
              <w:t>要求、</w:t>
            </w:r>
            <w:r>
              <w:rPr>
                <w:rFonts w:hint="default" w:ascii="Times New Roman" w:hAnsi="Times New Roman" w:eastAsia="宋体" w:cs="Times New Roman"/>
                <w:color w:val="auto"/>
                <w:kern w:val="0"/>
                <w:sz w:val="24"/>
                <w:szCs w:val="24"/>
                <w:u w:val="single" w:color="auto"/>
                <w:lang w:val="en-US" w:eastAsia="zh-CN" w:bidi="ar"/>
              </w:rPr>
              <w:t>颗粒物</w:t>
            </w:r>
            <w:r>
              <w:rPr>
                <w:rFonts w:hint="eastAsia" w:cs="Times New Roman"/>
                <w:color w:val="auto"/>
                <w:kern w:val="0"/>
                <w:sz w:val="24"/>
                <w:szCs w:val="24"/>
                <w:u w:val="single" w:color="auto"/>
                <w:lang w:val="en-US" w:eastAsia="zh-CN" w:bidi="ar"/>
              </w:rPr>
              <w:t>检测结果达到</w:t>
            </w:r>
            <w:r>
              <w:rPr>
                <w:rFonts w:hint="default" w:ascii="Times New Roman" w:hAnsi="Times New Roman" w:eastAsia="宋体" w:cs="Times New Roman"/>
                <w:color w:val="auto"/>
                <w:kern w:val="0"/>
                <w:sz w:val="24"/>
                <w:szCs w:val="24"/>
                <w:u w:val="single" w:color="auto"/>
                <w:lang w:val="en-US" w:eastAsia="zh-CN" w:bidi="ar"/>
              </w:rPr>
              <w:t>《大气污染物综合排放标准》（GB16297-1996）</w:t>
            </w:r>
            <w:r>
              <w:rPr>
                <w:rFonts w:hint="eastAsia" w:cs="Times New Roman"/>
                <w:color w:val="auto"/>
                <w:kern w:val="0"/>
                <w:sz w:val="24"/>
                <w:szCs w:val="24"/>
                <w:u w:val="single" w:color="auto"/>
                <w:lang w:val="en-US" w:eastAsia="zh-CN" w:bidi="ar"/>
              </w:rPr>
              <w:t>中</w:t>
            </w:r>
            <w:r>
              <w:rPr>
                <w:rFonts w:hint="default" w:ascii="Times New Roman" w:hAnsi="Times New Roman" w:eastAsia="宋体" w:cs="Times New Roman"/>
                <w:color w:val="auto"/>
                <w:kern w:val="0"/>
                <w:sz w:val="24"/>
                <w:szCs w:val="24"/>
                <w:u w:val="single" w:color="auto"/>
                <w:lang w:val="en-US" w:eastAsia="zh-CN" w:bidi="ar"/>
              </w:rPr>
              <w:t>二级</w:t>
            </w:r>
            <w:r>
              <w:rPr>
                <w:rFonts w:hint="eastAsia" w:cs="Times New Roman"/>
                <w:color w:val="auto"/>
                <w:kern w:val="0"/>
                <w:sz w:val="24"/>
                <w:szCs w:val="24"/>
                <w:u w:val="single" w:color="auto"/>
                <w:lang w:val="en-US" w:eastAsia="zh-CN" w:bidi="ar"/>
              </w:rPr>
              <w:t>排放</w:t>
            </w:r>
            <w:r>
              <w:rPr>
                <w:rFonts w:hint="default" w:ascii="Times New Roman" w:hAnsi="Times New Roman" w:eastAsia="宋体" w:cs="Times New Roman"/>
                <w:color w:val="auto"/>
                <w:kern w:val="0"/>
                <w:sz w:val="24"/>
                <w:szCs w:val="24"/>
                <w:u w:val="single" w:color="auto"/>
                <w:lang w:val="en-US" w:eastAsia="zh-CN" w:bidi="ar"/>
              </w:rPr>
              <w:t>标准</w:t>
            </w:r>
            <w:r>
              <w:rPr>
                <w:rFonts w:hint="eastAsia" w:cs="Times New Roman"/>
                <w:color w:val="auto"/>
                <w:kern w:val="0"/>
                <w:sz w:val="24"/>
                <w:szCs w:val="24"/>
                <w:u w:val="single" w:color="auto"/>
                <w:lang w:val="en-US" w:eastAsia="zh-CN" w:bidi="ar"/>
              </w:rPr>
              <w:t>要求。</w:t>
            </w:r>
          </w:p>
          <w:p>
            <w:pPr>
              <w:bidi w:val="0"/>
              <w:spacing w:line="360" w:lineRule="auto"/>
              <w:jc w:val="center"/>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表1-</w:t>
            </w:r>
            <w:r>
              <w:rPr>
                <w:rFonts w:hint="eastAsia" w:cs="Times New Roman"/>
                <w:color w:val="auto"/>
                <w:sz w:val="24"/>
                <w:szCs w:val="24"/>
                <w:u w:val="single" w:color="auto"/>
                <w:lang w:val="en-US" w:eastAsia="zh-CN"/>
              </w:rPr>
              <w:t>10</w:t>
            </w:r>
            <w:r>
              <w:rPr>
                <w:rFonts w:hint="default" w:ascii="Times New Roman" w:hAnsi="Times New Roman" w:cs="Times New Roman"/>
                <w:color w:val="auto"/>
                <w:sz w:val="24"/>
                <w:szCs w:val="24"/>
                <w:u w:val="single" w:color="auto"/>
                <w:lang w:val="en-US" w:eastAsia="zh-CN"/>
              </w:rPr>
              <w:t xml:space="preserve"> 厂界无组组废气检测结果一览表</w:t>
            </w:r>
          </w:p>
          <w:tbl>
            <w:tblPr>
              <w:tblStyle w:val="40"/>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3451"/>
              <w:gridCol w:w="1797"/>
              <w:gridCol w:w="17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1130" w:type="pct"/>
                  <w:vMerge w:val="restar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监测点位</w:t>
                  </w:r>
                </w:p>
              </w:tc>
              <w:tc>
                <w:tcPr>
                  <w:tcW w:w="1894" w:type="pct"/>
                  <w:vMerge w:val="restar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采样日期</w:t>
                  </w:r>
                </w:p>
              </w:tc>
              <w:tc>
                <w:tcPr>
                  <w:tcW w:w="1974" w:type="pct"/>
                  <w:gridSpan w:val="2"/>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检测结果mg/m</w:t>
                  </w:r>
                  <w:r>
                    <w:rPr>
                      <w:rFonts w:hint="default" w:ascii="Times New Roman" w:hAnsi="Times New Roman" w:cs="Times New Roman"/>
                      <w:color w:val="auto"/>
                      <w:sz w:val="22"/>
                      <w:szCs w:val="22"/>
                      <w:u w:val="single" w:color="auto"/>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1130" w:type="pct"/>
                  <w:vMerge w:val="continue"/>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p>
              </w:tc>
              <w:tc>
                <w:tcPr>
                  <w:tcW w:w="1894" w:type="pct"/>
                  <w:vMerge w:val="continue"/>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p>
              </w:tc>
              <w:tc>
                <w:tcPr>
                  <w:tcW w:w="987" w:type="pc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颗粒物</w:t>
                  </w:r>
                </w:p>
              </w:tc>
              <w:tc>
                <w:tcPr>
                  <w:tcW w:w="987" w:type="pc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4"/>
                      <w:szCs w:val="24"/>
                      <w:u w:val="single" w:color="auto"/>
                      <w:lang w:val="en-US" w:eastAsia="zh-CN"/>
                    </w:rPr>
                    <w:t>VOCs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130" w:type="pc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厂界下风向1#</w:t>
                  </w:r>
                </w:p>
              </w:tc>
              <w:tc>
                <w:tcPr>
                  <w:tcW w:w="1894" w:type="pc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2019年1</w:t>
                  </w:r>
                  <w:r>
                    <w:rPr>
                      <w:rFonts w:hint="eastAsia" w:cs="Times New Roman"/>
                      <w:color w:val="auto"/>
                      <w:sz w:val="22"/>
                      <w:szCs w:val="22"/>
                      <w:u w:val="single" w:color="auto"/>
                      <w:lang w:val="en-US" w:eastAsia="zh-CN"/>
                    </w:rPr>
                    <w:t>1</w:t>
                  </w:r>
                  <w:r>
                    <w:rPr>
                      <w:rFonts w:hint="default" w:ascii="Times New Roman" w:hAnsi="Times New Roman" w:cs="Times New Roman"/>
                      <w:color w:val="auto"/>
                      <w:sz w:val="22"/>
                      <w:szCs w:val="22"/>
                      <w:u w:val="single" w:color="auto"/>
                      <w:lang w:val="en-US" w:eastAsia="zh-CN"/>
                    </w:rPr>
                    <w:t>月</w:t>
                  </w:r>
                  <w:r>
                    <w:rPr>
                      <w:rFonts w:hint="eastAsia" w:cs="Times New Roman"/>
                      <w:color w:val="auto"/>
                      <w:sz w:val="22"/>
                      <w:szCs w:val="22"/>
                      <w:u w:val="single" w:color="auto"/>
                      <w:lang w:val="en-US" w:eastAsia="zh-CN"/>
                    </w:rPr>
                    <w:t>25</w:t>
                  </w:r>
                  <w:r>
                    <w:rPr>
                      <w:rFonts w:hint="default" w:ascii="Times New Roman" w:hAnsi="Times New Roman" w:cs="Times New Roman"/>
                      <w:color w:val="auto"/>
                      <w:sz w:val="22"/>
                      <w:szCs w:val="22"/>
                      <w:u w:val="single" w:color="auto"/>
                      <w:lang w:val="en-US" w:eastAsia="zh-CN"/>
                    </w:rPr>
                    <w:t>日</w:t>
                  </w:r>
                </w:p>
              </w:tc>
              <w:tc>
                <w:tcPr>
                  <w:tcW w:w="987" w:type="pc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0.149</w:t>
                  </w:r>
                </w:p>
              </w:tc>
              <w:tc>
                <w:tcPr>
                  <w:tcW w:w="987" w:type="pc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0.324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25" w:type="pct"/>
                  <w:gridSpan w:val="2"/>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标准限值</w:t>
                  </w:r>
                </w:p>
              </w:tc>
              <w:tc>
                <w:tcPr>
                  <w:tcW w:w="987" w:type="pc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1.0</w:t>
                  </w:r>
                </w:p>
              </w:tc>
              <w:tc>
                <w:tcPr>
                  <w:tcW w:w="987" w:type="pct"/>
                  <w:tcBorders>
                    <w:tl2br w:val="nil"/>
                    <w:tr2bl w:val="nil"/>
                  </w:tcBorders>
                  <w:noWrap w:val="0"/>
                  <w:vAlign w:val="center"/>
                </w:tcPr>
                <w:p>
                  <w:pPr>
                    <w:pStyle w:val="38"/>
                    <w:spacing w:line="360" w:lineRule="auto"/>
                    <w:ind w:left="0" w:leftChars="0" w:firstLine="0" w:firstLineChars="0"/>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2.0</w:t>
                  </w:r>
                </w:p>
              </w:tc>
            </w:tr>
          </w:tbl>
          <w:p>
            <w:pPr>
              <w:bidi w:val="0"/>
              <w:spacing w:line="360" w:lineRule="auto"/>
              <w:ind w:firstLine="480" w:firstLineChars="200"/>
              <w:jc w:val="both"/>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u w:val="single" w:color="auto"/>
                <w:lang w:eastAsia="zh-CN"/>
              </w:rPr>
              <w:t>通过上表监测结果可知，项目无组织排放点</w:t>
            </w:r>
            <w:r>
              <w:rPr>
                <w:rFonts w:hint="default" w:ascii="Times New Roman" w:hAnsi="Times New Roman" w:cs="Times New Roman"/>
                <w:color w:val="auto"/>
                <w:sz w:val="24"/>
                <w:szCs w:val="24"/>
                <w:u w:val="single" w:color="auto"/>
              </w:rPr>
              <w:t>颗粒物</w:t>
            </w:r>
            <w:r>
              <w:rPr>
                <w:rFonts w:hint="default" w:ascii="Times New Roman" w:hAnsi="Times New Roman" w:cs="Times New Roman"/>
                <w:color w:val="auto"/>
                <w:sz w:val="24"/>
                <w:szCs w:val="24"/>
                <w:u w:val="single" w:color="auto"/>
                <w:lang w:eastAsia="zh-CN"/>
              </w:rPr>
              <w:t>监测结果达到了</w:t>
            </w:r>
            <w:r>
              <w:rPr>
                <w:rFonts w:hint="default" w:ascii="Times New Roman" w:hAnsi="Times New Roman" w:cs="Times New Roman"/>
                <w:color w:val="auto"/>
                <w:sz w:val="24"/>
                <w:szCs w:val="24"/>
                <w:u w:val="single" w:color="auto"/>
              </w:rPr>
              <w:t>《大气污染物综合排放标准》（GB16297-1996）无组织监控限值</w:t>
            </w:r>
            <w:r>
              <w:rPr>
                <w:rFonts w:hint="eastAsia" w:cs="Times New Roman"/>
                <w:color w:val="auto"/>
                <w:sz w:val="24"/>
                <w:szCs w:val="24"/>
                <w:u w:val="single" w:color="auto"/>
                <w:lang w:eastAsia="zh-CN"/>
              </w:rPr>
              <w:t>、</w:t>
            </w:r>
            <w:r>
              <w:rPr>
                <w:rFonts w:hint="default" w:ascii="Times New Roman" w:hAnsi="Times New Roman" w:eastAsia="宋体" w:cs="Times New Roman"/>
                <w:color w:val="auto"/>
                <w:kern w:val="0"/>
                <w:sz w:val="24"/>
                <w:szCs w:val="24"/>
                <w:u w:val="single" w:color="auto"/>
                <w:lang w:val="en-US" w:eastAsia="zh-CN" w:bidi="ar"/>
              </w:rPr>
              <w:t>无组织</w:t>
            </w:r>
            <w:r>
              <w:rPr>
                <w:rFonts w:hint="eastAsia" w:cs="Times New Roman"/>
                <w:color w:val="auto"/>
                <w:sz w:val="24"/>
                <w:szCs w:val="24"/>
                <w:u w:val="single" w:color="auto"/>
                <w:lang w:val="en-US" w:eastAsia="zh-CN"/>
              </w:rPr>
              <w:t>VOCs</w:t>
            </w:r>
            <w:r>
              <w:rPr>
                <w:rFonts w:hint="eastAsia" w:cs="Times New Roman"/>
                <w:color w:val="auto"/>
                <w:kern w:val="0"/>
                <w:sz w:val="24"/>
                <w:szCs w:val="24"/>
                <w:u w:val="single" w:color="auto"/>
                <w:lang w:val="en-US" w:eastAsia="zh-CN" w:bidi="ar"/>
              </w:rPr>
              <w:t>监测结果达到了（参照执行）</w:t>
            </w:r>
            <w:r>
              <w:rPr>
                <w:rFonts w:hint="default" w:ascii="Times New Roman" w:hAnsi="Times New Roman" w:eastAsia="宋体" w:cs="Times New Roman"/>
                <w:color w:val="auto"/>
                <w:kern w:val="0"/>
                <w:sz w:val="24"/>
                <w:szCs w:val="24"/>
                <w:u w:val="single" w:color="auto"/>
                <w:lang w:val="en-US" w:eastAsia="zh-CN" w:bidi="ar"/>
              </w:rPr>
              <w:t>《表面涂装（汽车制造及维修）挥发性有机物、 镍排放标准》（DB43/1356-2017）</w:t>
            </w:r>
            <w:r>
              <w:rPr>
                <w:rFonts w:hint="eastAsia" w:cs="Times New Roman"/>
                <w:color w:val="auto"/>
                <w:kern w:val="0"/>
                <w:sz w:val="24"/>
                <w:szCs w:val="24"/>
                <w:u w:val="single" w:color="auto"/>
                <w:lang w:val="en-US" w:eastAsia="zh-CN" w:bidi="ar"/>
              </w:rPr>
              <w:t>表3</w:t>
            </w:r>
            <w:r>
              <w:rPr>
                <w:rFonts w:hint="default" w:ascii="Times New Roman" w:hAnsi="Times New Roman" w:eastAsia="宋体" w:cs="Times New Roman"/>
                <w:color w:val="auto"/>
                <w:kern w:val="0"/>
                <w:sz w:val="24"/>
                <w:szCs w:val="24"/>
                <w:u w:val="single" w:color="auto"/>
                <w:lang w:val="en-US" w:eastAsia="zh-CN" w:bidi="ar"/>
              </w:rPr>
              <w:t>中</w:t>
            </w:r>
            <w:r>
              <w:rPr>
                <w:rFonts w:hint="eastAsia" w:cs="Times New Roman"/>
                <w:color w:val="auto"/>
                <w:kern w:val="0"/>
                <w:sz w:val="24"/>
                <w:szCs w:val="24"/>
                <w:u w:val="single" w:color="auto"/>
                <w:lang w:val="en-US" w:eastAsia="zh-CN" w:bidi="ar"/>
              </w:rPr>
              <w:t>标准</w:t>
            </w:r>
            <w:r>
              <w:rPr>
                <w:rFonts w:hint="default" w:ascii="Times New Roman" w:hAnsi="Times New Roman" w:eastAsia="宋体" w:cs="Times New Roman"/>
                <w:color w:val="auto"/>
                <w:kern w:val="0"/>
                <w:sz w:val="24"/>
                <w:szCs w:val="24"/>
                <w:u w:val="single" w:color="auto"/>
                <w:lang w:val="en-US" w:eastAsia="zh-CN" w:bidi="ar"/>
              </w:rPr>
              <w:t>限值要求</w:t>
            </w:r>
            <w:r>
              <w:rPr>
                <w:rFonts w:hint="eastAsia" w:cs="Times New Roman"/>
                <w:color w:val="auto"/>
                <w:kern w:val="0"/>
                <w:sz w:val="24"/>
                <w:szCs w:val="24"/>
                <w:u w:val="single" w:color="auto"/>
                <w:lang w:val="en-US" w:eastAsia="zh-CN" w:bidi="ar"/>
              </w:rPr>
              <w:t>。</w:t>
            </w:r>
          </w:p>
          <w:p>
            <w:pPr>
              <w:spacing w:line="360" w:lineRule="auto"/>
              <w:ind w:firstLine="600" w:firstLineChars="250"/>
              <w:jc w:val="center"/>
              <w:rPr>
                <w:rFonts w:hint="default" w:ascii="Times New Roman" w:hAnsi="Times New Roman" w:cs="Times New Roman"/>
                <w:color w:val="auto"/>
                <w:sz w:val="24"/>
                <w:u w:val="single" w:color="auto"/>
                <w:lang w:val="en-US" w:eastAsia="zh-CN"/>
              </w:rPr>
            </w:pPr>
            <w:r>
              <w:rPr>
                <w:rFonts w:hint="eastAsia" w:cs="Times New Roman"/>
                <w:color w:val="auto"/>
                <w:sz w:val="24"/>
                <w:u w:val="single" w:color="auto"/>
                <w:lang w:eastAsia="zh-CN"/>
              </w:rPr>
              <w:t>表</w:t>
            </w:r>
            <w:r>
              <w:rPr>
                <w:rFonts w:hint="eastAsia" w:cs="Times New Roman"/>
                <w:color w:val="auto"/>
                <w:sz w:val="24"/>
                <w:u w:val="single" w:color="auto"/>
                <w:lang w:val="en-US" w:eastAsia="zh-CN"/>
              </w:rPr>
              <w:t>1-11 油烟废气监测结果</w:t>
            </w:r>
          </w:p>
          <w:tbl>
            <w:tblPr>
              <w:tblStyle w:val="40"/>
              <w:tblW w:w="4996"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1321"/>
              <w:gridCol w:w="922"/>
              <w:gridCol w:w="907"/>
              <w:gridCol w:w="863"/>
              <w:gridCol w:w="863"/>
              <w:gridCol w:w="895"/>
              <w:gridCol w:w="883"/>
              <w:gridCol w:w="728"/>
              <w:gridCol w:w="7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548" w:type="pct"/>
                  <w:vMerge w:val="restart"/>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r>
                    <w:rPr>
                      <w:rFonts w:hint="eastAsia" w:cs="Times New Roman"/>
                      <w:color w:val="auto"/>
                      <w:sz w:val="24"/>
                      <w:u w:val="single" w:color="auto"/>
                      <w:vertAlign w:val="baseline"/>
                      <w:lang w:eastAsia="zh-CN"/>
                    </w:rPr>
                    <w:t>采样</w:t>
                  </w:r>
                </w:p>
                <w:p>
                  <w:pPr>
                    <w:spacing w:line="360" w:lineRule="auto"/>
                    <w:jc w:val="center"/>
                    <w:rPr>
                      <w:rFonts w:hint="default" w:ascii="Times New Roman" w:hAnsi="Times New Roman" w:cs="Times New Roman"/>
                      <w:color w:val="auto"/>
                      <w:sz w:val="24"/>
                      <w:u w:val="single" w:color="auto"/>
                      <w:vertAlign w:val="baseline"/>
                      <w:lang w:eastAsia="zh-CN"/>
                    </w:rPr>
                  </w:pPr>
                  <w:r>
                    <w:rPr>
                      <w:rFonts w:hint="eastAsia" w:cs="Times New Roman"/>
                      <w:color w:val="auto"/>
                      <w:sz w:val="24"/>
                      <w:u w:val="single" w:color="auto"/>
                      <w:vertAlign w:val="baseline"/>
                      <w:lang w:eastAsia="zh-CN"/>
                    </w:rPr>
                    <w:t>点位</w:t>
                  </w:r>
                </w:p>
              </w:tc>
              <w:tc>
                <w:tcPr>
                  <w:tcW w:w="685" w:type="pct"/>
                  <w:vMerge w:val="restar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r>
                    <w:rPr>
                      <w:rFonts w:hint="eastAsia" w:cs="Times New Roman"/>
                      <w:color w:val="auto"/>
                      <w:sz w:val="24"/>
                      <w:u w:val="single" w:color="auto"/>
                      <w:vertAlign w:val="baseline"/>
                      <w:lang w:eastAsia="zh-CN"/>
                    </w:rPr>
                    <w:t>检测项目</w:t>
                  </w:r>
                </w:p>
              </w:tc>
              <w:tc>
                <w:tcPr>
                  <w:tcW w:w="2466" w:type="pct"/>
                  <w:gridSpan w:val="5"/>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r>
                    <w:rPr>
                      <w:rFonts w:hint="eastAsia" w:cs="Times New Roman"/>
                      <w:color w:val="auto"/>
                      <w:sz w:val="24"/>
                      <w:u w:val="single" w:color="auto"/>
                      <w:vertAlign w:val="baseline"/>
                      <w:lang w:eastAsia="zh-CN"/>
                    </w:rPr>
                    <w:t>检测结果（</w:t>
                  </w:r>
                  <w:r>
                    <w:rPr>
                      <w:rFonts w:hint="eastAsia" w:cs="Times New Roman"/>
                      <w:color w:val="auto"/>
                      <w:sz w:val="24"/>
                      <w:u w:val="single" w:color="auto"/>
                      <w:vertAlign w:val="baseline"/>
                      <w:lang w:val="en-US" w:eastAsia="zh-CN"/>
                    </w:rPr>
                    <w:t>mg/m</w:t>
                  </w:r>
                  <w:r>
                    <w:rPr>
                      <w:rFonts w:hint="eastAsia" w:cs="Times New Roman"/>
                      <w:color w:val="auto"/>
                      <w:sz w:val="24"/>
                      <w:u w:val="single" w:color="auto"/>
                      <w:vertAlign w:val="superscript"/>
                      <w:lang w:val="en-US" w:eastAsia="zh-CN"/>
                    </w:rPr>
                    <w:t>3</w:t>
                  </w:r>
                  <w:r>
                    <w:rPr>
                      <w:rFonts w:hint="eastAsia" w:cs="Times New Roman"/>
                      <w:color w:val="auto"/>
                      <w:sz w:val="24"/>
                      <w:u w:val="single" w:color="auto"/>
                      <w:vertAlign w:val="baseline"/>
                      <w:lang w:eastAsia="zh-CN"/>
                    </w:rPr>
                    <w:t>）</w:t>
                  </w:r>
                </w:p>
              </w:tc>
              <w:tc>
                <w:tcPr>
                  <w:tcW w:w="489" w:type="pct"/>
                  <w:vMerge w:val="restart"/>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r>
                    <w:rPr>
                      <w:rFonts w:hint="eastAsia" w:cs="Times New Roman"/>
                      <w:color w:val="auto"/>
                      <w:sz w:val="24"/>
                      <w:u w:val="single" w:color="auto"/>
                      <w:vertAlign w:val="baseline"/>
                      <w:lang w:eastAsia="zh-CN"/>
                    </w:rPr>
                    <w:t>平均值</w:t>
                  </w:r>
                </w:p>
              </w:tc>
              <w:tc>
                <w:tcPr>
                  <w:tcW w:w="404" w:type="pct"/>
                  <w:vMerge w:val="restart"/>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r>
                    <w:rPr>
                      <w:rFonts w:hint="eastAsia" w:cs="Times New Roman"/>
                      <w:color w:val="auto"/>
                      <w:sz w:val="24"/>
                      <w:u w:val="single" w:color="auto"/>
                      <w:vertAlign w:val="baseline"/>
                      <w:lang w:eastAsia="zh-CN"/>
                    </w:rPr>
                    <w:t>标准限值</w:t>
                  </w:r>
                </w:p>
              </w:tc>
              <w:tc>
                <w:tcPr>
                  <w:tcW w:w="405" w:type="pct"/>
                  <w:vMerge w:val="restart"/>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r>
                    <w:rPr>
                      <w:rFonts w:hint="eastAsia" w:cs="Times New Roman"/>
                      <w:color w:val="auto"/>
                      <w:sz w:val="24"/>
                      <w:u w:val="single" w:color="auto"/>
                      <w:vertAlign w:val="baseline"/>
                      <w:lang w:eastAsia="zh-CN"/>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548" w:type="pct"/>
                  <w:vMerge w:val="continue"/>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p>
              </w:tc>
              <w:tc>
                <w:tcPr>
                  <w:tcW w:w="685" w:type="pct"/>
                  <w:vMerge w:val="continue"/>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p>
              </w:tc>
              <w:tc>
                <w:tcPr>
                  <w:tcW w:w="511"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r>
                    <w:rPr>
                      <w:rFonts w:hint="eastAsia" w:cs="Times New Roman"/>
                      <w:color w:val="auto"/>
                      <w:sz w:val="24"/>
                      <w:u w:val="single" w:color="auto"/>
                      <w:vertAlign w:val="baseline"/>
                      <w:lang w:eastAsia="zh-CN"/>
                    </w:rPr>
                    <w:t>一次</w:t>
                  </w:r>
                </w:p>
              </w:tc>
              <w:tc>
                <w:tcPr>
                  <w:tcW w:w="503"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r>
                    <w:rPr>
                      <w:rFonts w:hint="eastAsia" w:cs="Times New Roman"/>
                      <w:color w:val="auto"/>
                      <w:sz w:val="24"/>
                      <w:u w:val="single" w:color="auto"/>
                      <w:vertAlign w:val="baseline"/>
                      <w:lang w:eastAsia="zh-CN"/>
                    </w:rPr>
                    <w:t>二次</w:t>
                  </w:r>
                </w:p>
              </w:tc>
              <w:tc>
                <w:tcPr>
                  <w:tcW w:w="478" w:type="pct"/>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r>
                    <w:rPr>
                      <w:rFonts w:hint="eastAsia" w:cs="Times New Roman"/>
                      <w:color w:val="auto"/>
                      <w:sz w:val="24"/>
                      <w:u w:val="single" w:color="auto"/>
                      <w:vertAlign w:val="baseline"/>
                      <w:lang w:eastAsia="zh-CN"/>
                    </w:rPr>
                    <w:t>三次</w:t>
                  </w:r>
                </w:p>
              </w:tc>
              <w:tc>
                <w:tcPr>
                  <w:tcW w:w="478" w:type="pct"/>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r>
                    <w:rPr>
                      <w:rFonts w:hint="eastAsia" w:cs="Times New Roman"/>
                      <w:color w:val="auto"/>
                      <w:sz w:val="24"/>
                      <w:u w:val="single" w:color="auto"/>
                      <w:vertAlign w:val="baseline"/>
                      <w:lang w:eastAsia="zh-CN"/>
                    </w:rPr>
                    <w:t>四次</w:t>
                  </w:r>
                </w:p>
              </w:tc>
              <w:tc>
                <w:tcPr>
                  <w:tcW w:w="494" w:type="pct"/>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r>
                    <w:rPr>
                      <w:rFonts w:hint="eastAsia" w:cs="Times New Roman"/>
                      <w:color w:val="auto"/>
                      <w:sz w:val="24"/>
                      <w:u w:val="single" w:color="auto"/>
                      <w:vertAlign w:val="baseline"/>
                      <w:lang w:eastAsia="zh-CN"/>
                    </w:rPr>
                    <w:t>五次</w:t>
                  </w:r>
                </w:p>
              </w:tc>
              <w:tc>
                <w:tcPr>
                  <w:tcW w:w="489" w:type="pct"/>
                  <w:vMerge w:val="continue"/>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p>
              </w:tc>
              <w:tc>
                <w:tcPr>
                  <w:tcW w:w="404" w:type="pct"/>
                  <w:vMerge w:val="continue"/>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p>
              </w:tc>
              <w:tc>
                <w:tcPr>
                  <w:tcW w:w="405" w:type="pct"/>
                  <w:vMerge w:val="continue"/>
                  <w:tcBorders>
                    <w:tl2br w:val="nil"/>
                    <w:tr2bl w:val="nil"/>
                  </w:tcBorders>
                  <w:vAlign w:val="center"/>
                </w:tcPr>
                <w:p>
                  <w:pPr>
                    <w:spacing w:line="360" w:lineRule="auto"/>
                    <w:jc w:val="center"/>
                    <w:rPr>
                      <w:rFonts w:hint="eastAsia" w:cs="Times New Roman"/>
                      <w:color w:val="auto"/>
                      <w:sz w:val="24"/>
                      <w:u w:val="single" w:color="auto"/>
                      <w:vertAlign w:val="baseli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8" w:type="pct"/>
                  <w:vMerge w:val="restar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r>
                    <w:rPr>
                      <w:rFonts w:hint="eastAsia" w:cs="Times New Roman"/>
                      <w:color w:val="auto"/>
                      <w:sz w:val="24"/>
                      <w:u w:val="single" w:color="auto"/>
                      <w:vertAlign w:val="baseline"/>
                      <w:lang w:eastAsia="zh-CN"/>
                    </w:rPr>
                    <w:t>油烟废气排气筒</w:t>
                  </w:r>
                </w:p>
              </w:tc>
              <w:tc>
                <w:tcPr>
                  <w:tcW w:w="685"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r>
                    <w:rPr>
                      <w:rFonts w:hint="eastAsia" w:cs="Times New Roman"/>
                      <w:color w:val="auto"/>
                      <w:sz w:val="24"/>
                      <w:u w:val="single" w:color="auto"/>
                      <w:vertAlign w:val="baseline"/>
                      <w:lang w:eastAsia="zh-CN"/>
                    </w:rPr>
                    <w:t>标干流量（</w:t>
                  </w:r>
                  <w:r>
                    <w:rPr>
                      <w:rFonts w:hint="eastAsia" w:cs="Times New Roman"/>
                      <w:color w:val="auto"/>
                      <w:sz w:val="24"/>
                      <w:u w:val="single" w:color="auto"/>
                      <w:vertAlign w:val="baseline"/>
                      <w:lang w:val="en-US" w:eastAsia="zh-CN"/>
                    </w:rPr>
                    <w:t>Nm</w:t>
                  </w:r>
                  <w:r>
                    <w:rPr>
                      <w:rFonts w:hint="eastAsia" w:cs="Times New Roman"/>
                      <w:color w:val="auto"/>
                      <w:sz w:val="24"/>
                      <w:u w:val="single" w:color="auto"/>
                      <w:vertAlign w:val="superscript"/>
                      <w:lang w:val="en-US" w:eastAsia="zh-CN"/>
                    </w:rPr>
                    <w:t>3</w:t>
                  </w:r>
                  <w:r>
                    <w:rPr>
                      <w:rFonts w:hint="eastAsia" w:cs="Times New Roman"/>
                      <w:color w:val="auto"/>
                      <w:sz w:val="24"/>
                      <w:u w:val="single" w:color="auto"/>
                      <w:vertAlign w:val="baseline"/>
                      <w:lang w:val="en-US" w:eastAsia="zh-CN"/>
                    </w:rPr>
                    <w:t>/h</w:t>
                  </w:r>
                  <w:r>
                    <w:rPr>
                      <w:rFonts w:hint="eastAsia" w:cs="Times New Roman"/>
                      <w:color w:val="auto"/>
                      <w:sz w:val="24"/>
                      <w:u w:val="single" w:color="auto"/>
                      <w:vertAlign w:val="baseline"/>
                      <w:lang w:eastAsia="zh-CN"/>
                    </w:rPr>
                    <w:t>）</w:t>
                  </w:r>
                </w:p>
              </w:tc>
              <w:tc>
                <w:tcPr>
                  <w:tcW w:w="511"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1778</w:t>
                  </w:r>
                </w:p>
              </w:tc>
              <w:tc>
                <w:tcPr>
                  <w:tcW w:w="503"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1858</w:t>
                  </w:r>
                </w:p>
              </w:tc>
              <w:tc>
                <w:tcPr>
                  <w:tcW w:w="478"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1780</w:t>
                  </w:r>
                </w:p>
              </w:tc>
              <w:tc>
                <w:tcPr>
                  <w:tcW w:w="478"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1697</w:t>
                  </w:r>
                </w:p>
              </w:tc>
              <w:tc>
                <w:tcPr>
                  <w:tcW w:w="494"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1780</w:t>
                  </w:r>
                </w:p>
              </w:tc>
              <w:tc>
                <w:tcPr>
                  <w:tcW w:w="489"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w:t>
                  </w:r>
                </w:p>
              </w:tc>
              <w:tc>
                <w:tcPr>
                  <w:tcW w:w="404"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w:t>
                  </w:r>
                </w:p>
              </w:tc>
              <w:tc>
                <w:tcPr>
                  <w:tcW w:w="405"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548" w:type="pct"/>
                  <w:vMerge w:val="continue"/>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p>
              </w:tc>
              <w:tc>
                <w:tcPr>
                  <w:tcW w:w="685"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r>
                    <w:rPr>
                      <w:rFonts w:hint="eastAsia" w:cs="Times New Roman"/>
                      <w:color w:val="auto"/>
                      <w:sz w:val="24"/>
                      <w:u w:val="single" w:color="auto"/>
                      <w:vertAlign w:val="baseline"/>
                      <w:lang w:eastAsia="zh-CN"/>
                    </w:rPr>
                    <w:t>排放浓度</w:t>
                  </w:r>
                </w:p>
              </w:tc>
              <w:tc>
                <w:tcPr>
                  <w:tcW w:w="511"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503"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478"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478"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0.3</w:t>
                  </w:r>
                </w:p>
              </w:tc>
              <w:tc>
                <w:tcPr>
                  <w:tcW w:w="494"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489"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404"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w:t>
                  </w:r>
                </w:p>
              </w:tc>
              <w:tc>
                <w:tcPr>
                  <w:tcW w:w="405"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548" w:type="pct"/>
                  <w:vMerge w:val="continue"/>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p>
              </w:tc>
              <w:tc>
                <w:tcPr>
                  <w:tcW w:w="685"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r>
                    <w:rPr>
                      <w:rFonts w:hint="eastAsia" w:cs="Times New Roman"/>
                      <w:color w:val="auto"/>
                      <w:sz w:val="24"/>
                      <w:u w:val="single" w:color="auto"/>
                      <w:vertAlign w:val="baseline"/>
                      <w:lang w:eastAsia="zh-CN"/>
                    </w:rPr>
                    <w:t>折算浓度</w:t>
                  </w:r>
                </w:p>
              </w:tc>
              <w:tc>
                <w:tcPr>
                  <w:tcW w:w="511"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503"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478"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478"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0.3</w:t>
                  </w:r>
                </w:p>
              </w:tc>
              <w:tc>
                <w:tcPr>
                  <w:tcW w:w="494"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489"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0.2</w:t>
                  </w:r>
                </w:p>
              </w:tc>
              <w:tc>
                <w:tcPr>
                  <w:tcW w:w="404"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val="en-US" w:eastAsia="zh-CN"/>
                    </w:rPr>
                  </w:pPr>
                  <w:r>
                    <w:rPr>
                      <w:rFonts w:hint="eastAsia" w:cs="Times New Roman"/>
                      <w:color w:val="auto"/>
                      <w:sz w:val="24"/>
                      <w:u w:val="single" w:color="auto"/>
                      <w:vertAlign w:val="baseline"/>
                      <w:lang w:val="en-US" w:eastAsia="zh-CN"/>
                    </w:rPr>
                    <w:t>2.0</w:t>
                  </w:r>
                </w:p>
              </w:tc>
              <w:tc>
                <w:tcPr>
                  <w:tcW w:w="405" w:type="pct"/>
                  <w:tcBorders>
                    <w:tl2br w:val="nil"/>
                    <w:tr2bl w:val="nil"/>
                  </w:tcBorders>
                  <w:vAlign w:val="center"/>
                </w:tcPr>
                <w:p>
                  <w:pPr>
                    <w:spacing w:line="360" w:lineRule="auto"/>
                    <w:jc w:val="center"/>
                    <w:rPr>
                      <w:rFonts w:hint="default" w:ascii="Times New Roman" w:hAnsi="Times New Roman" w:cs="Times New Roman"/>
                      <w:color w:val="auto"/>
                      <w:sz w:val="24"/>
                      <w:u w:val="single" w:color="auto"/>
                      <w:vertAlign w:val="baseline"/>
                      <w:lang w:eastAsia="zh-CN"/>
                    </w:rPr>
                  </w:pPr>
                  <w:r>
                    <w:rPr>
                      <w:rFonts w:hint="eastAsia" w:cs="Times New Roman"/>
                      <w:color w:val="auto"/>
                      <w:sz w:val="24"/>
                      <w:u w:val="single" w:color="auto"/>
                      <w:vertAlign w:val="baseline"/>
                      <w:lang w:eastAsia="zh-CN"/>
                    </w:rPr>
                    <w:t>达标</w:t>
                  </w:r>
                </w:p>
              </w:tc>
            </w:tr>
          </w:tbl>
          <w:p>
            <w:pPr>
              <w:spacing w:line="360" w:lineRule="auto"/>
              <w:ind w:firstLine="600" w:firstLineChars="250"/>
              <w:rPr>
                <w:rFonts w:hint="default" w:ascii="Times New Roman" w:hAnsi="Times New Roman" w:cs="Times New Roman"/>
                <w:color w:val="auto"/>
                <w:sz w:val="24"/>
                <w:u w:val="single" w:color="auto"/>
                <w:lang w:eastAsia="zh-CN"/>
              </w:rPr>
            </w:pPr>
            <w:r>
              <w:rPr>
                <w:rFonts w:hint="eastAsia" w:cs="Times New Roman"/>
                <w:color w:val="auto"/>
                <w:sz w:val="24"/>
                <w:u w:val="single" w:color="auto"/>
                <w:lang w:eastAsia="zh-CN"/>
              </w:rPr>
              <w:t>监测结果表面，项目食堂油烟废气监测结果均达到了《饮食业油烟排放标准（试行）》（</w:t>
            </w:r>
            <w:r>
              <w:rPr>
                <w:rFonts w:hint="eastAsia" w:cs="Times New Roman"/>
                <w:color w:val="auto"/>
                <w:sz w:val="24"/>
                <w:u w:val="single" w:color="auto"/>
                <w:lang w:val="en-US" w:eastAsia="zh-CN"/>
              </w:rPr>
              <w:t>GB18483-2001</w:t>
            </w:r>
            <w:r>
              <w:rPr>
                <w:rFonts w:hint="eastAsia" w:cs="Times New Roman"/>
                <w:color w:val="auto"/>
                <w:sz w:val="24"/>
                <w:u w:val="single" w:color="auto"/>
                <w:lang w:eastAsia="zh-CN"/>
              </w:rPr>
              <w:t>）中排放标准要求。</w:t>
            </w:r>
          </w:p>
          <w:p>
            <w:pPr>
              <w:spacing w:line="360" w:lineRule="auto"/>
              <w:ind w:firstLine="600" w:firstLineChars="250"/>
              <w:rPr>
                <w:rFonts w:hint="default" w:ascii="Times New Roman" w:hAnsi="Times New Roman" w:eastAsia="宋体" w:cs="Times New Roman"/>
                <w:color w:val="auto"/>
                <w:sz w:val="24"/>
                <w:u w:val="single" w:color="auto"/>
                <w:lang w:eastAsia="zh-CN"/>
              </w:rPr>
            </w:pPr>
            <w:r>
              <w:rPr>
                <w:rFonts w:hint="default" w:ascii="Times New Roman" w:hAnsi="Times New Roman" w:cs="Times New Roman"/>
                <w:color w:val="auto"/>
                <w:sz w:val="24"/>
                <w:u w:val="single" w:color="auto"/>
                <w:lang w:eastAsia="zh-CN"/>
              </w:rPr>
              <w:t>（</w:t>
            </w:r>
            <w:r>
              <w:rPr>
                <w:rFonts w:hint="default" w:ascii="Times New Roman" w:hAnsi="Times New Roman" w:cs="Times New Roman"/>
                <w:color w:val="auto"/>
                <w:sz w:val="24"/>
                <w:u w:val="single" w:color="auto"/>
                <w:lang w:val="en-US" w:eastAsia="zh-CN"/>
              </w:rPr>
              <w:t>3</w:t>
            </w:r>
            <w:r>
              <w:rPr>
                <w:rFonts w:hint="default" w:ascii="Times New Roman" w:hAnsi="Times New Roman" w:cs="Times New Roman"/>
                <w:color w:val="auto"/>
                <w:sz w:val="24"/>
                <w:u w:val="single" w:color="auto"/>
                <w:lang w:eastAsia="zh-CN"/>
              </w:rPr>
              <w:t>）噪声污染及现有的环保措施</w:t>
            </w:r>
          </w:p>
          <w:p>
            <w:pPr>
              <w:spacing w:line="360" w:lineRule="auto"/>
              <w:ind w:firstLine="600" w:firstLineChars="25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u w:val="single" w:color="auto"/>
                <w:lang w:eastAsia="zh-CN"/>
              </w:rPr>
              <w:t>项目噪声污染源主要来自车间设备的运行噪声。根据湖南精准通检测技术有限公司于</w:t>
            </w:r>
            <w:r>
              <w:rPr>
                <w:rFonts w:hint="default" w:ascii="Times New Roman" w:hAnsi="Times New Roman" w:cs="Times New Roman"/>
                <w:color w:val="auto"/>
                <w:sz w:val="24"/>
                <w:u w:val="single" w:color="auto"/>
                <w:lang w:val="en-US" w:eastAsia="zh-CN"/>
              </w:rPr>
              <w:t>2019年</w:t>
            </w:r>
            <w:r>
              <w:rPr>
                <w:rFonts w:hint="eastAsia" w:cs="Times New Roman"/>
                <w:color w:val="auto"/>
                <w:sz w:val="24"/>
                <w:u w:val="single" w:color="auto"/>
                <w:lang w:val="en-US" w:eastAsia="zh-CN"/>
              </w:rPr>
              <w:t>11</w:t>
            </w:r>
            <w:r>
              <w:rPr>
                <w:rFonts w:hint="default" w:ascii="Times New Roman" w:hAnsi="Times New Roman" w:cs="Times New Roman"/>
                <w:color w:val="auto"/>
                <w:sz w:val="24"/>
                <w:u w:val="single" w:color="auto"/>
                <w:lang w:val="en-US" w:eastAsia="zh-CN"/>
              </w:rPr>
              <w:t>月</w:t>
            </w:r>
            <w:r>
              <w:rPr>
                <w:rFonts w:hint="eastAsia" w:cs="Times New Roman"/>
                <w:color w:val="auto"/>
                <w:sz w:val="24"/>
                <w:u w:val="single" w:color="auto"/>
                <w:lang w:val="en-US" w:eastAsia="zh-CN"/>
              </w:rPr>
              <w:t>25</w:t>
            </w:r>
            <w:r>
              <w:rPr>
                <w:rFonts w:hint="default" w:ascii="Times New Roman" w:hAnsi="Times New Roman" w:cs="Times New Roman"/>
                <w:color w:val="auto"/>
                <w:sz w:val="24"/>
                <w:u w:val="single" w:color="auto"/>
                <w:lang w:val="en-US" w:eastAsia="zh-CN"/>
              </w:rPr>
              <w:t>日对其厂界四周进行了监测，监测期间项目正常运行，</w:t>
            </w:r>
            <w:r>
              <w:rPr>
                <w:rFonts w:hint="default" w:ascii="Times New Roman" w:hAnsi="Times New Roman" w:cs="Times New Roman"/>
                <w:color w:val="auto"/>
                <w:sz w:val="24"/>
                <w:szCs w:val="24"/>
                <w:u w:val="single" w:color="auto"/>
                <w:lang w:eastAsia="zh-CN"/>
              </w:rPr>
              <w:t>其工况约为</w:t>
            </w:r>
            <w:r>
              <w:rPr>
                <w:rFonts w:hint="default" w:ascii="Times New Roman" w:hAnsi="Times New Roman" w:cs="Times New Roman"/>
                <w:color w:val="auto"/>
                <w:sz w:val="24"/>
                <w:szCs w:val="24"/>
                <w:u w:val="single" w:color="auto"/>
                <w:lang w:val="en-US" w:eastAsia="zh-CN"/>
              </w:rPr>
              <w:t>75%</w:t>
            </w:r>
            <w:r>
              <w:rPr>
                <w:rFonts w:hint="default" w:ascii="Times New Roman" w:hAnsi="Times New Roman" w:cs="Times New Roman"/>
                <w:color w:val="auto"/>
                <w:sz w:val="24"/>
                <w:u w:val="single" w:color="auto"/>
                <w:lang w:val="en-US" w:eastAsia="zh-CN"/>
              </w:rPr>
              <w:t>。</w:t>
            </w:r>
          </w:p>
          <w:p>
            <w:pPr>
              <w:spacing w:line="360" w:lineRule="auto"/>
              <w:jc w:val="center"/>
              <w:rPr>
                <w:rFonts w:hint="default" w:ascii="Times New Roman" w:hAnsi="Times New Roman" w:cs="Times New Roman"/>
                <w:color w:val="auto"/>
                <w:sz w:val="24"/>
                <w:szCs w:val="24"/>
                <w:u w:val="single" w:color="auto"/>
              </w:rPr>
            </w:pPr>
          </w:p>
          <w:p>
            <w:pPr>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表</w:t>
            </w:r>
            <w:r>
              <w:rPr>
                <w:rFonts w:hint="default" w:ascii="Times New Roman" w:hAnsi="Times New Roman" w:cs="Times New Roman"/>
                <w:color w:val="auto"/>
                <w:sz w:val="24"/>
                <w:szCs w:val="24"/>
                <w:u w:val="single" w:color="auto"/>
                <w:lang w:val="en-US" w:eastAsia="zh-CN"/>
              </w:rPr>
              <w:t>1-</w:t>
            </w:r>
            <w:r>
              <w:rPr>
                <w:rFonts w:hint="eastAsia" w:cs="Times New Roman"/>
                <w:color w:val="auto"/>
                <w:sz w:val="24"/>
                <w:szCs w:val="24"/>
                <w:u w:val="single" w:color="auto"/>
                <w:lang w:val="en-US" w:eastAsia="zh-CN"/>
              </w:rPr>
              <w:t>12</w:t>
            </w:r>
            <w:r>
              <w:rPr>
                <w:rFonts w:hint="default" w:ascii="Times New Roman" w:hAnsi="Times New Roman" w:cs="Times New Roman"/>
                <w:color w:val="auto"/>
                <w:sz w:val="24"/>
                <w:szCs w:val="24"/>
                <w:u w:val="single" w:color="auto"/>
              </w:rPr>
              <w:t xml:space="preserve">  </w:t>
            </w:r>
            <w:r>
              <w:rPr>
                <w:rFonts w:hint="default" w:ascii="Times New Roman" w:hAnsi="Times New Roman" w:cs="Times New Roman"/>
                <w:color w:val="auto"/>
                <w:sz w:val="24"/>
                <w:szCs w:val="24"/>
                <w:u w:val="single" w:color="auto"/>
                <w:lang w:eastAsia="zh-CN"/>
              </w:rPr>
              <w:t>噪声监测结果一览表</w:t>
            </w:r>
            <w:r>
              <w:rPr>
                <w:rFonts w:hint="default" w:ascii="Times New Roman" w:hAnsi="Times New Roman" w:cs="Times New Roman"/>
                <w:color w:val="auto"/>
                <w:sz w:val="24"/>
                <w:szCs w:val="24"/>
                <w:u w:val="single" w:color="auto"/>
              </w:rPr>
              <w:t xml:space="preserve">    单位：dB(A)</w:t>
            </w:r>
          </w:p>
          <w:tbl>
            <w:tblPr>
              <w:tblStyle w:val="39"/>
              <w:tblW w:w="905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848"/>
              <w:gridCol w:w="1369"/>
              <w:gridCol w:w="972"/>
              <w:gridCol w:w="973"/>
              <w:gridCol w:w="974"/>
              <w:gridCol w:w="973"/>
              <w:gridCol w:w="975"/>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2"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监测点</w:t>
                  </w:r>
                </w:p>
              </w:tc>
              <w:tc>
                <w:tcPr>
                  <w:tcW w:w="1369"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监测日期</w:t>
                  </w:r>
                </w:p>
              </w:tc>
              <w:tc>
                <w:tcPr>
                  <w:tcW w:w="2919"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昼间</w:t>
                  </w:r>
                </w:p>
              </w:tc>
              <w:tc>
                <w:tcPr>
                  <w:tcW w:w="2920"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369"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结果</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标准值</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是否</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监测</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结果</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标准值</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是否</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7" w:hRule="atLeast"/>
              </w:trPr>
              <w:tc>
                <w:tcPr>
                  <w:tcW w:w="184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项目</w:t>
                  </w:r>
                  <w:r>
                    <w:rPr>
                      <w:rFonts w:hint="default" w:ascii="Times New Roman" w:hAnsi="Times New Roman" w:cs="Times New Roman"/>
                      <w:color w:val="auto"/>
                      <w:sz w:val="22"/>
                      <w:szCs w:val="22"/>
                      <w:u w:val="single" w:color="auto"/>
                      <w:lang w:eastAsia="zh-CN"/>
                    </w:rPr>
                    <w:t>东</w:t>
                  </w:r>
                  <w:r>
                    <w:rPr>
                      <w:rFonts w:hint="default" w:ascii="Times New Roman" w:hAnsi="Times New Roman" w:cs="Times New Roman"/>
                      <w:color w:val="auto"/>
                      <w:sz w:val="22"/>
                      <w:szCs w:val="22"/>
                      <w:u w:val="single" w:color="auto"/>
                    </w:rPr>
                    <w:t>面</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11</w:t>
                  </w:r>
                  <w:r>
                    <w:rPr>
                      <w:rFonts w:hint="default" w:ascii="Times New Roman" w:hAnsi="Times New Roman" w:cs="Times New Roman"/>
                      <w:color w:val="auto"/>
                      <w:sz w:val="22"/>
                      <w:szCs w:val="22"/>
                      <w:u w:val="single" w:color="auto"/>
                      <w:lang w:val="en-US" w:eastAsia="zh-CN"/>
                    </w:rPr>
                    <w:t>月</w:t>
                  </w:r>
                  <w:r>
                    <w:rPr>
                      <w:rFonts w:hint="eastAsia" w:cs="Times New Roman"/>
                      <w:color w:val="auto"/>
                      <w:sz w:val="22"/>
                      <w:szCs w:val="22"/>
                      <w:u w:val="single" w:color="auto"/>
                      <w:lang w:val="en-US" w:eastAsia="zh-CN"/>
                    </w:rPr>
                    <w:t>25</w:t>
                  </w:r>
                  <w:r>
                    <w:rPr>
                      <w:rFonts w:hint="default" w:ascii="Times New Roman" w:hAnsi="Times New Roman" w:cs="Times New Roman"/>
                      <w:color w:val="auto"/>
                      <w:sz w:val="22"/>
                      <w:szCs w:val="22"/>
                      <w:u w:val="singl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53.6</w:t>
                  </w:r>
                </w:p>
              </w:tc>
              <w:tc>
                <w:tcPr>
                  <w:tcW w:w="97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6</w:t>
                  </w:r>
                  <w:r>
                    <w:rPr>
                      <w:rFonts w:hint="eastAsia" w:cs="Times New Roman"/>
                      <w:color w:val="auto"/>
                      <w:sz w:val="22"/>
                      <w:szCs w:val="22"/>
                      <w:u w:val="single" w:color="auto"/>
                      <w:lang w:val="en-US" w:eastAsia="zh-CN"/>
                    </w:rPr>
                    <w:t>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40.6</w:t>
                  </w:r>
                </w:p>
              </w:tc>
              <w:tc>
                <w:tcPr>
                  <w:tcW w:w="97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5</w:t>
                  </w:r>
                  <w:r>
                    <w:rPr>
                      <w:rFonts w:hint="eastAsia" w:cs="Times New Roman"/>
                      <w:color w:val="auto"/>
                      <w:sz w:val="22"/>
                      <w:szCs w:val="22"/>
                      <w:u w:val="single" w:color="auto"/>
                      <w:lang w:val="en-US" w:eastAsia="zh-CN"/>
                    </w:rPr>
                    <w:t>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2" w:hRule="atLeast"/>
              </w:trPr>
              <w:tc>
                <w:tcPr>
                  <w:tcW w:w="184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项目</w:t>
                  </w:r>
                  <w:r>
                    <w:rPr>
                      <w:rFonts w:hint="default" w:ascii="Times New Roman" w:hAnsi="Times New Roman" w:cs="Times New Roman"/>
                      <w:color w:val="auto"/>
                      <w:sz w:val="22"/>
                      <w:szCs w:val="22"/>
                      <w:u w:val="single" w:color="auto"/>
                      <w:lang w:eastAsia="zh-CN"/>
                    </w:rPr>
                    <w:t>南</w:t>
                  </w:r>
                  <w:r>
                    <w:rPr>
                      <w:rFonts w:hint="default" w:ascii="Times New Roman" w:hAnsi="Times New Roman" w:cs="Times New Roman"/>
                      <w:color w:val="auto"/>
                      <w:sz w:val="22"/>
                      <w:szCs w:val="22"/>
                      <w:u w:val="single" w:color="auto"/>
                    </w:rPr>
                    <w:t>面</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val="en-US" w:eastAsia="zh-CN"/>
                    </w:rPr>
                    <w:t>11</w:t>
                  </w:r>
                  <w:r>
                    <w:rPr>
                      <w:rFonts w:hint="default" w:ascii="Times New Roman" w:hAnsi="Times New Roman" w:cs="Times New Roman"/>
                      <w:color w:val="auto"/>
                      <w:sz w:val="22"/>
                      <w:szCs w:val="22"/>
                      <w:u w:val="single" w:color="auto"/>
                      <w:lang w:val="en-US" w:eastAsia="zh-CN"/>
                    </w:rPr>
                    <w:t>月</w:t>
                  </w:r>
                  <w:r>
                    <w:rPr>
                      <w:rFonts w:hint="eastAsia" w:cs="Times New Roman"/>
                      <w:color w:val="auto"/>
                      <w:sz w:val="22"/>
                      <w:szCs w:val="22"/>
                      <w:u w:val="single" w:color="auto"/>
                      <w:lang w:val="en-US" w:eastAsia="zh-CN"/>
                    </w:rPr>
                    <w:t>25</w:t>
                  </w:r>
                  <w:r>
                    <w:rPr>
                      <w:rFonts w:hint="default" w:ascii="Times New Roman" w:hAnsi="Times New Roman" w:cs="Times New Roman"/>
                      <w:color w:val="auto"/>
                      <w:sz w:val="22"/>
                      <w:szCs w:val="22"/>
                      <w:u w:val="singl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52.9</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lang w:val="en-US" w:eastAsia="zh-CN"/>
                    </w:rPr>
                    <w:t>6</w:t>
                  </w:r>
                  <w:r>
                    <w:rPr>
                      <w:rFonts w:hint="eastAsia" w:cs="Times New Roman"/>
                      <w:color w:val="auto"/>
                      <w:sz w:val="22"/>
                      <w:szCs w:val="22"/>
                      <w:u w:val="single" w:color="auto"/>
                      <w:lang w:val="en-US" w:eastAsia="zh-CN"/>
                    </w:rPr>
                    <w:t>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39.8</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rPr>
                  </w:pPr>
                  <w:r>
                    <w:rPr>
                      <w:rFonts w:hint="default" w:ascii="Times New Roman" w:hAnsi="Times New Roman" w:cs="Times New Roman"/>
                      <w:color w:val="auto"/>
                      <w:sz w:val="22"/>
                      <w:szCs w:val="22"/>
                      <w:u w:val="single" w:color="auto"/>
                      <w:lang w:val="en-US" w:eastAsia="zh-CN"/>
                    </w:rPr>
                    <w:t>5</w:t>
                  </w:r>
                  <w:r>
                    <w:rPr>
                      <w:rFonts w:hint="eastAsia" w:cs="Times New Roman"/>
                      <w:color w:val="auto"/>
                      <w:sz w:val="22"/>
                      <w:szCs w:val="22"/>
                      <w:u w:val="single" w:color="auto"/>
                      <w:lang w:val="en-US" w:eastAsia="zh-CN"/>
                    </w:rPr>
                    <w:t>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2" w:hRule="atLeast"/>
              </w:trPr>
              <w:tc>
                <w:tcPr>
                  <w:tcW w:w="184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项目</w:t>
                  </w:r>
                  <w:r>
                    <w:rPr>
                      <w:rFonts w:hint="default" w:ascii="Times New Roman" w:hAnsi="Times New Roman" w:cs="Times New Roman"/>
                      <w:color w:val="auto"/>
                      <w:sz w:val="22"/>
                      <w:szCs w:val="22"/>
                      <w:u w:val="single" w:color="auto"/>
                      <w:lang w:eastAsia="zh-CN"/>
                    </w:rPr>
                    <w:t>西</w:t>
                  </w:r>
                  <w:r>
                    <w:rPr>
                      <w:rFonts w:hint="default" w:ascii="Times New Roman" w:hAnsi="Times New Roman" w:cs="Times New Roman"/>
                      <w:color w:val="auto"/>
                      <w:sz w:val="22"/>
                      <w:szCs w:val="22"/>
                      <w:u w:val="single" w:color="auto"/>
                    </w:rPr>
                    <w:t>面</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val="en-US" w:eastAsia="zh-CN"/>
                    </w:rPr>
                    <w:t>11</w:t>
                  </w:r>
                  <w:r>
                    <w:rPr>
                      <w:rFonts w:hint="default" w:ascii="Times New Roman" w:hAnsi="Times New Roman" w:cs="Times New Roman"/>
                      <w:color w:val="auto"/>
                      <w:sz w:val="22"/>
                      <w:szCs w:val="22"/>
                      <w:u w:val="single" w:color="auto"/>
                      <w:lang w:val="en-US" w:eastAsia="zh-CN"/>
                    </w:rPr>
                    <w:t>月</w:t>
                  </w:r>
                  <w:r>
                    <w:rPr>
                      <w:rFonts w:hint="eastAsia" w:cs="Times New Roman"/>
                      <w:color w:val="auto"/>
                      <w:sz w:val="22"/>
                      <w:szCs w:val="22"/>
                      <w:u w:val="single" w:color="auto"/>
                      <w:lang w:val="en-US" w:eastAsia="zh-CN"/>
                    </w:rPr>
                    <w:t>25</w:t>
                  </w:r>
                  <w:r>
                    <w:rPr>
                      <w:rFonts w:hint="default" w:ascii="Times New Roman" w:hAnsi="Times New Roman" w:cs="Times New Roman"/>
                      <w:color w:val="auto"/>
                      <w:sz w:val="22"/>
                      <w:szCs w:val="22"/>
                      <w:u w:val="singl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50.4</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lang w:val="en-US" w:eastAsia="zh-CN"/>
                    </w:rPr>
                    <w:t>6</w:t>
                  </w:r>
                  <w:r>
                    <w:rPr>
                      <w:rFonts w:hint="eastAsia" w:cs="Times New Roman"/>
                      <w:color w:val="auto"/>
                      <w:sz w:val="22"/>
                      <w:szCs w:val="22"/>
                      <w:u w:val="single" w:color="auto"/>
                      <w:lang w:val="en-US" w:eastAsia="zh-CN"/>
                    </w:rPr>
                    <w:t>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41.3</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lang w:val="en-US" w:eastAsia="zh-CN"/>
                    </w:rPr>
                    <w:t>5</w:t>
                  </w:r>
                  <w:r>
                    <w:rPr>
                      <w:rFonts w:hint="eastAsia" w:cs="Times New Roman"/>
                      <w:color w:val="auto"/>
                      <w:sz w:val="22"/>
                      <w:szCs w:val="22"/>
                      <w:u w:val="single" w:color="auto"/>
                      <w:lang w:val="en-US" w:eastAsia="zh-CN"/>
                    </w:rPr>
                    <w:t>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7" w:hRule="atLeast"/>
              </w:trPr>
              <w:tc>
                <w:tcPr>
                  <w:tcW w:w="184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项目</w:t>
                  </w:r>
                  <w:r>
                    <w:rPr>
                      <w:rFonts w:hint="default" w:ascii="Times New Roman" w:hAnsi="Times New Roman" w:cs="Times New Roman"/>
                      <w:color w:val="auto"/>
                      <w:sz w:val="22"/>
                      <w:szCs w:val="22"/>
                      <w:u w:val="single" w:color="auto"/>
                      <w:lang w:eastAsia="zh-CN"/>
                    </w:rPr>
                    <w:t>北</w:t>
                  </w:r>
                  <w:r>
                    <w:rPr>
                      <w:rFonts w:hint="default" w:ascii="Times New Roman" w:hAnsi="Times New Roman" w:cs="Times New Roman"/>
                      <w:color w:val="auto"/>
                      <w:sz w:val="22"/>
                      <w:szCs w:val="22"/>
                      <w:u w:val="single" w:color="auto"/>
                    </w:rPr>
                    <w:t>面</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val="en-US" w:eastAsia="zh-CN"/>
                    </w:rPr>
                    <w:t>11</w:t>
                  </w:r>
                  <w:r>
                    <w:rPr>
                      <w:rFonts w:hint="default" w:ascii="Times New Roman" w:hAnsi="Times New Roman" w:cs="Times New Roman"/>
                      <w:color w:val="auto"/>
                      <w:sz w:val="22"/>
                      <w:szCs w:val="22"/>
                      <w:u w:val="single" w:color="auto"/>
                      <w:lang w:val="en-US" w:eastAsia="zh-CN"/>
                    </w:rPr>
                    <w:t>月</w:t>
                  </w:r>
                  <w:r>
                    <w:rPr>
                      <w:rFonts w:hint="eastAsia" w:cs="Times New Roman"/>
                      <w:color w:val="auto"/>
                      <w:sz w:val="22"/>
                      <w:szCs w:val="22"/>
                      <w:u w:val="single" w:color="auto"/>
                      <w:lang w:val="en-US" w:eastAsia="zh-CN"/>
                    </w:rPr>
                    <w:t>25</w:t>
                  </w:r>
                  <w:r>
                    <w:rPr>
                      <w:rFonts w:hint="default" w:ascii="Times New Roman" w:hAnsi="Times New Roman" w:cs="Times New Roman"/>
                      <w:color w:val="auto"/>
                      <w:sz w:val="22"/>
                      <w:szCs w:val="22"/>
                      <w:u w:val="singl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54.2</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6</w:t>
                  </w:r>
                  <w:r>
                    <w:rPr>
                      <w:rFonts w:hint="eastAsia" w:cs="Times New Roman"/>
                      <w:color w:val="auto"/>
                      <w:sz w:val="22"/>
                      <w:szCs w:val="22"/>
                      <w:u w:val="single" w:color="auto"/>
                      <w:lang w:val="en-US" w:eastAsia="zh-CN"/>
                    </w:rPr>
                    <w:t>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37.5</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lang w:val="en-US" w:eastAsia="zh-CN"/>
                    </w:rPr>
                    <w:t>5</w:t>
                  </w:r>
                  <w:r>
                    <w:rPr>
                      <w:rFonts w:hint="eastAsia" w:cs="Times New Roman"/>
                      <w:color w:val="auto"/>
                      <w:sz w:val="22"/>
                      <w:szCs w:val="22"/>
                      <w:u w:val="single" w:color="auto"/>
                      <w:lang w:val="en-US" w:eastAsia="zh-CN"/>
                    </w:rPr>
                    <w:t>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达标</w:t>
                  </w:r>
                </w:p>
              </w:tc>
            </w:tr>
          </w:tbl>
          <w:p>
            <w:pPr>
              <w:spacing w:line="360" w:lineRule="auto"/>
              <w:ind w:firstLine="600" w:firstLineChars="250"/>
              <w:rPr>
                <w:rFonts w:hint="default" w:ascii="Times New Roman" w:hAnsi="Times New Roman" w:eastAsia="宋体" w:cs="Times New Roman"/>
                <w:color w:val="auto"/>
                <w:sz w:val="24"/>
                <w:u w:val="single" w:color="auto"/>
                <w:lang w:eastAsia="zh-CN"/>
              </w:rPr>
            </w:pPr>
            <w:r>
              <w:rPr>
                <w:rFonts w:hint="default" w:ascii="Times New Roman" w:hAnsi="Times New Roman" w:cs="Times New Roman"/>
                <w:color w:val="auto"/>
                <w:sz w:val="24"/>
                <w:szCs w:val="24"/>
                <w:u w:val="single" w:color="auto"/>
                <w:lang w:eastAsia="zh-CN"/>
              </w:rPr>
              <w:t>监测结果表明，本项目厂界四周噪声满足</w:t>
            </w:r>
            <w:r>
              <w:rPr>
                <w:rFonts w:hint="default" w:ascii="Times New Roman" w:hAnsi="Times New Roman" w:cs="Times New Roman"/>
                <w:color w:val="auto"/>
                <w:sz w:val="24"/>
                <w:szCs w:val="24"/>
                <w:u w:val="single" w:color="auto"/>
              </w:rPr>
              <w:t>《工业企业厂界环境噪声排放标准》（GB12348-2008）</w:t>
            </w:r>
            <w:r>
              <w:rPr>
                <w:rFonts w:hint="eastAsia" w:cs="Times New Roman"/>
                <w:color w:val="auto"/>
                <w:sz w:val="24"/>
                <w:szCs w:val="24"/>
                <w:u w:val="single" w:color="auto"/>
                <w:lang w:val="en-US" w:eastAsia="zh-CN"/>
              </w:rPr>
              <w:t>3</w:t>
            </w:r>
            <w:r>
              <w:rPr>
                <w:rFonts w:hint="default" w:ascii="Times New Roman" w:hAnsi="Times New Roman" w:cs="Times New Roman"/>
                <w:color w:val="auto"/>
                <w:sz w:val="24"/>
                <w:szCs w:val="24"/>
                <w:u w:val="single" w:color="auto"/>
              </w:rPr>
              <w:t>类标准</w:t>
            </w:r>
            <w:r>
              <w:rPr>
                <w:rFonts w:hint="default" w:ascii="Times New Roman" w:hAnsi="Times New Roman" w:cs="Times New Roman"/>
                <w:color w:val="auto"/>
                <w:sz w:val="24"/>
                <w:u w:val="single" w:color="auto"/>
                <w:lang w:eastAsia="zh-CN"/>
              </w:rPr>
              <w:t>。</w:t>
            </w:r>
          </w:p>
          <w:p>
            <w:pPr>
              <w:spacing w:line="360" w:lineRule="auto"/>
              <w:ind w:firstLine="600" w:firstLineChars="250"/>
              <w:rPr>
                <w:rFonts w:hint="default" w:ascii="Times New Roman" w:hAnsi="Times New Roman" w:eastAsia="宋体" w:cs="Times New Roman"/>
                <w:color w:val="auto"/>
                <w:sz w:val="24"/>
                <w:u w:val="single" w:color="auto"/>
                <w:lang w:eastAsia="zh-CN"/>
              </w:rPr>
            </w:pPr>
            <w:r>
              <w:rPr>
                <w:rFonts w:hint="default" w:ascii="Times New Roman" w:hAnsi="Times New Roman" w:cs="Times New Roman"/>
                <w:color w:val="auto"/>
                <w:sz w:val="24"/>
                <w:u w:val="single" w:color="auto"/>
                <w:lang w:eastAsia="zh-CN"/>
              </w:rPr>
              <w:t>（</w:t>
            </w:r>
            <w:r>
              <w:rPr>
                <w:rFonts w:hint="default" w:ascii="Times New Roman" w:hAnsi="Times New Roman" w:cs="Times New Roman"/>
                <w:color w:val="auto"/>
                <w:sz w:val="24"/>
                <w:u w:val="single" w:color="auto"/>
                <w:lang w:val="en-US" w:eastAsia="zh-CN"/>
              </w:rPr>
              <w:t>4</w:t>
            </w:r>
            <w:r>
              <w:rPr>
                <w:rFonts w:hint="default" w:ascii="Times New Roman" w:hAnsi="Times New Roman" w:cs="Times New Roman"/>
                <w:color w:val="auto"/>
                <w:sz w:val="24"/>
                <w:u w:val="single" w:color="auto"/>
                <w:lang w:eastAsia="zh-CN"/>
              </w:rPr>
              <w:t>）固体废物污染及现有的环保措施</w:t>
            </w:r>
          </w:p>
          <w:p>
            <w:pPr>
              <w:spacing w:line="360" w:lineRule="auto"/>
              <w:ind w:firstLine="600" w:firstLineChars="250"/>
              <w:rPr>
                <w:rFonts w:hint="default" w:ascii="Times New Roman" w:hAnsi="Times New Roman" w:eastAsia="宋体" w:cs="Times New Roman"/>
                <w:color w:val="auto"/>
                <w:sz w:val="24"/>
                <w:u w:val="single" w:color="auto"/>
                <w:lang w:val="en-US" w:eastAsia="zh-CN"/>
              </w:rPr>
            </w:pPr>
            <w:r>
              <w:rPr>
                <w:rFonts w:hint="default" w:ascii="Times New Roman" w:hAnsi="Times New Roman" w:cs="Times New Roman"/>
                <w:color w:val="auto"/>
                <w:sz w:val="24"/>
                <w:u w:val="single" w:color="auto"/>
                <w:lang w:eastAsia="zh-CN"/>
              </w:rPr>
              <w:t>本项目运营期固体废物主要为</w:t>
            </w:r>
            <w:r>
              <w:rPr>
                <w:rFonts w:hint="eastAsia" w:cs="Times New Roman"/>
                <w:color w:val="auto"/>
                <w:sz w:val="24"/>
                <w:u w:val="single" w:color="auto"/>
                <w:lang w:eastAsia="zh-CN"/>
              </w:rPr>
              <w:t>生活垃圾收集后交由环卫部门进行处理，餐厨垃圾收集有交由有资质单位进行处理，废边角料收集后外售物资回收公司回收处置，喷塑收集的粉尘回用于生产，漆渣、废油漆桶、废稀释剂桶、废润滑油桶、废油、含油抹布、废活性炭收集于危险废物储存间内，再交由湖南万容固体废物处理有限公司处置</w:t>
            </w:r>
            <w:r>
              <w:rPr>
                <w:rFonts w:hint="default" w:ascii="Times New Roman" w:hAnsi="Times New Roman" w:cs="Times New Roman"/>
                <w:color w:val="auto"/>
                <w:sz w:val="24"/>
                <w:u w:val="single" w:color="auto"/>
                <w:lang w:eastAsia="zh-CN"/>
              </w:rPr>
              <w:t>。</w:t>
            </w:r>
          </w:p>
          <w:p>
            <w:pPr>
              <w:spacing w:line="360" w:lineRule="auto"/>
              <w:ind w:firstLine="600" w:firstLineChars="250"/>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lang w:val="en-US" w:eastAsia="zh-CN"/>
              </w:rPr>
              <w:t>4、</w:t>
            </w:r>
            <w:r>
              <w:rPr>
                <w:rFonts w:hint="default" w:ascii="Times New Roman" w:hAnsi="Times New Roman" w:cs="Times New Roman"/>
                <w:color w:val="auto"/>
                <w:sz w:val="24"/>
                <w:u w:val="single" w:color="auto"/>
              </w:rPr>
              <w:t>存在的主要问题及整改措施</w:t>
            </w:r>
          </w:p>
          <w:p>
            <w:pPr>
              <w:spacing w:line="360" w:lineRule="auto"/>
              <w:ind w:firstLine="480" w:firstLineChars="200"/>
              <w:rPr>
                <w:rFonts w:hint="default" w:ascii="Times New Roman" w:hAnsi="Times New Roman" w:cs="Times New Roman"/>
                <w:color w:val="auto"/>
                <w:sz w:val="24"/>
                <w:u w:val="single" w:color="auto"/>
                <w:lang w:val="en-US" w:eastAsia="zh-CN"/>
              </w:rPr>
            </w:pPr>
            <w:r>
              <w:rPr>
                <w:rFonts w:hint="default" w:ascii="Times New Roman" w:hAnsi="Times New Roman" w:cs="Times New Roman"/>
                <w:color w:val="auto"/>
                <w:sz w:val="24"/>
                <w:u w:val="single" w:color="auto"/>
                <w:lang w:eastAsia="zh-CN"/>
              </w:rPr>
              <w:t>根据</w:t>
            </w:r>
            <w:r>
              <w:rPr>
                <w:rFonts w:hint="default" w:ascii="Times New Roman" w:hAnsi="Times New Roman" w:cs="Times New Roman"/>
                <w:color w:val="auto"/>
                <w:sz w:val="24"/>
                <w:u w:val="single" w:color="auto"/>
              </w:rPr>
              <w:t>现场踏察，</w:t>
            </w:r>
            <w:r>
              <w:rPr>
                <w:rFonts w:hint="default" w:ascii="Times New Roman" w:hAnsi="Times New Roman" w:cs="Times New Roman"/>
                <w:color w:val="auto"/>
                <w:sz w:val="24"/>
                <w:u w:val="single" w:color="auto"/>
                <w:lang w:eastAsia="zh-CN"/>
              </w:rPr>
              <w:t>项目存在的问题主要见表</w:t>
            </w:r>
            <w:r>
              <w:rPr>
                <w:rFonts w:hint="default" w:ascii="Times New Roman" w:hAnsi="Times New Roman" w:cs="Times New Roman"/>
                <w:color w:val="auto"/>
                <w:sz w:val="24"/>
                <w:u w:val="single" w:color="auto"/>
                <w:lang w:val="en-US" w:eastAsia="zh-CN"/>
              </w:rPr>
              <w:t>1-</w:t>
            </w:r>
            <w:r>
              <w:rPr>
                <w:rFonts w:hint="eastAsia" w:cs="Times New Roman"/>
                <w:color w:val="auto"/>
                <w:sz w:val="24"/>
                <w:u w:val="single" w:color="auto"/>
                <w:lang w:val="en-US" w:eastAsia="zh-CN"/>
              </w:rPr>
              <w:t>13</w:t>
            </w:r>
          </w:p>
          <w:p>
            <w:pPr>
              <w:spacing w:line="360" w:lineRule="auto"/>
              <w:ind w:firstLine="480" w:firstLineChars="200"/>
              <w:jc w:val="center"/>
              <w:rPr>
                <w:rFonts w:hint="default" w:ascii="Times New Roman" w:hAnsi="Times New Roman" w:eastAsia="宋体" w:cs="Times New Roman"/>
                <w:color w:val="auto"/>
                <w:sz w:val="24"/>
                <w:u w:val="single" w:color="auto"/>
                <w:lang w:val="en-US" w:eastAsia="zh-CN"/>
              </w:rPr>
            </w:pPr>
            <w:r>
              <w:rPr>
                <w:rFonts w:hint="default" w:ascii="Times New Roman" w:hAnsi="Times New Roman" w:cs="Times New Roman"/>
                <w:color w:val="auto"/>
                <w:sz w:val="24"/>
                <w:u w:val="single" w:color="auto"/>
                <w:lang w:eastAsia="zh-CN"/>
              </w:rPr>
              <w:t>表</w:t>
            </w:r>
            <w:r>
              <w:rPr>
                <w:rFonts w:hint="default" w:ascii="Times New Roman" w:hAnsi="Times New Roman" w:cs="Times New Roman"/>
                <w:color w:val="auto"/>
                <w:sz w:val="24"/>
                <w:u w:val="single" w:color="auto"/>
                <w:lang w:val="en-US" w:eastAsia="zh-CN"/>
              </w:rPr>
              <w:t>1-</w:t>
            </w:r>
            <w:r>
              <w:rPr>
                <w:rFonts w:hint="eastAsia" w:cs="Times New Roman"/>
                <w:color w:val="auto"/>
                <w:sz w:val="24"/>
                <w:u w:val="single" w:color="auto"/>
                <w:lang w:val="en-US" w:eastAsia="zh-CN"/>
              </w:rPr>
              <w:t>13</w:t>
            </w:r>
            <w:r>
              <w:rPr>
                <w:rFonts w:hint="default" w:ascii="Times New Roman" w:hAnsi="Times New Roman" w:cs="Times New Roman"/>
                <w:color w:val="auto"/>
                <w:sz w:val="24"/>
                <w:u w:val="single" w:color="auto"/>
                <w:lang w:val="en-US" w:eastAsia="zh-CN"/>
              </w:rPr>
              <w:t xml:space="preserve"> 项目存在的问题及解决措施</w:t>
            </w:r>
          </w:p>
          <w:tbl>
            <w:tblPr>
              <w:tblStyle w:val="40"/>
              <w:tblW w:w="908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1418"/>
              <w:gridCol w:w="4540"/>
              <w:gridCol w:w="23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0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序号</w:t>
                  </w:r>
                </w:p>
              </w:tc>
              <w:tc>
                <w:tcPr>
                  <w:tcW w:w="141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类别</w:t>
                  </w:r>
                </w:p>
              </w:tc>
              <w:tc>
                <w:tcPr>
                  <w:tcW w:w="4540"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现有的措施</w:t>
                  </w:r>
                </w:p>
              </w:tc>
              <w:tc>
                <w:tcPr>
                  <w:tcW w:w="2322"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整改措施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80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default" w:ascii="Times New Roman" w:hAnsi="Times New Roman" w:cs="Times New Roman"/>
                      <w:color w:val="auto"/>
                      <w:sz w:val="24"/>
                      <w:szCs w:val="24"/>
                      <w:u w:val="single" w:color="auto"/>
                      <w:vertAlign w:val="baseline"/>
                      <w:lang w:val="en-US" w:eastAsia="zh-CN"/>
                    </w:rPr>
                    <w:t>1</w:t>
                  </w:r>
                </w:p>
              </w:tc>
              <w:tc>
                <w:tcPr>
                  <w:tcW w:w="141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废水</w:t>
                  </w:r>
                </w:p>
              </w:tc>
              <w:tc>
                <w:tcPr>
                  <w:tcW w:w="454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4"/>
                      <w:szCs w:val="24"/>
                      <w:u w:val="single" w:color="auto"/>
                      <w:vertAlign w:val="baseline"/>
                      <w:lang w:val="en-US" w:eastAsia="zh-CN"/>
                    </w:rPr>
                  </w:pPr>
                  <w:r>
                    <w:rPr>
                      <w:rFonts w:hint="default" w:ascii="Times New Roman" w:hAnsi="Times New Roman" w:cs="Times New Roman"/>
                      <w:color w:val="auto"/>
                      <w:sz w:val="24"/>
                      <w:szCs w:val="24"/>
                      <w:u w:val="single" w:color="auto"/>
                      <w:vertAlign w:val="baseline"/>
                      <w:lang w:val="en-US" w:eastAsia="zh-CN"/>
                    </w:rPr>
                    <w:t>水</w:t>
                  </w:r>
                  <w:r>
                    <w:rPr>
                      <w:rFonts w:hint="eastAsia" w:cs="Times New Roman"/>
                      <w:color w:val="auto"/>
                      <w:sz w:val="24"/>
                      <w:szCs w:val="24"/>
                      <w:u w:val="single" w:color="auto"/>
                      <w:vertAlign w:val="baseline"/>
                      <w:lang w:val="en-US" w:eastAsia="zh-CN"/>
                    </w:rPr>
                    <w:t>帘</w:t>
                  </w:r>
                  <w:r>
                    <w:rPr>
                      <w:rFonts w:hint="default" w:ascii="Times New Roman" w:hAnsi="Times New Roman" w:cs="Times New Roman"/>
                      <w:color w:val="auto"/>
                      <w:sz w:val="24"/>
                      <w:szCs w:val="24"/>
                      <w:u w:val="single" w:color="auto"/>
                      <w:vertAlign w:val="baseline"/>
                      <w:lang w:val="en-US" w:eastAsia="zh-CN"/>
                    </w:rPr>
                    <w:t>废水经沉淀池循环使用</w:t>
                  </w:r>
                </w:p>
              </w:tc>
              <w:tc>
                <w:tcPr>
                  <w:tcW w:w="2322"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1" w:hRule="atLeast"/>
              </w:trPr>
              <w:tc>
                <w:tcPr>
                  <w:tcW w:w="80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default" w:ascii="Times New Roman" w:hAnsi="Times New Roman" w:cs="Times New Roman"/>
                      <w:color w:val="auto"/>
                      <w:sz w:val="24"/>
                      <w:szCs w:val="24"/>
                      <w:u w:val="single" w:color="auto"/>
                      <w:vertAlign w:val="baseline"/>
                      <w:lang w:val="en-US" w:eastAsia="zh-CN"/>
                    </w:rPr>
                    <w:t>2</w:t>
                  </w:r>
                </w:p>
              </w:tc>
              <w:tc>
                <w:tcPr>
                  <w:tcW w:w="141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p>
              </w:tc>
              <w:tc>
                <w:tcPr>
                  <w:tcW w:w="4540"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生活污水经三级化粪池处理后</w:t>
                  </w:r>
                  <w:r>
                    <w:rPr>
                      <w:rFonts w:hint="eastAsia" w:cs="Times New Roman"/>
                      <w:color w:val="auto"/>
                      <w:sz w:val="24"/>
                      <w:szCs w:val="24"/>
                      <w:u w:val="single" w:color="auto"/>
                      <w:vertAlign w:val="baseline"/>
                      <w:lang w:eastAsia="zh-CN"/>
                    </w:rPr>
                    <w:t>排入园区污水管网进入湘阴县第二污水处理厂</w:t>
                  </w:r>
                </w:p>
              </w:tc>
              <w:tc>
                <w:tcPr>
                  <w:tcW w:w="2322"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val="en-US" w:eastAsia="zh-CN"/>
                    </w:rPr>
                    <w:t xml:space="preserve"> </w:t>
                  </w:r>
                  <w:r>
                    <w:rPr>
                      <w:rFonts w:hint="default" w:ascii="Times New Roman" w:hAnsi="Times New Roman" w:cs="Times New Roman"/>
                      <w:color w:val="auto"/>
                      <w:sz w:val="24"/>
                      <w:szCs w:val="24"/>
                      <w:u w:val="single" w:color="auto"/>
                      <w:vertAlign w:val="baseline"/>
                      <w:lang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80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p>
              </w:tc>
              <w:tc>
                <w:tcPr>
                  <w:tcW w:w="141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p>
              </w:tc>
              <w:tc>
                <w:tcPr>
                  <w:tcW w:w="4540"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雨污分流</w:t>
                  </w:r>
                </w:p>
              </w:tc>
              <w:tc>
                <w:tcPr>
                  <w:tcW w:w="2322"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1" w:hRule="atLeast"/>
              </w:trPr>
              <w:tc>
                <w:tcPr>
                  <w:tcW w:w="80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default" w:ascii="Times New Roman" w:hAnsi="Times New Roman" w:cs="Times New Roman"/>
                      <w:color w:val="auto"/>
                      <w:sz w:val="24"/>
                      <w:szCs w:val="24"/>
                      <w:u w:val="single" w:color="auto"/>
                      <w:vertAlign w:val="baseline"/>
                      <w:lang w:val="en-US" w:eastAsia="zh-CN"/>
                    </w:rPr>
                    <w:t>3</w:t>
                  </w:r>
                </w:p>
              </w:tc>
              <w:tc>
                <w:tcPr>
                  <w:tcW w:w="141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废气</w:t>
                  </w:r>
                </w:p>
              </w:tc>
              <w:tc>
                <w:tcPr>
                  <w:tcW w:w="454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喷漆废气1#、2#经水帘+活性炭处理后由15m排气筒高空排放</w:t>
                  </w:r>
                </w:p>
              </w:tc>
              <w:tc>
                <w:tcPr>
                  <w:tcW w:w="2322" w:type="dxa"/>
                  <w:tcBorders>
                    <w:tl2br w:val="nil"/>
                    <w:tr2bl w:val="nil"/>
                  </w:tcBorders>
                  <w:noWrap w:val="0"/>
                  <w:vAlign w:val="center"/>
                </w:tcPr>
                <w:p>
                  <w:pPr>
                    <w:spacing w:line="360" w:lineRule="auto"/>
                    <w:jc w:val="both"/>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现有项目使用油性漆，根据最新的相关标准需要改为环保水性漆，且处理设施需增加UV光解设施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6" w:hRule="atLeast"/>
              </w:trPr>
              <w:tc>
                <w:tcPr>
                  <w:tcW w:w="80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default" w:ascii="Times New Roman" w:hAnsi="Times New Roman" w:cs="Times New Roman"/>
                      <w:color w:val="auto"/>
                      <w:sz w:val="24"/>
                      <w:szCs w:val="24"/>
                      <w:u w:val="single" w:color="auto"/>
                      <w:vertAlign w:val="baseline"/>
                      <w:lang w:val="en-US" w:eastAsia="zh-CN"/>
                    </w:rPr>
                    <w:t>4</w:t>
                  </w:r>
                </w:p>
              </w:tc>
              <w:tc>
                <w:tcPr>
                  <w:tcW w:w="141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p>
              </w:tc>
              <w:tc>
                <w:tcPr>
                  <w:tcW w:w="4540"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eastAsia="zh-CN"/>
                    </w:rPr>
                    <w:t>烤漆废气经活性炭吸附处理后由</w:t>
                  </w:r>
                  <w:r>
                    <w:rPr>
                      <w:rFonts w:hint="eastAsia" w:cs="Times New Roman"/>
                      <w:color w:val="auto"/>
                      <w:sz w:val="24"/>
                      <w:szCs w:val="24"/>
                      <w:u w:val="single" w:color="auto"/>
                      <w:vertAlign w:val="baseline"/>
                      <w:lang w:val="en-US" w:eastAsia="zh-CN"/>
                    </w:rPr>
                    <w:t>15m高排气筒高空排放</w:t>
                  </w:r>
                </w:p>
              </w:tc>
              <w:tc>
                <w:tcPr>
                  <w:tcW w:w="2322"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4" w:hRule="atLeast"/>
              </w:trPr>
              <w:tc>
                <w:tcPr>
                  <w:tcW w:w="80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default" w:ascii="Times New Roman" w:hAnsi="Times New Roman" w:cs="Times New Roman"/>
                      <w:color w:val="auto"/>
                      <w:sz w:val="24"/>
                      <w:szCs w:val="24"/>
                      <w:u w:val="single" w:color="auto"/>
                      <w:vertAlign w:val="baseline"/>
                      <w:lang w:val="en-US" w:eastAsia="zh-CN"/>
                    </w:rPr>
                    <w:t>5</w:t>
                  </w:r>
                </w:p>
              </w:tc>
              <w:tc>
                <w:tcPr>
                  <w:tcW w:w="141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p>
              </w:tc>
              <w:tc>
                <w:tcPr>
                  <w:tcW w:w="4540"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eastAsia="zh-CN"/>
                    </w:rPr>
                    <w:t>喷塑废气经滤芯回收系统处理后由</w:t>
                  </w:r>
                  <w:r>
                    <w:rPr>
                      <w:rFonts w:hint="eastAsia" w:cs="Times New Roman"/>
                      <w:color w:val="auto"/>
                      <w:sz w:val="24"/>
                      <w:szCs w:val="24"/>
                      <w:u w:val="single" w:color="auto"/>
                      <w:vertAlign w:val="baseline"/>
                      <w:lang w:val="en-US" w:eastAsia="zh-CN"/>
                    </w:rPr>
                    <w:t>15m高排气筒高空排放</w:t>
                  </w:r>
                </w:p>
              </w:tc>
              <w:tc>
                <w:tcPr>
                  <w:tcW w:w="2322"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1" w:hRule="atLeast"/>
              </w:trPr>
              <w:tc>
                <w:tcPr>
                  <w:tcW w:w="80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default" w:ascii="Times New Roman" w:hAnsi="Times New Roman" w:cs="Times New Roman"/>
                      <w:color w:val="auto"/>
                      <w:sz w:val="24"/>
                      <w:szCs w:val="24"/>
                      <w:u w:val="single" w:color="auto"/>
                      <w:vertAlign w:val="baseline"/>
                      <w:lang w:val="en-US" w:eastAsia="zh-CN"/>
                    </w:rPr>
                    <w:t>6</w:t>
                  </w:r>
                </w:p>
              </w:tc>
              <w:tc>
                <w:tcPr>
                  <w:tcW w:w="141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噪声</w:t>
                  </w:r>
                </w:p>
              </w:tc>
              <w:tc>
                <w:tcPr>
                  <w:tcW w:w="4540"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经减震垫、隔声门窗、绿化</w:t>
                  </w:r>
                </w:p>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处理后排风</w:t>
                  </w:r>
                </w:p>
              </w:tc>
              <w:tc>
                <w:tcPr>
                  <w:tcW w:w="2322"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4" w:hRule="atLeast"/>
              </w:trPr>
              <w:tc>
                <w:tcPr>
                  <w:tcW w:w="80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val="en-US" w:eastAsia="zh-CN"/>
                    </w:rPr>
                  </w:pPr>
                  <w:r>
                    <w:rPr>
                      <w:rFonts w:hint="default" w:ascii="Times New Roman" w:hAnsi="Times New Roman" w:cs="Times New Roman"/>
                      <w:color w:val="auto"/>
                      <w:sz w:val="24"/>
                      <w:szCs w:val="24"/>
                      <w:u w:val="single" w:color="auto"/>
                      <w:vertAlign w:val="baseline"/>
                      <w:lang w:val="en-US" w:eastAsia="zh-CN"/>
                    </w:rPr>
                    <w:t>7</w:t>
                  </w:r>
                </w:p>
              </w:tc>
              <w:tc>
                <w:tcPr>
                  <w:tcW w:w="1418"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固废</w:t>
                  </w:r>
                </w:p>
              </w:tc>
              <w:tc>
                <w:tcPr>
                  <w:tcW w:w="4540"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default" w:ascii="Times New Roman" w:hAnsi="Times New Roman" w:cs="Times New Roman"/>
                      <w:color w:val="auto"/>
                      <w:sz w:val="24"/>
                      <w:szCs w:val="24"/>
                      <w:u w:val="single" w:color="auto"/>
                      <w:vertAlign w:val="baseline"/>
                      <w:lang w:eastAsia="zh-CN"/>
                    </w:rPr>
                    <w:t>生活垃圾收集于垃圾桶中再交由环卫部门进行处理，一般固废</w:t>
                  </w:r>
                  <w:r>
                    <w:rPr>
                      <w:rFonts w:hint="eastAsia" w:cs="Times New Roman"/>
                      <w:color w:val="auto"/>
                      <w:sz w:val="24"/>
                      <w:szCs w:val="24"/>
                      <w:u w:val="single" w:color="auto"/>
                      <w:vertAlign w:val="baseline"/>
                      <w:lang w:eastAsia="zh-CN"/>
                    </w:rPr>
                    <w:t>按照相关要求处理，危险废物交由湖南万容固体废物处理有限公司处置</w:t>
                  </w:r>
                </w:p>
              </w:tc>
              <w:tc>
                <w:tcPr>
                  <w:tcW w:w="2322" w:type="dxa"/>
                  <w:tcBorders>
                    <w:tl2br w:val="nil"/>
                    <w:tr2bl w:val="nil"/>
                  </w:tcBorders>
                  <w:noWrap w:val="0"/>
                  <w:vAlign w:val="center"/>
                </w:tcPr>
                <w:p>
                  <w:pPr>
                    <w:spacing w:line="360" w:lineRule="auto"/>
                    <w:jc w:val="center"/>
                    <w:rPr>
                      <w:rFonts w:hint="default" w:ascii="Times New Roman" w:hAnsi="Times New Roman" w:cs="Times New Roman"/>
                      <w:color w:val="auto"/>
                      <w:sz w:val="24"/>
                      <w:szCs w:val="24"/>
                      <w:u w:val="single" w:color="auto"/>
                      <w:vertAlign w:val="baseline"/>
                      <w:lang w:eastAsia="zh-CN"/>
                    </w:rPr>
                  </w:pPr>
                  <w:r>
                    <w:rPr>
                      <w:rFonts w:hint="eastAsia" w:cs="Times New Roman"/>
                      <w:color w:val="auto"/>
                      <w:sz w:val="24"/>
                      <w:szCs w:val="24"/>
                      <w:u w:val="single" w:color="auto"/>
                      <w:vertAlign w:val="baseline"/>
                      <w:lang w:eastAsia="zh-CN"/>
                    </w:rPr>
                    <w:t>设置台账，及时清理危险废物</w:t>
                  </w:r>
                </w:p>
              </w:tc>
            </w:tr>
          </w:tbl>
          <w:p>
            <w:pPr>
              <w:spacing w:line="360" w:lineRule="auto"/>
              <w:ind w:firstLine="600" w:firstLineChars="250"/>
              <w:rPr>
                <w:rFonts w:hint="default" w:ascii="Times New Roman" w:hAnsi="Times New Roman" w:eastAsia="宋体" w:cs="Times New Roman"/>
                <w:color w:val="auto"/>
                <w:sz w:val="24"/>
                <w:u w:val="single" w:color="auto"/>
                <w:lang w:val="en-US" w:eastAsia="zh-CN"/>
              </w:rPr>
            </w:pPr>
            <w:r>
              <w:rPr>
                <w:rFonts w:hint="eastAsia" w:cs="Times New Roman"/>
                <w:color w:val="auto"/>
                <w:sz w:val="24"/>
                <w:u w:val="single" w:color="auto"/>
                <w:lang w:val="en-US" w:eastAsia="zh-CN"/>
              </w:rPr>
              <w:t>5、“以新带老”的措施</w:t>
            </w:r>
          </w:p>
          <w:p>
            <w:pPr>
              <w:spacing w:line="360" w:lineRule="auto"/>
              <w:jc w:val="center"/>
              <w:rPr>
                <w:rFonts w:hint="eastAsia" w:cs="Times New Roman"/>
                <w:color w:val="auto"/>
                <w:sz w:val="24"/>
                <w:szCs w:val="22"/>
                <w:u w:val="single" w:color="auto"/>
                <w:lang w:val="en-US" w:eastAsia="zh-CN"/>
              </w:rPr>
            </w:pPr>
            <w:r>
              <w:rPr>
                <w:rFonts w:hint="eastAsia" w:cs="Times New Roman"/>
                <w:color w:val="auto"/>
                <w:sz w:val="24"/>
                <w:szCs w:val="22"/>
                <w:u w:val="single" w:color="auto"/>
                <w:lang w:eastAsia="zh-CN"/>
              </w:rPr>
              <w:t>表</w:t>
            </w:r>
            <w:r>
              <w:rPr>
                <w:rFonts w:hint="eastAsia" w:cs="Times New Roman"/>
                <w:color w:val="auto"/>
                <w:sz w:val="24"/>
                <w:szCs w:val="22"/>
                <w:u w:val="single" w:color="auto"/>
                <w:lang w:val="en-US" w:eastAsia="zh-CN"/>
              </w:rPr>
              <w:t>1-14 “以新带老”措施一览表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4035"/>
              <w:gridCol w:w="3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Align w:val="center"/>
                </w:tcPr>
                <w:p>
                  <w:pPr>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序号</w:t>
                  </w:r>
                </w:p>
              </w:tc>
              <w:tc>
                <w:tcPr>
                  <w:tcW w:w="4035" w:type="dxa"/>
                  <w:vAlign w:val="center"/>
                </w:tcPr>
                <w:p>
                  <w:pPr>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现有项目措施</w:t>
                  </w:r>
                </w:p>
              </w:tc>
              <w:tc>
                <w:tcPr>
                  <w:tcW w:w="3729" w:type="dxa"/>
                  <w:vAlign w:val="center"/>
                </w:tcPr>
                <w:p>
                  <w:pPr>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“以新带老”措施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Align w:val="center"/>
                </w:tcPr>
                <w:p>
                  <w:pPr>
                    <w:spacing w:line="360" w:lineRule="auto"/>
                    <w:jc w:val="center"/>
                    <w:rPr>
                      <w:rFonts w:hint="default"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1</w:t>
                  </w:r>
                </w:p>
              </w:tc>
              <w:tc>
                <w:tcPr>
                  <w:tcW w:w="4035" w:type="dxa"/>
                  <w:vAlign w:val="center"/>
                </w:tcPr>
                <w:p>
                  <w:pPr>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喷漆过程中使用油性漆进行喷漆</w:t>
                  </w:r>
                </w:p>
              </w:tc>
              <w:tc>
                <w:tcPr>
                  <w:tcW w:w="3729" w:type="dxa"/>
                  <w:vAlign w:val="center"/>
                </w:tcPr>
                <w:p>
                  <w:pPr>
                    <w:spacing w:line="360" w:lineRule="auto"/>
                    <w:jc w:val="center"/>
                    <w:rPr>
                      <w:rFonts w:hint="eastAsia"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根据最新国家标准，从油性漆变更为水性漆进行喷漆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Align w:val="center"/>
                </w:tcPr>
                <w:p>
                  <w:pPr>
                    <w:spacing w:line="360" w:lineRule="auto"/>
                    <w:jc w:val="center"/>
                    <w:rPr>
                      <w:rFonts w:hint="default"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2</w:t>
                  </w:r>
                </w:p>
              </w:tc>
              <w:tc>
                <w:tcPr>
                  <w:tcW w:w="4035" w:type="dxa"/>
                  <w:vAlign w:val="center"/>
                </w:tcPr>
                <w:p>
                  <w:pPr>
                    <w:spacing w:line="360" w:lineRule="auto"/>
                    <w:jc w:val="center"/>
                    <w:rPr>
                      <w:rFonts w:hint="default"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喷漆废气1#、2#经水帘+活性炭处理后由15m高排气筒高空排放</w:t>
                  </w:r>
                </w:p>
              </w:tc>
              <w:tc>
                <w:tcPr>
                  <w:tcW w:w="3729" w:type="dxa"/>
                  <w:vAlign w:val="center"/>
                </w:tcPr>
                <w:p>
                  <w:pPr>
                    <w:spacing w:line="360" w:lineRule="auto"/>
                    <w:jc w:val="both"/>
                    <w:rPr>
                      <w:rFonts w:hint="default" w:cs="Times New Roman"/>
                      <w:color w:val="auto"/>
                      <w:sz w:val="24"/>
                      <w:szCs w:val="24"/>
                      <w:u w:val="single" w:color="auto"/>
                      <w:vertAlign w:val="baseline"/>
                      <w:lang w:val="en-US" w:eastAsia="zh-CN"/>
                    </w:rPr>
                  </w:pPr>
                  <w:r>
                    <w:rPr>
                      <w:rFonts w:hint="eastAsia" w:cs="Times New Roman"/>
                      <w:color w:val="auto"/>
                      <w:sz w:val="24"/>
                      <w:szCs w:val="24"/>
                      <w:u w:val="single" w:color="auto"/>
                      <w:vertAlign w:val="baseline"/>
                      <w:lang w:val="en-US" w:eastAsia="zh-CN"/>
                    </w:rPr>
                    <w:t>按照国家法律法规。为减少有机废气的排放总量，废气处理设施需增加UV光解设施</w:t>
                  </w:r>
                </w:p>
              </w:tc>
            </w:tr>
          </w:tbl>
          <w:p>
            <w:pPr>
              <w:spacing w:line="360" w:lineRule="auto"/>
              <w:ind w:firstLine="480" w:firstLineChars="200"/>
              <w:jc w:val="both"/>
              <w:rPr>
                <w:rFonts w:hint="default" w:cs="Times New Roman"/>
                <w:color w:val="auto"/>
                <w:sz w:val="24"/>
                <w:szCs w:val="22"/>
                <w:u w:val="single" w:color="auto"/>
                <w:lang w:val="en-US" w:eastAsia="zh-CN"/>
              </w:rPr>
            </w:pPr>
            <w:r>
              <w:rPr>
                <w:rFonts w:hint="eastAsia" w:cs="Times New Roman"/>
                <w:color w:val="auto"/>
                <w:sz w:val="24"/>
                <w:szCs w:val="22"/>
                <w:u w:val="single" w:color="auto"/>
                <w:lang w:val="en-US" w:eastAsia="zh-CN"/>
              </w:rPr>
              <w:t>6、拆建后场地遗留环境问题及解决方式</w:t>
            </w:r>
          </w:p>
          <w:p>
            <w:pPr>
              <w:spacing w:line="360" w:lineRule="auto"/>
              <w:ind w:firstLine="480" w:firstLineChars="200"/>
              <w:jc w:val="both"/>
              <w:rPr>
                <w:rFonts w:hint="eastAsia" w:cs="Times New Roman"/>
                <w:color w:val="auto"/>
                <w:sz w:val="24"/>
                <w:szCs w:val="22"/>
                <w:u w:val="single" w:color="auto"/>
                <w:lang w:val="en-US" w:eastAsia="zh-CN"/>
              </w:rPr>
            </w:pPr>
            <w:r>
              <w:rPr>
                <w:rFonts w:hint="eastAsia" w:cs="Times New Roman"/>
                <w:color w:val="auto"/>
                <w:sz w:val="24"/>
                <w:szCs w:val="22"/>
                <w:u w:val="single" w:color="auto"/>
                <w:lang w:val="en-US" w:eastAsia="zh-CN"/>
              </w:rPr>
              <w:t xml:space="preserve">根据《工矿用地土壤环境管理办法（试行）（征求意见稿）》编制说明可知造成工矿用地土壤和地下水污染主要情形有： </w:t>
            </w:r>
          </w:p>
          <w:p>
            <w:pPr>
              <w:numPr>
                <w:ilvl w:val="0"/>
                <w:numId w:val="0"/>
              </w:numPr>
              <w:spacing w:line="360" w:lineRule="auto"/>
              <w:ind w:firstLine="480" w:firstLineChars="200"/>
              <w:jc w:val="both"/>
              <w:rPr>
                <w:rFonts w:hint="eastAsia" w:cs="Times New Roman"/>
                <w:color w:val="auto"/>
                <w:sz w:val="24"/>
                <w:szCs w:val="22"/>
                <w:u w:val="single" w:color="auto"/>
                <w:lang w:val="en-US" w:eastAsia="zh-CN"/>
              </w:rPr>
            </w:pPr>
            <w:r>
              <w:rPr>
                <w:rFonts w:hint="eastAsia" w:cs="Times New Roman"/>
                <w:color w:val="auto"/>
                <w:sz w:val="24"/>
                <w:szCs w:val="22"/>
                <w:u w:val="single" w:color="auto"/>
                <w:lang w:val="en-US" w:eastAsia="zh-CN"/>
              </w:rPr>
              <w:t>（1）地下储罐、地下管线泄漏；</w:t>
            </w:r>
          </w:p>
          <w:p>
            <w:pPr>
              <w:numPr>
                <w:ilvl w:val="0"/>
                <w:numId w:val="0"/>
              </w:numPr>
              <w:spacing w:line="360" w:lineRule="auto"/>
              <w:ind w:firstLine="480" w:firstLineChars="200"/>
              <w:jc w:val="both"/>
              <w:rPr>
                <w:rFonts w:hint="eastAsia" w:cs="Times New Roman"/>
                <w:color w:val="auto"/>
                <w:sz w:val="24"/>
                <w:szCs w:val="22"/>
                <w:u w:val="single" w:color="auto"/>
                <w:lang w:val="en-US" w:eastAsia="zh-CN"/>
              </w:rPr>
            </w:pPr>
            <w:r>
              <w:rPr>
                <w:rFonts w:hint="eastAsia" w:cs="Times New Roman"/>
                <w:color w:val="auto"/>
                <w:sz w:val="24"/>
                <w:szCs w:val="22"/>
                <w:u w:val="single" w:color="auto"/>
                <w:lang w:val="en-US" w:eastAsia="zh-CN"/>
              </w:rPr>
              <w:t>（2）生产设施的跑冒滴漏；</w:t>
            </w:r>
          </w:p>
          <w:p>
            <w:pPr>
              <w:numPr>
                <w:ilvl w:val="0"/>
                <w:numId w:val="0"/>
              </w:numPr>
              <w:spacing w:line="360" w:lineRule="auto"/>
              <w:ind w:firstLine="480" w:firstLineChars="200"/>
              <w:jc w:val="both"/>
              <w:rPr>
                <w:rFonts w:hint="eastAsia" w:cs="Times New Roman"/>
                <w:color w:val="auto"/>
                <w:sz w:val="24"/>
                <w:szCs w:val="22"/>
                <w:u w:val="single" w:color="auto"/>
                <w:lang w:val="en-US" w:eastAsia="zh-CN"/>
              </w:rPr>
            </w:pPr>
            <w:r>
              <w:rPr>
                <w:rFonts w:hint="eastAsia" w:cs="Times New Roman"/>
                <w:color w:val="auto"/>
                <w:sz w:val="24"/>
                <w:szCs w:val="22"/>
                <w:u w:val="single" w:color="auto"/>
                <w:lang w:val="en-US" w:eastAsia="zh-CN"/>
              </w:rPr>
              <w:t>（3）废水处理、固体废物堆存场所防渗漏等措施不当；</w:t>
            </w:r>
          </w:p>
          <w:p>
            <w:pPr>
              <w:numPr>
                <w:ilvl w:val="0"/>
                <w:numId w:val="0"/>
              </w:numPr>
              <w:spacing w:line="360" w:lineRule="auto"/>
              <w:ind w:firstLine="480" w:firstLineChars="200"/>
              <w:jc w:val="both"/>
              <w:rPr>
                <w:rFonts w:hint="eastAsia" w:cs="Times New Roman"/>
                <w:color w:val="auto"/>
                <w:sz w:val="24"/>
                <w:szCs w:val="22"/>
                <w:u w:val="single" w:color="auto"/>
                <w:lang w:val="en-US" w:eastAsia="zh-CN"/>
              </w:rPr>
            </w:pPr>
            <w:r>
              <w:rPr>
                <w:rFonts w:hint="eastAsia" w:cs="Times New Roman"/>
                <w:color w:val="auto"/>
                <w:sz w:val="24"/>
                <w:szCs w:val="22"/>
                <w:u w:val="single" w:color="auto"/>
                <w:lang w:val="en-US" w:eastAsia="zh-CN"/>
              </w:rPr>
              <w:t>（4）企业突发环境事件；</w:t>
            </w:r>
          </w:p>
          <w:p>
            <w:pPr>
              <w:numPr>
                <w:ilvl w:val="0"/>
                <w:numId w:val="0"/>
              </w:numPr>
              <w:spacing w:line="360" w:lineRule="auto"/>
              <w:ind w:firstLine="480" w:firstLineChars="200"/>
              <w:jc w:val="both"/>
              <w:rPr>
                <w:rFonts w:hint="eastAsia" w:cs="Times New Roman"/>
                <w:color w:val="auto"/>
                <w:sz w:val="24"/>
                <w:szCs w:val="22"/>
                <w:u w:val="single" w:color="auto"/>
                <w:lang w:val="en-US" w:eastAsia="zh-CN"/>
              </w:rPr>
            </w:pPr>
            <w:r>
              <w:rPr>
                <w:rFonts w:hint="eastAsia" w:cs="Times New Roman"/>
                <w:color w:val="auto"/>
                <w:sz w:val="24"/>
                <w:szCs w:val="22"/>
                <w:u w:val="single" w:color="auto"/>
                <w:lang w:val="en-US" w:eastAsia="zh-CN"/>
              </w:rPr>
              <w:t>（5）企业对设施、设备、建筑物等拆除活动不当。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auto"/>
                <w:sz w:val="24"/>
                <w:szCs w:val="24"/>
                <w:u w:val="single" w:color="auto"/>
                <w:lang w:val="en-US" w:eastAsia="zh-CN"/>
              </w:rPr>
            </w:pPr>
            <w:r>
              <w:rPr>
                <w:rFonts w:hint="eastAsia" w:cs="Times New Roman"/>
                <w:color w:val="auto"/>
                <w:sz w:val="24"/>
                <w:szCs w:val="24"/>
                <w:u w:val="single" w:color="auto"/>
                <w:lang w:val="en-US" w:eastAsia="zh-CN"/>
              </w:rPr>
              <w:t>原项目在生产过程中无地下储罐及管线，废水主要为生活污水，经化粪池处理后排入园区污水管网进入湘阴县第二污水处理厂。原项目运行到现在无突发环境事件，固体废物均按照国家要求进行储存及处置。生产过程中会产生跑冒滴漏的主要为油漆、稀释剂及润滑油，油漆及稀释剂均储存在储存间内，且地面进行了硬化处理，门口设置了拱背型围堰。在喷漆房内使用过程中产生的跑冒滴漏均在喷漆后进行清理。清理后放置危险废物暂存间内，润滑油为设备润滑使用，在使用过程中产生的跑冒滴漏均在更换好润滑油后进行擦拭，擦拭产生的废物放置危险废物暂存间，再统一交由有资质单位进行处理。因此在生产过程中基本上不会因为跑冒滴漏而产生对所在区域土壤及地下水污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s="Times New Roman"/>
                <w:color w:val="auto"/>
                <w:sz w:val="24"/>
                <w:szCs w:val="24"/>
                <w:u w:val="single" w:color="auto"/>
                <w:lang w:val="en-US" w:eastAsia="zh-CN"/>
              </w:rPr>
            </w:pPr>
            <w:r>
              <w:rPr>
                <w:rFonts w:hint="eastAsia" w:cs="Times New Roman"/>
                <w:color w:val="auto"/>
                <w:sz w:val="24"/>
                <w:szCs w:val="24"/>
                <w:u w:val="single" w:color="auto"/>
                <w:lang w:val="en-US" w:eastAsia="zh-CN"/>
              </w:rPr>
              <w:t>公司需防范因对设施、设备、建筑物等拆除活动不当而产生的二次污染。故本环评建议，在拆除搬迁过程中委托专业机构进行。搬迁后对周边土壤及地下水进行采样分析。</w:t>
            </w: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eastAsia" w:cs="Times New Roman"/>
                <w:color w:val="auto"/>
                <w:u w:val="none" w:color="auto"/>
                <w:lang w:val="en-US" w:eastAsia="zh-CN"/>
              </w:rPr>
            </w:pPr>
          </w:p>
          <w:p>
            <w:pPr>
              <w:jc w:val="center"/>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w:t>
            </w:r>
          </w:p>
        </w:tc>
      </w:tr>
    </w:tbl>
    <w:p>
      <w:pPr>
        <w:snapToGrid w:val="0"/>
        <w:spacing w:before="120"/>
        <w:outlineLvl w:val="0"/>
        <w:rPr>
          <w:rFonts w:eastAsia="黑体"/>
          <w:color w:val="auto"/>
          <w:sz w:val="32"/>
          <w:u w:val="none" w:color="auto"/>
        </w:rPr>
        <w:sectPr>
          <w:headerReference r:id="rId6" w:type="default"/>
          <w:footerReference r:id="rId7" w:type="default"/>
          <w:pgSz w:w="11906" w:h="16838"/>
          <w:pgMar w:top="1418" w:right="1134" w:bottom="1418" w:left="1474" w:header="851" w:footer="992" w:gutter="0"/>
          <w:pgBorders>
            <w:top w:val="none" w:sz="0" w:space="0"/>
            <w:left w:val="none" w:sz="0" w:space="0"/>
            <w:bottom w:val="none" w:sz="0" w:space="0"/>
            <w:right w:val="none" w:sz="0" w:space="0"/>
          </w:pgBorders>
          <w:pgNumType w:start="1"/>
          <w:cols w:space="720" w:num="1"/>
          <w:docGrid w:linePitch="312" w:charSpace="55034"/>
        </w:sectPr>
      </w:pPr>
    </w:p>
    <w:p>
      <w:pPr>
        <w:snapToGrid w:val="0"/>
        <w:outlineLvl w:val="0"/>
        <w:rPr>
          <w:rFonts w:eastAsia="黑体"/>
          <w:color w:val="auto"/>
          <w:kern w:val="24"/>
          <w:sz w:val="32"/>
          <w:u w:val="none" w:color="auto"/>
        </w:rPr>
      </w:pPr>
      <w:bookmarkStart w:id="1" w:name="_Toc20228"/>
      <w:r>
        <w:rPr>
          <w:rFonts w:hint="eastAsia" w:eastAsia="黑体"/>
          <w:color w:val="auto"/>
          <w:sz w:val="32"/>
          <w:u w:val="none" w:color="auto"/>
        </w:rPr>
        <w:t>二、</w:t>
      </w:r>
      <w:r>
        <w:rPr>
          <w:rFonts w:eastAsia="黑体"/>
          <w:color w:val="auto"/>
          <w:sz w:val="32"/>
          <w:u w:val="none" w:color="auto"/>
        </w:rPr>
        <w:t>建设项目所在地自然环境社会环境简况</w:t>
      </w:r>
      <w:bookmarkEnd w:id="1"/>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85" w:type="dxa"/>
            <w:bottom w:w="0" w:type="dxa"/>
            <w:right w:w="85" w:type="dxa"/>
          </w:tblCellMar>
        </w:tblPrEx>
        <w:trPr>
          <w:trHeight w:val="13005" w:hRule="atLeast"/>
          <w:jc w:val="center"/>
        </w:trPr>
        <w:tc>
          <w:tcPr>
            <w:tcW w:w="9268" w:type="dxa"/>
          </w:tcPr>
          <w:p>
            <w:pPr>
              <w:adjustRightInd w:val="0"/>
              <w:snapToGrid w:val="0"/>
              <w:spacing w:line="360" w:lineRule="auto"/>
              <w:rPr>
                <w:b/>
                <w:bCs/>
                <w:color w:val="auto"/>
                <w:sz w:val="24"/>
                <w:szCs w:val="24"/>
                <w:u w:val="none" w:color="auto"/>
              </w:rPr>
            </w:pPr>
            <w:r>
              <w:rPr>
                <w:rFonts w:hint="eastAsia"/>
                <w:b/>
                <w:bCs/>
                <w:color w:val="auto"/>
                <w:sz w:val="24"/>
                <w:szCs w:val="24"/>
                <w:u w:val="none" w:color="auto"/>
              </w:rPr>
              <w:t>一、</w:t>
            </w:r>
            <w:r>
              <w:rPr>
                <w:b/>
                <w:bCs/>
                <w:color w:val="auto"/>
                <w:sz w:val="24"/>
                <w:szCs w:val="24"/>
                <w:u w:val="none" w:color="auto"/>
              </w:rPr>
              <w:t>自然环境简况（地形、地貌、地质、气候、气象、水文、植被、生物多样性等）：</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1、地理位置与交通</w:t>
            </w:r>
          </w:p>
          <w:p>
            <w:pPr>
              <w:spacing w:line="360" w:lineRule="auto"/>
              <w:ind w:firstLine="480"/>
              <w:rPr>
                <w:bCs/>
                <w:color w:val="auto"/>
                <w:sz w:val="24"/>
                <w:u w:val="none" w:color="auto"/>
              </w:rPr>
            </w:pPr>
            <w:r>
              <w:rPr>
                <w:bCs/>
                <w:color w:val="auto"/>
                <w:sz w:val="24"/>
                <w:u w:val="none" w:color="auto"/>
              </w:rPr>
              <w:t>湘阴县位于湖南省东北部、居湘、资两水尾间，濒南洞庭湖。东邻汨罗市、西接湘阴县，南界望城县，北抵沅江市、屈原行政区，介于东经112°30′~113°02′，北纬28°30′~29°03′之间。南北长61公里，东西宽51.3公里，面积1581.5平方公里，距湘阴县区仅50公里，岳阳市区110公里，经长湘公路至长沙仅45公里，交通十分便利。</w:t>
            </w:r>
          </w:p>
          <w:p>
            <w:pPr>
              <w:snapToGrid w:val="0"/>
              <w:spacing w:line="360" w:lineRule="auto"/>
              <w:ind w:firstLine="453" w:firstLineChars="196"/>
              <w:rPr>
                <w:bCs/>
                <w:color w:val="auto"/>
                <w:sz w:val="24"/>
                <w:u w:val="none" w:color="auto"/>
              </w:rPr>
            </w:pPr>
            <w:r>
              <w:rPr>
                <w:bCs/>
                <w:color w:val="auto"/>
                <w:sz w:val="24"/>
                <w:u w:val="none" w:color="auto"/>
              </w:rPr>
              <w:t>本项目位于</w:t>
            </w:r>
            <w:r>
              <w:rPr>
                <w:rFonts w:hint="eastAsia"/>
                <w:bCs/>
                <w:color w:val="auto"/>
                <w:sz w:val="24"/>
                <w:u w:val="none" w:color="auto"/>
                <w:lang w:eastAsia="zh-CN"/>
              </w:rPr>
              <w:t>湘阴县金龙新区安嘉路西侧，文襄路南侧</w:t>
            </w:r>
            <w:r>
              <w:rPr>
                <w:bCs/>
                <w:color w:val="auto"/>
                <w:sz w:val="24"/>
                <w:u w:val="none" w:color="auto"/>
              </w:rPr>
              <w:t>，中心地理坐标为东经</w:t>
            </w:r>
            <w:r>
              <w:rPr>
                <w:rFonts w:hint="eastAsia"/>
                <w:bCs/>
                <w:color w:val="auto"/>
                <w:sz w:val="24"/>
                <w:u w:val="none" w:color="auto"/>
              </w:rPr>
              <w:t>112.929465</w:t>
            </w:r>
            <w:r>
              <w:rPr>
                <w:bCs/>
                <w:color w:val="auto"/>
                <w:sz w:val="24"/>
                <w:u w:val="none" w:color="auto"/>
              </w:rPr>
              <w:t>，北纬28</w:t>
            </w:r>
            <w:r>
              <w:rPr>
                <w:rFonts w:hint="eastAsia"/>
                <w:bCs/>
                <w:color w:val="auto"/>
                <w:sz w:val="24"/>
                <w:u w:val="none" w:color="auto"/>
                <w:lang w:val="en-US" w:eastAsia="zh-CN"/>
              </w:rPr>
              <w:t>.630294</w:t>
            </w:r>
            <w:r>
              <w:rPr>
                <w:bCs/>
                <w:color w:val="auto"/>
                <w:sz w:val="24"/>
                <w:u w:val="none" w:color="auto"/>
              </w:rPr>
              <w:t>，其具体位置见附图1所示。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2、地形、地貌、地质</w:t>
            </w:r>
          </w:p>
          <w:p>
            <w:pPr>
              <w:spacing w:line="360" w:lineRule="auto"/>
              <w:ind w:firstLine="480"/>
              <w:rPr>
                <w:bCs/>
                <w:color w:val="auto"/>
                <w:sz w:val="24"/>
                <w:u w:val="none" w:color="auto"/>
              </w:rPr>
            </w:pPr>
            <w:r>
              <w:rPr>
                <w:rFonts w:hint="eastAsia"/>
                <w:bCs/>
                <w:color w:val="auto"/>
                <w:sz w:val="24"/>
                <w:u w:val="none" w:color="auto"/>
              </w:rPr>
              <w:t>湘阴地块属新华夏构造体系的第二隆起带，所处地质状况，使其地貌呈低山、岗地、平原三种形态，具有如下三个特征：其一、地势东南高、西北低。位居幕阜山余脉走向洞庭湖凹陷处的过渡地带，地势至东南向西北递降，形成一个微向洞庭湖碰盆中心的倾斜面。其二、以滨湖平原为主体，成块状分布。地处湘江大断裂带，其东盘上升，基岩裸露，构成低山、岗地；西盘下降，阶台下切，形成滨湖平源。全县除去江河湖泊及其他水面，滨湖、江河、溪谷三种平原共</w:t>
            </w:r>
            <w:r>
              <w:rPr>
                <w:bCs/>
                <w:color w:val="auto"/>
                <w:sz w:val="24"/>
                <w:u w:val="none" w:color="auto"/>
              </w:rPr>
              <w:t>702.11</w:t>
            </w:r>
            <w:r>
              <w:rPr>
                <w:rFonts w:hint="eastAsia"/>
                <w:bCs/>
                <w:color w:val="auto"/>
                <w:sz w:val="24"/>
                <w:u w:val="none" w:color="auto"/>
              </w:rPr>
              <w:t>平方公里，占全县总面积的</w:t>
            </w:r>
            <w:r>
              <w:rPr>
                <w:bCs/>
                <w:color w:val="auto"/>
                <w:sz w:val="24"/>
                <w:u w:val="none" w:color="auto"/>
              </w:rPr>
              <w:t>44.4%</w:t>
            </w:r>
            <w:r>
              <w:rPr>
                <w:rFonts w:hint="eastAsia"/>
                <w:bCs/>
                <w:color w:val="auto"/>
                <w:sz w:val="24"/>
                <w:u w:val="none" w:color="auto"/>
              </w:rPr>
              <w:t>；岗地占</w:t>
            </w:r>
            <w:r>
              <w:rPr>
                <w:bCs/>
                <w:color w:val="auto"/>
                <w:sz w:val="24"/>
                <w:u w:val="none" w:color="auto"/>
              </w:rPr>
              <w:t>13.59%</w:t>
            </w:r>
            <w:r>
              <w:rPr>
                <w:rFonts w:hint="eastAsia"/>
                <w:bCs/>
                <w:color w:val="auto"/>
                <w:sz w:val="24"/>
                <w:u w:val="none" w:color="auto"/>
              </w:rPr>
              <w:t>；低山占</w:t>
            </w:r>
            <w:r>
              <w:rPr>
                <w:bCs/>
                <w:color w:val="auto"/>
                <w:sz w:val="24"/>
                <w:u w:val="none" w:color="auto"/>
              </w:rPr>
              <w:t>1.51%</w:t>
            </w:r>
            <w:r>
              <w:rPr>
                <w:rFonts w:hint="eastAsia"/>
                <w:bCs/>
                <w:color w:val="auto"/>
                <w:sz w:val="24"/>
                <w:u w:val="none" w:color="auto"/>
              </w:rPr>
              <w:t>。其三、河湖交会，水域广阔。湘江自南而北贯穿全景，自然分成东西两部，江东为东乡，为低山岗丘地，岗丘婉蜒，地形起伏；江西为西乡，属滨湖平原地，河渠纵横，湖沼塘堰星罗棋布。全县国土总面积</w:t>
            </w:r>
            <w:r>
              <w:rPr>
                <w:bCs/>
                <w:color w:val="auto"/>
                <w:sz w:val="24"/>
                <w:u w:val="none" w:color="auto"/>
              </w:rPr>
              <w:t>1581.5</w:t>
            </w:r>
            <w:r>
              <w:rPr>
                <w:rFonts w:hint="eastAsia"/>
                <w:bCs/>
                <w:color w:val="auto"/>
                <w:sz w:val="24"/>
                <w:u w:val="none" w:color="auto"/>
              </w:rPr>
              <w:t>平方公里，湖区、山丘区、湖洲分别为</w:t>
            </w:r>
            <w:r>
              <w:rPr>
                <w:bCs/>
                <w:color w:val="auto"/>
                <w:sz w:val="24"/>
                <w:u w:val="none" w:color="auto"/>
              </w:rPr>
              <w:t>675.0</w:t>
            </w:r>
            <w:r>
              <w:rPr>
                <w:rFonts w:hint="eastAsia"/>
                <w:bCs/>
                <w:color w:val="auto"/>
                <w:sz w:val="24"/>
                <w:u w:val="none" w:color="auto"/>
              </w:rPr>
              <w:t>平方公里、</w:t>
            </w:r>
            <w:r>
              <w:rPr>
                <w:bCs/>
                <w:color w:val="auto"/>
                <w:sz w:val="24"/>
                <w:u w:val="none" w:color="auto"/>
              </w:rPr>
              <w:t>484.6</w:t>
            </w:r>
            <w:r>
              <w:rPr>
                <w:rFonts w:hint="eastAsia"/>
                <w:bCs/>
                <w:color w:val="auto"/>
                <w:sz w:val="24"/>
                <w:u w:val="none" w:color="auto"/>
              </w:rPr>
              <w:t>平方公里、</w:t>
            </w:r>
            <w:r>
              <w:rPr>
                <w:bCs/>
                <w:color w:val="auto"/>
                <w:sz w:val="24"/>
                <w:u w:val="none" w:color="auto"/>
              </w:rPr>
              <w:t>421.9</w:t>
            </w:r>
            <w:r>
              <w:rPr>
                <w:rFonts w:hint="eastAsia"/>
                <w:bCs/>
                <w:color w:val="auto"/>
                <w:sz w:val="24"/>
                <w:u w:val="none" w:color="auto"/>
              </w:rPr>
              <w:t>平方公里。水域面积</w:t>
            </w:r>
            <w:r>
              <w:rPr>
                <w:bCs/>
                <w:color w:val="auto"/>
                <w:sz w:val="24"/>
                <w:u w:val="none" w:color="auto"/>
              </w:rPr>
              <w:t>98.56</w:t>
            </w:r>
            <w:r>
              <w:rPr>
                <w:rFonts w:hint="eastAsia"/>
                <w:bCs/>
                <w:color w:val="auto"/>
                <w:sz w:val="24"/>
                <w:u w:val="none" w:color="auto"/>
              </w:rPr>
              <w:t>万亩，占全县总面积的</w:t>
            </w:r>
            <w:r>
              <w:rPr>
                <w:bCs/>
                <w:color w:val="auto"/>
                <w:sz w:val="24"/>
                <w:u w:val="none" w:color="auto"/>
              </w:rPr>
              <w:t>41.56%</w:t>
            </w:r>
            <w:r>
              <w:rPr>
                <w:rFonts w:hint="eastAsia"/>
                <w:bCs/>
                <w:color w:val="auto"/>
                <w:sz w:val="24"/>
                <w:u w:val="none" w:color="auto"/>
              </w:rPr>
              <w:t>。各类地貌中的水面面积占总面积的百分比分别为：滨湖平原为</w:t>
            </w:r>
            <w:r>
              <w:rPr>
                <w:bCs/>
                <w:color w:val="auto"/>
                <w:sz w:val="24"/>
                <w:u w:val="none" w:color="auto"/>
              </w:rPr>
              <w:t>89.06</w:t>
            </w:r>
            <w:r>
              <w:rPr>
                <w:rFonts w:hint="eastAsia"/>
                <w:bCs/>
                <w:color w:val="auto"/>
                <w:sz w:val="24"/>
                <w:u w:val="none" w:color="auto"/>
              </w:rPr>
              <w:t>万亩，占</w:t>
            </w:r>
            <w:r>
              <w:rPr>
                <w:bCs/>
                <w:color w:val="auto"/>
                <w:sz w:val="24"/>
                <w:u w:val="none" w:color="auto"/>
              </w:rPr>
              <w:t>53.99%</w:t>
            </w:r>
            <w:r>
              <w:rPr>
                <w:rFonts w:hint="eastAsia"/>
                <w:bCs/>
                <w:color w:val="auto"/>
                <w:sz w:val="24"/>
                <w:u w:val="none" w:color="auto"/>
              </w:rPr>
              <w:t>；江河平原为</w:t>
            </w:r>
            <w:r>
              <w:rPr>
                <w:bCs/>
                <w:color w:val="auto"/>
                <w:sz w:val="24"/>
                <w:u w:val="none" w:color="auto"/>
              </w:rPr>
              <w:t>2.37</w:t>
            </w:r>
            <w:r>
              <w:rPr>
                <w:rFonts w:hint="eastAsia"/>
                <w:bCs/>
                <w:color w:val="auto"/>
                <w:sz w:val="24"/>
                <w:u w:val="none" w:color="auto"/>
              </w:rPr>
              <w:t>万亩，占</w:t>
            </w:r>
            <w:r>
              <w:rPr>
                <w:bCs/>
                <w:color w:val="auto"/>
                <w:sz w:val="24"/>
                <w:u w:val="none" w:color="auto"/>
              </w:rPr>
              <w:t>21.68%</w:t>
            </w:r>
            <w:r>
              <w:rPr>
                <w:rFonts w:hint="eastAsia"/>
                <w:bCs/>
                <w:color w:val="auto"/>
                <w:sz w:val="24"/>
                <w:u w:val="none" w:color="auto"/>
              </w:rPr>
              <w:t>；溪谷平原为</w:t>
            </w:r>
            <w:r>
              <w:rPr>
                <w:bCs/>
                <w:color w:val="auto"/>
                <w:sz w:val="24"/>
                <w:u w:val="none" w:color="auto"/>
              </w:rPr>
              <w:t>3.82</w:t>
            </w:r>
            <w:r>
              <w:rPr>
                <w:rFonts w:hint="eastAsia"/>
                <w:bCs/>
                <w:color w:val="auto"/>
                <w:sz w:val="24"/>
                <w:u w:val="none" w:color="auto"/>
              </w:rPr>
              <w:t>万亩，占</w:t>
            </w:r>
            <w:r>
              <w:rPr>
                <w:bCs/>
                <w:color w:val="auto"/>
                <w:sz w:val="24"/>
                <w:u w:val="none" w:color="auto"/>
              </w:rPr>
              <w:t>15.54%</w:t>
            </w:r>
            <w:r>
              <w:rPr>
                <w:rFonts w:hint="eastAsia"/>
                <w:bCs/>
                <w:color w:val="auto"/>
                <w:sz w:val="24"/>
                <w:u w:val="none" w:color="auto"/>
              </w:rPr>
              <w:t>；岗地为</w:t>
            </w:r>
            <w:r>
              <w:rPr>
                <w:bCs/>
                <w:color w:val="auto"/>
                <w:sz w:val="24"/>
                <w:u w:val="none" w:color="auto"/>
              </w:rPr>
              <w:t>2.95</w:t>
            </w:r>
            <w:r>
              <w:rPr>
                <w:rFonts w:hint="eastAsia"/>
                <w:bCs/>
                <w:color w:val="auto"/>
                <w:sz w:val="24"/>
                <w:u w:val="none" w:color="auto"/>
              </w:rPr>
              <w:t>万亩，占</w:t>
            </w:r>
            <w:r>
              <w:rPr>
                <w:bCs/>
                <w:color w:val="auto"/>
                <w:sz w:val="24"/>
                <w:u w:val="none" w:color="auto"/>
              </w:rPr>
              <w:t>8.92%</w:t>
            </w:r>
            <w:r>
              <w:rPr>
                <w:rFonts w:hint="eastAsia"/>
                <w:bCs/>
                <w:color w:val="auto"/>
                <w:sz w:val="24"/>
                <w:u w:val="none" w:color="auto"/>
              </w:rPr>
              <w:t>，低山为</w:t>
            </w:r>
            <w:r>
              <w:rPr>
                <w:bCs/>
                <w:color w:val="auto"/>
                <w:sz w:val="24"/>
                <w:u w:val="none" w:color="auto"/>
              </w:rPr>
              <w:t>3600</w:t>
            </w:r>
            <w:r>
              <w:rPr>
                <w:rFonts w:hint="eastAsia"/>
                <w:bCs/>
                <w:color w:val="auto"/>
                <w:sz w:val="24"/>
                <w:u w:val="none" w:color="auto"/>
              </w:rPr>
              <w:t>亩，占</w:t>
            </w:r>
            <w:r>
              <w:rPr>
                <w:bCs/>
                <w:color w:val="auto"/>
                <w:sz w:val="24"/>
                <w:u w:val="none" w:color="auto"/>
              </w:rPr>
              <w:t>10.08%</w:t>
            </w:r>
            <w:r>
              <w:rPr>
                <w:rFonts w:hint="eastAsia"/>
                <w:bCs/>
                <w:color w:val="auto"/>
                <w:sz w:val="24"/>
                <w:u w:val="none" w:color="auto"/>
              </w:rPr>
              <w:t>。</w:t>
            </w:r>
          </w:p>
          <w:p>
            <w:pPr>
              <w:spacing w:line="360" w:lineRule="auto"/>
              <w:ind w:firstLine="480"/>
              <w:rPr>
                <w:bCs/>
                <w:color w:val="auto"/>
                <w:sz w:val="24"/>
                <w:u w:val="none" w:color="auto"/>
              </w:rPr>
            </w:pPr>
            <w:r>
              <w:rPr>
                <w:rFonts w:hint="eastAsia"/>
                <w:bCs/>
                <w:color w:val="auto"/>
                <w:sz w:val="24"/>
                <w:u w:val="none" w:color="auto"/>
              </w:rPr>
              <w:t>根据《建筑抗震设计规范》</w:t>
            </w:r>
            <w:r>
              <w:rPr>
                <w:bCs/>
                <w:color w:val="auto"/>
                <w:sz w:val="24"/>
                <w:u w:val="none" w:color="auto"/>
              </w:rPr>
              <w:t>GB50011—2001</w:t>
            </w:r>
            <w:r>
              <w:rPr>
                <w:rFonts w:hint="eastAsia"/>
                <w:bCs/>
                <w:color w:val="auto"/>
                <w:sz w:val="24"/>
                <w:u w:val="none" w:color="auto"/>
              </w:rPr>
              <w:t>附录</w:t>
            </w:r>
            <w:r>
              <w:rPr>
                <w:bCs/>
                <w:color w:val="auto"/>
                <w:sz w:val="24"/>
                <w:u w:val="none" w:color="auto"/>
              </w:rPr>
              <w:t>A</w:t>
            </w:r>
            <w:r>
              <w:rPr>
                <w:rFonts w:hint="eastAsia"/>
                <w:bCs/>
                <w:color w:val="auto"/>
                <w:sz w:val="24"/>
                <w:u w:val="none" w:color="auto"/>
              </w:rPr>
              <w:t>及相关规定，湘阴为</w:t>
            </w:r>
            <w:r>
              <w:rPr>
                <w:bCs/>
                <w:color w:val="auto"/>
                <w:sz w:val="24"/>
                <w:u w:val="none" w:color="auto"/>
              </w:rPr>
              <w:t>Ⅶ</w:t>
            </w:r>
            <w:r>
              <w:rPr>
                <w:rFonts w:hint="eastAsia"/>
                <w:bCs/>
                <w:color w:val="auto"/>
                <w:sz w:val="24"/>
                <w:u w:val="none" w:color="auto"/>
              </w:rPr>
              <w:t>度烈度区。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3、气候气象</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地处中亚热带向北亚热带过渡的季风气候区，县域内地貌类型简单，东西两部分气候差异不显著，气候温和，雨量充沛，光照充足，四季分明。主要灾害性天气有暴雨、干旱、大风、雷雹、低温、冰冻。县气象站记载，1959～1985年的27年间，共发生此类天气141次，年均5.2次。各种灾害性天气发生次数及占此类天气总数的百分比为：暴雨25次，占17.85%；干旱23次，占16.42%，低温31次，占22.17%；大风26次，占18.57%；雷雹13次，占9.28%，冰冻23次，占15.71%。</w:t>
            </w:r>
          </w:p>
          <w:p>
            <w:pPr>
              <w:spacing w:line="360" w:lineRule="auto"/>
              <w:ind w:firstLine="480"/>
              <w:rPr>
                <w:color w:val="auto"/>
                <w:sz w:val="24"/>
                <w:u w:val="none" w:color="auto"/>
              </w:rPr>
            </w:pPr>
            <w:r>
              <w:rPr>
                <w:bCs/>
                <w:color w:val="auto"/>
                <w:sz w:val="24"/>
                <w:u w:val="none" w:color="auto"/>
              </w:rPr>
              <w:t>湘阴县区域</w:t>
            </w:r>
            <w:r>
              <w:rPr>
                <w:color w:val="auto"/>
                <w:sz w:val="24"/>
                <w:u w:val="none" w:color="auto"/>
              </w:rPr>
              <w:t>主要气象数据；</w:t>
            </w:r>
          </w:p>
          <w:p>
            <w:pPr>
              <w:autoSpaceDE w:val="0"/>
              <w:spacing w:line="360" w:lineRule="auto"/>
              <w:ind w:firstLine="480"/>
              <w:rPr>
                <w:color w:val="auto"/>
                <w:sz w:val="24"/>
                <w:u w:val="none" w:color="auto"/>
              </w:rPr>
            </w:pPr>
            <w:r>
              <w:rPr>
                <w:color w:val="auto"/>
                <w:sz w:val="24"/>
                <w:u w:val="none" w:color="auto"/>
              </w:rPr>
              <w:t>年平均气温                     16.9℃</w:t>
            </w:r>
          </w:p>
          <w:p>
            <w:pPr>
              <w:tabs>
                <w:tab w:val="center" w:pos="4849"/>
              </w:tabs>
              <w:autoSpaceDE w:val="0"/>
              <w:spacing w:line="360" w:lineRule="auto"/>
              <w:ind w:firstLine="480"/>
              <w:rPr>
                <w:color w:val="auto"/>
                <w:sz w:val="24"/>
                <w:u w:val="none" w:color="auto"/>
              </w:rPr>
            </w:pPr>
            <w:r>
              <w:rPr>
                <w:color w:val="auto"/>
                <w:sz w:val="24"/>
                <w:u w:val="none" w:color="auto"/>
              </w:rPr>
              <w:t>最热月平均气温                 29.0℃</w:t>
            </w:r>
          </w:p>
          <w:p>
            <w:pPr>
              <w:tabs>
                <w:tab w:val="center" w:pos="4849"/>
              </w:tabs>
              <w:autoSpaceDE w:val="0"/>
              <w:spacing w:line="360" w:lineRule="auto"/>
              <w:ind w:firstLine="480"/>
              <w:rPr>
                <w:color w:val="auto"/>
                <w:sz w:val="24"/>
                <w:u w:val="none" w:color="auto"/>
              </w:rPr>
            </w:pPr>
            <w:r>
              <w:rPr>
                <w:color w:val="auto"/>
                <w:sz w:val="24"/>
                <w:u w:val="none" w:color="auto"/>
              </w:rPr>
              <w:t>最冷月平均气温                 4.4℃</w:t>
            </w:r>
          </w:p>
          <w:p>
            <w:pPr>
              <w:tabs>
                <w:tab w:val="center" w:pos="4849"/>
              </w:tabs>
              <w:autoSpaceDE w:val="0"/>
              <w:spacing w:line="360" w:lineRule="auto"/>
              <w:ind w:firstLine="480"/>
              <w:rPr>
                <w:color w:val="auto"/>
                <w:sz w:val="24"/>
                <w:u w:val="none" w:color="auto"/>
              </w:rPr>
            </w:pPr>
            <w:r>
              <w:rPr>
                <w:color w:val="auto"/>
                <w:sz w:val="24"/>
                <w:u w:val="none" w:color="auto"/>
              </w:rPr>
              <w:t>极端最高气温                   38.4℃</w:t>
            </w:r>
          </w:p>
          <w:p>
            <w:pPr>
              <w:tabs>
                <w:tab w:val="center" w:pos="4849"/>
              </w:tabs>
              <w:autoSpaceDE w:val="0"/>
              <w:spacing w:line="360" w:lineRule="auto"/>
              <w:ind w:firstLine="480"/>
              <w:rPr>
                <w:color w:val="auto"/>
                <w:sz w:val="24"/>
                <w:u w:val="none" w:color="auto"/>
              </w:rPr>
            </w:pPr>
            <w:r>
              <w:rPr>
                <w:color w:val="auto"/>
                <w:sz w:val="24"/>
                <w:u w:val="none" w:color="auto"/>
              </w:rPr>
              <w:t>极端最低气温                   -12.0℃</w:t>
            </w:r>
          </w:p>
          <w:p>
            <w:pPr>
              <w:tabs>
                <w:tab w:val="center" w:pos="4849"/>
              </w:tabs>
              <w:autoSpaceDE w:val="0"/>
              <w:spacing w:line="360" w:lineRule="auto"/>
              <w:ind w:firstLine="480"/>
              <w:rPr>
                <w:color w:val="auto"/>
                <w:sz w:val="24"/>
                <w:u w:val="none" w:color="auto"/>
              </w:rPr>
            </w:pPr>
            <w:r>
              <w:rPr>
                <w:color w:val="auto"/>
                <w:sz w:val="24"/>
                <w:u w:val="none" w:color="auto"/>
              </w:rPr>
              <w:t>年总降水量                     1410.8mm</w:t>
            </w:r>
          </w:p>
          <w:p>
            <w:pPr>
              <w:tabs>
                <w:tab w:val="center" w:pos="4849"/>
              </w:tabs>
              <w:autoSpaceDE w:val="0"/>
              <w:spacing w:line="360" w:lineRule="auto"/>
              <w:ind w:firstLine="480"/>
              <w:rPr>
                <w:color w:val="auto"/>
                <w:sz w:val="24"/>
                <w:u w:val="none" w:color="auto"/>
              </w:rPr>
            </w:pPr>
            <w:r>
              <w:rPr>
                <w:color w:val="auto"/>
                <w:sz w:val="24"/>
                <w:u w:val="none" w:color="auto"/>
              </w:rPr>
              <w:t>年总日照                       1610.5h</w:t>
            </w:r>
          </w:p>
          <w:p>
            <w:pPr>
              <w:spacing w:line="360" w:lineRule="auto"/>
              <w:ind w:firstLine="480"/>
              <w:rPr>
                <w:color w:val="auto"/>
                <w:sz w:val="24"/>
                <w:u w:val="none" w:color="auto"/>
              </w:rPr>
            </w:pPr>
            <w:r>
              <w:rPr>
                <w:color w:val="auto"/>
                <w:sz w:val="24"/>
                <w:u w:val="none" w:color="auto"/>
              </w:rPr>
              <w:t>年总辐射量                     1410.4千卡/平方厘米</w:t>
            </w:r>
          </w:p>
          <w:p>
            <w:pPr>
              <w:spacing w:line="360" w:lineRule="auto"/>
              <w:ind w:firstLine="480"/>
              <w:rPr>
                <w:bCs/>
                <w:color w:val="auto"/>
                <w:sz w:val="24"/>
                <w:u w:val="none" w:color="auto"/>
              </w:rPr>
            </w:pPr>
            <w:r>
              <w:rPr>
                <w:bCs/>
                <w:color w:val="auto"/>
                <w:sz w:val="24"/>
                <w:u w:val="none" w:color="auto"/>
              </w:rPr>
              <w:t>年主导风向                     西北风</w:t>
            </w:r>
          </w:p>
          <w:p>
            <w:pPr>
              <w:spacing w:line="360" w:lineRule="auto"/>
              <w:ind w:firstLine="480"/>
              <w:rPr>
                <w:bCs/>
                <w:color w:val="auto"/>
                <w:sz w:val="24"/>
                <w:u w:val="none" w:color="auto"/>
              </w:rPr>
            </w:pPr>
            <w:r>
              <w:rPr>
                <w:color w:val="auto"/>
                <w:sz w:val="24"/>
                <w:u w:val="none" w:color="auto"/>
              </w:rPr>
              <w:t>年平均风速                     2.5m/s</w:t>
            </w:r>
          </w:p>
          <w:p>
            <w:pPr>
              <w:tabs>
                <w:tab w:val="center" w:pos="4849"/>
              </w:tabs>
              <w:autoSpaceDE w:val="0"/>
              <w:spacing w:line="360" w:lineRule="auto"/>
              <w:ind w:firstLine="480"/>
              <w:rPr>
                <w:color w:val="auto"/>
                <w:sz w:val="24"/>
                <w:u w:val="none" w:color="auto"/>
              </w:rPr>
            </w:pPr>
            <w:r>
              <w:rPr>
                <w:color w:val="auto"/>
                <w:sz w:val="24"/>
                <w:u w:val="none" w:color="auto"/>
              </w:rPr>
              <w:t>年相对湿度                     81%</w:t>
            </w:r>
          </w:p>
          <w:p>
            <w:pPr>
              <w:spacing w:line="360" w:lineRule="auto"/>
              <w:ind w:firstLine="480"/>
              <w:rPr>
                <w:bCs/>
                <w:color w:val="auto"/>
                <w:sz w:val="24"/>
                <w:u w:val="none" w:color="auto"/>
              </w:rPr>
            </w:pPr>
            <w:r>
              <w:rPr>
                <w:bCs/>
                <w:color w:val="auto"/>
                <w:sz w:val="24"/>
                <w:u w:val="none" w:color="auto"/>
              </w:rPr>
              <w:t>年平均降雨量                   1383毫米</w:t>
            </w:r>
          </w:p>
          <w:p>
            <w:pPr>
              <w:spacing w:line="360" w:lineRule="auto"/>
              <w:ind w:firstLine="480"/>
              <w:rPr>
                <w:bCs/>
                <w:color w:val="auto"/>
                <w:sz w:val="24"/>
                <w:u w:val="none" w:color="auto"/>
              </w:rPr>
            </w:pPr>
            <w:r>
              <w:rPr>
                <w:color w:val="auto"/>
                <w:sz w:val="24"/>
                <w:u w:val="none" w:color="auto"/>
              </w:rPr>
              <w:t>年总蒸发量                     1329.4mm</w:t>
            </w:r>
          </w:p>
          <w:p>
            <w:pPr>
              <w:spacing w:line="360" w:lineRule="auto"/>
              <w:ind w:firstLine="480"/>
              <w:rPr>
                <w:color w:val="auto"/>
                <w:sz w:val="24"/>
                <w:u w:val="none" w:color="auto"/>
              </w:rPr>
            </w:pPr>
            <w:r>
              <w:rPr>
                <w:color w:val="auto"/>
                <w:sz w:val="24"/>
                <w:u w:val="none" w:color="auto"/>
              </w:rPr>
              <w:t>全年无霜期                     274天</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4、水文</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位于湘江尾闾，洞庭湖滨。湘阴地区江湖甚多，水域面积占总面积的42%左右，河流主要有湘江、资江和白水江等，其直流纵横，河网密布，湖泊星罗棋布。湘资两水在湘阴县内流经长度达250余公里，内江流经长度70余公里，计有外湖81个，内湖78个，塘堰3372个，水坝2249座，主要外湖有横岭湖、团林湖、淳湖和荷叶湖等，主要内湖有鹤龙湖、洋沙湖、范家坝、白洋湖和南湖垸哑河等。水域面积98.56万多亩，占全县总面积的41.56%以上，为养殖、捕捞、灌溉、航运、工业用水提供了十分充裕的水源。</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区域地表水发达，主要水系有洋沙湖、白水江、资江、湘江。本项目纳污水体为湘江。湘江是我省的最大河流，其发源于湖南省永州市蓝山县紫良瑶族乡蓝山国家森林公园的野狗岭，流经湖南省永州市、衡阳市、株洲市、湘潭市、长沙市，至岳阳市的湘阴县注入长江水系的洞庭湖，于城陵矶入长江，全长856km。湘江江面宽500～1500m，一般水深6～15m，河床多砂砾石且坡度平缓，河水流速慢。其流量分平、洪、丰、枯四个水期，有明显的季节变化，洪水期多出现在5～7月，枯水期多出现在12～翌年2月。湘江是湘阴县的一条景观河流和主要供水水源，保护好湘江水环境质量，是保证湘阴县可持续发展战略的重要因素之一。</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项目所在区域湘江主要水文参数如下：</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年平均水位                    27.31m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平均最高水位                  36.65m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平均最低水位                  23.25m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历史最高洪峰水位              37.37m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平均径流深                    7.76m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年平均流量                    2131m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平均最大流量                  12900m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平均最小流量                  248m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最大流速                      2.6m/s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年平均流速                    0.45m/s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 xml:space="preserve">枯水期平均流速              </w:t>
            </w:r>
            <w:r>
              <w:rPr>
                <w:rFonts w:hAnsi="宋体"/>
                <w:bCs/>
                <w:color w:val="auto"/>
                <w:sz w:val="24"/>
                <w:u w:val="none" w:color="auto"/>
              </w:rPr>
              <w:t xml:space="preserve"> </w:t>
            </w:r>
            <w:r>
              <w:rPr>
                <w:rFonts w:hint="eastAsia" w:hAnsi="宋体"/>
                <w:bCs/>
                <w:color w:val="auto"/>
                <w:sz w:val="24"/>
                <w:u w:val="none" w:color="auto"/>
              </w:rPr>
              <w:t xml:space="preserve"> 0.18m/s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按《湖南省主要水系地表水环境功能区划》（DB43/023—2005），从湘江长沙段下游至湘阴的水环境功能区划为：①沩水河北口端至湘阴樟树港的22.5km为渔业用水区，执行Ⅲ类水质标准。②樟树港至浩河口的7.4km为渔业用水区，执行Ⅲ类水质标准。③浩河口至洋沙湖上游1000m（东支）5.2km为二级水源保护区，执行Ⅲ类水质标准。④洋沙湖上游1000m至下游200m（东支）1.2km为湘阴县一级水源保护区，执行Ⅱ类水质标准。⑤洋沙湖下游200m至磊石（东支）62.7km为渔业用水区，执行Ⅲ类水质标准。</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 xml:space="preserve">5、植被与生物 </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农业生物资源极为丰富，全县有以水稻、红薯为主的11种粮食作物，有以茶叶、棉花、藠头为主的15种经济作物，有以芦苇、湘莲为主的10余种水生经济作物，有以松、杉、樟、柳为主的228个树种，有以青、草、鲢、鳙、鲤和湘去鲫(鲤)为主的114个鱼类品种，有以猪、牛、山羊、鸡、鸭、鹅为主的9个畜禽种类。</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全县山林24万亩，林业用地占陆地面积的16%，森林覆盖率为12.5%，用林主要分布在东部低山岗地。其中杉木基地分布在界头铺、玉华、长康等乡镇的低山地带及六塘、石塘乡部分岗地。长康等乡镇部分岗地。防护林主要分布在西部平原。从外地引进的意大利杨和美国松分别植于北部湖洲上和东部山岗区，引进的树种生长茂盛，大有发展前途。境内多珍奇生物，珍稀树种有银杏、枫香、杜仲等30余种，珍禽异兽有鹿、獐、獾、锦鸡、鸳鸯等。珍贵的鱼有中华鲟、白鲟、银鱼、胭脂鱼、非洲鲫等，还有特种水产甲鱼、乌龟、泥蛙、龙虾、河蟹、贝类以及世界珍稀的白鳍豚。</w:t>
            </w:r>
          </w:p>
          <w:p>
            <w:pPr>
              <w:snapToGrid w:val="0"/>
              <w:spacing w:line="360" w:lineRule="auto"/>
              <w:ind w:firstLine="480"/>
              <w:rPr>
                <w:rFonts w:hAnsi="宋体"/>
                <w:color w:val="auto"/>
                <w:sz w:val="24"/>
                <w:szCs w:val="24"/>
                <w:u w:val="none" w:color="auto"/>
              </w:rPr>
            </w:pPr>
            <w:r>
              <w:rPr>
                <w:rFonts w:hint="eastAsia" w:hAnsi="宋体"/>
                <w:color w:val="auto"/>
                <w:sz w:val="24"/>
                <w:szCs w:val="24"/>
                <w:u w:val="none" w:color="auto"/>
              </w:rPr>
              <w:t>项目区受人类活动的影响较大，人为开发程度高，工程区土壤主要为板、页岩发育的红壤、黄壤；因人类活动，原始植被已遭破坏，残存仅有少数壳丰科及樟科的常绿阔叶林和次生马尾松林，被覆地表的主要是人造的用材林、经济林、及栽培农作物，如油茶林、果木林、杉木林等，林下植被有灌木及茅草等；陆生动物主要为一些小型的啮齿类动物、两栖类动物、昆虫及一些常见鸟类。</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根据实地调查，评价区域内无名胜古迹、风景名胜区、文物保护区等需要特殊保护的目标，无需特殊保护的珍稀动植物。</w:t>
            </w:r>
          </w:p>
          <w:p>
            <w:pPr>
              <w:adjustRightInd w:val="0"/>
              <w:snapToGrid w:val="0"/>
              <w:spacing w:line="360" w:lineRule="auto"/>
              <w:ind w:firstLine="462" w:firstLineChars="200"/>
              <w:rPr>
                <w:b/>
                <w:color w:val="auto"/>
                <w:sz w:val="24"/>
                <w:u w:val="none" w:color="auto"/>
              </w:rPr>
            </w:pPr>
            <w:r>
              <w:rPr>
                <w:color w:val="auto"/>
                <w:sz w:val="24"/>
                <w:u w:val="none" w:color="auto"/>
              </w:rPr>
              <w:t>本项目所在地环境功能属性见表</w:t>
            </w:r>
            <w:r>
              <w:rPr>
                <w:rFonts w:hint="eastAsia"/>
                <w:color w:val="auto"/>
                <w:sz w:val="24"/>
                <w:u w:val="none" w:color="auto"/>
                <w:lang w:val="en-US" w:eastAsia="zh-CN"/>
              </w:rPr>
              <w:t>2-1</w:t>
            </w:r>
            <w:r>
              <w:rPr>
                <w:color w:val="auto"/>
                <w:sz w:val="24"/>
                <w:u w:val="none" w:color="auto"/>
              </w:rPr>
              <w:t>：</w:t>
            </w:r>
          </w:p>
          <w:p>
            <w:pPr>
              <w:snapToGrid w:val="0"/>
              <w:spacing w:line="360" w:lineRule="auto"/>
              <w:ind w:firstLine="462" w:firstLineChars="200"/>
              <w:jc w:val="center"/>
              <w:rPr>
                <w:b/>
                <w:color w:val="auto"/>
                <w:sz w:val="24"/>
                <w:u w:val="none" w:color="auto"/>
              </w:rPr>
            </w:pPr>
            <w:r>
              <w:rPr>
                <w:b/>
                <w:color w:val="auto"/>
                <w:sz w:val="24"/>
                <w:u w:val="none" w:color="auto"/>
              </w:rPr>
              <w:t>表</w:t>
            </w:r>
            <w:r>
              <w:rPr>
                <w:rFonts w:hint="eastAsia"/>
                <w:b/>
                <w:color w:val="auto"/>
                <w:sz w:val="24"/>
                <w:u w:val="none" w:color="auto"/>
                <w:lang w:val="en-US" w:eastAsia="zh-CN"/>
              </w:rPr>
              <w:t>2-1</w:t>
            </w:r>
            <w:r>
              <w:rPr>
                <w:b/>
                <w:color w:val="auto"/>
                <w:sz w:val="24"/>
                <w:u w:val="none" w:color="auto"/>
              </w:rPr>
              <w:t xml:space="preserve"> 本区域环境功能区划</w:t>
            </w:r>
          </w:p>
          <w:tbl>
            <w:tblPr>
              <w:tblStyle w:val="39"/>
              <w:tblW w:w="903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957"/>
              <w:gridCol w:w="2910"/>
              <w:gridCol w:w="516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编号</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项目</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功能属性及执行标准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水环境功能区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湘江，执行《地表水环境质量标准》（Gb3838-2002）</w:t>
                  </w:r>
                </w:p>
                <w:p>
                  <w:pPr>
                    <w:adjustRightInd w:val="0"/>
                    <w:snapToGrid w:val="0"/>
                    <w:spacing w:line="360" w:lineRule="auto"/>
                    <w:jc w:val="center"/>
                    <w:rPr>
                      <w:color w:val="auto"/>
                      <w:szCs w:val="21"/>
                      <w:u w:val="none" w:color="auto"/>
                    </w:rPr>
                  </w:pPr>
                  <w:r>
                    <w:rPr>
                      <w:color w:val="auto"/>
                      <w:szCs w:val="21"/>
                      <w:u w:val="none" w:color="auto"/>
                    </w:rPr>
                    <w:t>Ⅲ类标准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环境空气质量功能区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二类区，环境空气质量执行《环境空气质量标准》</w:t>
                  </w:r>
                </w:p>
                <w:p>
                  <w:pPr>
                    <w:adjustRightInd w:val="0"/>
                    <w:snapToGrid w:val="0"/>
                    <w:spacing w:line="360" w:lineRule="auto"/>
                    <w:jc w:val="center"/>
                    <w:rPr>
                      <w:color w:val="auto"/>
                      <w:szCs w:val="21"/>
                      <w:u w:val="none" w:color="auto"/>
                    </w:rPr>
                  </w:pPr>
                  <w:r>
                    <w:rPr>
                      <w:color w:val="auto"/>
                      <w:szCs w:val="21"/>
                      <w:u w:val="none" w:color="auto"/>
                    </w:rPr>
                    <w:t>（GB3095-2012）中的二级标准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声环境功能区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执行《声环境质量标准》</w:t>
                  </w:r>
                </w:p>
                <w:p>
                  <w:pPr>
                    <w:adjustRightInd w:val="0"/>
                    <w:snapToGrid w:val="0"/>
                    <w:spacing w:line="360" w:lineRule="auto"/>
                    <w:jc w:val="center"/>
                    <w:rPr>
                      <w:color w:val="auto"/>
                      <w:szCs w:val="21"/>
                      <w:u w:val="none" w:color="auto"/>
                    </w:rPr>
                  </w:pPr>
                  <w:r>
                    <w:rPr>
                      <w:color w:val="auto"/>
                      <w:szCs w:val="21"/>
                      <w:u w:val="none" w:color="auto"/>
                    </w:rPr>
                    <w:t>（GB3096-2008）</w:t>
                  </w:r>
                  <w:r>
                    <w:rPr>
                      <w:rFonts w:hint="eastAsia"/>
                      <w:color w:val="auto"/>
                      <w:szCs w:val="21"/>
                      <w:u w:val="none" w:color="auto"/>
                      <w:lang w:val="en-US" w:eastAsia="zh-CN"/>
                    </w:rPr>
                    <w:t>3</w:t>
                  </w:r>
                  <w:r>
                    <w:rPr>
                      <w:color w:val="auto"/>
                      <w:szCs w:val="21"/>
                      <w:u w:val="none" w:color="auto"/>
                    </w:rPr>
                    <w:t>类环境噪声限值</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4</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是否基本农田保护区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5</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是否森林公园</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6</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是否生态功能保护区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7</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是否水土流失重点防治区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8</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是否人口密集区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9</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是否重点文物保护单位</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10</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是否三河、三湖、两控区</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color w:val="auto"/>
                      <w:szCs w:val="21"/>
                      <w:u w:val="none" w:color="auto"/>
                    </w:rPr>
                    <w:t>两控区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是否水库库区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是否污水处理厂集水范围</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是否属于生态敏感与脆弱区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bl>
          <w:p>
            <w:pPr>
              <w:rPr>
                <w:color w:val="auto"/>
                <w:u w:val="none" w:color="auto"/>
              </w:rPr>
            </w:pPr>
          </w:p>
        </w:tc>
      </w:tr>
    </w:tbl>
    <w:p>
      <w:pPr>
        <w:snapToGrid w:val="0"/>
        <w:textAlignment w:val="baseline"/>
        <w:outlineLvl w:val="0"/>
        <w:rPr>
          <w:rFonts w:eastAsia="黑体"/>
          <w:color w:val="auto"/>
          <w:sz w:val="32"/>
          <w:u w:val="none" w:color="auto"/>
        </w:rPr>
      </w:pPr>
      <w:r>
        <w:rPr>
          <w:rFonts w:eastAsia="黑体"/>
          <w:color w:val="auto"/>
          <w:sz w:val="32"/>
          <w:u w:val="none" w:color="auto"/>
        </w:rPr>
        <w:br w:type="page"/>
      </w:r>
      <w:bookmarkStart w:id="2" w:name="_Toc28028"/>
      <w:r>
        <w:rPr>
          <w:rFonts w:hint="eastAsia" w:eastAsia="黑体"/>
          <w:color w:val="auto"/>
          <w:sz w:val="32"/>
          <w:u w:val="none" w:color="auto"/>
        </w:rPr>
        <w:t>三、</w:t>
      </w:r>
      <w:r>
        <w:rPr>
          <w:rFonts w:eastAsia="黑体"/>
          <w:color w:val="auto"/>
          <w:sz w:val="32"/>
          <w:u w:val="none" w:color="auto"/>
        </w:rPr>
        <w:t>环境质量状况</w:t>
      </w:r>
      <w:bookmarkEnd w:id="2"/>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9268" w:type="dxa"/>
            <w:vAlign w:val="center"/>
          </w:tcPr>
          <w:p>
            <w:pPr>
              <w:snapToGrid w:val="0"/>
              <w:spacing w:before="162" w:beforeLines="50" w:line="360" w:lineRule="auto"/>
              <w:rPr>
                <w:rFonts w:ascii="宋体" w:hAnsi="宋体"/>
                <w:b/>
                <w:bCs/>
                <w:color w:val="auto"/>
                <w:sz w:val="24"/>
                <w:szCs w:val="24"/>
                <w:u w:val="none" w:color="auto"/>
              </w:rPr>
            </w:pPr>
            <w:r>
              <w:rPr>
                <w:rFonts w:hint="eastAsia" w:ascii="宋体" w:hAnsi="宋体"/>
                <w:b/>
                <w:bCs/>
                <w:color w:val="auto"/>
                <w:sz w:val="24"/>
                <w:szCs w:val="24"/>
                <w:u w:val="none" w:color="auto"/>
              </w:rPr>
              <w:t>建设项目所在地区域环境质量现状及主要环境问题(环境空气、地面水、声环境、生态环境等)：</w:t>
            </w:r>
          </w:p>
          <w:p>
            <w:pPr>
              <w:spacing w:line="360" w:lineRule="auto"/>
              <w:ind w:firstLine="231" w:firstLineChars="100"/>
              <w:rPr>
                <w:rFonts w:hint="default"/>
                <w:color w:val="auto"/>
                <w:u w:val="single" w:color="auto"/>
              </w:rPr>
            </w:pPr>
            <w:r>
              <w:rPr>
                <w:rFonts w:hint="default" w:ascii="Times New Roman" w:hAnsi="Times New Roman" w:cs="Times New Roman"/>
                <w:b/>
                <w:bCs/>
                <w:color w:val="auto"/>
                <w:sz w:val="24"/>
                <w:szCs w:val="24"/>
                <w:u w:val="single" w:color="auto"/>
              </w:rPr>
              <w:t>3.1环境空气质量现状</w:t>
            </w:r>
          </w:p>
          <w:p>
            <w:pPr>
              <w:pStyle w:val="179"/>
              <w:spacing w:before="124" w:line="360" w:lineRule="auto"/>
              <w:ind w:right="77" w:firstLine="462" w:firstLineChars="200"/>
              <w:jc w:val="left"/>
              <w:rPr>
                <w:rFonts w:hint="default" w:ascii="Times New Roman" w:hAnsi="Times New Roman" w:cs="Times New Roman"/>
                <w:color w:val="auto"/>
                <w:sz w:val="24"/>
                <w:szCs w:val="24"/>
                <w:u w:val="single" w:color="auto"/>
              </w:rPr>
            </w:pPr>
            <w:bookmarkStart w:id="3" w:name="OLE_LINK3"/>
            <w:r>
              <w:rPr>
                <w:rFonts w:hint="default" w:ascii="Times New Roman" w:hAnsi="Times New Roman" w:cs="Times New Roman"/>
                <w:color w:val="auto"/>
                <w:sz w:val="24"/>
                <w:szCs w:val="24"/>
                <w:u w:val="single" w:color="auto"/>
              </w:rPr>
              <w:t>依据《</w:t>
            </w:r>
            <w:r>
              <w:rPr>
                <w:rFonts w:hint="eastAsia"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环境空气质量功能区划》，项目所在区域执行《环境空气质量标准》（GB3095-2012）的二级标准。</w:t>
            </w:r>
          </w:p>
          <w:p>
            <w:pPr>
              <w:pStyle w:val="172"/>
              <w:spacing w:line="360" w:lineRule="auto"/>
              <w:ind w:firstLine="462" w:firstLineChars="200"/>
              <w:rPr>
                <w:rFonts w:hint="eastAsia" w:ascii="Times New Roman" w:hAnsi="Times New Roman" w:eastAsia="宋体" w:cs="Times New Roman"/>
                <w:color w:val="auto"/>
                <w:kern w:val="0"/>
                <w:sz w:val="24"/>
                <w:szCs w:val="24"/>
                <w:u w:val="single" w:color="auto"/>
                <w:lang w:val="en-US" w:eastAsia="en-US" w:bidi="ar-SA"/>
              </w:rPr>
            </w:pPr>
            <w:r>
              <w:rPr>
                <w:rFonts w:hint="default" w:ascii="Times New Roman" w:hAnsi="Times New Roman" w:eastAsia="宋体" w:cs="Times New Roman"/>
                <w:color w:val="auto"/>
                <w:kern w:val="0"/>
                <w:sz w:val="24"/>
                <w:szCs w:val="24"/>
                <w:u w:val="single" w:color="auto"/>
                <w:lang w:val="en-US" w:eastAsia="en-US" w:bidi="ar-SA"/>
              </w:rPr>
              <w:t>根据《环境影响评价技术导则-大气环境》（HJ2.2-2018）中“6.2.1.1 项目所在区域达标判定，优先采用国家或生态环境主管部门发布的平均基准年环境质量公告或环境质量报告中的数据或结论”，基本因子采用</w:t>
            </w:r>
            <w:r>
              <w:rPr>
                <w:rFonts w:hint="eastAsia" w:ascii="Times New Roman" w:hAnsi="Times New Roman" w:eastAsia="宋体" w:cs="Times New Roman"/>
                <w:color w:val="auto"/>
                <w:kern w:val="0"/>
                <w:sz w:val="24"/>
                <w:szCs w:val="24"/>
                <w:u w:val="single" w:color="auto"/>
                <w:lang w:val="en-US" w:eastAsia="zh-CN" w:bidi="ar-SA"/>
              </w:rPr>
              <w:t>湘阴县环保</w:t>
            </w:r>
            <w:r>
              <w:rPr>
                <w:rFonts w:hint="default" w:ascii="Times New Roman" w:hAnsi="Times New Roman" w:eastAsia="宋体" w:cs="Times New Roman"/>
                <w:color w:val="auto"/>
                <w:kern w:val="0"/>
                <w:sz w:val="24"/>
                <w:szCs w:val="24"/>
                <w:u w:val="single" w:color="auto"/>
                <w:lang w:val="en-US" w:eastAsia="en-US" w:bidi="ar-SA"/>
              </w:rPr>
              <w:t>局发布的</w:t>
            </w:r>
            <w:r>
              <w:rPr>
                <w:rFonts w:hint="eastAsia" w:ascii="Times New Roman" w:hAnsi="Times New Roman" w:eastAsia="宋体" w:cs="Times New Roman"/>
                <w:color w:val="auto"/>
                <w:kern w:val="0"/>
                <w:sz w:val="24"/>
                <w:szCs w:val="24"/>
                <w:u w:val="single" w:color="auto"/>
                <w:lang w:val="en-US" w:eastAsia="zh-CN" w:bidi="ar-SA"/>
              </w:rPr>
              <w:t>湘阴县</w:t>
            </w:r>
            <w:r>
              <w:rPr>
                <w:rFonts w:hint="default" w:ascii="Times New Roman" w:hAnsi="Times New Roman" w:eastAsia="宋体" w:cs="Times New Roman"/>
                <w:color w:val="auto"/>
                <w:kern w:val="0"/>
                <w:sz w:val="24"/>
                <w:szCs w:val="24"/>
                <w:u w:val="single" w:color="auto"/>
                <w:lang w:val="en-US" w:eastAsia="en-US" w:bidi="ar-SA"/>
              </w:rPr>
              <w:t>环境空气质量情况进行评价，</w:t>
            </w:r>
            <w:r>
              <w:rPr>
                <w:rFonts w:hint="eastAsia" w:cs="Times New Roman"/>
                <w:color w:val="auto"/>
                <w:kern w:val="0"/>
                <w:sz w:val="24"/>
                <w:szCs w:val="24"/>
                <w:u w:val="single" w:color="auto"/>
                <w:lang w:val="en-US" w:eastAsia="zh-CN" w:bidi="ar-SA"/>
              </w:rPr>
              <w:t xml:space="preserve">     </w:t>
            </w:r>
            <w:r>
              <w:rPr>
                <w:rFonts w:hint="eastAsia" w:ascii="Times New Roman" w:hAnsi="Times New Roman" w:eastAsia="宋体" w:cs="Times New Roman"/>
                <w:color w:val="auto"/>
                <w:kern w:val="0"/>
                <w:sz w:val="24"/>
                <w:szCs w:val="24"/>
                <w:u w:val="single" w:color="auto"/>
                <w:lang w:val="en-US" w:eastAsia="zh-CN" w:bidi="ar-SA"/>
              </w:rPr>
              <w:t>根据2017年湘阴县环境空气质量公告中湘阴县环境空气质量数据（如下表所示），湘阴县</w:t>
            </w:r>
            <w:r>
              <w:rPr>
                <w:rFonts w:hint="default" w:ascii="Times New Roman" w:hAnsi="Times New Roman" w:eastAsia="宋体" w:cs="Times New Roman"/>
                <w:color w:val="auto"/>
                <w:kern w:val="0"/>
                <w:sz w:val="24"/>
                <w:szCs w:val="24"/>
                <w:u w:val="single" w:color="auto"/>
                <w:lang w:val="en-US" w:eastAsia="en-US" w:bidi="ar-SA"/>
              </w:rPr>
              <w:t>PM</w:t>
            </w:r>
            <w:r>
              <w:rPr>
                <w:rFonts w:hint="default" w:ascii="Times New Roman" w:hAnsi="Times New Roman" w:eastAsia="宋体" w:cs="Times New Roman"/>
                <w:color w:val="auto"/>
                <w:kern w:val="0"/>
                <w:sz w:val="24"/>
                <w:szCs w:val="24"/>
                <w:u w:val="single" w:color="auto"/>
                <w:vertAlign w:val="subscript"/>
                <w:lang w:val="en-US" w:eastAsia="en-US" w:bidi="ar-SA"/>
              </w:rPr>
              <w:t>10</w:t>
            </w:r>
            <w:r>
              <w:rPr>
                <w:rFonts w:hint="eastAsia" w:ascii="Times New Roman" w:hAnsi="Times New Roman" w:eastAsia="宋体" w:cs="Times New Roman"/>
                <w:color w:val="auto"/>
                <w:kern w:val="0"/>
                <w:sz w:val="24"/>
                <w:szCs w:val="24"/>
                <w:u w:val="single" w:color="auto"/>
                <w:lang w:val="en-US" w:eastAsia="zh-CN" w:bidi="ar-SA"/>
              </w:rPr>
              <w:t>、</w:t>
            </w:r>
            <w:r>
              <w:rPr>
                <w:rFonts w:hint="default" w:ascii="Times New Roman" w:hAnsi="Times New Roman" w:eastAsia="宋体" w:cs="Times New Roman"/>
                <w:color w:val="auto"/>
                <w:kern w:val="0"/>
                <w:sz w:val="24"/>
                <w:szCs w:val="24"/>
                <w:u w:val="single" w:color="auto"/>
                <w:lang w:val="en-US" w:eastAsia="en-US" w:bidi="ar-SA"/>
              </w:rPr>
              <w:t>SO</w:t>
            </w:r>
            <w:r>
              <w:rPr>
                <w:rFonts w:hint="default" w:ascii="Times New Roman" w:hAnsi="Times New Roman" w:eastAsia="宋体" w:cs="Times New Roman"/>
                <w:color w:val="auto"/>
                <w:kern w:val="0"/>
                <w:sz w:val="24"/>
                <w:szCs w:val="24"/>
                <w:u w:val="single" w:color="auto"/>
                <w:vertAlign w:val="subscript"/>
                <w:lang w:val="en-US" w:eastAsia="en-US" w:bidi="ar-SA"/>
              </w:rPr>
              <w:t>2</w:t>
            </w:r>
            <w:r>
              <w:rPr>
                <w:rFonts w:hint="eastAsia" w:ascii="Times New Roman" w:hAnsi="Times New Roman" w:eastAsia="宋体" w:cs="Times New Roman"/>
                <w:color w:val="auto"/>
                <w:kern w:val="0"/>
                <w:sz w:val="24"/>
                <w:szCs w:val="24"/>
                <w:u w:val="single" w:color="auto"/>
                <w:lang w:val="en-US" w:eastAsia="zh-CN" w:bidi="ar-SA"/>
              </w:rPr>
              <w:t>、</w:t>
            </w:r>
            <w:r>
              <w:rPr>
                <w:rFonts w:hint="default" w:ascii="Times New Roman" w:hAnsi="Times New Roman" w:eastAsia="宋体" w:cs="Times New Roman"/>
                <w:color w:val="auto"/>
                <w:kern w:val="0"/>
                <w:sz w:val="24"/>
                <w:szCs w:val="24"/>
                <w:u w:val="single" w:color="auto"/>
                <w:lang w:val="en-US" w:eastAsia="en-US" w:bidi="ar-SA"/>
              </w:rPr>
              <w:t>NO</w:t>
            </w:r>
            <w:r>
              <w:rPr>
                <w:rFonts w:hint="default" w:ascii="Times New Roman" w:hAnsi="Times New Roman" w:eastAsia="宋体" w:cs="Times New Roman"/>
                <w:color w:val="auto"/>
                <w:kern w:val="0"/>
                <w:sz w:val="24"/>
                <w:szCs w:val="24"/>
                <w:u w:val="single" w:color="auto"/>
                <w:vertAlign w:val="subscript"/>
                <w:lang w:val="en-US" w:eastAsia="en-US" w:bidi="ar-SA"/>
              </w:rPr>
              <w:t>2</w:t>
            </w:r>
            <w:r>
              <w:rPr>
                <w:rFonts w:hint="eastAsia" w:ascii="Times New Roman" w:hAnsi="Times New Roman" w:eastAsia="宋体" w:cs="Times New Roman"/>
                <w:color w:val="auto"/>
                <w:kern w:val="0"/>
                <w:sz w:val="24"/>
                <w:szCs w:val="24"/>
                <w:u w:val="single" w:color="auto"/>
                <w:lang w:val="en-US" w:eastAsia="zh-CN" w:bidi="ar-SA"/>
              </w:rPr>
              <w:t>年平均质量浓度和C</w:t>
            </w:r>
            <w:r>
              <w:rPr>
                <w:rFonts w:hint="default" w:ascii="Times New Roman" w:hAnsi="Times New Roman" w:eastAsia="宋体" w:cs="Times New Roman"/>
                <w:color w:val="auto"/>
                <w:kern w:val="0"/>
                <w:sz w:val="24"/>
                <w:szCs w:val="24"/>
                <w:u w:val="single" w:color="auto"/>
                <w:lang w:val="en-US" w:eastAsia="en-US" w:bidi="ar-SA"/>
              </w:rPr>
              <w:t>O</w:t>
            </w:r>
            <w:r>
              <w:rPr>
                <w:rFonts w:hint="eastAsia" w:ascii="Times New Roman" w:hAnsi="Times New Roman" w:cs="Times New Roman"/>
                <w:color w:val="auto"/>
                <w:kern w:val="0"/>
                <w:sz w:val="24"/>
                <w:szCs w:val="24"/>
                <w:u w:val="single" w:color="auto"/>
                <w:lang w:val="en-US" w:eastAsia="zh-CN" w:bidi="ar-SA"/>
              </w:rPr>
              <w:t xml:space="preserve"> </w:t>
            </w:r>
            <w:r>
              <w:rPr>
                <w:rFonts w:hint="eastAsia" w:ascii="Times New Roman" w:hAnsi="Times New Roman" w:eastAsia="宋体" w:cs="Times New Roman"/>
                <w:color w:val="auto"/>
                <w:kern w:val="0"/>
                <w:sz w:val="24"/>
                <w:szCs w:val="24"/>
                <w:u w:val="single" w:color="auto"/>
                <w:lang w:val="en-US" w:eastAsia="zh-CN" w:bidi="ar-SA"/>
              </w:rPr>
              <w:t>95百分位数日平均质量浓度、</w:t>
            </w:r>
            <w:r>
              <w:rPr>
                <w:rFonts w:hint="default" w:ascii="Times New Roman" w:hAnsi="Times New Roman" w:eastAsia="宋体" w:cs="Times New Roman"/>
                <w:color w:val="auto"/>
                <w:kern w:val="0"/>
                <w:sz w:val="24"/>
                <w:szCs w:val="24"/>
                <w:u w:val="single" w:color="auto"/>
                <w:lang w:val="en-US" w:eastAsia="en-US" w:bidi="ar-SA"/>
              </w:rPr>
              <w:t>O</w:t>
            </w:r>
            <w:r>
              <w:rPr>
                <w:rFonts w:hint="eastAsia" w:ascii="Times New Roman" w:hAnsi="Times New Roman" w:eastAsia="宋体" w:cs="Times New Roman"/>
                <w:color w:val="auto"/>
                <w:kern w:val="0"/>
                <w:sz w:val="24"/>
                <w:szCs w:val="24"/>
                <w:u w:val="single" w:color="auto"/>
                <w:vertAlign w:val="subscript"/>
                <w:lang w:val="en-US" w:eastAsia="zh-CN" w:bidi="ar-SA"/>
              </w:rPr>
              <w:t>3</w:t>
            </w:r>
            <w:r>
              <w:rPr>
                <w:rFonts w:hint="eastAsia" w:ascii="Times New Roman" w:hAnsi="Times New Roman" w:eastAsia="宋体" w:cs="Times New Roman"/>
                <w:color w:val="auto"/>
                <w:kern w:val="0"/>
                <w:sz w:val="24"/>
                <w:szCs w:val="24"/>
                <w:u w:val="single" w:color="auto"/>
                <w:lang w:val="en-US" w:eastAsia="zh-CN" w:bidi="ar-SA"/>
              </w:rPr>
              <w:t>90百分位数最大8小时平均质量浓度可达到</w:t>
            </w:r>
            <w:r>
              <w:rPr>
                <w:rFonts w:hint="default" w:ascii="Times New Roman" w:hAnsi="Times New Roman" w:eastAsia="宋体" w:cs="Times New Roman"/>
                <w:color w:val="auto"/>
                <w:kern w:val="0"/>
                <w:sz w:val="24"/>
                <w:szCs w:val="24"/>
                <w:u w:val="single" w:color="auto"/>
                <w:lang w:val="en-US" w:eastAsia="en-US" w:bidi="ar-SA"/>
              </w:rPr>
              <w:t>《环境空气质量标准》（GB3095-2012）中二级标准。PM</w:t>
            </w:r>
            <w:r>
              <w:rPr>
                <w:rFonts w:hint="eastAsia" w:ascii="Times New Roman" w:hAnsi="Times New Roman" w:eastAsia="宋体" w:cs="Times New Roman"/>
                <w:color w:val="auto"/>
                <w:kern w:val="0"/>
                <w:sz w:val="24"/>
                <w:szCs w:val="24"/>
                <w:u w:val="single" w:color="auto"/>
                <w:vertAlign w:val="subscript"/>
                <w:lang w:val="en-US" w:eastAsia="zh-CN" w:bidi="ar-SA"/>
              </w:rPr>
              <w:t>2.5</w:t>
            </w:r>
            <w:r>
              <w:rPr>
                <w:rFonts w:hint="eastAsia" w:ascii="Times New Roman" w:hAnsi="Times New Roman" w:eastAsia="宋体" w:cs="Times New Roman"/>
                <w:color w:val="auto"/>
                <w:kern w:val="0"/>
                <w:sz w:val="24"/>
                <w:szCs w:val="24"/>
                <w:u w:val="single" w:color="auto"/>
                <w:lang w:val="en-US" w:eastAsia="zh-CN" w:bidi="ar-SA"/>
              </w:rPr>
              <w:t>年平均质量浓度尚未达到</w:t>
            </w:r>
            <w:r>
              <w:rPr>
                <w:rFonts w:hint="default" w:ascii="Times New Roman" w:hAnsi="Times New Roman" w:eastAsia="宋体" w:cs="Times New Roman"/>
                <w:color w:val="auto"/>
                <w:kern w:val="0"/>
                <w:sz w:val="24"/>
                <w:szCs w:val="24"/>
                <w:u w:val="single" w:color="auto"/>
                <w:lang w:val="en-US" w:eastAsia="en-US" w:bidi="ar-SA"/>
              </w:rPr>
              <w:t>《环境空气质量标准》（GB3095-2012）中二级标准。</w:t>
            </w:r>
          </w:p>
          <w:p>
            <w:pPr>
              <w:pStyle w:val="186"/>
              <w:rPr>
                <w:rFonts w:hint="eastAsia"/>
                <w:color w:val="auto"/>
                <w:u w:val="single" w:color="auto"/>
                <w:lang w:val="en-US" w:eastAsia="zh-CN"/>
              </w:rPr>
            </w:pPr>
            <w:r>
              <w:rPr>
                <w:rFonts w:hint="default"/>
                <w:color w:val="auto"/>
                <w:u w:val="single" w:color="auto"/>
              </w:rPr>
              <w:t>表</w:t>
            </w:r>
            <w:r>
              <w:rPr>
                <w:rFonts w:hint="eastAsia"/>
                <w:color w:val="auto"/>
                <w:u w:val="single" w:color="auto"/>
                <w:lang w:val="en-US" w:eastAsia="zh-CN"/>
              </w:rPr>
              <w:t>3-1</w:t>
            </w:r>
            <w:r>
              <w:rPr>
                <w:rFonts w:hint="default"/>
                <w:color w:val="auto"/>
                <w:u w:val="single" w:color="auto"/>
              </w:rPr>
              <w:t xml:space="preserve">  </w:t>
            </w:r>
            <w:r>
              <w:rPr>
                <w:rFonts w:hint="eastAsia"/>
                <w:color w:val="auto"/>
                <w:u w:val="single" w:color="auto"/>
                <w:lang w:val="en-US" w:eastAsia="zh-CN"/>
              </w:rPr>
              <w:t>2017年</w:t>
            </w:r>
            <w:r>
              <w:rPr>
                <w:rFonts w:hint="eastAsia"/>
                <w:color w:val="auto"/>
                <w:u w:val="single" w:color="auto"/>
                <w:lang w:eastAsia="zh-CN"/>
              </w:rPr>
              <w:t>区域空气质量现状评价</w:t>
            </w:r>
            <w:r>
              <w:rPr>
                <w:rFonts w:hint="default"/>
                <w:color w:val="auto"/>
                <w:u w:val="single" w:color="auto"/>
                <w:lang w:val="en-US" w:eastAsia="zh-CN"/>
              </w:rPr>
              <w:t>表</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128"/>
              <w:gridCol w:w="1933"/>
              <w:gridCol w:w="1408"/>
              <w:gridCol w:w="1294"/>
              <w:gridCol w:w="1216"/>
              <w:gridCol w:w="12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876" w:type="dxa"/>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eastAsia"/>
                      <w:color w:val="auto"/>
                      <w:sz w:val="22"/>
                      <w:szCs w:val="22"/>
                      <w:u w:val="single" w:color="auto"/>
                      <w:lang w:eastAsia="zh-CN"/>
                    </w:rPr>
                    <w:t>所在区域</w:t>
                  </w: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监测</w:t>
                  </w:r>
                </w:p>
                <w:p>
                  <w:pPr>
                    <w:pStyle w:val="184"/>
                    <w:spacing w:line="360" w:lineRule="auto"/>
                    <w:rPr>
                      <w:rFonts w:hint="default"/>
                      <w:color w:val="auto"/>
                      <w:sz w:val="22"/>
                      <w:szCs w:val="22"/>
                      <w:u w:val="single" w:color="auto"/>
                    </w:rPr>
                  </w:pPr>
                  <w:r>
                    <w:rPr>
                      <w:rFonts w:hint="default"/>
                      <w:color w:val="auto"/>
                      <w:sz w:val="22"/>
                      <w:szCs w:val="22"/>
                      <w:u w:val="single" w:color="auto"/>
                    </w:rPr>
                    <w:t>项目</w:t>
                  </w:r>
                </w:p>
              </w:tc>
              <w:tc>
                <w:tcPr>
                  <w:tcW w:w="1933"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年评价指标</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现状浓度（u</w:t>
                  </w:r>
                  <w:r>
                    <w:rPr>
                      <w:rFonts w:hint="default"/>
                      <w:color w:val="auto"/>
                      <w:sz w:val="22"/>
                      <w:szCs w:val="22"/>
                      <w:u w:val="single" w:color="auto"/>
                    </w:rPr>
                    <w:t>g/m</w:t>
                  </w:r>
                  <w:r>
                    <w:rPr>
                      <w:rFonts w:hint="default"/>
                      <w:color w:val="auto"/>
                      <w:sz w:val="22"/>
                      <w:szCs w:val="22"/>
                      <w:u w:val="single" w:color="auto"/>
                      <w:vertAlign w:val="superscript"/>
                    </w:rPr>
                    <w:t>3</w:t>
                  </w:r>
                  <w:r>
                    <w:rPr>
                      <w:rFonts w:hint="eastAsia"/>
                      <w:color w:val="auto"/>
                      <w:sz w:val="22"/>
                      <w:szCs w:val="22"/>
                      <w:u w:val="single" w:color="auto"/>
                      <w:lang w:val="en-US" w:eastAsia="zh-CN"/>
                    </w:rPr>
                    <w:t>）</w:t>
                  </w:r>
                </w:p>
              </w:tc>
              <w:tc>
                <w:tcPr>
                  <w:tcW w:w="1294"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标准值</w:t>
                  </w:r>
                  <w:r>
                    <w:rPr>
                      <w:rFonts w:hint="eastAsia"/>
                      <w:color w:val="auto"/>
                      <w:sz w:val="22"/>
                      <w:szCs w:val="22"/>
                      <w:u w:val="single" w:color="auto"/>
                      <w:lang w:val="en-US" w:eastAsia="zh-CN"/>
                    </w:rPr>
                    <w:t>（u</w:t>
                  </w:r>
                  <w:r>
                    <w:rPr>
                      <w:rFonts w:hint="default"/>
                      <w:color w:val="auto"/>
                      <w:sz w:val="22"/>
                      <w:szCs w:val="22"/>
                      <w:u w:val="single" w:color="auto"/>
                    </w:rPr>
                    <w:t>g/m</w:t>
                  </w:r>
                  <w:r>
                    <w:rPr>
                      <w:rFonts w:hint="default"/>
                      <w:color w:val="auto"/>
                      <w:sz w:val="22"/>
                      <w:szCs w:val="22"/>
                      <w:u w:val="single" w:color="auto"/>
                      <w:vertAlign w:val="superscript"/>
                    </w:rPr>
                    <w:t>3</w:t>
                  </w:r>
                  <w:r>
                    <w:rPr>
                      <w:rFonts w:hint="eastAsia"/>
                      <w:color w:val="auto"/>
                      <w:sz w:val="22"/>
                      <w:szCs w:val="22"/>
                      <w:u w:val="single" w:color="auto"/>
                      <w:lang w:val="en-US" w:eastAsia="zh-CN"/>
                    </w:rPr>
                    <w:t>）</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超标倍数</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restart"/>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eastAsia"/>
                      <w:color w:val="auto"/>
                      <w:sz w:val="22"/>
                      <w:szCs w:val="22"/>
                      <w:u w:val="single" w:color="auto"/>
                      <w:lang w:eastAsia="zh-CN"/>
                    </w:rPr>
                    <w:t>湘阴县</w:t>
                  </w: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SO</w:t>
                  </w:r>
                  <w:r>
                    <w:rPr>
                      <w:rFonts w:hint="default"/>
                      <w:color w:val="auto"/>
                      <w:sz w:val="22"/>
                      <w:szCs w:val="22"/>
                      <w:u w:val="single" w:color="auto"/>
                      <w:vertAlign w:val="subscript"/>
                    </w:rPr>
                    <w:t>2</w:t>
                  </w:r>
                </w:p>
              </w:tc>
              <w:tc>
                <w:tcPr>
                  <w:tcW w:w="1933" w:type="dxa"/>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eastAsia"/>
                      <w:color w:val="auto"/>
                      <w:sz w:val="22"/>
                      <w:szCs w:val="22"/>
                      <w:u w:val="singl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9.27</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60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NO</w:t>
                  </w:r>
                  <w:r>
                    <w:rPr>
                      <w:rFonts w:hint="default"/>
                      <w:color w:val="auto"/>
                      <w:sz w:val="22"/>
                      <w:szCs w:val="22"/>
                      <w:u w:val="single" w:color="auto"/>
                      <w:vertAlign w:val="subscript"/>
                    </w:rPr>
                    <w:t>2</w:t>
                  </w:r>
                </w:p>
              </w:tc>
              <w:tc>
                <w:tcPr>
                  <w:tcW w:w="1933" w:type="dxa"/>
                  <w:tcBorders>
                    <w:tl2br w:val="nil"/>
                    <w:tr2bl w:val="nil"/>
                  </w:tcBorders>
                  <w:noWrap w:val="0"/>
                  <w:vAlign w:val="center"/>
                </w:tcPr>
                <w:p>
                  <w:pPr>
                    <w:pStyle w:val="184"/>
                    <w:spacing w:line="360" w:lineRule="auto"/>
                    <w:rPr>
                      <w:rFonts w:hint="default"/>
                      <w:color w:val="auto"/>
                      <w:sz w:val="22"/>
                      <w:szCs w:val="22"/>
                      <w:u w:val="single" w:color="auto"/>
                    </w:rPr>
                  </w:pPr>
                  <w:r>
                    <w:rPr>
                      <w:rFonts w:hint="eastAsia"/>
                      <w:color w:val="auto"/>
                      <w:sz w:val="22"/>
                      <w:szCs w:val="22"/>
                      <w:u w:val="singl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19.09</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40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PM</w:t>
                  </w:r>
                  <w:r>
                    <w:rPr>
                      <w:rFonts w:hint="default"/>
                      <w:color w:val="auto"/>
                      <w:sz w:val="22"/>
                      <w:szCs w:val="22"/>
                      <w:u w:val="single" w:color="auto"/>
                      <w:vertAlign w:val="subscript"/>
                    </w:rPr>
                    <w:t>10</w:t>
                  </w:r>
                </w:p>
              </w:tc>
              <w:tc>
                <w:tcPr>
                  <w:tcW w:w="1933" w:type="dxa"/>
                  <w:tcBorders>
                    <w:tl2br w:val="nil"/>
                    <w:tr2bl w:val="nil"/>
                  </w:tcBorders>
                  <w:noWrap w:val="0"/>
                  <w:vAlign w:val="center"/>
                </w:tcPr>
                <w:p>
                  <w:pPr>
                    <w:pStyle w:val="184"/>
                    <w:spacing w:line="360" w:lineRule="auto"/>
                    <w:rPr>
                      <w:rFonts w:hint="default"/>
                      <w:color w:val="auto"/>
                      <w:sz w:val="22"/>
                      <w:szCs w:val="22"/>
                      <w:u w:val="single" w:color="auto"/>
                    </w:rPr>
                  </w:pPr>
                  <w:r>
                    <w:rPr>
                      <w:rFonts w:hint="eastAsia"/>
                      <w:color w:val="auto"/>
                      <w:sz w:val="22"/>
                      <w:szCs w:val="22"/>
                      <w:u w:val="singl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62.72</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70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default"/>
                      <w:color w:val="auto"/>
                      <w:sz w:val="22"/>
                      <w:szCs w:val="22"/>
                      <w:u w:val="single" w:color="auto"/>
                    </w:rPr>
                    <w:t>PM</w:t>
                  </w:r>
                  <w:r>
                    <w:rPr>
                      <w:rFonts w:hint="eastAsia"/>
                      <w:color w:val="auto"/>
                      <w:sz w:val="22"/>
                      <w:szCs w:val="22"/>
                      <w:u w:val="single" w:color="auto"/>
                      <w:vertAlign w:val="subscript"/>
                      <w:lang w:val="en-US" w:eastAsia="zh-CN"/>
                    </w:rPr>
                    <w:t>2.5</w:t>
                  </w:r>
                </w:p>
              </w:tc>
              <w:tc>
                <w:tcPr>
                  <w:tcW w:w="1933" w:type="dxa"/>
                  <w:tcBorders>
                    <w:tl2br w:val="nil"/>
                    <w:tr2bl w:val="nil"/>
                  </w:tcBorders>
                  <w:noWrap w:val="0"/>
                  <w:vAlign w:val="center"/>
                </w:tcPr>
                <w:p>
                  <w:pPr>
                    <w:pStyle w:val="184"/>
                    <w:spacing w:line="360" w:lineRule="auto"/>
                    <w:rPr>
                      <w:rFonts w:hint="default"/>
                      <w:color w:val="auto"/>
                      <w:sz w:val="22"/>
                      <w:szCs w:val="22"/>
                      <w:u w:val="single" w:color="auto"/>
                    </w:rPr>
                  </w:pPr>
                  <w:r>
                    <w:rPr>
                      <w:rFonts w:hint="eastAsia"/>
                      <w:color w:val="auto"/>
                      <w:sz w:val="22"/>
                      <w:szCs w:val="22"/>
                      <w:u w:val="single" w:color="auto"/>
                      <w:lang w:eastAsia="zh-CN"/>
                    </w:rPr>
                    <w:t>年平均质量浓度</w:t>
                  </w:r>
                </w:p>
              </w:tc>
              <w:tc>
                <w:tcPr>
                  <w:tcW w:w="1408" w:type="dxa"/>
                  <w:tcBorders>
                    <w:tl2br w:val="nil"/>
                    <w:tr2bl w:val="nil"/>
                  </w:tcBorders>
                  <w:noWrap w:val="0"/>
                  <w:vAlign w:val="center"/>
                </w:tcPr>
                <w:p>
                  <w:pPr>
                    <w:pStyle w:val="184"/>
                    <w:spacing w:line="360" w:lineRule="auto"/>
                    <w:rPr>
                      <w:rFonts w:hint="default"/>
                      <w:b/>
                      <w:bCs/>
                      <w:color w:val="auto"/>
                      <w:sz w:val="22"/>
                      <w:szCs w:val="22"/>
                      <w:u w:val="single" w:color="auto"/>
                      <w:lang w:val="en-US" w:eastAsia="zh-CN"/>
                    </w:rPr>
                  </w:pPr>
                  <w:r>
                    <w:rPr>
                      <w:rFonts w:hint="eastAsia"/>
                      <w:b/>
                      <w:bCs/>
                      <w:color w:val="auto"/>
                      <w:sz w:val="22"/>
                      <w:szCs w:val="22"/>
                      <w:u w:val="single" w:color="auto"/>
                      <w:lang w:val="en-US" w:eastAsia="zh-CN"/>
                    </w:rPr>
                    <w:t>47.72</w:t>
                  </w:r>
                </w:p>
              </w:tc>
              <w:tc>
                <w:tcPr>
                  <w:tcW w:w="1294" w:type="dxa"/>
                  <w:tcBorders>
                    <w:tl2br w:val="nil"/>
                    <w:tr2bl w:val="nil"/>
                  </w:tcBorders>
                  <w:noWrap w:val="0"/>
                  <w:vAlign w:val="center"/>
                </w:tcPr>
                <w:p>
                  <w:pPr>
                    <w:pStyle w:val="184"/>
                    <w:spacing w:line="360" w:lineRule="auto"/>
                    <w:rPr>
                      <w:rFonts w:hint="default"/>
                      <w:b/>
                      <w:bCs/>
                      <w:color w:val="auto"/>
                      <w:sz w:val="22"/>
                      <w:szCs w:val="22"/>
                      <w:u w:val="single" w:color="auto"/>
                      <w:lang w:val="en-US" w:eastAsia="zh-CN"/>
                    </w:rPr>
                  </w:pPr>
                  <w:r>
                    <w:rPr>
                      <w:rFonts w:hint="eastAsia"/>
                      <w:b/>
                      <w:bCs/>
                      <w:color w:val="auto"/>
                      <w:sz w:val="22"/>
                      <w:szCs w:val="22"/>
                      <w:u w:val="single" w:color="auto"/>
                      <w:lang w:val="en-US" w:eastAsia="zh-CN"/>
                    </w:rPr>
                    <w:t>35</w:t>
                  </w:r>
                </w:p>
              </w:tc>
              <w:tc>
                <w:tcPr>
                  <w:tcW w:w="1216" w:type="dxa"/>
                  <w:tcBorders>
                    <w:tl2br w:val="nil"/>
                    <w:tr2bl w:val="nil"/>
                  </w:tcBorders>
                  <w:noWrap w:val="0"/>
                  <w:vAlign w:val="center"/>
                </w:tcPr>
                <w:p>
                  <w:pPr>
                    <w:pStyle w:val="184"/>
                    <w:spacing w:line="360" w:lineRule="auto"/>
                    <w:rPr>
                      <w:rFonts w:hint="default"/>
                      <w:b/>
                      <w:bCs/>
                      <w:color w:val="auto"/>
                      <w:sz w:val="22"/>
                      <w:szCs w:val="22"/>
                      <w:u w:val="single" w:color="auto"/>
                      <w:lang w:val="en-US" w:eastAsia="zh-CN"/>
                    </w:rPr>
                  </w:pPr>
                  <w:r>
                    <w:rPr>
                      <w:rFonts w:hint="eastAsia"/>
                      <w:b/>
                      <w:bCs/>
                      <w:color w:val="auto"/>
                      <w:sz w:val="22"/>
                      <w:szCs w:val="22"/>
                      <w:u w:val="single" w:color="auto"/>
                      <w:lang w:val="en-US" w:eastAsia="zh-CN"/>
                    </w:rPr>
                    <w:t>0.36</w:t>
                  </w:r>
                </w:p>
              </w:tc>
              <w:tc>
                <w:tcPr>
                  <w:tcW w:w="1216" w:type="dxa"/>
                  <w:tcBorders>
                    <w:tl2br w:val="nil"/>
                    <w:tr2bl w:val="nil"/>
                  </w:tcBorders>
                  <w:noWrap w:val="0"/>
                  <w:vAlign w:val="center"/>
                </w:tcPr>
                <w:p>
                  <w:pPr>
                    <w:pStyle w:val="184"/>
                    <w:spacing w:line="360" w:lineRule="auto"/>
                    <w:rPr>
                      <w:rFonts w:hint="default"/>
                      <w:b/>
                      <w:bCs/>
                      <w:color w:val="auto"/>
                      <w:sz w:val="22"/>
                      <w:szCs w:val="22"/>
                      <w:u w:val="single" w:color="auto"/>
                    </w:rPr>
                  </w:pPr>
                  <w:r>
                    <w:rPr>
                      <w:rFonts w:hint="eastAsia"/>
                      <w:b/>
                      <w:bCs/>
                      <w:color w:val="auto"/>
                      <w:sz w:val="22"/>
                      <w:szCs w:val="22"/>
                      <w:u w:val="single" w:color="auto"/>
                      <w:lang w:eastAsia="zh-CN"/>
                    </w:rPr>
                    <w:t>不</w:t>
                  </w:r>
                  <w:r>
                    <w:rPr>
                      <w:rFonts w:hint="default"/>
                      <w:b/>
                      <w:bCs/>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eastAsia"/>
                      <w:color w:val="auto"/>
                      <w:sz w:val="22"/>
                      <w:szCs w:val="22"/>
                      <w:u w:val="single" w:color="auto"/>
                      <w:lang w:val="en-US" w:eastAsia="zh-CN"/>
                    </w:rPr>
                    <w:t>C</w:t>
                  </w:r>
                  <w:r>
                    <w:rPr>
                      <w:rFonts w:hint="default"/>
                      <w:color w:val="auto"/>
                      <w:sz w:val="22"/>
                      <w:szCs w:val="22"/>
                      <w:u w:val="single" w:color="auto"/>
                    </w:rPr>
                    <w:t>O</w:t>
                  </w:r>
                </w:p>
              </w:tc>
              <w:tc>
                <w:tcPr>
                  <w:tcW w:w="1933" w:type="dxa"/>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eastAsia"/>
                      <w:color w:val="auto"/>
                      <w:sz w:val="22"/>
                      <w:szCs w:val="22"/>
                      <w:u w:val="single" w:color="auto"/>
                      <w:lang w:val="en-US" w:eastAsia="zh-CN"/>
                    </w:rPr>
                    <w:t>95百分位数</w:t>
                  </w:r>
                  <w:r>
                    <w:rPr>
                      <w:rFonts w:hint="eastAsia"/>
                      <w:color w:val="auto"/>
                      <w:sz w:val="22"/>
                      <w:szCs w:val="22"/>
                      <w:u w:val="single" w:color="auto"/>
                      <w:lang w:eastAsia="zh-CN"/>
                    </w:rPr>
                    <w:t>日平均质量浓度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0.77</w:t>
                  </w:r>
                </w:p>
              </w:tc>
              <w:tc>
                <w:tcPr>
                  <w:tcW w:w="1294"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4000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default"/>
                      <w:color w:val="auto"/>
                      <w:sz w:val="22"/>
                      <w:szCs w:val="22"/>
                      <w:u w:val="single" w:color="auto"/>
                    </w:rPr>
                    <w:t>O</w:t>
                  </w:r>
                  <w:r>
                    <w:rPr>
                      <w:rFonts w:hint="eastAsia"/>
                      <w:color w:val="auto"/>
                      <w:sz w:val="22"/>
                      <w:szCs w:val="22"/>
                      <w:u w:val="single" w:color="auto"/>
                      <w:vertAlign w:val="subscript"/>
                      <w:lang w:val="en-US" w:eastAsia="zh-CN"/>
                    </w:rPr>
                    <w:t>3</w:t>
                  </w:r>
                </w:p>
              </w:tc>
              <w:tc>
                <w:tcPr>
                  <w:tcW w:w="1933"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90百分位数</w:t>
                  </w:r>
                  <w:r>
                    <w:rPr>
                      <w:rFonts w:hint="eastAsia"/>
                      <w:color w:val="auto"/>
                      <w:sz w:val="22"/>
                      <w:szCs w:val="22"/>
                      <w:u w:val="single" w:color="auto"/>
                      <w:lang w:eastAsia="zh-CN"/>
                    </w:rPr>
                    <w:t>最大</w:t>
                  </w:r>
                  <w:r>
                    <w:rPr>
                      <w:rFonts w:hint="eastAsia"/>
                      <w:color w:val="auto"/>
                      <w:sz w:val="22"/>
                      <w:szCs w:val="22"/>
                      <w:u w:val="single" w:color="auto"/>
                      <w:lang w:val="en-US" w:eastAsia="zh-CN"/>
                    </w:rPr>
                    <w:t>8小时平均质量浓度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97.45</w:t>
                  </w:r>
                </w:p>
              </w:tc>
              <w:tc>
                <w:tcPr>
                  <w:tcW w:w="1294"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160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bl>
          <w:p>
            <w:pPr>
              <w:pStyle w:val="172"/>
              <w:spacing w:line="360" w:lineRule="auto"/>
              <w:ind w:firstLine="462" w:firstLineChars="200"/>
              <w:rPr>
                <w:rFonts w:hint="eastAsia"/>
                <w:color w:val="auto"/>
                <w:sz w:val="24"/>
                <w:szCs w:val="24"/>
                <w:u w:val="single" w:color="auto"/>
              </w:rPr>
            </w:pPr>
            <w:r>
              <w:rPr>
                <w:rFonts w:hint="eastAsia"/>
                <w:color w:val="auto"/>
                <w:sz w:val="24"/>
                <w:szCs w:val="24"/>
                <w:u w:val="single" w:color="auto"/>
                <w:lang w:eastAsia="zh-CN"/>
              </w:rPr>
              <w:t>根据</w:t>
            </w:r>
            <w:r>
              <w:rPr>
                <w:rFonts w:hint="eastAsia"/>
                <w:color w:val="auto"/>
                <w:sz w:val="24"/>
                <w:szCs w:val="24"/>
                <w:u w:val="single" w:color="auto"/>
                <w:lang w:val="en-US" w:eastAsia="zh-CN"/>
              </w:rPr>
              <w:t>2018年湘阴县环境空气质量公告中湘阴县环境空气质量数据（如下表所示），湘阴县</w:t>
            </w:r>
            <w:r>
              <w:rPr>
                <w:rFonts w:hint="default"/>
                <w:color w:val="auto"/>
                <w:sz w:val="24"/>
                <w:szCs w:val="24"/>
                <w:u w:val="single" w:color="auto"/>
              </w:rPr>
              <w:t>PM</w:t>
            </w:r>
            <w:r>
              <w:rPr>
                <w:rFonts w:hint="default"/>
                <w:color w:val="auto"/>
                <w:sz w:val="24"/>
                <w:szCs w:val="24"/>
                <w:u w:val="single" w:color="auto"/>
                <w:vertAlign w:val="subscript"/>
              </w:rPr>
              <w:t>10</w:t>
            </w:r>
            <w:r>
              <w:rPr>
                <w:rFonts w:hint="eastAsia"/>
                <w:color w:val="auto"/>
                <w:sz w:val="24"/>
                <w:szCs w:val="24"/>
                <w:u w:val="single" w:color="auto"/>
                <w:lang w:eastAsia="zh-CN"/>
              </w:rPr>
              <w:t>、</w:t>
            </w:r>
            <w:r>
              <w:rPr>
                <w:rFonts w:hint="default"/>
                <w:color w:val="auto"/>
                <w:sz w:val="24"/>
                <w:szCs w:val="24"/>
                <w:u w:val="single" w:color="auto"/>
              </w:rPr>
              <w:t>SO</w:t>
            </w:r>
            <w:r>
              <w:rPr>
                <w:rFonts w:hint="default"/>
                <w:color w:val="auto"/>
                <w:sz w:val="24"/>
                <w:szCs w:val="24"/>
                <w:u w:val="single" w:color="auto"/>
                <w:vertAlign w:val="subscript"/>
              </w:rPr>
              <w:t>2</w:t>
            </w:r>
            <w:r>
              <w:rPr>
                <w:rFonts w:hint="eastAsia"/>
                <w:color w:val="auto"/>
                <w:sz w:val="24"/>
                <w:szCs w:val="24"/>
                <w:u w:val="single" w:color="auto"/>
                <w:lang w:eastAsia="zh-CN"/>
              </w:rPr>
              <w:t>、</w:t>
            </w:r>
            <w:r>
              <w:rPr>
                <w:rFonts w:hint="default"/>
                <w:color w:val="auto"/>
                <w:sz w:val="24"/>
                <w:szCs w:val="24"/>
                <w:u w:val="single" w:color="auto"/>
              </w:rPr>
              <w:t>NO</w:t>
            </w:r>
            <w:r>
              <w:rPr>
                <w:rFonts w:hint="default"/>
                <w:color w:val="auto"/>
                <w:sz w:val="24"/>
                <w:szCs w:val="24"/>
                <w:u w:val="single" w:color="auto"/>
                <w:vertAlign w:val="subscript"/>
              </w:rPr>
              <w:t>2</w:t>
            </w:r>
            <w:r>
              <w:rPr>
                <w:rFonts w:hint="eastAsia"/>
                <w:color w:val="auto"/>
                <w:sz w:val="24"/>
                <w:szCs w:val="24"/>
                <w:u w:val="single" w:color="auto"/>
                <w:lang w:eastAsia="zh-CN"/>
              </w:rPr>
              <w:t>年平均质量浓度和</w:t>
            </w:r>
            <w:r>
              <w:rPr>
                <w:rFonts w:hint="eastAsia"/>
                <w:color w:val="auto"/>
                <w:sz w:val="24"/>
                <w:szCs w:val="24"/>
                <w:u w:val="single" w:color="auto"/>
                <w:lang w:val="en-US" w:eastAsia="zh-CN"/>
              </w:rPr>
              <w:t>C</w:t>
            </w:r>
            <w:r>
              <w:rPr>
                <w:rFonts w:hint="default"/>
                <w:color w:val="auto"/>
                <w:sz w:val="24"/>
                <w:szCs w:val="24"/>
                <w:u w:val="single" w:color="auto"/>
              </w:rPr>
              <w:t>O</w:t>
            </w:r>
            <w:r>
              <w:rPr>
                <w:rFonts w:hint="eastAsia"/>
                <w:color w:val="auto"/>
                <w:sz w:val="24"/>
                <w:szCs w:val="24"/>
                <w:u w:val="single" w:color="auto"/>
                <w:lang w:val="en-US" w:eastAsia="zh-CN"/>
              </w:rPr>
              <w:t>95百分位数</w:t>
            </w:r>
            <w:r>
              <w:rPr>
                <w:rFonts w:hint="eastAsia"/>
                <w:color w:val="auto"/>
                <w:sz w:val="24"/>
                <w:szCs w:val="24"/>
                <w:u w:val="single" w:color="auto"/>
                <w:lang w:eastAsia="zh-CN"/>
              </w:rPr>
              <w:t>日平均质量浓度、</w:t>
            </w:r>
            <w:r>
              <w:rPr>
                <w:rFonts w:hint="default"/>
                <w:color w:val="auto"/>
                <w:sz w:val="24"/>
                <w:szCs w:val="24"/>
                <w:u w:val="single" w:color="auto"/>
              </w:rPr>
              <w:t>O</w:t>
            </w:r>
            <w:r>
              <w:rPr>
                <w:rFonts w:hint="eastAsia"/>
                <w:color w:val="auto"/>
                <w:sz w:val="24"/>
                <w:szCs w:val="24"/>
                <w:u w:val="single" w:color="auto"/>
                <w:vertAlign w:val="subscript"/>
                <w:lang w:val="en-US" w:eastAsia="zh-CN"/>
              </w:rPr>
              <w:t>3</w:t>
            </w:r>
            <w:r>
              <w:rPr>
                <w:rFonts w:hint="eastAsia"/>
                <w:color w:val="auto"/>
                <w:sz w:val="24"/>
                <w:szCs w:val="24"/>
                <w:u w:val="single" w:color="auto"/>
                <w:lang w:val="en-US" w:eastAsia="zh-CN"/>
              </w:rPr>
              <w:t>90百分位数</w:t>
            </w:r>
            <w:r>
              <w:rPr>
                <w:rFonts w:hint="eastAsia"/>
                <w:color w:val="auto"/>
                <w:sz w:val="24"/>
                <w:szCs w:val="24"/>
                <w:u w:val="single" w:color="auto"/>
                <w:lang w:eastAsia="zh-CN"/>
              </w:rPr>
              <w:t>最大</w:t>
            </w:r>
            <w:r>
              <w:rPr>
                <w:rFonts w:hint="eastAsia"/>
                <w:color w:val="auto"/>
                <w:sz w:val="24"/>
                <w:szCs w:val="24"/>
                <w:u w:val="single" w:color="auto"/>
                <w:lang w:val="en-US" w:eastAsia="zh-CN"/>
              </w:rPr>
              <w:t>8小时平均质量浓度</w:t>
            </w:r>
            <w:r>
              <w:rPr>
                <w:rFonts w:hint="eastAsia"/>
                <w:color w:val="auto"/>
                <w:sz w:val="24"/>
                <w:szCs w:val="24"/>
                <w:u w:val="single" w:color="auto"/>
                <w:lang w:eastAsia="zh-CN"/>
              </w:rPr>
              <w:t>可达到</w:t>
            </w:r>
            <w:r>
              <w:rPr>
                <w:color w:val="auto"/>
                <w:sz w:val="24"/>
                <w:szCs w:val="24"/>
                <w:u w:val="single" w:color="auto"/>
              </w:rPr>
              <w:t>《环境空气质量标准》（GB3095-2012）中二级标准。</w:t>
            </w:r>
            <w:r>
              <w:rPr>
                <w:rFonts w:hint="default"/>
                <w:color w:val="auto"/>
                <w:sz w:val="24"/>
                <w:szCs w:val="24"/>
                <w:u w:val="single" w:color="auto"/>
              </w:rPr>
              <w:t>PM</w:t>
            </w:r>
            <w:r>
              <w:rPr>
                <w:rFonts w:hint="eastAsia"/>
                <w:color w:val="auto"/>
                <w:sz w:val="24"/>
                <w:szCs w:val="24"/>
                <w:u w:val="single" w:color="auto"/>
                <w:vertAlign w:val="subscript"/>
                <w:lang w:val="en-US" w:eastAsia="zh-CN"/>
              </w:rPr>
              <w:t>2.5</w:t>
            </w:r>
            <w:r>
              <w:rPr>
                <w:rFonts w:hint="eastAsia"/>
                <w:color w:val="auto"/>
                <w:sz w:val="24"/>
                <w:szCs w:val="24"/>
                <w:u w:val="single" w:color="auto"/>
                <w:lang w:eastAsia="zh-CN"/>
              </w:rPr>
              <w:t>年平均质量浓度尚未达到</w:t>
            </w:r>
            <w:r>
              <w:rPr>
                <w:color w:val="auto"/>
                <w:sz w:val="24"/>
                <w:szCs w:val="24"/>
                <w:u w:val="single" w:color="auto"/>
              </w:rPr>
              <w:t>《环境空气质量标准》（GB3095-2012）中二级标准。</w:t>
            </w:r>
          </w:p>
          <w:p>
            <w:pPr>
              <w:pStyle w:val="186"/>
              <w:rPr>
                <w:rFonts w:hint="eastAsia"/>
                <w:color w:val="auto"/>
                <w:u w:val="single" w:color="auto"/>
                <w:lang w:val="en-US" w:eastAsia="zh-CN"/>
              </w:rPr>
            </w:pPr>
            <w:r>
              <w:rPr>
                <w:rFonts w:hint="default"/>
                <w:color w:val="auto"/>
                <w:u w:val="single" w:color="auto"/>
              </w:rPr>
              <w:t>表</w:t>
            </w:r>
            <w:r>
              <w:rPr>
                <w:rFonts w:hint="eastAsia"/>
                <w:color w:val="auto"/>
                <w:u w:val="single" w:color="auto"/>
                <w:lang w:val="en-US" w:eastAsia="zh-CN"/>
              </w:rPr>
              <w:t>3-2</w:t>
            </w:r>
            <w:r>
              <w:rPr>
                <w:rFonts w:hint="default"/>
                <w:color w:val="auto"/>
                <w:u w:val="single" w:color="auto"/>
              </w:rPr>
              <w:t xml:space="preserve">  </w:t>
            </w:r>
            <w:r>
              <w:rPr>
                <w:rFonts w:hint="eastAsia"/>
                <w:color w:val="auto"/>
                <w:u w:val="single" w:color="auto"/>
                <w:lang w:val="en-US" w:eastAsia="zh-CN"/>
              </w:rPr>
              <w:t>2018年</w:t>
            </w:r>
            <w:r>
              <w:rPr>
                <w:rFonts w:hint="eastAsia"/>
                <w:color w:val="auto"/>
                <w:u w:val="single" w:color="auto"/>
                <w:lang w:eastAsia="zh-CN"/>
              </w:rPr>
              <w:t>区域空气质量现状评价</w:t>
            </w:r>
            <w:r>
              <w:rPr>
                <w:rFonts w:hint="default"/>
                <w:color w:val="auto"/>
                <w:u w:val="single" w:color="auto"/>
                <w:lang w:val="en-US" w:eastAsia="zh-CN"/>
              </w:rPr>
              <w:t>表</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128"/>
              <w:gridCol w:w="1933"/>
              <w:gridCol w:w="1408"/>
              <w:gridCol w:w="1294"/>
              <w:gridCol w:w="1216"/>
              <w:gridCol w:w="12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876" w:type="dxa"/>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eastAsia"/>
                      <w:color w:val="auto"/>
                      <w:sz w:val="22"/>
                      <w:szCs w:val="22"/>
                      <w:u w:val="single" w:color="auto"/>
                      <w:lang w:eastAsia="zh-CN"/>
                    </w:rPr>
                    <w:t>所在区域</w:t>
                  </w: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监测</w:t>
                  </w:r>
                </w:p>
                <w:p>
                  <w:pPr>
                    <w:pStyle w:val="184"/>
                    <w:spacing w:line="360" w:lineRule="auto"/>
                    <w:rPr>
                      <w:rFonts w:hint="default"/>
                      <w:color w:val="auto"/>
                      <w:sz w:val="22"/>
                      <w:szCs w:val="22"/>
                      <w:u w:val="single" w:color="auto"/>
                    </w:rPr>
                  </w:pPr>
                  <w:r>
                    <w:rPr>
                      <w:rFonts w:hint="default"/>
                      <w:color w:val="auto"/>
                      <w:sz w:val="22"/>
                      <w:szCs w:val="22"/>
                      <w:u w:val="single" w:color="auto"/>
                    </w:rPr>
                    <w:t>项目</w:t>
                  </w:r>
                </w:p>
              </w:tc>
              <w:tc>
                <w:tcPr>
                  <w:tcW w:w="1933"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年评价指标</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现状浓度（u</w:t>
                  </w:r>
                  <w:r>
                    <w:rPr>
                      <w:rFonts w:hint="default"/>
                      <w:color w:val="auto"/>
                      <w:sz w:val="22"/>
                      <w:szCs w:val="22"/>
                      <w:u w:val="single" w:color="auto"/>
                    </w:rPr>
                    <w:t>g/m</w:t>
                  </w:r>
                  <w:r>
                    <w:rPr>
                      <w:rFonts w:hint="default"/>
                      <w:color w:val="auto"/>
                      <w:sz w:val="22"/>
                      <w:szCs w:val="22"/>
                      <w:u w:val="single" w:color="auto"/>
                      <w:vertAlign w:val="superscript"/>
                    </w:rPr>
                    <w:t>3</w:t>
                  </w:r>
                  <w:r>
                    <w:rPr>
                      <w:rFonts w:hint="eastAsia"/>
                      <w:color w:val="auto"/>
                      <w:sz w:val="22"/>
                      <w:szCs w:val="22"/>
                      <w:u w:val="single" w:color="auto"/>
                      <w:lang w:val="en-US" w:eastAsia="zh-CN"/>
                    </w:rPr>
                    <w:t>）</w:t>
                  </w:r>
                </w:p>
              </w:tc>
              <w:tc>
                <w:tcPr>
                  <w:tcW w:w="1294"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标准值</w:t>
                  </w:r>
                  <w:r>
                    <w:rPr>
                      <w:rFonts w:hint="eastAsia"/>
                      <w:color w:val="auto"/>
                      <w:sz w:val="22"/>
                      <w:szCs w:val="22"/>
                      <w:u w:val="single" w:color="auto"/>
                      <w:lang w:val="en-US" w:eastAsia="zh-CN"/>
                    </w:rPr>
                    <w:t>（u</w:t>
                  </w:r>
                  <w:r>
                    <w:rPr>
                      <w:rFonts w:hint="default"/>
                      <w:color w:val="auto"/>
                      <w:sz w:val="22"/>
                      <w:szCs w:val="22"/>
                      <w:u w:val="single" w:color="auto"/>
                    </w:rPr>
                    <w:t>g/m</w:t>
                  </w:r>
                  <w:r>
                    <w:rPr>
                      <w:rFonts w:hint="default"/>
                      <w:color w:val="auto"/>
                      <w:sz w:val="22"/>
                      <w:szCs w:val="22"/>
                      <w:u w:val="single" w:color="auto"/>
                      <w:vertAlign w:val="superscript"/>
                    </w:rPr>
                    <w:t>3</w:t>
                  </w:r>
                  <w:r>
                    <w:rPr>
                      <w:rFonts w:hint="eastAsia"/>
                      <w:color w:val="auto"/>
                      <w:sz w:val="22"/>
                      <w:szCs w:val="22"/>
                      <w:u w:val="single" w:color="auto"/>
                      <w:lang w:val="en-US" w:eastAsia="zh-CN"/>
                    </w:rPr>
                    <w:t>）</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超标倍数</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restart"/>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eastAsia"/>
                      <w:color w:val="auto"/>
                      <w:sz w:val="22"/>
                      <w:szCs w:val="22"/>
                      <w:u w:val="single" w:color="auto"/>
                      <w:lang w:eastAsia="zh-CN"/>
                    </w:rPr>
                    <w:t>湘阴县</w:t>
                  </w: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SO</w:t>
                  </w:r>
                  <w:r>
                    <w:rPr>
                      <w:rFonts w:hint="default"/>
                      <w:color w:val="auto"/>
                      <w:sz w:val="22"/>
                      <w:szCs w:val="22"/>
                      <w:u w:val="single" w:color="auto"/>
                      <w:vertAlign w:val="subscript"/>
                    </w:rPr>
                    <w:t>2</w:t>
                  </w:r>
                </w:p>
              </w:tc>
              <w:tc>
                <w:tcPr>
                  <w:tcW w:w="1933" w:type="dxa"/>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eastAsia"/>
                      <w:color w:val="auto"/>
                      <w:sz w:val="22"/>
                      <w:szCs w:val="22"/>
                      <w:u w:val="singl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8.09</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60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NO</w:t>
                  </w:r>
                  <w:r>
                    <w:rPr>
                      <w:rFonts w:hint="default"/>
                      <w:color w:val="auto"/>
                      <w:sz w:val="22"/>
                      <w:szCs w:val="22"/>
                      <w:u w:val="single" w:color="auto"/>
                      <w:vertAlign w:val="subscript"/>
                    </w:rPr>
                    <w:t>2</w:t>
                  </w:r>
                </w:p>
              </w:tc>
              <w:tc>
                <w:tcPr>
                  <w:tcW w:w="1933" w:type="dxa"/>
                  <w:tcBorders>
                    <w:tl2br w:val="nil"/>
                    <w:tr2bl w:val="nil"/>
                  </w:tcBorders>
                  <w:noWrap w:val="0"/>
                  <w:vAlign w:val="center"/>
                </w:tcPr>
                <w:p>
                  <w:pPr>
                    <w:pStyle w:val="184"/>
                    <w:spacing w:line="360" w:lineRule="auto"/>
                    <w:rPr>
                      <w:rFonts w:hint="default"/>
                      <w:color w:val="auto"/>
                      <w:sz w:val="22"/>
                      <w:szCs w:val="22"/>
                      <w:u w:val="single" w:color="auto"/>
                    </w:rPr>
                  </w:pPr>
                  <w:r>
                    <w:rPr>
                      <w:rFonts w:hint="eastAsia"/>
                      <w:color w:val="auto"/>
                      <w:sz w:val="22"/>
                      <w:szCs w:val="22"/>
                      <w:u w:val="singl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19.09</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40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PM</w:t>
                  </w:r>
                  <w:r>
                    <w:rPr>
                      <w:rFonts w:hint="default"/>
                      <w:color w:val="auto"/>
                      <w:sz w:val="22"/>
                      <w:szCs w:val="22"/>
                      <w:u w:val="single" w:color="auto"/>
                      <w:vertAlign w:val="subscript"/>
                    </w:rPr>
                    <w:t>10</w:t>
                  </w:r>
                </w:p>
              </w:tc>
              <w:tc>
                <w:tcPr>
                  <w:tcW w:w="1933" w:type="dxa"/>
                  <w:tcBorders>
                    <w:tl2br w:val="nil"/>
                    <w:tr2bl w:val="nil"/>
                  </w:tcBorders>
                  <w:noWrap w:val="0"/>
                  <w:vAlign w:val="center"/>
                </w:tcPr>
                <w:p>
                  <w:pPr>
                    <w:pStyle w:val="184"/>
                    <w:spacing w:line="360" w:lineRule="auto"/>
                    <w:rPr>
                      <w:rFonts w:hint="default"/>
                      <w:color w:val="auto"/>
                      <w:sz w:val="22"/>
                      <w:szCs w:val="22"/>
                      <w:u w:val="single" w:color="auto"/>
                    </w:rPr>
                  </w:pPr>
                  <w:r>
                    <w:rPr>
                      <w:rFonts w:hint="eastAsia"/>
                      <w:color w:val="auto"/>
                      <w:sz w:val="22"/>
                      <w:szCs w:val="22"/>
                      <w:u w:val="singl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55.54</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70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default"/>
                      <w:color w:val="auto"/>
                      <w:sz w:val="22"/>
                      <w:szCs w:val="22"/>
                      <w:u w:val="single" w:color="auto"/>
                    </w:rPr>
                    <w:t>PM</w:t>
                  </w:r>
                  <w:r>
                    <w:rPr>
                      <w:rFonts w:hint="eastAsia"/>
                      <w:color w:val="auto"/>
                      <w:sz w:val="22"/>
                      <w:szCs w:val="22"/>
                      <w:u w:val="single" w:color="auto"/>
                      <w:vertAlign w:val="subscript"/>
                      <w:lang w:val="en-US" w:eastAsia="zh-CN"/>
                    </w:rPr>
                    <w:t>2.5</w:t>
                  </w:r>
                </w:p>
              </w:tc>
              <w:tc>
                <w:tcPr>
                  <w:tcW w:w="1933" w:type="dxa"/>
                  <w:tcBorders>
                    <w:tl2br w:val="nil"/>
                    <w:tr2bl w:val="nil"/>
                  </w:tcBorders>
                  <w:noWrap w:val="0"/>
                  <w:vAlign w:val="center"/>
                </w:tcPr>
                <w:p>
                  <w:pPr>
                    <w:pStyle w:val="184"/>
                    <w:spacing w:line="360" w:lineRule="auto"/>
                    <w:rPr>
                      <w:rFonts w:hint="default"/>
                      <w:color w:val="auto"/>
                      <w:sz w:val="22"/>
                      <w:szCs w:val="22"/>
                      <w:u w:val="single" w:color="auto"/>
                    </w:rPr>
                  </w:pPr>
                  <w:r>
                    <w:rPr>
                      <w:rFonts w:hint="eastAsia"/>
                      <w:color w:val="auto"/>
                      <w:sz w:val="22"/>
                      <w:szCs w:val="22"/>
                      <w:u w:val="single" w:color="auto"/>
                      <w:lang w:eastAsia="zh-CN"/>
                    </w:rPr>
                    <w:t>年平均质量浓度</w:t>
                  </w:r>
                </w:p>
              </w:tc>
              <w:tc>
                <w:tcPr>
                  <w:tcW w:w="1408" w:type="dxa"/>
                  <w:tcBorders>
                    <w:tl2br w:val="nil"/>
                    <w:tr2bl w:val="nil"/>
                  </w:tcBorders>
                  <w:noWrap w:val="0"/>
                  <w:vAlign w:val="center"/>
                </w:tcPr>
                <w:p>
                  <w:pPr>
                    <w:pStyle w:val="184"/>
                    <w:spacing w:line="360" w:lineRule="auto"/>
                    <w:rPr>
                      <w:rFonts w:hint="default"/>
                      <w:b/>
                      <w:bCs/>
                      <w:color w:val="auto"/>
                      <w:sz w:val="22"/>
                      <w:szCs w:val="22"/>
                      <w:u w:val="single" w:color="auto"/>
                      <w:lang w:val="en-US" w:eastAsia="zh-CN"/>
                    </w:rPr>
                  </w:pPr>
                  <w:r>
                    <w:rPr>
                      <w:rFonts w:hint="eastAsia"/>
                      <w:b/>
                      <w:bCs/>
                      <w:color w:val="auto"/>
                      <w:sz w:val="22"/>
                      <w:szCs w:val="22"/>
                      <w:u w:val="single" w:color="auto"/>
                      <w:lang w:val="en-US" w:eastAsia="zh-CN"/>
                    </w:rPr>
                    <w:t>40.27</w:t>
                  </w:r>
                </w:p>
              </w:tc>
              <w:tc>
                <w:tcPr>
                  <w:tcW w:w="1294" w:type="dxa"/>
                  <w:tcBorders>
                    <w:tl2br w:val="nil"/>
                    <w:tr2bl w:val="nil"/>
                  </w:tcBorders>
                  <w:noWrap w:val="0"/>
                  <w:vAlign w:val="center"/>
                </w:tcPr>
                <w:p>
                  <w:pPr>
                    <w:pStyle w:val="184"/>
                    <w:spacing w:line="360" w:lineRule="auto"/>
                    <w:rPr>
                      <w:rFonts w:hint="default"/>
                      <w:b/>
                      <w:bCs/>
                      <w:color w:val="auto"/>
                      <w:sz w:val="22"/>
                      <w:szCs w:val="22"/>
                      <w:u w:val="single" w:color="auto"/>
                      <w:lang w:val="en-US" w:eastAsia="zh-CN"/>
                    </w:rPr>
                  </w:pPr>
                  <w:r>
                    <w:rPr>
                      <w:rFonts w:hint="eastAsia"/>
                      <w:b/>
                      <w:bCs/>
                      <w:color w:val="auto"/>
                      <w:sz w:val="22"/>
                      <w:szCs w:val="22"/>
                      <w:u w:val="single" w:color="auto"/>
                      <w:lang w:val="en-US" w:eastAsia="zh-CN"/>
                    </w:rPr>
                    <w:t>35</w:t>
                  </w:r>
                </w:p>
              </w:tc>
              <w:tc>
                <w:tcPr>
                  <w:tcW w:w="1216" w:type="dxa"/>
                  <w:tcBorders>
                    <w:tl2br w:val="nil"/>
                    <w:tr2bl w:val="nil"/>
                  </w:tcBorders>
                  <w:noWrap w:val="0"/>
                  <w:vAlign w:val="center"/>
                </w:tcPr>
                <w:p>
                  <w:pPr>
                    <w:pStyle w:val="184"/>
                    <w:spacing w:line="360" w:lineRule="auto"/>
                    <w:rPr>
                      <w:rFonts w:hint="default"/>
                      <w:b/>
                      <w:bCs/>
                      <w:color w:val="auto"/>
                      <w:sz w:val="22"/>
                      <w:szCs w:val="22"/>
                      <w:u w:val="single" w:color="auto"/>
                      <w:lang w:val="en-US" w:eastAsia="zh-CN"/>
                    </w:rPr>
                  </w:pPr>
                  <w:r>
                    <w:rPr>
                      <w:rFonts w:hint="eastAsia"/>
                      <w:b/>
                      <w:bCs/>
                      <w:color w:val="auto"/>
                      <w:sz w:val="22"/>
                      <w:szCs w:val="22"/>
                      <w:u w:val="single" w:color="auto"/>
                      <w:lang w:val="en-US" w:eastAsia="zh-CN"/>
                    </w:rPr>
                    <w:t>0.15</w:t>
                  </w:r>
                </w:p>
              </w:tc>
              <w:tc>
                <w:tcPr>
                  <w:tcW w:w="1216" w:type="dxa"/>
                  <w:tcBorders>
                    <w:tl2br w:val="nil"/>
                    <w:tr2bl w:val="nil"/>
                  </w:tcBorders>
                  <w:noWrap w:val="0"/>
                  <w:vAlign w:val="center"/>
                </w:tcPr>
                <w:p>
                  <w:pPr>
                    <w:pStyle w:val="184"/>
                    <w:spacing w:line="360" w:lineRule="auto"/>
                    <w:rPr>
                      <w:rFonts w:hint="default"/>
                      <w:b/>
                      <w:bCs/>
                      <w:color w:val="auto"/>
                      <w:sz w:val="22"/>
                      <w:szCs w:val="22"/>
                      <w:u w:val="single" w:color="auto"/>
                    </w:rPr>
                  </w:pPr>
                  <w:r>
                    <w:rPr>
                      <w:rFonts w:hint="eastAsia"/>
                      <w:b/>
                      <w:bCs/>
                      <w:color w:val="auto"/>
                      <w:sz w:val="22"/>
                      <w:szCs w:val="22"/>
                      <w:u w:val="single" w:color="auto"/>
                      <w:lang w:eastAsia="zh-CN"/>
                    </w:rPr>
                    <w:t>不</w:t>
                  </w:r>
                  <w:r>
                    <w:rPr>
                      <w:rFonts w:hint="default"/>
                      <w:b/>
                      <w:bCs/>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single" w:color="auto"/>
                    </w:rPr>
                  </w:pPr>
                  <w:r>
                    <w:rPr>
                      <w:rFonts w:hint="eastAsia"/>
                      <w:color w:val="auto"/>
                      <w:sz w:val="22"/>
                      <w:szCs w:val="22"/>
                      <w:u w:val="single" w:color="auto"/>
                      <w:lang w:val="en-US" w:eastAsia="zh-CN"/>
                    </w:rPr>
                    <w:t>C</w:t>
                  </w:r>
                  <w:r>
                    <w:rPr>
                      <w:rFonts w:hint="default"/>
                      <w:color w:val="auto"/>
                      <w:sz w:val="22"/>
                      <w:szCs w:val="22"/>
                      <w:u w:val="single" w:color="auto"/>
                    </w:rPr>
                    <w:t>O</w:t>
                  </w:r>
                </w:p>
              </w:tc>
              <w:tc>
                <w:tcPr>
                  <w:tcW w:w="1933" w:type="dxa"/>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eastAsia"/>
                      <w:color w:val="auto"/>
                      <w:sz w:val="22"/>
                      <w:szCs w:val="22"/>
                      <w:u w:val="single" w:color="auto"/>
                      <w:lang w:val="en-US" w:eastAsia="zh-CN"/>
                    </w:rPr>
                    <w:t>95百分位数</w:t>
                  </w:r>
                  <w:r>
                    <w:rPr>
                      <w:rFonts w:hint="eastAsia"/>
                      <w:color w:val="auto"/>
                      <w:sz w:val="22"/>
                      <w:szCs w:val="22"/>
                      <w:u w:val="single" w:color="auto"/>
                      <w:lang w:eastAsia="zh-CN"/>
                    </w:rPr>
                    <w:t>日平均质量浓度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0.93</w:t>
                  </w:r>
                </w:p>
              </w:tc>
              <w:tc>
                <w:tcPr>
                  <w:tcW w:w="1294"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4000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singl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single" w:color="auto"/>
                      <w:lang w:eastAsia="zh-CN"/>
                    </w:rPr>
                  </w:pPr>
                  <w:r>
                    <w:rPr>
                      <w:rFonts w:hint="default"/>
                      <w:color w:val="auto"/>
                      <w:sz w:val="22"/>
                      <w:szCs w:val="22"/>
                      <w:u w:val="single" w:color="auto"/>
                    </w:rPr>
                    <w:t>O</w:t>
                  </w:r>
                  <w:r>
                    <w:rPr>
                      <w:rFonts w:hint="eastAsia"/>
                      <w:color w:val="auto"/>
                      <w:sz w:val="22"/>
                      <w:szCs w:val="22"/>
                      <w:u w:val="single" w:color="auto"/>
                      <w:vertAlign w:val="subscript"/>
                      <w:lang w:val="en-US" w:eastAsia="zh-CN"/>
                    </w:rPr>
                    <w:t>3</w:t>
                  </w:r>
                </w:p>
              </w:tc>
              <w:tc>
                <w:tcPr>
                  <w:tcW w:w="1933"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90百分位数</w:t>
                  </w:r>
                  <w:r>
                    <w:rPr>
                      <w:rFonts w:hint="eastAsia"/>
                      <w:color w:val="auto"/>
                      <w:sz w:val="22"/>
                      <w:szCs w:val="22"/>
                      <w:u w:val="single" w:color="auto"/>
                      <w:lang w:eastAsia="zh-CN"/>
                    </w:rPr>
                    <w:t>最大</w:t>
                  </w:r>
                  <w:r>
                    <w:rPr>
                      <w:rFonts w:hint="eastAsia"/>
                      <w:color w:val="auto"/>
                      <w:sz w:val="22"/>
                      <w:szCs w:val="22"/>
                      <w:u w:val="single" w:color="auto"/>
                      <w:lang w:val="en-US" w:eastAsia="zh-CN"/>
                    </w:rPr>
                    <w:t>8小时平均质量浓度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89.18</w:t>
                  </w:r>
                </w:p>
              </w:tc>
              <w:tc>
                <w:tcPr>
                  <w:tcW w:w="1294" w:type="dxa"/>
                  <w:tcBorders>
                    <w:tl2br w:val="nil"/>
                    <w:tr2bl w:val="nil"/>
                  </w:tcBorders>
                  <w:noWrap w:val="0"/>
                  <w:vAlign w:val="center"/>
                </w:tcPr>
                <w:p>
                  <w:pPr>
                    <w:pStyle w:val="184"/>
                    <w:spacing w:line="360" w:lineRule="auto"/>
                    <w:rPr>
                      <w:rFonts w:hint="default"/>
                      <w:color w:val="auto"/>
                      <w:sz w:val="22"/>
                      <w:szCs w:val="22"/>
                      <w:u w:val="single" w:color="auto"/>
                      <w:lang w:val="en-US" w:eastAsia="zh-CN"/>
                    </w:rPr>
                  </w:pPr>
                  <w:r>
                    <w:rPr>
                      <w:rFonts w:hint="eastAsia"/>
                      <w:color w:val="auto"/>
                      <w:sz w:val="22"/>
                      <w:szCs w:val="22"/>
                      <w:u w:val="single" w:color="auto"/>
                      <w:lang w:val="en-US" w:eastAsia="zh-CN"/>
                    </w:rPr>
                    <w:t>160</w:t>
                  </w:r>
                </w:p>
              </w:tc>
              <w:tc>
                <w:tcPr>
                  <w:tcW w:w="1216" w:type="dxa"/>
                  <w:tcBorders>
                    <w:tl2br w:val="nil"/>
                    <w:tr2bl w:val="nil"/>
                  </w:tcBorders>
                  <w:noWrap w:val="0"/>
                  <w:vAlign w:val="center"/>
                </w:tcPr>
                <w:p>
                  <w:pPr>
                    <w:pStyle w:val="184"/>
                    <w:spacing w:line="360" w:lineRule="auto"/>
                    <w:rPr>
                      <w:rFonts w:hint="eastAsia"/>
                      <w:color w:val="auto"/>
                      <w:sz w:val="22"/>
                      <w:szCs w:val="22"/>
                      <w:u w:val="single" w:color="auto"/>
                      <w:lang w:val="en-US" w:eastAsia="zh-CN"/>
                    </w:rPr>
                  </w:pPr>
                  <w:r>
                    <w:rPr>
                      <w:rFonts w:hint="eastAsia"/>
                      <w:color w:val="auto"/>
                      <w:sz w:val="22"/>
                      <w:szCs w:val="22"/>
                      <w:u w:val="singl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达标</w:t>
                  </w:r>
                </w:p>
              </w:tc>
            </w:tr>
          </w:tbl>
          <w:p>
            <w:pPr>
              <w:pStyle w:val="172"/>
              <w:spacing w:line="360" w:lineRule="auto"/>
              <w:ind w:firstLine="462" w:firstLineChars="20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eastAsia="zh-CN"/>
              </w:rPr>
              <w:t>由上表可知，湘阴县</w:t>
            </w:r>
            <w:r>
              <w:rPr>
                <w:rFonts w:hint="default" w:ascii="Times New Roman" w:hAnsi="Times New Roman" w:cs="Times New Roman"/>
                <w:color w:val="auto"/>
                <w:sz w:val="24"/>
                <w:szCs w:val="24"/>
                <w:u w:val="single" w:color="auto"/>
              </w:rPr>
              <w:t>PM</w:t>
            </w:r>
            <w:r>
              <w:rPr>
                <w:rFonts w:hint="default" w:ascii="Times New Roman" w:hAnsi="Times New Roman" w:cs="Times New Roman"/>
                <w:color w:val="auto"/>
                <w:sz w:val="24"/>
                <w:szCs w:val="24"/>
                <w:u w:val="single" w:color="auto"/>
                <w:vertAlign w:val="subscript"/>
                <w:lang w:val="en-US" w:eastAsia="zh-CN"/>
              </w:rPr>
              <w:t>2.5</w:t>
            </w:r>
            <w:r>
              <w:rPr>
                <w:rFonts w:hint="default" w:ascii="Times New Roman" w:hAnsi="Times New Roman" w:cs="Times New Roman"/>
                <w:color w:val="auto"/>
                <w:sz w:val="24"/>
                <w:szCs w:val="24"/>
                <w:u w:val="single" w:color="auto"/>
                <w:lang w:val="en-US" w:eastAsia="zh-CN"/>
              </w:rPr>
              <w:t>出现超标，</w:t>
            </w:r>
            <w:r>
              <w:rPr>
                <w:rFonts w:hint="default" w:ascii="Times New Roman" w:hAnsi="Times New Roman" w:cs="Times New Roman"/>
                <w:color w:val="auto"/>
                <w:sz w:val="24"/>
                <w:szCs w:val="24"/>
                <w:u w:val="single" w:color="auto"/>
              </w:rPr>
              <w:t>PM</w:t>
            </w:r>
            <w:r>
              <w:rPr>
                <w:rFonts w:hint="default" w:ascii="Times New Roman" w:hAnsi="Times New Roman" w:cs="Times New Roman"/>
                <w:color w:val="auto"/>
                <w:sz w:val="24"/>
                <w:szCs w:val="24"/>
                <w:u w:val="single" w:color="auto"/>
                <w:vertAlign w:val="subscript"/>
                <w:lang w:val="en-US" w:eastAsia="zh-CN"/>
              </w:rPr>
              <w:t>2.5</w:t>
            </w:r>
            <w:r>
              <w:rPr>
                <w:rFonts w:hint="default" w:ascii="Times New Roman" w:hAnsi="Times New Roman" w:cs="Times New Roman"/>
                <w:color w:val="auto"/>
                <w:sz w:val="24"/>
                <w:szCs w:val="24"/>
                <w:u w:val="single" w:color="auto"/>
                <w:lang w:val="en-US" w:eastAsia="zh-CN"/>
              </w:rPr>
              <w:t>的超标倍数为0.15，项目所在区域为环境空气质量不达标区。</w:t>
            </w:r>
          </w:p>
          <w:p>
            <w:pPr>
              <w:pStyle w:val="36"/>
              <w:keepNext w:val="0"/>
              <w:keepLines w:val="0"/>
              <w:widowControl/>
              <w:suppressLineNumbers w:val="0"/>
              <w:spacing w:before="0" w:beforeAutospacing="0" w:after="0" w:afterAutospacing="0" w:line="360" w:lineRule="auto"/>
              <w:ind w:left="0" w:right="0" w:firstLine="420"/>
              <w:jc w:val="both"/>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根据</w:t>
            </w:r>
            <w:r>
              <w:rPr>
                <w:rFonts w:hint="default" w:ascii="Times New Roman" w:hAnsi="Times New Roman" w:cs="Times New Roman"/>
                <w:color w:val="auto"/>
                <w:sz w:val="24"/>
                <w:szCs w:val="24"/>
                <w:u w:val="single" w:color="auto"/>
                <w:lang w:eastAsia="zh-CN"/>
              </w:rPr>
              <w:t>《湖南省污染防治攻坚战三年行动计划(2018—2020年)》、《岳阳市洞庭湖生态环境专项整治三年行动实施方案（2018—2020年）》及《湘阴县城镇（乡）黑臭水体治理三年行动（2018-2020年）初步实施计划》，湘阴县近期采取产业和能源结构调整措施、大气污染治理的措施等一系列措施，同时</w:t>
            </w:r>
            <w:r>
              <w:rPr>
                <w:rFonts w:hint="default" w:ascii="Times New Roman" w:hAnsi="Times New Roman" w:cs="Times New Roman"/>
                <w:color w:val="auto"/>
                <w:sz w:val="24"/>
                <w:szCs w:val="24"/>
                <w:u w:val="single" w:color="auto"/>
                <w:lang w:val="en-US" w:eastAsia="zh-CN"/>
              </w:rPr>
              <w:t>根据表3-1及3-2中2017年和2018年环境空气质量现状对比可知，</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lang w:val="en-US" w:eastAsia="zh-CN"/>
              </w:rPr>
              <w:t>环境空气质量正在逐步改善。</w:t>
            </w:r>
            <w:bookmarkEnd w:id="3"/>
          </w:p>
          <w:p>
            <w:pPr>
              <w:pStyle w:val="172"/>
              <w:spacing w:line="360" w:lineRule="auto"/>
              <w:ind w:firstLine="480"/>
              <w:rPr>
                <w:color w:val="auto"/>
                <w:sz w:val="24"/>
                <w:szCs w:val="24"/>
                <w:u w:val="single" w:color="auto"/>
              </w:rPr>
            </w:pPr>
            <w:r>
              <w:rPr>
                <w:rFonts w:hint="eastAsia"/>
                <w:color w:val="auto"/>
                <w:sz w:val="24"/>
                <w:szCs w:val="24"/>
                <w:u w:val="single" w:color="auto"/>
                <w:lang w:eastAsia="zh-CN"/>
              </w:rPr>
              <w:t>本项目特征因子为“</w:t>
            </w:r>
            <w:r>
              <w:rPr>
                <w:rFonts w:hint="eastAsia"/>
                <w:color w:val="auto"/>
                <w:sz w:val="24"/>
                <w:szCs w:val="24"/>
                <w:u w:val="single" w:color="auto"/>
              </w:rPr>
              <w:t>TVOC</w:t>
            </w:r>
            <w:r>
              <w:rPr>
                <w:rFonts w:hint="eastAsia"/>
                <w:color w:val="auto"/>
                <w:sz w:val="24"/>
                <w:szCs w:val="24"/>
                <w:u w:val="single" w:color="auto"/>
                <w:lang w:eastAsia="zh-CN"/>
              </w:rPr>
              <w:t>”</w:t>
            </w:r>
            <w:r>
              <w:rPr>
                <w:color w:val="auto"/>
                <w:sz w:val="24"/>
                <w:szCs w:val="24"/>
                <w:u w:val="single" w:color="auto"/>
              </w:rPr>
              <w:t>，</w:t>
            </w:r>
            <w:r>
              <w:rPr>
                <w:rFonts w:hint="eastAsia"/>
                <w:color w:val="auto"/>
                <w:sz w:val="24"/>
                <w:szCs w:val="24"/>
                <w:u w:val="single" w:color="auto"/>
                <w:lang w:eastAsia="zh-CN"/>
              </w:rPr>
              <w:t>故</w:t>
            </w:r>
            <w:r>
              <w:rPr>
                <w:color w:val="auto"/>
                <w:sz w:val="24"/>
                <w:szCs w:val="24"/>
                <w:u w:val="single" w:color="auto"/>
              </w:rPr>
              <w:t>本环评</w:t>
            </w:r>
            <w:r>
              <w:rPr>
                <w:rFonts w:hint="eastAsia"/>
                <w:color w:val="auto"/>
                <w:sz w:val="24"/>
                <w:szCs w:val="24"/>
                <w:u w:val="single" w:color="auto"/>
                <w:lang w:eastAsia="zh-CN"/>
              </w:rPr>
              <w:t>引用</w:t>
            </w:r>
            <w:r>
              <w:rPr>
                <w:rFonts w:hint="default"/>
                <w:color w:val="auto"/>
                <w:sz w:val="24"/>
                <w:szCs w:val="24"/>
                <w:u w:val="single" w:color="auto"/>
                <w:lang w:val="en-US" w:eastAsia="zh-CN"/>
              </w:rPr>
              <w:t>《</w:t>
            </w:r>
            <w:r>
              <w:rPr>
                <w:rFonts w:hint="eastAsia"/>
                <w:sz w:val="24"/>
                <w:szCs w:val="24"/>
                <w:u w:val="single" w:color="auto"/>
              </w:rPr>
              <w:t>湘阴县雅彩化妆品有限公司年产化妆</w:t>
            </w:r>
            <w:r>
              <w:rPr>
                <w:rFonts w:hint="eastAsia"/>
                <w:sz w:val="24"/>
                <w:szCs w:val="24"/>
                <w:u w:val="single" w:color="auto"/>
                <w:lang w:eastAsia="zh-CN"/>
              </w:rPr>
              <w:t>刷</w:t>
            </w:r>
            <w:r>
              <w:rPr>
                <w:rFonts w:hint="eastAsia"/>
                <w:sz w:val="24"/>
                <w:szCs w:val="24"/>
                <w:u w:val="single" w:color="auto"/>
              </w:rPr>
              <w:t>3000万支、粉扑5000万</w:t>
            </w:r>
            <w:r>
              <w:rPr>
                <w:rFonts w:hint="eastAsia"/>
                <w:sz w:val="24"/>
                <w:szCs w:val="24"/>
                <w:u w:val="single" w:color="auto"/>
                <w:lang w:eastAsia="zh-CN"/>
              </w:rPr>
              <w:t>个</w:t>
            </w:r>
            <w:r>
              <w:rPr>
                <w:rFonts w:hint="eastAsia"/>
                <w:sz w:val="24"/>
                <w:szCs w:val="24"/>
                <w:u w:val="single" w:color="auto"/>
              </w:rPr>
              <w:t>建设项目</w:t>
            </w:r>
            <w:r>
              <w:rPr>
                <w:rFonts w:hint="eastAsia"/>
                <w:sz w:val="24"/>
                <w:szCs w:val="24"/>
                <w:u w:val="single" w:color="auto"/>
                <w:lang w:eastAsia="zh-CN"/>
              </w:rPr>
              <w:t>环境影响报告书</w:t>
            </w:r>
            <w:r>
              <w:rPr>
                <w:rFonts w:hint="default"/>
                <w:color w:val="auto"/>
                <w:sz w:val="24"/>
                <w:szCs w:val="24"/>
                <w:u w:val="single" w:color="auto"/>
                <w:lang w:val="en-US" w:eastAsia="zh-CN"/>
              </w:rPr>
              <w:t>》2019年6月20日-6月26日对周边区域现状监测的数据</w:t>
            </w:r>
            <w:r>
              <w:rPr>
                <w:rFonts w:hint="eastAsia"/>
                <w:color w:val="auto"/>
                <w:sz w:val="24"/>
                <w:szCs w:val="24"/>
                <w:u w:val="single" w:color="auto"/>
              </w:rPr>
              <w:t>，</w:t>
            </w:r>
            <w:r>
              <w:rPr>
                <w:rFonts w:hint="eastAsia"/>
                <w:sz w:val="24"/>
                <w:szCs w:val="24"/>
                <w:u w:val="single" w:color="auto"/>
              </w:rPr>
              <w:t>湘阴县雅彩化妆品有限公司</w:t>
            </w:r>
            <w:r>
              <w:rPr>
                <w:rFonts w:hint="eastAsia"/>
                <w:color w:val="auto"/>
                <w:sz w:val="24"/>
                <w:szCs w:val="24"/>
                <w:u w:val="single" w:color="auto"/>
                <w:lang w:eastAsia="zh-CN"/>
              </w:rPr>
              <w:t>位于</w:t>
            </w:r>
            <w:r>
              <w:rPr>
                <w:rFonts w:hint="eastAsia"/>
                <w:color w:val="auto"/>
                <w:sz w:val="24"/>
                <w:szCs w:val="24"/>
                <w:u w:val="single" w:color="auto"/>
                <w:lang w:val="en-US" w:eastAsia="zh-CN"/>
              </w:rPr>
              <w:t>本项目东北面950米处。</w:t>
            </w:r>
            <w:r>
              <w:rPr>
                <w:color w:val="auto"/>
                <w:sz w:val="24"/>
                <w:szCs w:val="24"/>
                <w:u w:val="single" w:color="auto"/>
              </w:rPr>
              <w:t>根据引用数据的时间与距离，其符合《环境影响评价技术导则  大气环境》（HJ2.2-20</w:t>
            </w:r>
            <w:r>
              <w:rPr>
                <w:rFonts w:hint="eastAsia"/>
                <w:color w:val="auto"/>
                <w:sz w:val="24"/>
                <w:szCs w:val="24"/>
                <w:u w:val="single" w:color="auto"/>
              </w:rPr>
              <w:t>1</w:t>
            </w:r>
            <w:r>
              <w:rPr>
                <w:color w:val="auto"/>
                <w:sz w:val="24"/>
                <w:szCs w:val="24"/>
                <w:u w:val="single" w:color="auto"/>
              </w:rPr>
              <w:t>8）中的对于引用数据的要求，本次环评引用数据可行。</w:t>
            </w:r>
          </w:p>
          <w:p>
            <w:pPr>
              <w:pStyle w:val="172"/>
              <w:numPr>
                <w:ilvl w:val="0"/>
                <w:numId w:val="5"/>
              </w:numPr>
              <w:spacing w:line="360" w:lineRule="auto"/>
              <w:ind w:firstLine="480"/>
              <w:rPr>
                <w:rFonts w:hint="eastAsia"/>
                <w:color w:val="auto"/>
                <w:sz w:val="24"/>
                <w:szCs w:val="24"/>
                <w:u w:val="single" w:color="auto"/>
                <w:lang w:eastAsia="zh-CN"/>
              </w:rPr>
            </w:pPr>
            <w:r>
              <w:rPr>
                <w:rFonts w:hint="eastAsia"/>
                <w:color w:val="auto"/>
                <w:sz w:val="24"/>
                <w:szCs w:val="24"/>
                <w:u w:val="single" w:color="auto"/>
                <w:lang w:eastAsia="zh-CN"/>
              </w:rPr>
              <w:t>引用监测点位</w:t>
            </w:r>
            <w:r>
              <w:rPr>
                <w:color w:val="auto"/>
                <w:sz w:val="24"/>
                <w:szCs w:val="24"/>
                <w:u w:val="single" w:color="auto"/>
              </w:rPr>
              <w:t>：</w:t>
            </w:r>
            <w:r>
              <w:rPr>
                <w:rFonts w:hint="eastAsia"/>
                <w:color w:val="auto"/>
                <w:sz w:val="24"/>
                <w:szCs w:val="24"/>
                <w:u w:val="single" w:color="auto"/>
              </w:rPr>
              <w:t>G</w:t>
            </w:r>
            <w:r>
              <w:rPr>
                <w:color w:val="auto"/>
                <w:sz w:val="24"/>
                <w:szCs w:val="24"/>
                <w:u w:val="single" w:color="auto"/>
              </w:rPr>
              <w:t>1项目</w:t>
            </w:r>
            <w:r>
              <w:rPr>
                <w:rFonts w:hint="eastAsia"/>
                <w:color w:val="auto"/>
                <w:sz w:val="24"/>
                <w:szCs w:val="24"/>
                <w:u w:val="single" w:color="auto"/>
                <w:lang w:eastAsia="zh-CN"/>
              </w:rPr>
              <w:t>所在地下</w:t>
            </w:r>
            <w:r>
              <w:rPr>
                <w:rFonts w:hint="eastAsia"/>
                <w:color w:val="auto"/>
                <w:sz w:val="24"/>
                <w:szCs w:val="24"/>
                <w:u w:val="single" w:color="auto"/>
              </w:rPr>
              <w:t>风向</w:t>
            </w:r>
            <w:r>
              <w:rPr>
                <w:rFonts w:hint="eastAsia"/>
                <w:color w:val="auto"/>
                <w:sz w:val="24"/>
                <w:szCs w:val="24"/>
                <w:u w:val="single" w:color="auto"/>
                <w:lang w:val="en-US" w:eastAsia="zh-CN"/>
              </w:rPr>
              <w:t>853</w:t>
            </w:r>
            <w:r>
              <w:rPr>
                <w:rFonts w:hint="eastAsia"/>
                <w:color w:val="auto"/>
                <w:sz w:val="24"/>
                <w:szCs w:val="24"/>
                <w:u w:val="single" w:color="auto"/>
              </w:rPr>
              <w:t>m处居民所在地</w:t>
            </w:r>
            <w:r>
              <w:rPr>
                <w:rFonts w:hint="eastAsia"/>
                <w:color w:val="auto"/>
                <w:sz w:val="24"/>
                <w:szCs w:val="24"/>
                <w:u w:val="single" w:color="auto"/>
                <w:lang w:eastAsia="zh-CN"/>
              </w:rPr>
              <w:t>。</w:t>
            </w:r>
          </w:p>
          <w:p>
            <w:pPr>
              <w:pStyle w:val="172"/>
              <w:spacing w:line="360" w:lineRule="auto"/>
              <w:ind w:firstLine="480"/>
              <w:rPr>
                <w:color w:val="auto"/>
                <w:sz w:val="24"/>
                <w:szCs w:val="24"/>
                <w:u w:val="single" w:color="auto"/>
              </w:rPr>
            </w:pPr>
            <w:r>
              <w:rPr>
                <w:color w:val="auto"/>
                <w:sz w:val="24"/>
                <w:szCs w:val="24"/>
                <w:u w:val="single" w:color="auto"/>
              </w:rPr>
              <w:t>（</w:t>
            </w:r>
            <w:r>
              <w:rPr>
                <w:rFonts w:hint="eastAsia"/>
                <w:color w:val="auto"/>
                <w:sz w:val="24"/>
                <w:szCs w:val="24"/>
                <w:u w:val="single" w:color="auto"/>
                <w:lang w:val="en-US" w:eastAsia="zh-CN"/>
              </w:rPr>
              <w:t>2</w:t>
            </w:r>
            <w:r>
              <w:rPr>
                <w:color w:val="auto"/>
                <w:sz w:val="24"/>
                <w:szCs w:val="24"/>
                <w:u w:val="single" w:color="auto"/>
              </w:rPr>
              <w:t>）监测因子：TVOC。</w:t>
            </w:r>
          </w:p>
          <w:p>
            <w:pPr>
              <w:pStyle w:val="172"/>
              <w:spacing w:line="360" w:lineRule="auto"/>
              <w:ind w:firstLine="480"/>
              <w:rPr>
                <w:color w:val="auto"/>
                <w:sz w:val="24"/>
                <w:szCs w:val="24"/>
                <w:u w:val="single" w:color="auto"/>
              </w:rPr>
            </w:pPr>
            <w:r>
              <w:rPr>
                <w:color w:val="auto"/>
                <w:sz w:val="24"/>
                <w:szCs w:val="24"/>
                <w:u w:val="single" w:color="auto"/>
              </w:rPr>
              <w:t>（</w:t>
            </w:r>
            <w:r>
              <w:rPr>
                <w:rFonts w:hint="eastAsia"/>
                <w:color w:val="auto"/>
                <w:sz w:val="24"/>
                <w:szCs w:val="24"/>
                <w:u w:val="single" w:color="auto"/>
                <w:lang w:val="en-US" w:eastAsia="zh-CN"/>
              </w:rPr>
              <w:t>3</w:t>
            </w:r>
            <w:r>
              <w:rPr>
                <w:color w:val="auto"/>
                <w:sz w:val="24"/>
                <w:szCs w:val="24"/>
                <w:u w:val="single" w:color="auto"/>
              </w:rPr>
              <w:t>）</w:t>
            </w:r>
            <w:r>
              <w:rPr>
                <w:rFonts w:hint="eastAsia"/>
                <w:color w:val="auto"/>
                <w:sz w:val="24"/>
                <w:szCs w:val="24"/>
                <w:u w:val="single" w:color="auto"/>
                <w:lang w:eastAsia="zh-CN"/>
              </w:rPr>
              <w:t>引用</w:t>
            </w:r>
            <w:r>
              <w:rPr>
                <w:color w:val="auto"/>
                <w:sz w:val="24"/>
                <w:szCs w:val="24"/>
                <w:u w:val="single" w:color="auto"/>
              </w:rPr>
              <w:t>监测结果统计与评价：</w:t>
            </w:r>
            <w:r>
              <w:rPr>
                <w:rFonts w:hint="eastAsia"/>
                <w:color w:val="auto"/>
                <w:sz w:val="24"/>
                <w:szCs w:val="24"/>
                <w:u w:val="single" w:color="auto"/>
                <w:lang w:eastAsia="zh-CN"/>
              </w:rPr>
              <w:t>引用</w:t>
            </w:r>
            <w:r>
              <w:rPr>
                <w:color w:val="auto"/>
                <w:sz w:val="24"/>
                <w:szCs w:val="24"/>
                <w:u w:val="single" w:color="auto"/>
              </w:rPr>
              <w:t>监测结果统计见表3-</w:t>
            </w:r>
            <w:r>
              <w:rPr>
                <w:rFonts w:hint="eastAsia"/>
                <w:color w:val="auto"/>
                <w:sz w:val="24"/>
                <w:szCs w:val="24"/>
                <w:u w:val="single" w:color="auto"/>
                <w:lang w:val="en-US" w:eastAsia="zh-CN"/>
              </w:rPr>
              <w:t>3</w:t>
            </w:r>
            <w:r>
              <w:rPr>
                <w:color w:val="auto"/>
                <w:sz w:val="24"/>
                <w:szCs w:val="24"/>
                <w:u w:val="single" w:color="auto"/>
              </w:rPr>
              <w:t>。</w:t>
            </w:r>
          </w:p>
          <w:p>
            <w:pPr>
              <w:pStyle w:val="197"/>
              <w:rPr>
                <w:rFonts w:hint="default"/>
                <w:color w:val="auto"/>
                <w:u w:val="single" w:color="auto"/>
              </w:rPr>
            </w:pPr>
          </w:p>
          <w:p>
            <w:pPr>
              <w:pStyle w:val="197"/>
              <w:rPr>
                <w:rFonts w:hint="default"/>
                <w:color w:val="auto"/>
                <w:u w:val="single" w:color="auto"/>
              </w:rPr>
            </w:pPr>
          </w:p>
          <w:p>
            <w:pPr>
              <w:pStyle w:val="197"/>
              <w:rPr>
                <w:rFonts w:hint="default"/>
                <w:color w:val="auto"/>
                <w:u w:val="single" w:color="auto"/>
              </w:rPr>
            </w:pPr>
          </w:p>
          <w:p>
            <w:pPr>
              <w:pStyle w:val="197"/>
              <w:rPr>
                <w:rFonts w:hint="default"/>
                <w:color w:val="auto"/>
                <w:u w:val="single" w:color="auto"/>
              </w:rPr>
            </w:pPr>
          </w:p>
          <w:p>
            <w:pPr>
              <w:pStyle w:val="197"/>
              <w:rPr>
                <w:rFonts w:hint="default"/>
                <w:color w:val="auto"/>
                <w:u w:val="single" w:color="auto"/>
              </w:rPr>
            </w:pPr>
            <w:r>
              <w:rPr>
                <w:rFonts w:hint="default"/>
                <w:color w:val="auto"/>
                <w:u w:val="single" w:color="auto"/>
              </w:rPr>
              <w:t>表3-</w:t>
            </w:r>
            <w:r>
              <w:rPr>
                <w:rFonts w:hint="eastAsia"/>
                <w:color w:val="auto"/>
                <w:u w:val="single" w:color="auto"/>
                <w:lang w:val="en-US" w:eastAsia="zh-CN"/>
              </w:rPr>
              <w:t>3</w:t>
            </w:r>
            <w:r>
              <w:rPr>
                <w:rFonts w:hint="default"/>
                <w:color w:val="auto"/>
                <w:u w:val="single" w:color="auto"/>
              </w:rPr>
              <w:t xml:space="preserve"> </w:t>
            </w:r>
            <w:r>
              <w:rPr>
                <w:rFonts w:hint="eastAsia"/>
                <w:color w:val="auto"/>
                <w:u w:val="single" w:color="auto"/>
                <w:lang w:eastAsia="zh-CN"/>
              </w:rPr>
              <w:t>引用数据</w:t>
            </w:r>
            <w:r>
              <w:rPr>
                <w:rFonts w:hint="default"/>
                <w:color w:val="auto"/>
                <w:u w:val="single" w:color="auto"/>
              </w:rPr>
              <w:t>统计结果  单位：（mg/m</w:t>
            </w:r>
            <w:r>
              <w:rPr>
                <w:rFonts w:hint="default"/>
                <w:color w:val="auto"/>
                <w:u w:val="single" w:color="auto"/>
                <w:vertAlign w:val="superscript"/>
              </w:rPr>
              <w:t>3</w:t>
            </w:r>
            <w:r>
              <w:rPr>
                <w:rFonts w:hint="default"/>
                <w:color w:val="auto"/>
                <w:u w:val="single" w:color="auto"/>
              </w:rPr>
              <w:t>）</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61"/>
              <w:gridCol w:w="3947"/>
              <w:gridCol w:w="22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监测点</w:t>
                  </w:r>
                </w:p>
              </w:tc>
              <w:tc>
                <w:tcPr>
                  <w:tcW w:w="3947" w:type="dxa"/>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项目</w:t>
                  </w:r>
                </w:p>
              </w:tc>
              <w:tc>
                <w:tcPr>
                  <w:tcW w:w="2263" w:type="dxa"/>
                  <w:noWrap w:val="0"/>
                  <w:vAlign w:val="center"/>
                </w:tcPr>
                <w:p>
                  <w:pPr>
                    <w:pStyle w:val="184"/>
                    <w:spacing w:line="360" w:lineRule="auto"/>
                    <w:rPr>
                      <w:color w:val="auto"/>
                      <w:sz w:val="22"/>
                      <w:szCs w:val="22"/>
                      <w:u w:val="single" w:color="auto"/>
                    </w:rPr>
                  </w:pPr>
                  <w:r>
                    <w:rPr>
                      <w:rFonts w:hint="default"/>
                      <w:color w:val="auto"/>
                      <w:sz w:val="22"/>
                      <w:szCs w:val="22"/>
                      <w:u w:val="single" w:color="auto"/>
                    </w:rPr>
                    <w:t>TVOC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vMerge w:val="restart"/>
                  <w:noWrap w:val="0"/>
                  <w:vAlign w:val="center"/>
                </w:tcPr>
                <w:p>
                  <w:pPr>
                    <w:pStyle w:val="184"/>
                    <w:spacing w:line="360" w:lineRule="auto"/>
                    <w:rPr>
                      <w:rFonts w:hint="default"/>
                      <w:color w:val="auto"/>
                      <w:sz w:val="22"/>
                      <w:szCs w:val="22"/>
                      <w:u w:val="single" w:color="auto"/>
                      <w:lang w:eastAsia="zh-CN"/>
                    </w:rPr>
                  </w:pPr>
                  <w:r>
                    <w:rPr>
                      <w:rFonts w:hint="default"/>
                      <w:color w:val="auto"/>
                      <w:sz w:val="22"/>
                      <w:szCs w:val="22"/>
                      <w:u w:val="single" w:color="auto"/>
                      <w:lang w:val="en-US" w:eastAsia="zh-CN"/>
                    </w:rPr>
                    <w:t>G1</w:t>
                  </w:r>
                </w:p>
              </w:tc>
              <w:tc>
                <w:tcPr>
                  <w:tcW w:w="3947" w:type="dxa"/>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浓度范围</w:t>
                  </w:r>
                </w:p>
              </w:tc>
              <w:tc>
                <w:tcPr>
                  <w:tcW w:w="2263" w:type="dxa"/>
                  <w:noWrap w:val="0"/>
                  <w:vAlign w:val="center"/>
                </w:tcPr>
                <w:p>
                  <w:pPr>
                    <w:pStyle w:val="184"/>
                    <w:spacing w:line="360" w:lineRule="auto"/>
                    <w:rPr>
                      <w:rFonts w:hint="default"/>
                      <w:color w:val="auto"/>
                      <w:sz w:val="22"/>
                      <w:szCs w:val="22"/>
                      <w:u w:val="single" w:color="auto"/>
                      <w:lang w:val="en-US"/>
                    </w:rPr>
                  </w:pPr>
                  <w:r>
                    <w:rPr>
                      <w:rFonts w:hint="eastAsia"/>
                      <w:color w:val="auto"/>
                      <w:sz w:val="22"/>
                      <w:szCs w:val="22"/>
                      <w:u w:val="single" w:color="auto"/>
                      <w:lang w:val="en-US" w:eastAsia="zh-CN"/>
                    </w:rPr>
                    <w:t>0.0311~0.476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vMerge w:val="continue"/>
                  <w:noWrap w:val="0"/>
                  <w:vAlign w:val="center"/>
                </w:tcPr>
                <w:p>
                  <w:pPr>
                    <w:pStyle w:val="184"/>
                    <w:spacing w:line="360" w:lineRule="auto"/>
                    <w:rPr>
                      <w:rFonts w:hint="default"/>
                      <w:color w:val="auto"/>
                      <w:sz w:val="22"/>
                      <w:szCs w:val="22"/>
                      <w:u w:val="single" w:color="auto"/>
                    </w:rPr>
                  </w:pPr>
                </w:p>
              </w:tc>
              <w:tc>
                <w:tcPr>
                  <w:tcW w:w="3947" w:type="dxa"/>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超标率（%）</w:t>
                  </w:r>
                </w:p>
              </w:tc>
              <w:tc>
                <w:tcPr>
                  <w:tcW w:w="2263" w:type="dxa"/>
                  <w:noWrap w:val="0"/>
                  <w:vAlign w:val="center"/>
                </w:tcPr>
                <w:p>
                  <w:pPr>
                    <w:pStyle w:val="184"/>
                    <w:spacing w:line="360" w:lineRule="auto"/>
                    <w:rPr>
                      <w:color w:val="auto"/>
                      <w:sz w:val="22"/>
                      <w:szCs w:val="22"/>
                      <w:u w:val="single" w:color="auto"/>
                    </w:rPr>
                  </w:pPr>
                  <w:r>
                    <w:rPr>
                      <w:rFonts w:hint="eastAsia"/>
                      <w:color w:val="auto"/>
                      <w:sz w:val="22"/>
                      <w:szCs w:val="22"/>
                      <w:u w:val="single" w:color="auto"/>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vMerge w:val="continue"/>
                  <w:noWrap w:val="0"/>
                  <w:vAlign w:val="center"/>
                </w:tcPr>
                <w:p>
                  <w:pPr>
                    <w:pStyle w:val="184"/>
                    <w:spacing w:line="360" w:lineRule="auto"/>
                    <w:rPr>
                      <w:rFonts w:hint="default"/>
                      <w:color w:val="auto"/>
                      <w:sz w:val="22"/>
                      <w:szCs w:val="22"/>
                      <w:u w:val="single" w:color="auto"/>
                    </w:rPr>
                  </w:pPr>
                </w:p>
              </w:tc>
              <w:tc>
                <w:tcPr>
                  <w:tcW w:w="3947" w:type="dxa"/>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最大超标倍数</w:t>
                  </w:r>
                </w:p>
              </w:tc>
              <w:tc>
                <w:tcPr>
                  <w:tcW w:w="2263" w:type="dxa"/>
                  <w:noWrap w:val="0"/>
                  <w:vAlign w:val="center"/>
                </w:tcPr>
                <w:p>
                  <w:pPr>
                    <w:pStyle w:val="184"/>
                    <w:spacing w:line="360" w:lineRule="auto"/>
                    <w:rPr>
                      <w:color w:val="auto"/>
                      <w:sz w:val="22"/>
                      <w:szCs w:val="22"/>
                      <w:u w:val="single" w:color="auto"/>
                    </w:rPr>
                  </w:pPr>
                  <w:r>
                    <w:rPr>
                      <w:rFonts w:hint="eastAsia"/>
                      <w:color w:val="auto"/>
                      <w:sz w:val="22"/>
                      <w:szCs w:val="22"/>
                      <w:u w:val="single" w:color="auto"/>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1" w:type="dxa"/>
                  <w:noWrap w:val="0"/>
                  <w:vAlign w:val="center"/>
                </w:tcPr>
                <w:p>
                  <w:pPr>
                    <w:pStyle w:val="184"/>
                    <w:spacing w:line="360" w:lineRule="auto"/>
                    <w:rPr>
                      <w:rFonts w:hint="default"/>
                      <w:color w:val="auto"/>
                      <w:sz w:val="22"/>
                      <w:szCs w:val="22"/>
                      <w:u w:val="single" w:color="auto"/>
                    </w:rPr>
                  </w:pPr>
                  <w:r>
                    <w:rPr>
                      <w:rFonts w:hint="default"/>
                      <w:color w:val="auto"/>
                      <w:sz w:val="22"/>
                      <w:szCs w:val="22"/>
                      <w:u w:val="single" w:color="auto"/>
                    </w:rPr>
                    <w:t>标准值</w:t>
                  </w:r>
                </w:p>
              </w:tc>
              <w:tc>
                <w:tcPr>
                  <w:tcW w:w="3947" w:type="dxa"/>
                  <w:noWrap w:val="0"/>
                  <w:vAlign w:val="center"/>
                </w:tcPr>
                <w:p>
                  <w:pPr>
                    <w:pStyle w:val="184"/>
                    <w:spacing w:line="360" w:lineRule="auto"/>
                    <w:rPr>
                      <w:rFonts w:hint="default"/>
                      <w:color w:val="auto"/>
                      <w:sz w:val="22"/>
                      <w:szCs w:val="22"/>
                      <w:u w:val="single" w:color="auto"/>
                    </w:rPr>
                  </w:pPr>
                  <w:r>
                    <w:rPr>
                      <w:rFonts w:hint="eastAsia"/>
                      <w:color w:val="auto"/>
                      <w:sz w:val="22"/>
                      <w:szCs w:val="22"/>
                      <w:u w:val="single" w:color="auto"/>
                      <w:lang w:val="en-US" w:eastAsia="zh-CN"/>
                    </w:rPr>
                    <w:t>TVOC为八小时值</w:t>
                  </w:r>
                </w:p>
              </w:tc>
              <w:tc>
                <w:tcPr>
                  <w:tcW w:w="2263" w:type="dxa"/>
                  <w:noWrap w:val="0"/>
                  <w:vAlign w:val="center"/>
                </w:tcPr>
                <w:p>
                  <w:pPr>
                    <w:pStyle w:val="184"/>
                    <w:spacing w:line="360" w:lineRule="auto"/>
                    <w:rPr>
                      <w:color w:val="auto"/>
                      <w:sz w:val="22"/>
                      <w:szCs w:val="22"/>
                      <w:u w:val="single" w:color="auto"/>
                    </w:rPr>
                  </w:pPr>
                  <w:r>
                    <w:rPr>
                      <w:rFonts w:hint="eastAsia"/>
                      <w:color w:val="auto"/>
                      <w:sz w:val="22"/>
                      <w:szCs w:val="22"/>
                      <w:u w:val="single" w:color="auto"/>
                      <w:lang w:val="en-US" w:eastAsia="zh-CN"/>
                    </w:rPr>
                    <w:t>0.6</w:t>
                  </w:r>
                </w:p>
              </w:tc>
            </w:tr>
          </w:tbl>
          <w:p>
            <w:pPr>
              <w:bidi w:val="0"/>
              <w:spacing w:line="360" w:lineRule="auto"/>
              <w:ind w:firstLine="693" w:firstLineChars="300"/>
              <w:rPr>
                <w:rFonts w:hint="default" w:ascii="Times New Roman" w:hAnsi="Times New Roman" w:cs="Times New Roman"/>
                <w:b/>
                <w:bCs/>
                <w:color w:val="auto"/>
                <w:sz w:val="24"/>
                <w:szCs w:val="24"/>
                <w:u w:val="single" w:color="auto"/>
              </w:rPr>
            </w:pPr>
            <w:r>
              <w:rPr>
                <w:rFonts w:hint="default"/>
                <w:color w:val="auto"/>
                <w:sz w:val="24"/>
                <w:szCs w:val="24"/>
                <w:u w:val="single" w:color="auto"/>
              </w:rPr>
              <w:t>由上表</w:t>
            </w:r>
            <w:r>
              <w:rPr>
                <w:rFonts w:hint="eastAsia"/>
                <w:color w:val="auto"/>
                <w:sz w:val="24"/>
                <w:szCs w:val="24"/>
                <w:u w:val="single" w:color="auto"/>
                <w:lang w:val="en-US" w:eastAsia="zh-CN"/>
              </w:rPr>
              <w:t>3-3</w:t>
            </w:r>
            <w:r>
              <w:rPr>
                <w:rFonts w:hint="default"/>
                <w:color w:val="auto"/>
                <w:sz w:val="24"/>
                <w:szCs w:val="24"/>
                <w:u w:val="single" w:color="auto"/>
              </w:rPr>
              <w:t>可见，TVOC满足</w:t>
            </w:r>
            <w:r>
              <w:rPr>
                <w:rFonts w:hint="eastAsia"/>
                <w:color w:val="auto"/>
                <w:sz w:val="24"/>
                <w:szCs w:val="24"/>
                <w:u w:val="single" w:color="auto"/>
                <w:lang w:eastAsia="zh-CN"/>
              </w:rPr>
              <w:t>《环境影响评价技术导则 大气环境》（HJ2.2-2018）附录D中相应的标准</w:t>
            </w:r>
            <w:r>
              <w:rPr>
                <w:rFonts w:hint="eastAsia" w:ascii="Times New Roman" w:hAnsi="Times New Roman" w:cs="Times New Roman"/>
                <w:color w:val="auto"/>
                <w:sz w:val="24"/>
                <w:szCs w:val="24"/>
                <w:u w:val="single" w:color="auto"/>
                <w:lang w:eastAsia="zh-CN"/>
              </w:rPr>
              <w:t>。</w:t>
            </w:r>
          </w:p>
          <w:p>
            <w:pPr>
              <w:spacing w:line="360" w:lineRule="auto"/>
              <w:rPr>
                <w:rFonts w:hint="default" w:ascii="Times New Roman" w:hAnsi="Times New Roman" w:cs="Times New Roman"/>
                <w:b/>
                <w:bCs/>
                <w:color w:val="auto"/>
                <w:sz w:val="24"/>
                <w:szCs w:val="24"/>
                <w:u w:val="single" w:color="auto"/>
              </w:rPr>
            </w:pPr>
            <w:r>
              <w:rPr>
                <w:rFonts w:hint="default" w:ascii="Times New Roman" w:hAnsi="Times New Roman" w:cs="Times New Roman"/>
                <w:b/>
                <w:bCs/>
                <w:color w:val="auto"/>
                <w:sz w:val="24"/>
                <w:szCs w:val="24"/>
                <w:u w:val="single" w:color="auto"/>
              </w:rPr>
              <w:t>3.2地表水环境质量现状</w:t>
            </w:r>
          </w:p>
          <w:p>
            <w:pPr>
              <w:spacing w:line="360" w:lineRule="auto"/>
              <w:ind w:firstLine="462" w:firstLineChars="200"/>
              <w:rPr>
                <w:rFonts w:hint="eastAsia" w:hAnsi="宋体"/>
                <w:b/>
                <w:color w:val="auto"/>
                <w:sz w:val="24"/>
                <w:u w:val="single" w:color="auto"/>
              </w:rPr>
            </w:pPr>
            <w:r>
              <w:rPr>
                <w:color w:val="auto"/>
                <w:sz w:val="24"/>
                <w:u w:val="single" w:color="auto"/>
              </w:rPr>
              <w:t>为了解本项目</w:t>
            </w:r>
            <w:r>
              <w:rPr>
                <w:rFonts w:hint="eastAsia"/>
                <w:color w:val="auto"/>
                <w:sz w:val="24"/>
                <w:u w:val="single" w:color="auto"/>
              </w:rPr>
              <w:t>周边</w:t>
            </w:r>
            <w:r>
              <w:rPr>
                <w:color w:val="auto"/>
                <w:sz w:val="24"/>
                <w:u w:val="single" w:color="auto"/>
              </w:rPr>
              <w:t>水环境质量现状，本评价</w:t>
            </w:r>
            <w:r>
              <w:rPr>
                <w:rFonts w:hAnsi="宋体"/>
                <w:bCs/>
                <w:color w:val="auto"/>
                <w:sz w:val="24"/>
                <w:u w:val="single" w:color="auto"/>
              </w:rPr>
              <w:t>采用湘阴县环境监测站</w:t>
            </w:r>
            <w:r>
              <w:rPr>
                <w:rFonts w:hint="eastAsia" w:hAnsi="宋体"/>
                <w:bCs/>
                <w:color w:val="auto"/>
                <w:sz w:val="24"/>
                <w:u w:val="single" w:color="auto"/>
                <w:lang w:val="en-US" w:eastAsia="zh-CN"/>
              </w:rPr>
              <w:t>2018年</w:t>
            </w:r>
            <w:r>
              <w:rPr>
                <w:rFonts w:hint="eastAsia" w:hAnsi="宋体"/>
                <w:bCs/>
                <w:color w:val="auto"/>
                <w:sz w:val="24"/>
                <w:u w:val="single" w:color="auto"/>
              </w:rPr>
              <w:t>对</w:t>
            </w:r>
            <w:r>
              <w:rPr>
                <w:rFonts w:hint="eastAsia" w:hAnsi="宋体"/>
                <w:bCs/>
                <w:color w:val="auto"/>
                <w:sz w:val="24"/>
                <w:u w:val="single" w:color="auto"/>
                <w:lang w:eastAsia="zh-CN"/>
              </w:rPr>
              <w:t>洋沙湖</w:t>
            </w:r>
            <w:r>
              <w:rPr>
                <w:rFonts w:hAnsi="宋体"/>
                <w:bCs/>
                <w:color w:val="auto"/>
                <w:sz w:val="24"/>
                <w:u w:val="single" w:color="auto"/>
              </w:rPr>
              <w:t>断面的常规水质监测数据</w:t>
            </w:r>
            <w:r>
              <w:rPr>
                <w:rFonts w:hint="eastAsia" w:hAnsi="宋体"/>
                <w:bCs/>
                <w:color w:val="auto"/>
                <w:sz w:val="24"/>
                <w:u w:val="single" w:color="auto"/>
              </w:rPr>
              <w:t>。</w:t>
            </w:r>
            <w:r>
              <w:rPr>
                <w:color w:val="auto"/>
                <w:sz w:val="24"/>
                <w:u w:val="single" w:color="auto"/>
              </w:rPr>
              <w:t>根据《湖南省主要水系地表水环境功能区划》，执行</w:t>
            </w:r>
            <w:r>
              <w:rPr>
                <w:color w:val="auto"/>
                <w:kern w:val="0"/>
                <w:sz w:val="24"/>
                <w:u w:val="single" w:color="auto"/>
              </w:rPr>
              <w:t>《地表水环境质量标准》（GB3838-2002）III类水质标准</w:t>
            </w:r>
            <w:r>
              <w:rPr>
                <w:color w:val="auto"/>
                <w:sz w:val="24"/>
                <w:u w:val="single" w:color="auto"/>
              </w:rPr>
              <w:t>。</w:t>
            </w:r>
            <w:r>
              <w:rPr>
                <w:rFonts w:hAnsi="宋体"/>
                <w:bCs/>
                <w:color w:val="auto"/>
                <w:sz w:val="24"/>
                <w:u w:val="single" w:color="auto"/>
              </w:rPr>
              <w:t>监测</w:t>
            </w:r>
            <w:r>
              <w:rPr>
                <w:rFonts w:hint="eastAsia" w:hAnsi="宋体"/>
                <w:bCs/>
                <w:color w:val="auto"/>
                <w:sz w:val="24"/>
                <w:u w:val="single" w:color="auto"/>
              </w:rPr>
              <w:t>数据</w:t>
            </w:r>
            <w:r>
              <w:rPr>
                <w:rFonts w:hAnsi="宋体"/>
                <w:bCs/>
                <w:color w:val="auto"/>
                <w:sz w:val="24"/>
                <w:u w:val="single" w:color="auto"/>
              </w:rPr>
              <w:t>见下表</w:t>
            </w:r>
            <w:r>
              <w:rPr>
                <w:rFonts w:hint="eastAsia"/>
                <w:bCs/>
                <w:color w:val="auto"/>
                <w:sz w:val="24"/>
                <w:u w:val="single" w:color="auto"/>
              </w:rPr>
              <w:t>3-</w:t>
            </w:r>
            <w:r>
              <w:rPr>
                <w:rFonts w:hint="eastAsia"/>
                <w:bCs/>
                <w:color w:val="auto"/>
                <w:sz w:val="24"/>
                <w:u w:val="single" w:color="auto"/>
                <w:lang w:val="en-US" w:eastAsia="zh-CN"/>
              </w:rPr>
              <w:t>4</w:t>
            </w:r>
            <w:r>
              <w:rPr>
                <w:rFonts w:hAnsi="宋体"/>
                <w:bCs/>
                <w:color w:val="auto"/>
                <w:sz w:val="24"/>
                <w:u w:val="single" w:color="auto"/>
              </w:rPr>
              <w:t>：</w:t>
            </w:r>
          </w:p>
          <w:p>
            <w:pPr>
              <w:spacing w:line="360" w:lineRule="auto"/>
              <w:jc w:val="center"/>
              <w:rPr>
                <w:rFonts w:hint="eastAsia"/>
                <w:b/>
                <w:color w:val="auto"/>
                <w:sz w:val="24"/>
                <w:u w:val="single" w:color="auto"/>
              </w:rPr>
            </w:pPr>
            <w:r>
              <w:rPr>
                <w:rFonts w:hint="eastAsia" w:hAnsi="宋体"/>
                <w:b/>
                <w:color w:val="auto"/>
                <w:sz w:val="24"/>
                <w:u w:val="single" w:color="auto"/>
              </w:rPr>
              <w:t>表3-</w:t>
            </w:r>
            <w:r>
              <w:rPr>
                <w:rFonts w:hint="eastAsia" w:hAnsi="宋体"/>
                <w:b/>
                <w:color w:val="auto"/>
                <w:sz w:val="24"/>
                <w:u w:val="single" w:color="auto"/>
                <w:lang w:val="en-US" w:eastAsia="zh-CN"/>
              </w:rPr>
              <w:t>4</w:t>
            </w:r>
            <w:r>
              <w:rPr>
                <w:rFonts w:hint="eastAsia" w:hAnsi="宋体"/>
                <w:b/>
                <w:color w:val="auto"/>
                <w:sz w:val="24"/>
                <w:u w:val="single" w:color="auto"/>
              </w:rPr>
              <w:t xml:space="preserve">  </w:t>
            </w:r>
            <w:r>
              <w:rPr>
                <w:b/>
                <w:color w:val="auto"/>
                <w:sz w:val="24"/>
                <w:u w:val="single" w:color="auto"/>
              </w:rPr>
              <w:t xml:space="preserve">  </w:t>
            </w:r>
            <w:r>
              <w:rPr>
                <w:rFonts w:hint="eastAsia"/>
                <w:b/>
                <w:color w:val="auto"/>
                <w:sz w:val="24"/>
                <w:u w:val="single" w:color="auto"/>
                <w:lang w:eastAsia="zh-CN"/>
              </w:rPr>
              <w:t>洋沙湖</w:t>
            </w:r>
            <w:r>
              <w:rPr>
                <w:rFonts w:hAnsi="宋体"/>
                <w:b/>
                <w:color w:val="auto"/>
                <w:sz w:val="24"/>
                <w:u w:val="single" w:color="auto"/>
              </w:rPr>
              <w:t>水环境质量监测</w:t>
            </w:r>
            <w:r>
              <w:rPr>
                <w:rFonts w:hint="eastAsia" w:hAnsi="宋体"/>
                <w:b/>
                <w:color w:val="auto"/>
                <w:sz w:val="24"/>
                <w:u w:val="single" w:color="auto"/>
              </w:rPr>
              <w:t>结果统计</w:t>
            </w:r>
            <w:r>
              <w:rPr>
                <w:b/>
                <w:color w:val="auto"/>
                <w:sz w:val="24"/>
                <w:u w:val="single" w:color="auto"/>
              </w:rPr>
              <w:t>(</w:t>
            </w:r>
            <w:r>
              <w:rPr>
                <w:rFonts w:hAnsi="宋体"/>
                <w:b/>
                <w:color w:val="auto"/>
                <w:sz w:val="24"/>
                <w:u w:val="single" w:color="auto"/>
              </w:rPr>
              <w:t>浓度</w:t>
            </w:r>
            <w:r>
              <w:rPr>
                <w:b/>
                <w:color w:val="auto"/>
                <w:sz w:val="24"/>
                <w:u w:val="single" w:color="auto"/>
              </w:rPr>
              <w:t>:mg/L)</w:t>
            </w:r>
          </w:p>
          <w:p>
            <w:pPr>
              <w:keepNext w:val="0"/>
              <w:keepLines w:val="0"/>
              <w:pageBreakBefore w:val="0"/>
              <w:kinsoku/>
              <w:wordWrap/>
              <w:overflowPunct/>
              <w:topLinePunct w:val="0"/>
              <w:autoSpaceDE/>
              <w:autoSpaceDN/>
              <w:bidi w:val="0"/>
              <w:adjustRightInd/>
              <w:snapToGrid/>
              <w:spacing w:line="360" w:lineRule="auto"/>
              <w:ind w:firstLine="402" w:firstLineChars="200"/>
              <w:textAlignment w:val="auto"/>
              <w:rPr>
                <w:rFonts w:hAnsi="宋体"/>
                <w:bCs/>
                <w:color w:val="auto"/>
                <w:sz w:val="24"/>
                <w:u w:val="single" w:color="auto"/>
              </w:rPr>
            </w:pPr>
            <w:r>
              <w:rPr>
                <w:rFonts w:ascii="Times New Roman"/>
                <w:b/>
                <w:bCs/>
                <w:u w:val="single" w:color="auto"/>
              </w:rPr>
              <w:drawing>
                <wp:anchor distT="0" distB="0" distL="114300" distR="114300" simplePos="0" relativeHeight="1709953024" behindDoc="0" locked="0" layoutInCell="1" allowOverlap="1">
                  <wp:simplePos x="0" y="0"/>
                  <wp:positionH relativeFrom="column">
                    <wp:posOffset>27305</wp:posOffset>
                  </wp:positionH>
                  <wp:positionV relativeFrom="paragraph">
                    <wp:posOffset>77470</wp:posOffset>
                  </wp:positionV>
                  <wp:extent cx="5720080" cy="2616200"/>
                  <wp:effectExtent l="0" t="0" r="13970" b="12700"/>
                  <wp:wrapNone/>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12"/>
                          <a:srcRect r="255" b="45579"/>
                          <a:stretch>
                            <a:fillRect/>
                          </a:stretch>
                        </pic:blipFill>
                        <pic:spPr>
                          <a:xfrm>
                            <a:off x="0" y="0"/>
                            <a:ext cx="5720080" cy="2616200"/>
                          </a:xfrm>
                          <a:prstGeom prst="rect">
                            <a:avLst/>
                          </a:prstGeom>
                          <a:noFill/>
                          <a:ln>
                            <a:noFill/>
                          </a:ln>
                        </pic:spPr>
                      </pic:pic>
                    </a:graphicData>
                  </a:graphic>
                </wp:anchor>
              </w:drawing>
            </w: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singl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singl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singl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singl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singl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singl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singl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Ansi="宋体"/>
                <w:bCs/>
                <w:color w:val="auto"/>
                <w:sz w:val="24"/>
                <w:u w:val="single" w:color="auto"/>
              </w:rPr>
            </w:pPr>
          </w:p>
          <w:p>
            <w:pPr>
              <w:keepNext w:val="0"/>
              <w:keepLines w:val="0"/>
              <w:pageBreakBefore w:val="0"/>
              <w:kinsoku/>
              <w:wordWrap/>
              <w:overflowPunct/>
              <w:topLinePunct w:val="0"/>
              <w:autoSpaceDE/>
              <w:autoSpaceDN/>
              <w:bidi w:val="0"/>
              <w:adjustRightInd/>
              <w:snapToGrid/>
              <w:spacing w:line="360" w:lineRule="auto"/>
              <w:ind w:firstLine="462" w:firstLineChars="200"/>
              <w:textAlignment w:val="auto"/>
              <w:rPr>
                <w:rFonts w:hint="eastAsia" w:eastAsia="宋体" w:cs="Times New Roman"/>
                <w:b/>
                <w:bCs/>
                <w:color w:val="auto"/>
                <w:sz w:val="24"/>
                <w:szCs w:val="24"/>
                <w:u w:val="none" w:color="auto"/>
                <w:lang w:val="en-US" w:eastAsia="zh-CN"/>
              </w:rPr>
            </w:pPr>
            <w:r>
              <w:rPr>
                <w:rFonts w:hAnsi="宋体"/>
                <w:bCs/>
                <w:color w:val="auto"/>
                <w:sz w:val="24"/>
                <w:u w:val="single" w:color="auto"/>
              </w:rPr>
              <w:t>从上表水</w:t>
            </w:r>
            <w:r>
              <w:rPr>
                <w:rFonts w:hint="eastAsia" w:hAnsi="宋体"/>
                <w:bCs/>
                <w:color w:val="auto"/>
                <w:sz w:val="24"/>
                <w:u w:val="single" w:color="auto"/>
              </w:rPr>
              <w:t>环境</w:t>
            </w:r>
            <w:r>
              <w:rPr>
                <w:rFonts w:hAnsi="宋体"/>
                <w:bCs/>
                <w:color w:val="auto"/>
                <w:sz w:val="24"/>
                <w:u w:val="single" w:color="auto"/>
              </w:rPr>
              <w:t>质量监测统计评价数据分析，各项指标均达到《地表水环境质量标准》（</w:t>
            </w:r>
            <w:r>
              <w:rPr>
                <w:bCs/>
                <w:color w:val="auto"/>
                <w:sz w:val="24"/>
                <w:u w:val="single" w:color="auto"/>
              </w:rPr>
              <w:t>GB3838-2002</w:t>
            </w:r>
            <w:r>
              <w:rPr>
                <w:rFonts w:hAnsi="宋体"/>
                <w:bCs/>
                <w:color w:val="auto"/>
                <w:sz w:val="24"/>
                <w:u w:val="single" w:color="auto"/>
              </w:rPr>
              <w:t>）中</w:t>
            </w:r>
            <w:r>
              <w:rPr>
                <w:rFonts w:ascii="宋体" w:hAnsi="宋体"/>
                <w:bCs/>
                <w:color w:val="auto"/>
                <w:sz w:val="24"/>
                <w:u w:val="single" w:color="auto"/>
              </w:rPr>
              <w:t>Ⅲ</w:t>
            </w:r>
            <w:r>
              <w:rPr>
                <w:rFonts w:hAnsi="宋体"/>
                <w:bCs/>
                <w:color w:val="auto"/>
                <w:sz w:val="24"/>
                <w:u w:val="single" w:color="auto"/>
              </w:rPr>
              <w:t>类标准</w:t>
            </w:r>
            <w:r>
              <w:rPr>
                <w:rFonts w:hint="eastAsia"/>
                <w:color w:val="auto"/>
                <w:sz w:val="24"/>
                <w:szCs w:val="24"/>
                <w:u w:val="singl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3.3</w:t>
            </w:r>
            <w:r>
              <w:rPr>
                <w:rFonts w:hint="default" w:ascii="Times New Roman" w:hAnsi="Times New Roman" w:cs="Times New Roman"/>
                <w:b/>
                <w:bCs/>
                <w:color w:val="auto"/>
                <w:sz w:val="24"/>
                <w:szCs w:val="24"/>
                <w:u w:val="none" w:color="auto"/>
              </w:rPr>
              <w:t>声环境质量现状</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为了解项目所在地声环境质量现状，本环评特委托湖南</w:t>
            </w:r>
            <w:r>
              <w:rPr>
                <w:rFonts w:hint="default" w:ascii="Times New Roman" w:hAnsi="Times New Roman" w:cs="Times New Roman"/>
                <w:color w:val="auto"/>
                <w:sz w:val="24"/>
                <w:szCs w:val="24"/>
                <w:u w:val="none" w:color="auto"/>
                <w:lang w:eastAsia="zh-CN"/>
              </w:rPr>
              <w:t>精准通</w:t>
            </w:r>
            <w:r>
              <w:rPr>
                <w:rFonts w:hint="default" w:ascii="Times New Roman" w:hAnsi="Times New Roman" w:cs="Times New Roman"/>
                <w:color w:val="auto"/>
                <w:sz w:val="24"/>
                <w:szCs w:val="24"/>
                <w:u w:val="none" w:color="auto"/>
              </w:rPr>
              <w:t>检测技术有限公司于201</w:t>
            </w:r>
            <w:r>
              <w:rPr>
                <w:rFonts w:hint="default"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rPr>
              <w:t>年</w:t>
            </w:r>
            <w:r>
              <w:rPr>
                <w:rFonts w:hint="eastAsia"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rPr>
              <w:t>月</w:t>
            </w:r>
            <w:r>
              <w:rPr>
                <w:rFonts w:hint="eastAsia" w:cs="Times New Roman"/>
                <w:color w:val="auto"/>
                <w:sz w:val="24"/>
                <w:szCs w:val="24"/>
                <w:u w:val="none" w:color="auto"/>
                <w:lang w:val="en-US" w:eastAsia="zh-CN"/>
              </w:rPr>
              <w:t>12-13</w:t>
            </w:r>
            <w:r>
              <w:rPr>
                <w:rFonts w:hint="default" w:ascii="Times New Roman" w:hAnsi="Times New Roman" w:cs="Times New Roman"/>
                <w:color w:val="auto"/>
                <w:sz w:val="24"/>
                <w:szCs w:val="24"/>
                <w:u w:val="none" w:color="auto"/>
              </w:rPr>
              <w:t>日在项目地东、南、西、北厂界外1m各布设1个监测，昼、夜间各监测一次。</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 xml:space="preserve">  声质量现状监测与评价统计表    单位：dB(A)</w:t>
            </w:r>
          </w:p>
          <w:tbl>
            <w:tblPr>
              <w:tblStyle w:val="39"/>
              <w:tblW w:w="905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848"/>
              <w:gridCol w:w="1369"/>
              <w:gridCol w:w="972"/>
              <w:gridCol w:w="973"/>
              <w:gridCol w:w="974"/>
              <w:gridCol w:w="973"/>
              <w:gridCol w:w="975"/>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监测点</w:t>
                  </w:r>
                </w:p>
              </w:tc>
              <w:tc>
                <w:tcPr>
                  <w:tcW w:w="1369"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监测日期</w:t>
                  </w:r>
                </w:p>
              </w:tc>
              <w:tc>
                <w:tcPr>
                  <w:tcW w:w="2919"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2920"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12"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东</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12</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57.6</w:t>
                  </w:r>
                </w:p>
              </w:tc>
              <w:tc>
                <w:tcPr>
                  <w:tcW w:w="97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45.2</w:t>
                  </w:r>
                </w:p>
              </w:tc>
              <w:tc>
                <w:tcPr>
                  <w:tcW w:w="97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13</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56.6</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46.3</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12</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59.7</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47.5</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13</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57.8</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47.8</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西</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12</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60.5</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51.3</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13</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61.4</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50.5</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12</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62.3</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52.6</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13</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63.7</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53.7</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bl>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本项目所在地声环境质量现状满足《声环境质量标准》（GB3096-2008）中</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类区标准要求。因此，本项目所在区域声环境质量现状较好。</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3.4</w:t>
            </w:r>
            <w:r>
              <w:rPr>
                <w:rFonts w:hint="default" w:ascii="Times New Roman" w:hAnsi="Times New Roman" w:cs="Times New Roman"/>
                <w:b/>
                <w:bCs/>
                <w:color w:val="auto"/>
                <w:sz w:val="24"/>
                <w:szCs w:val="24"/>
                <w:u w:val="none" w:color="auto"/>
              </w:rPr>
              <w:t>、生态环境</w:t>
            </w:r>
          </w:p>
          <w:p>
            <w:pPr>
              <w:snapToGrid w:val="0"/>
              <w:spacing w:line="360" w:lineRule="auto"/>
              <w:ind w:firstLine="453" w:firstLineChars="196"/>
              <w:rPr>
                <w:rFonts w:hint="eastAsia"/>
                <w:b/>
                <w:color w:val="auto"/>
                <w:sz w:val="24"/>
                <w:u w:val="none" w:color="auto"/>
                <w:lang w:val="en-US" w:eastAsia="zh-CN"/>
              </w:rPr>
            </w:pPr>
            <w:r>
              <w:rPr>
                <w:rFonts w:hint="default" w:ascii="Times New Roman" w:hAnsi="Times New Roman" w:cs="Times New Roman"/>
                <w:color w:val="auto"/>
                <w:sz w:val="24"/>
                <w:szCs w:val="24"/>
                <w:u w:val="none" w:color="auto"/>
              </w:rPr>
              <w:t>项目所在区域植被有城市绿化的樟、灌木丛、花卉等，项目区域内植被以人工绿化苗木为主，植物种类单一，主要有樟树、桂花、柳树等，并伴有少量野生杉、桃、</w:t>
            </w:r>
            <w:r>
              <w:rPr>
                <w:rFonts w:hint="default" w:ascii="Times New Roman" w:hAnsi="Times New Roman" w:cs="Times New Roman"/>
                <w:color w:val="auto"/>
                <w:spacing w:val="-11"/>
                <w:sz w:val="24"/>
                <w:szCs w:val="24"/>
                <w:u w:val="none" w:color="auto"/>
              </w:rPr>
              <w:t xml:space="preserve">梨等；生态环境一般。本区域及其周边为典型的城市生态环境，目前植被覆盖率较低， </w:t>
            </w:r>
            <w:r>
              <w:rPr>
                <w:rFonts w:hint="default" w:ascii="Times New Roman" w:hAnsi="Times New Roman" w:cs="Times New Roman"/>
                <w:color w:val="auto"/>
                <w:sz w:val="24"/>
                <w:szCs w:val="24"/>
                <w:u w:val="none" w:color="auto"/>
              </w:rPr>
              <w:t>主要为人工草皮及较少灌木，物种较为单一，生态稳定性较差。根据现场踏勘，本项目区域内未发现野生珍稀动植物物种</w:t>
            </w:r>
            <w:r>
              <w:rPr>
                <w:rFonts w:hint="eastAsia" w:hAnsi="宋体"/>
                <w:bCs/>
                <w:color w:val="auto"/>
                <w:sz w:val="24"/>
                <w:u w:val="none" w:color="auto"/>
              </w:rPr>
              <w:t>。</w:t>
            </w:r>
          </w:p>
          <w:p>
            <w:pPr>
              <w:pStyle w:val="33"/>
              <w:adjustRightInd w:val="0"/>
              <w:snapToGrid w:val="0"/>
              <w:spacing w:line="360" w:lineRule="auto"/>
              <w:ind w:left="0" w:leftChars="0" w:firstLine="0" w:firstLineChars="0"/>
              <w:rPr>
                <w:b/>
                <w:color w:val="auto"/>
                <w:u w:val="single" w:color="auto"/>
              </w:rPr>
            </w:pPr>
            <w:r>
              <w:rPr>
                <w:rFonts w:hint="eastAsia"/>
                <w:b/>
                <w:color w:val="auto"/>
                <w:sz w:val="24"/>
                <w:u w:val="single" w:color="auto"/>
                <w:lang w:val="en-US" w:eastAsia="zh-CN"/>
              </w:rPr>
              <w:t>3.5</w:t>
            </w:r>
            <w:r>
              <w:rPr>
                <w:rFonts w:hint="eastAsia"/>
                <w:b/>
                <w:color w:val="auto"/>
                <w:sz w:val="24"/>
                <w:u w:val="single" w:color="auto"/>
              </w:rPr>
              <w:t>、</w:t>
            </w:r>
            <w:r>
              <w:rPr>
                <w:b/>
                <w:color w:val="auto"/>
                <w:sz w:val="24"/>
                <w:u w:val="single" w:color="auto"/>
              </w:rPr>
              <w:t>主要环境保护目标</w:t>
            </w:r>
          </w:p>
          <w:p>
            <w:pPr>
              <w:adjustRightInd w:val="0"/>
              <w:snapToGrid w:val="0"/>
              <w:ind w:firstLine="462" w:firstLineChars="200"/>
              <w:jc w:val="center"/>
              <w:textAlignment w:val="baseline"/>
              <w:rPr>
                <w:b/>
                <w:color w:val="auto"/>
                <w:kern w:val="0"/>
                <w:sz w:val="24"/>
                <w:szCs w:val="24"/>
                <w:u w:val="single" w:color="auto"/>
              </w:rPr>
            </w:pPr>
            <w:r>
              <w:rPr>
                <w:b/>
                <w:color w:val="auto"/>
                <w:kern w:val="0"/>
                <w:sz w:val="24"/>
                <w:szCs w:val="24"/>
                <w:u w:val="single" w:color="auto"/>
              </w:rPr>
              <w:t>表3-</w:t>
            </w:r>
            <w:r>
              <w:rPr>
                <w:rFonts w:hint="eastAsia"/>
                <w:b/>
                <w:color w:val="auto"/>
                <w:kern w:val="0"/>
                <w:sz w:val="24"/>
                <w:szCs w:val="24"/>
                <w:u w:val="single" w:color="auto"/>
                <w:lang w:val="en-US" w:eastAsia="zh-CN"/>
              </w:rPr>
              <w:t>6</w:t>
            </w:r>
            <w:r>
              <w:rPr>
                <w:b/>
                <w:color w:val="auto"/>
                <w:kern w:val="0"/>
                <w:sz w:val="24"/>
                <w:szCs w:val="24"/>
                <w:u w:val="single" w:color="auto"/>
              </w:rPr>
              <w:t xml:space="preserve">  主要环境保护目标一览表</w:t>
            </w:r>
          </w:p>
          <w:tbl>
            <w:tblPr>
              <w:tblStyle w:val="39"/>
              <w:tblW w:w="90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971"/>
              <w:gridCol w:w="1650"/>
              <w:gridCol w:w="2406"/>
              <w:gridCol w:w="22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720"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类别</w:t>
                  </w:r>
                </w:p>
              </w:tc>
              <w:tc>
                <w:tcPr>
                  <w:tcW w:w="1971"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环境保护目标</w:t>
                  </w:r>
                </w:p>
              </w:tc>
              <w:tc>
                <w:tcPr>
                  <w:tcW w:w="1650"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相对位置</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功能、规模</w:t>
                  </w:r>
                </w:p>
              </w:tc>
              <w:tc>
                <w:tcPr>
                  <w:tcW w:w="2275"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0" w:type="dxa"/>
                  <w:vMerge w:val="restart"/>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kern w:val="0"/>
                      <w:sz w:val="22"/>
                      <w:szCs w:val="22"/>
                      <w:u w:val="single" w:color="auto"/>
                      <w:lang w:bidi="ar"/>
                    </w:rPr>
                    <w:t>空气环境</w:t>
                  </w:r>
                </w:p>
              </w:tc>
              <w:tc>
                <w:tcPr>
                  <w:tcW w:w="1971"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金华村居民点（东经：112.923188，北纬：28.529488）</w:t>
                  </w:r>
                </w:p>
              </w:tc>
              <w:tc>
                <w:tcPr>
                  <w:tcW w:w="1650" w:type="dxa"/>
                  <w:tcBorders>
                    <w:tl2br w:val="nil"/>
                    <w:tr2bl w:val="nil"/>
                  </w:tcBorders>
                  <w:vAlign w:val="center"/>
                </w:tcPr>
                <w:p>
                  <w:pPr>
                    <w:widowControl/>
                    <w:spacing w:line="360" w:lineRule="auto"/>
                    <w:jc w:val="center"/>
                    <w:textAlignment w:val="center"/>
                    <w:rPr>
                      <w:rFonts w:hint="default" w:ascii="Times New Roman" w:hAnsi="Times New Roman" w:eastAsia="宋体" w:cs="Times New Roman"/>
                      <w:color w:val="auto"/>
                      <w:kern w:val="0"/>
                      <w:sz w:val="22"/>
                      <w:szCs w:val="22"/>
                      <w:u w:val="single" w:color="auto"/>
                      <w:lang w:val="en-US" w:eastAsia="zh-CN" w:bidi="ar"/>
                    </w:rPr>
                  </w:pPr>
                  <w:r>
                    <w:rPr>
                      <w:rFonts w:hint="eastAsia" w:ascii="Times New Roman" w:hAnsi="Times New Roman" w:cs="Times New Roman"/>
                      <w:color w:val="auto"/>
                      <w:kern w:val="0"/>
                      <w:sz w:val="22"/>
                      <w:szCs w:val="22"/>
                      <w:u w:val="single" w:color="auto"/>
                      <w:lang w:eastAsia="zh-CN" w:bidi="ar"/>
                    </w:rPr>
                    <w:t>西</w:t>
                  </w:r>
                  <w:r>
                    <w:rPr>
                      <w:rFonts w:hint="eastAsia" w:cs="Times New Roman"/>
                      <w:color w:val="auto"/>
                      <w:kern w:val="0"/>
                      <w:sz w:val="22"/>
                      <w:szCs w:val="22"/>
                      <w:u w:val="single" w:color="auto"/>
                      <w:lang w:eastAsia="zh-CN" w:bidi="ar"/>
                    </w:rPr>
                    <w:t>北</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800</w:t>
                  </w:r>
                  <w:r>
                    <w:rPr>
                      <w:rFonts w:hint="eastAsia" w:ascii="Times New Roman" w:hAnsi="Times New Roman" w:cs="Times New Roman"/>
                      <w:color w:val="auto"/>
                      <w:kern w:val="0"/>
                      <w:sz w:val="22"/>
                      <w:szCs w:val="22"/>
                      <w:u w:val="single" w:color="auto"/>
                      <w:lang w:val="en-US" w:eastAsia="zh-CN" w:bidi="ar"/>
                    </w:rPr>
                    <w:t>m</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spacing w:val="8"/>
                      <w:sz w:val="22"/>
                      <w:szCs w:val="22"/>
                      <w:u w:val="single" w:color="auto"/>
                    </w:rPr>
                    <w:t>居住，约</w:t>
                  </w:r>
                  <w:r>
                    <w:rPr>
                      <w:rFonts w:hint="eastAsia" w:cs="Times New Roman"/>
                      <w:color w:val="auto"/>
                      <w:spacing w:val="8"/>
                      <w:sz w:val="22"/>
                      <w:szCs w:val="22"/>
                      <w:u w:val="single" w:color="auto"/>
                      <w:lang w:val="en-US" w:eastAsia="zh-CN"/>
                    </w:rPr>
                    <w:t>45</w:t>
                  </w:r>
                  <w:r>
                    <w:rPr>
                      <w:rFonts w:hint="default" w:ascii="Times New Roman" w:hAnsi="Times New Roman" w:cs="Times New Roman"/>
                      <w:color w:val="auto"/>
                      <w:spacing w:val="8"/>
                      <w:sz w:val="22"/>
                      <w:szCs w:val="22"/>
                      <w:u w:val="single" w:color="auto"/>
                    </w:rPr>
                    <w:t>户，</w:t>
                  </w:r>
                  <w:r>
                    <w:rPr>
                      <w:rFonts w:hint="eastAsia" w:cs="Times New Roman"/>
                      <w:color w:val="auto"/>
                      <w:spacing w:val="8"/>
                      <w:sz w:val="22"/>
                      <w:szCs w:val="22"/>
                      <w:u w:val="single" w:color="auto"/>
                      <w:lang w:val="en-US" w:eastAsia="zh-CN"/>
                    </w:rPr>
                    <w:t>135</w:t>
                  </w:r>
                  <w:r>
                    <w:rPr>
                      <w:rFonts w:hint="default" w:ascii="Times New Roman" w:hAnsi="Times New Roman" w:cs="Times New Roman"/>
                      <w:color w:val="auto"/>
                      <w:spacing w:val="8"/>
                      <w:sz w:val="22"/>
                      <w:szCs w:val="22"/>
                      <w:u w:val="single" w:color="auto"/>
                    </w:rPr>
                    <w:t>人</w:t>
                  </w:r>
                </w:p>
              </w:tc>
              <w:tc>
                <w:tcPr>
                  <w:tcW w:w="2275" w:type="dxa"/>
                  <w:vMerge w:val="restart"/>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kern w:val="0"/>
                      <w:sz w:val="22"/>
                      <w:szCs w:val="22"/>
                      <w:u w:val="single" w:color="auto"/>
                      <w:lang w:bidi="ar"/>
                    </w:rPr>
                    <w:t>《环境空气质量标准》（GB3095-2012）二级标准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1971"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黄家冲</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（东经：112.921858，北纬：28.523040）</w:t>
                  </w:r>
                </w:p>
              </w:tc>
              <w:tc>
                <w:tcPr>
                  <w:tcW w:w="1650"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cs="Times New Roman"/>
                      <w:color w:val="auto"/>
                      <w:kern w:val="0"/>
                      <w:sz w:val="22"/>
                      <w:szCs w:val="22"/>
                      <w:u w:val="single" w:color="auto"/>
                      <w:lang w:eastAsia="zh-CN" w:bidi="ar"/>
                    </w:rPr>
                    <w:t>西</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700</w:t>
                  </w:r>
                  <w:r>
                    <w:rPr>
                      <w:rFonts w:hint="eastAsia" w:ascii="Times New Roman" w:hAnsi="Times New Roman" w:cs="Times New Roman"/>
                      <w:color w:val="auto"/>
                      <w:kern w:val="0"/>
                      <w:sz w:val="22"/>
                      <w:szCs w:val="22"/>
                      <w:u w:val="single" w:color="auto"/>
                      <w:lang w:val="en-US" w:eastAsia="zh-CN" w:bidi="ar"/>
                    </w:rPr>
                    <w:t>m</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spacing w:val="8"/>
                      <w:sz w:val="22"/>
                      <w:szCs w:val="22"/>
                      <w:u w:val="single" w:color="auto"/>
                    </w:rPr>
                    <w:t>居住，约</w:t>
                  </w:r>
                  <w:r>
                    <w:rPr>
                      <w:rFonts w:hint="eastAsia" w:cs="Times New Roman"/>
                      <w:color w:val="auto"/>
                      <w:spacing w:val="8"/>
                      <w:sz w:val="22"/>
                      <w:szCs w:val="22"/>
                      <w:u w:val="single" w:color="auto"/>
                      <w:lang w:val="en-US" w:eastAsia="zh-CN"/>
                    </w:rPr>
                    <w:t>13</w:t>
                  </w:r>
                  <w:r>
                    <w:rPr>
                      <w:rFonts w:hint="default" w:ascii="Times New Roman" w:hAnsi="Times New Roman" w:cs="Times New Roman"/>
                      <w:color w:val="auto"/>
                      <w:spacing w:val="8"/>
                      <w:sz w:val="22"/>
                      <w:szCs w:val="22"/>
                      <w:u w:val="single" w:color="auto"/>
                    </w:rPr>
                    <w:t>户，</w:t>
                  </w:r>
                  <w:r>
                    <w:rPr>
                      <w:rFonts w:hint="eastAsia" w:cs="Times New Roman"/>
                      <w:color w:val="auto"/>
                      <w:spacing w:val="8"/>
                      <w:sz w:val="22"/>
                      <w:szCs w:val="22"/>
                      <w:u w:val="single" w:color="auto"/>
                      <w:lang w:val="en-US" w:eastAsia="zh-CN"/>
                    </w:rPr>
                    <w:t>39</w:t>
                  </w:r>
                  <w:r>
                    <w:rPr>
                      <w:rFonts w:hint="default" w:ascii="Times New Roman" w:hAnsi="Times New Roman" w:cs="Times New Roman"/>
                      <w:color w:val="auto"/>
                      <w:spacing w:val="8"/>
                      <w:sz w:val="22"/>
                      <w:szCs w:val="22"/>
                      <w:u w:val="single" w:color="auto"/>
                    </w:rPr>
                    <w:t>人</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39"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1971"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文家龙</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（东经：112.932243，北纬：28.521230）</w:t>
                  </w:r>
                </w:p>
              </w:tc>
              <w:tc>
                <w:tcPr>
                  <w:tcW w:w="1650"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cs="Times New Roman"/>
                      <w:color w:val="auto"/>
                      <w:kern w:val="0"/>
                      <w:sz w:val="22"/>
                      <w:szCs w:val="22"/>
                      <w:u w:val="single" w:color="auto"/>
                      <w:lang w:eastAsia="zh-CN" w:bidi="ar"/>
                    </w:rPr>
                    <w:t>南</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180</w:t>
                  </w:r>
                  <w:r>
                    <w:rPr>
                      <w:rFonts w:hint="eastAsia" w:ascii="Times New Roman" w:hAnsi="Times New Roman" w:cs="Times New Roman"/>
                      <w:color w:val="auto"/>
                      <w:kern w:val="0"/>
                      <w:sz w:val="22"/>
                      <w:szCs w:val="22"/>
                      <w:u w:val="single" w:color="auto"/>
                      <w:lang w:val="en-US" w:eastAsia="zh-CN" w:bidi="ar"/>
                    </w:rPr>
                    <w:t>m</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spacing w:val="8"/>
                      <w:sz w:val="22"/>
                      <w:szCs w:val="22"/>
                      <w:u w:val="single" w:color="auto"/>
                    </w:rPr>
                    <w:t>居住，约</w:t>
                  </w:r>
                  <w:r>
                    <w:rPr>
                      <w:rFonts w:hint="eastAsia" w:cs="Times New Roman"/>
                      <w:color w:val="auto"/>
                      <w:spacing w:val="8"/>
                      <w:sz w:val="22"/>
                      <w:szCs w:val="22"/>
                      <w:u w:val="single" w:color="auto"/>
                      <w:lang w:val="en-US" w:eastAsia="zh-CN"/>
                    </w:rPr>
                    <w:t>26</w:t>
                  </w:r>
                  <w:r>
                    <w:rPr>
                      <w:rFonts w:hint="default" w:ascii="Times New Roman" w:hAnsi="Times New Roman" w:cs="Times New Roman"/>
                      <w:color w:val="auto"/>
                      <w:spacing w:val="8"/>
                      <w:sz w:val="22"/>
                      <w:szCs w:val="22"/>
                      <w:u w:val="single" w:color="auto"/>
                    </w:rPr>
                    <w:t>户，</w:t>
                  </w:r>
                  <w:r>
                    <w:rPr>
                      <w:rFonts w:hint="eastAsia" w:cs="Times New Roman"/>
                      <w:color w:val="auto"/>
                      <w:spacing w:val="8"/>
                      <w:sz w:val="22"/>
                      <w:szCs w:val="22"/>
                      <w:u w:val="single" w:color="auto"/>
                      <w:lang w:val="en-US" w:eastAsia="zh-CN"/>
                    </w:rPr>
                    <w:t>78</w:t>
                  </w:r>
                  <w:r>
                    <w:rPr>
                      <w:rFonts w:hint="default" w:ascii="Times New Roman" w:hAnsi="Times New Roman" w:cs="Times New Roman"/>
                      <w:color w:val="auto"/>
                      <w:spacing w:val="8"/>
                      <w:sz w:val="22"/>
                      <w:szCs w:val="22"/>
                      <w:u w:val="single" w:color="auto"/>
                    </w:rPr>
                    <w:t>人</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1971"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新光村</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（东经：112.936921，北纬：28.517120）</w:t>
                  </w:r>
                </w:p>
              </w:tc>
              <w:tc>
                <w:tcPr>
                  <w:tcW w:w="1650"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ascii="Times New Roman" w:hAnsi="Times New Roman" w:cs="Times New Roman"/>
                      <w:color w:val="auto"/>
                      <w:kern w:val="0"/>
                      <w:sz w:val="22"/>
                      <w:szCs w:val="22"/>
                      <w:u w:val="single" w:color="auto"/>
                      <w:lang w:eastAsia="zh-CN" w:bidi="ar"/>
                    </w:rPr>
                    <w:t>东</w:t>
                  </w:r>
                  <w:r>
                    <w:rPr>
                      <w:rFonts w:hint="eastAsia" w:cs="Times New Roman"/>
                      <w:color w:val="auto"/>
                      <w:kern w:val="0"/>
                      <w:sz w:val="22"/>
                      <w:szCs w:val="22"/>
                      <w:u w:val="single" w:color="auto"/>
                      <w:lang w:eastAsia="zh-CN" w:bidi="ar"/>
                    </w:rPr>
                    <w:t>南</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730</w:t>
                  </w:r>
                  <w:r>
                    <w:rPr>
                      <w:rFonts w:hint="eastAsia" w:ascii="Times New Roman" w:hAnsi="Times New Roman" w:cs="Times New Roman"/>
                      <w:color w:val="auto"/>
                      <w:kern w:val="0"/>
                      <w:sz w:val="22"/>
                      <w:szCs w:val="22"/>
                      <w:u w:val="single" w:color="auto"/>
                      <w:lang w:val="en-US" w:eastAsia="zh-CN" w:bidi="ar"/>
                    </w:rPr>
                    <w:t>m</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spacing w:val="8"/>
                      <w:sz w:val="22"/>
                      <w:szCs w:val="22"/>
                      <w:u w:val="single" w:color="auto"/>
                    </w:rPr>
                    <w:t>居住，约</w:t>
                  </w:r>
                  <w:r>
                    <w:rPr>
                      <w:rFonts w:hint="eastAsia" w:cs="Times New Roman"/>
                      <w:color w:val="auto"/>
                      <w:spacing w:val="8"/>
                      <w:sz w:val="22"/>
                      <w:szCs w:val="22"/>
                      <w:u w:val="single" w:color="auto"/>
                      <w:lang w:val="en-US" w:eastAsia="zh-CN"/>
                    </w:rPr>
                    <w:t>33</w:t>
                  </w:r>
                  <w:r>
                    <w:rPr>
                      <w:rFonts w:hint="default" w:ascii="Times New Roman" w:hAnsi="Times New Roman" w:cs="Times New Roman"/>
                      <w:color w:val="auto"/>
                      <w:spacing w:val="8"/>
                      <w:sz w:val="22"/>
                      <w:szCs w:val="22"/>
                      <w:u w:val="single" w:color="auto"/>
                    </w:rPr>
                    <w:t>户，</w:t>
                  </w:r>
                  <w:r>
                    <w:rPr>
                      <w:rFonts w:hint="eastAsia" w:cs="Times New Roman"/>
                      <w:color w:val="auto"/>
                      <w:spacing w:val="8"/>
                      <w:sz w:val="22"/>
                      <w:szCs w:val="22"/>
                      <w:u w:val="single" w:color="auto"/>
                      <w:lang w:val="en-US" w:eastAsia="zh-CN"/>
                    </w:rPr>
                    <w:t>99</w:t>
                  </w:r>
                  <w:r>
                    <w:rPr>
                      <w:rFonts w:hint="default" w:ascii="Times New Roman" w:hAnsi="Times New Roman" w:cs="Times New Roman"/>
                      <w:color w:val="auto"/>
                      <w:spacing w:val="8"/>
                      <w:sz w:val="22"/>
                      <w:szCs w:val="22"/>
                      <w:u w:val="single" w:color="auto"/>
                    </w:rPr>
                    <w:t>人</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9"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1971"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白泥塘</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（东经：112.944131，北纬：28.518440）</w:t>
                  </w:r>
                </w:p>
              </w:tc>
              <w:tc>
                <w:tcPr>
                  <w:tcW w:w="1650"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ascii="Times New Roman" w:hAnsi="Times New Roman" w:cs="Times New Roman"/>
                      <w:color w:val="auto"/>
                      <w:kern w:val="0"/>
                      <w:sz w:val="22"/>
                      <w:szCs w:val="22"/>
                      <w:u w:val="single" w:color="auto"/>
                      <w:lang w:eastAsia="zh-CN" w:bidi="ar"/>
                    </w:rPr>
                    <w:t>东</w:t>
                  </w:r>
                  <w:r>
                    <w:rPr>
                      <w:rFonts w:hint="eastAsia" w:cs="Times New Roman"/>
                      <w:color w:val="auto"/>
                      <w:kern w:val="0"/>
                      <w:sz w:val="22"/>
                      <w:szCs w:val="22"/>
                      <w:u w:val="single" w:color="auto"/>
                      <w:lang w:eastAsia="zh-CN" w:bidi="ar"/>
                    </w:rPr>
                    <w:t>南</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1400</w:t>
                  </w:r>
                  <w:r>
                    <w:rPr>
                      <w:rFonts w:hint="eastAsia" w:ascii="Times New Roman" w:hAnsi="Times New Roman" w:cs="Times New Roman"/>
                      <w:color w:val="auto"/>
                      <w:kern w:val="0"/>
                      <w:sz w:val="22"/>
                      <w:szCs w:val="22"/>
                      <w:u w:val="single" w:color="auto"/>
                      <w:lang w:val="en-US" w:eastAsia="zh-CN" w:bidi="ar"/>
                    </w:rPr>
                    <w:t>m</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spacing w:val="8"/>
                      <w:sz w:val="22"/>
                      <w:szCs w:val="22"/>
                      <w:u w:val="single" w:color="auto"/>
                    </w:rPr>
                    <w:t>居住，约</w:t>
                  </w:r>
                  <w:r>
                    <w:rPr>
                      <w:rFonts w:hint="eastAsia" w:cs="Times New Roman"/>
                      <w:color w:val="auto"/>
                      <w:spacing w:val="8"/>
                      <w:sz w:val="22"/>
                      <w:szCs w:val="22"/>
                      <w:u w:val="single" w:color="auto"/>
                      <w:lang w:val="en-US" w:eastAsia="zh-CN"/>
                    </w:rPr>
                    <w:t>1</w:t>
                  </w:r>
                  <w:r>
                    <w:rPr>
                      <w:rFonts w:hint="eastAsia" w:ascii="Times New Roman" w:hAnsi="Times New Roman" w:cs="Times New Roman"/>
                      <w:color w:val="auto"/>
                      <w:spacing w:val="8"/>
                      <w:sz w:val="22"/>
                      <w:szCs w:val="22"/>
                      <w:u w:val="single" w:color="auto"/>
                      <w:lang w:val="en-US" w:eastAsia="zh-CN"/>
                    </w:rPr>
                    <w:t>7</w:t>
                  </w:r>
                  <w:r>
                    <w:rPr>
                      <w:rFonts w:hint="default" w:ascii="Times New Roman" w:hAnsi="Times New Roman" w:cs="Times New Roman"/>
                      <w:color w:val="auto"/>
                      <w:spacing w:val="8"/>
                      <w:sz w:val="22"/>
                      <w:szCs w:val="22"/>
                      <w:u w:val="single" w:color="auto"/>
                    </w:rPr>
                    <w:t>户，</w:t>
                  </w:r>
                  <w:r>
                    <w:rPr>
                      <w:rFonts w:hint="eastAsia" w:cs="Times New Roman"/>
                      <w:color w:val="auto"/>
                      <w:spacing w:val="8"/>
                      <w:sz w:val="22"/>
                      <w:szCs w:val="22"/>
                      <w:u w:val="single" w:color="auto"/>
                      <w:lang w:val="en-US" w:eastAsia="zh-CN"/>
                    </w:rPr>
                    <w:t>51</w:t>
                  </w:r>
                  <w:r>
                    <w:rPr>
                      <w:rFonts w:hint="default" w:ascii="Times New Roman" w:hAnsi="Times New Roman" w:cs="Times New Roman"/>
                      <w:color w:val="auto"/>
                      <w:spacing w:val="8"/>
                      <w:sz w:val="22"/>
                      <w:szCs w:val="22"/>
                      <w:u w:val="single" w:color="auto"/>
                    </w:rPr>
                    <w:t>人</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24"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1971" w:type="dxa"/>
                  <w:tcBorders>
                    <w:tl2br w:val="nil"/>
                    <w:tr2bl w:val="nil"/>
                  </w:tcBorders>
                  <w:vAlign w:val="center"/>
                </w:tcPr>
                <w:p>
                  <w:pPr>
                    <w:widowControl/>
                    <w:spacing w:line="360" w:lineRule="auto"/>
                    <w:jc w:val="center"/>
                    <w:textAlignment w:val="center"/>
                    <w:rPr>
                      <w:rFonts w:hint="eastAsia"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马鞍塘</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（东经：112.940998，北纬：28.520740）</w:t>
                  </w:r>
                </w:p>
              </w:tc>
              <w:tc>
                <w:tcPr>
                  <w:tcW w:w="1650" w:type="dxa"/>
                  <w:tcBorders>
                    <w:tl2br w:val="nil"/>
                    <w:tr2bl w:val="nil"/>
                  </w:tcBorders>
                  <w:vAlign w:val="center"/>
                </w:tcPr>
                <w:p>
                  <w:pPr>
                    <w:widowControl/>
                    <w:spacing w:line="360" w:lineRule="auto"/>
                    <w:jc w:val="center"/>
                    <w:textAlignment w:val="center"/>
                    <w:rPr>
                      <w:rFonts w:hint="eastAsia" w:ascii="Times New Roman" w:hAnsi="Times New Roman" w:cs="Times New Roman"/>
                      <w:color w:val="auto"/>
                      <w:kern w:val="0"/>
                      <w:sz w:val="22"/>
                      <w:szCs w:val="22"/>
                      <w:u w:val="single" w:color="auto"/>
                      <w:lang w:eastAsia="zh-CN" w:bidi="ar"/>
                    </w:rPr>
                  </w:pPr>
                  <w:r>
                    <w:rPr>
                      <w:rFonts w:hint="eastAsia" w:ascii="Times New Roman" w:hAnsi="Times New Roman" w:cs="Times New Roman"/>
                      <w:color w:val="auto"/>
                      <w:kern w:val="0"/>
                      <w:sz w:val="22"/>
                      <w:szCs w:val="22"/>
                      <w:u w:val="single" w:color="auto"/>
                      <w:lang w:eastAsia="zh-CN" w:bidi="ar"/>
                    </w:rPr>
                    <w:t>东，</w:t>
                  </w:r>
                  <w:r>
                    <w:rPr>
                      <w:rFonts w:hint="eastAsia" w:ascii="Times New Roman" w:hAnsi="Times New Roman" w:cs="Times New Roman"/>
                      <w:color w:val="auto"/>
                      <w:kern w:val="0"/>
                      <w:sz w:val="22"/>
                      <w:szCs w:val="22"/>
                      <w:u w:val="single" w:color="auto"/>
                      <w:lang w:val="en-US" w:eastAsia="zh-CN" w:bidi="ar"/>
                    </w:rPr>
                    <w:t>1000m</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spacing w:val="8"/>
                      <w:sz w:val="22"/>
                      <w:szCs w:val="22"/>
                      <w:u w:val="single" w:color="auto"/>
                    </w:rPr>
                    <w:t>居住，约</w:t>
                  </w:r>
                  <w:r>
                    <w:rPr>
                      <w:rFonts w:hint="eastAsia" w:ascii="Times New Roman" w:hAnsi="Times New Roman" w:cs="Times New Roman"/>
                      <w:color w:val="auto"/>
                      <w:spacing w:val="8"/>
                      <w:sz w:val="22"/>
                      <w:szCs w:val="22"/>
                      <w:u w:val="single" w:color="auto"/>
                      <w:lang w:val="en-US" w:eastAsia="zh-CN"/>
                    </w:rPr>
                    <w:t>7</w:t>
                  </w:r>
                  <w:r>
                    <w:rPr>
                      <w:rFonts w:hint="default" w:ascii="Times New Roman" w:hAnsi="Times New Roman" w:cs="Times New Roman"/>
                      <w:color w:val="auto"/>
                      <w:spacing w:val="8"/>
                      <w:sz w:val="22"/>
                      <w:szCs w:val="22"/>
                      <w:u w:val="single" w:color="auto"/>
                    </w:rPr>
                    <w:t>户，</w:t>
                  </w:r>
                  <w:r>
                    <w:rPr>
                      <w:rFonts w:hint="eastAsia" w:ascii="Times New Roman" w:hAnsi="Times New Roman" w:cs="Times New Roman"/>
                      <w:color w:val="auto"/>
                      <w:spacing w:val="8"/>
                      <w:sz w:val="22"/>
                      <w:szCs w:val="22"/>
                      <w:u w:val="single" w:color="auto"/>
                      <w:lang w:val="en-US" w:eastAsia="zh-CN"/>
                    </w:rPr>
                    <w:t>21</w:t>
                  </w:r>
                  <w:r>
                    <w:rPr>
                      <w:rFonts w:hint="default" w:ascii="Times New Roman" w:hAnsi="Times New Roman" w:cs="Times New Roman"/>
                      <w:color w:val="auto"/>
                      <w:spacing w:val="8"/>
                      <w:sz w:val="22"/>
                      <w:szCs w:val="22"/>
                      <w:u w:val="single" w:color="auto"/>
                    </w:rPr>
                    <w:t>人</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1971" w:type="dxa"/>
                  <w:tcBorders>
                    <w:tl2br w:val="nil"/>
                    <w:tr2bl w:val="nil"/>
                  </w:tcBorders>
                  <w:vAlign w:val="center"/>
                </w:tcPr>
                <w:p>
                  <w:pPr>
                    <w:widowControl/>
                    <w:spacing w:line="360" w:lineRule="auto"/>
                    <w:jc w:val="center"/>
                    <w:textAlignment w:val="center"/>
                    <w:rPr>
                      <w:rFonts w:hint="eastAsia"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庙塘垅</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（东经：112.945225，北纬：28.527263）</w:t>
                  </w:r>
                </w:p>
              </w:tc>
              <w:tc>
                <w:tcPr>
                  <w:tcW w:w="1650" w:type="dxa"/>
                  <w:tcBorders>
                    <w:tl2br w:val="nil"/>
                    <w:tr2bl w:val="nil"/>
                  </w:tcBorders>
                  <w:vAlign w:val="center"/>
                </w:tcPr>
                <w:p>
                  <w:pPr>
                    <w:widowControl/>
                    <w:spacing w:line="360" w:lineRule="auto"/>
                    <w:jc w:val="center"/>
                    <w:textAlignment w:val="center"/>
                    <w:rPr>
                      <w:rFonts w:hint="eastAsia" w:ascii="Times New Roman" w:hAnsi="Times New Roman" w:cs="Times New Roman"/>
                      <w:color w:val="auto"/>
                      <w:kern w:val="0"/>
                      <w:sz w:val="22"/>
                      <w:szCs w:val="22"/>
                      <w:u w:val="single" w:color="auto"/>
                      <w:lang w:eastAsia="zh-CN" w:bidi="ar"/>
                    </w:rPr>
                  </w:pPr>
                  <w:r>
                    <w:rPr>
                      <w:rFonts w:hint="eastAsia" w:ascii="Times New Roman" w:hAnsi="Times New Roman" w:cs="Times New Roman"/>
                      <w:color w:val="auto"/>
                      <w:kern w:val="0"/>
                      <w:sz w:val="22"/>
                      <w:szCs w:val="22"/>
                      <w:u w:val="single" w:color="auto"/>
                      <w:lang w:eastAsia="zh-CN" w:bidi="ar"/>
                    </w:rPr>
                    <w:t>东北，</w:t>
                  </w:r>
                  <w:r>
                    <w:rPr>
                      <w:rFonts w:hint="eastAsia" w:ascii="Times New Roman" w:hAnsi="Times New Roman" w:cs="Times New Roman"/>
                      <w:color w:val="auto"/>
                      <w:kern w:val="0"/>
                      <w:sz w:val="22"/>
                      <w:szCs w:val="22"/>
                      <w:u w:val="single" w:color="auto"/>
                      <w:lang w:val="en-US" w:eastAsia="zh-CN" w:bidi="ar"/>
                    </w:rPr>
                    <w:t>1500m</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spacing w:val="8"/>
                      <w:sz w:val="22"/>
                      <w:szCs w:val="22"/>
                      <w:u w:val="single" w:color="auto"/>
                    </w:rPr>
                    <w:t>居住，约</w:t>
                  </w:r>
                  <w:r>
                    <w:rPr>
                      <w:rFonts w:hint="eastAsia" w:ascii="Times New Roman" w:hAnsi="Times New Roman" w:cs="Times New Roman"/>
                      <w:color w:val="auto"/>
                      <w:spacing w:val="8"/>
                      <w:sz w:val="22"/>
                      <w:szCs w:val="22"/>
                      <w:u w:val="single" w:color="auto"/>
                      <w:lang w:val="en-US" w:eastAsia="zh-CN"/>
                    </w:rPr>
                    <w:t>40</w:t>
                  </w:r>
                  <w:r>
                    <w:rPr>
                      <w:rFonts w:hint="default" w:ascii="Times New Roman" w:hAnsi="Times New Roman" w:cs="Times New Roman"/>
                      <w:color w:val="auto"/>
                      <w:spacing w:val="8"/>
                      <w:sz w:val="22"/>
                      <w:szCs w:val="22"/>
                      <w:u w:val="single" w:color="auto"/>
                    </w:rPr>
                    <w:t>户，</w:t>
                  </w:r>
                  <w:r>
                    <w:rPr>
                      <w:rFonts w:hint="eastAsia" w:ascii="Times New Roman" w:hAnsi="Times New Roman" w:cs="Times New Roman"/>
                      <w:color w:val="auto"/>
                      <w:spacing w:val="8"/>
                      <w:sz w:val="22"/>
                      <w:szCs w:val="22"/>
                      <w:u w:val="single" w:color="auto"/>
                      <w:lang w:val="en-US" w:eastAsia="zh-CN"/>
                    </w:rPr>
                    <w:t>120</w:t>
                  </w:r>
                  <w:r>
                    <w:rPr>
                      <w:rFonts w:hint="default" w:ascii="Times New Roman" w:hAnsi="Times New Roman" w:cs="Times New Roman"/>
                      <w:color w:val="auto"/>
                      <w:spacing w:val="8"/>
                      <w:sz w:val="22"/>
                      <w:szCs w:val="22"/>
                      <w:u w:val="single" w:color="auto"/>
                    </w:rPr>
                    <w:t>人</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720"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kern w:val="0"/>
                      <w:sz w:val="22"/>
                      <w:szCs w:val="22"/>
                      <w:u w:val="single" w:color="auto"/>
                      <w:lang w:bidi="ar"/>
                    </w:rPr>
                    <w:t>声环境</w:t>
                  </w:r>
                </w:p>
              </w:tc>
              <w:tc>
                <w:tcPr>
                  <w:tcW w:w="1971"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cs="Times New Roman"/>
                      <w:color w:val="auto"/>
                      <w:spacing w:val="8"/>
                      <w:sz w:val="22"/>
                      <w:szCs w:val="22"/>
                      <w:u w:val="single" w:color="auto"/>
                      <w:lang w:eastAsia="zh-CN"/>
                    </w:rPr>
                    <w:t>文家龙</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（东经：112.932243，北纬：28.521230）</w:t>
                  </w:r>
                </w:p>
              </w:tc>
              <w:tc>
                <w:tcPr>
                  <w:tcW w:w="1650"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cs="Times New Roman"/>
                      <w:color w:val="auto"/>
                      <w:kern w:val="0"/>
                      <w:sz w:val="22"/>
                      <w:szCs w:val="22"/>
                      <w:u w:val="single" w:color="auto"/>
                      <w:lang w:eastAsia="zh-CN" w:bidi="ar"/>
                    </w:rPr>
                    <w:t>南</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180</w:t>
                  </w:r>
                  <w:r>
                    <w:rPr>
                      <w:rFonts w:hint="eastAsia" w:ascii="Times New Roman" w:hAnsi="Times New Roman" w:cs="Times New Roman"/>
                      <w:color w:val="auto"/>
                      <w:kern w:val="0"/>
                      <w:sz w:val="22"/>
                      <w:szCs w:val="22"/>
                      <w:u w:val="single" w:color="auto"/>
                      <w:lang w:val="en-US" w:eastAsia="zh-CN" w:bidi="ar"/>
                    </w:rPr>
                    <w:t>m</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default" w:ascii="Times New Roman" w:hAnsi="Times New Roman" w:cs="Times New Roman"/>
                      <w:color w:val="auto"/>
                      <w:spacing w:val="8"/>
                      <w:sz w:val="22"/>
                      <w:szCs w:val="22"/>
                      <w:u w:val="single" w:color="auto"/>
                    </w:rPr>
                    <w:t>居住，约</w:t>
                  </w:r>
                  <w:r>
                    <w:rPr>
                      <w:rFonts w:hint="eastAsia" w:cs="Times New Roman"/>
                      <w:color w:val="auto"/>
                      <w:spacing w:val="8"/>
                      <w:sz w:val="22"/>
                      <w:szCs w:val="22"/>
                      <w:u w:val="single" w:color="auto"/>
                      <w:lang w:val="en-US" w:eastAsia="zh-CN"/>
                    </w:rPr>
                    <w:t>26</w:t>
                  </w:r>
                  <w:r>
                    <w:rPr>
                      <w:rFonts w:hint="default" w:ascii="Times New Roman" w:hAnsi="Times New Roman" w:cs="Times New Roman"/>
                      <w:color w:val="auto"/>
                      <w:spacing w:val="8"/>
                      <w:sz w:val="22"/>
                      <w:szCs w:val="22"/>
                      <w:u w:val="single" w:color="auto"/>
                    </w:rPr>
                    <w:t>户，</w:t>
                  </w:r>
                  <w:r>
                    <w:rPr>
                      <w:rFonts w:hint="eastAsia" w:cs="Times New Roman"/>
                      <w:color w:val="auto"/>
                      <w:spacing w:val="8"/>
                      <w:sz w:val="22"/>
                      <w:szCs w:val="22"/>
                      <w:u w:val="single" w:color="auto"/>
                      <w:lang w:val="en-US" w:eastAsia="zh-CN"/>
                    </w:rPr>
                    <w:t>78</w:t>
                  </w:r>
                  <w:r>
                    <w:rPr>
                      <w:rFonts w:hint="default" w:ascii="Times New Roman" w:hAnsi="Times New Roman" w:cs="Times New Roman"/>
                      <w:color w:val="auto"/>
                      <w:spacing w:val="8"/>
                      <w:sz w:val="22"/>
                      <w:szCs w:val="22"/>
                      <w:u w:val="single" w:color="auto"/>
                    </w:rPr>
                    <w:t>人</w:t>
                  </w:r>
                </w:p>
              </w:tc>
              <w:tc>
                <w:tcPr>
                  <w:tcW w:w="2275"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sz w:val="22"/>
                      <w:szCs w:val="22"/>
                      <w:u w:val="single" w:color="auto"/>
                    </w:rPr>
                    <w:t>《声环境质量标准》（GB3096-2008）</w:t>
                  </w:r>
                  <w:r>
                    <w:rPr>
                      <w:rFonts w:hint="eastAsia" w:ascii="Times New Roman" w:hAnsi="Times New Roman" w:cs="Times New Roman"/>
                      <w:color w:val="auto"/>
                      <w:sz w:val="22"/>
                      <w:szCs w:val="22"/>
                      <w:u w:val="single" w:color="auto"/>
                      <w:lang w:val="en-US" w:eastAsia="zh-CN"/>
                    </w:rPr>
                    <w:t>2</w:t>
                  </w:r>
                  <w:r>
                    <w:rPr>
                      <w:rFonts w:hint="default" w:ascii="Times New Roman" w:hAnsi="Times New Roman" w:cs="Times New Roman"/>
                      <w:color w:val="auto"/>
                      <w:sz w:val="22"/>
                      <w:szCs w:val="22"/>
                      <w:u w:val="single" w:color="auto"/>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720"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kern w:val="0"/>
                      <w:sz w:val="22"/>
                      <w:szCs w:val="22"/>
                      <w:u w:val="single" w:color="auto"/>
                      <w:lang w:bidi="ar"/>
                    </w:rPr>
                    <w:t>水环境</w:t>
                  </w:r>
                </w:p>
              </w:tc>
              <w:tc>
                <w:tcPr>
                  <w:tcW w:w="1971"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kern w:val="0"/>
                      <w:sz w:val="22"/>
                      <w:szCs w:val="22"/>
                      <w:u w:val="single" w:color="auto"/>
                      <w:lang w:eastAsia="zh-CN" w:bidi="ar"/>
                    </w:rPr>
                  </w:pPr>
                  <w:r>
                    <w:rPr>
                      <w:rFonts w:hint="eastAsia" w:cs="Times New Roman"/>
                      <w:color w:val="auto"/>
                      <w:sz w:val="22"/>
                      <w:szCs w:val="22"/>
                      <w:u w:val="single" w:color="auto"/>
                      <w:lang w:eastAsia="zh-CN" w:bidi="ar"/>
                    </w:rPr>
                    <w:t>洋沙河</w:t>
                  </w:r>
                </w:p>
              </w:tc>
              <w:tc>
                <w:tcPr>
                  <w:tcW w:w="1650"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kern w:val="0"/>
                      <w:sz w:val="22"/>
                      <w:szCs w:val="22"/>
                      <w:u w:val="single" w:color="auto"/>
                      <w:lang w:eastAsia="zh-CN" w:bidi="ar"/>
                    </w:rPr>
                  </w:pPr>
                  <w:r>
                    <w:rPr>
                      <w:rFonts w:hint="eastAsia" w:cs="Times New Roman"/>
                      <w:bCs/>
                      <w:color w:val="auto"/>
                      <w:sz w:val="22"/>
                      <w:szCs w:val="22"/>
                      <w:u w:val="single" w:color="auto"/>
                      <w:lang w:eastAsia="zh-CN"/>
                    </w:rPr>
                    <w:t>小河</w:t>
                  </w:r>
                </w:p>
              </w:tc>
              <w:tc>
                <w:tcPr>
                  <w:tcW w:w="240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ascii="Times New Roman" w:hAnsi="Times New Roman" w:cs="Times New Roman"/>
                      <w:color w:val="auto"/>
                      <w:sz w:val="22"/>
                      <w:szCs w:val="22"/>
                      <w:u w:val="single" w:color="auto"/>
                      <w:lang w:eastAsia="zh-CN" w:bidi="ar"/>
                    </w:rPr>
                    <w:t>西</w:t>
                  </w:r>
                  <w:r>
                    <w:rPr>
                      <w:rFonts w:hint="eastAsia" w:cs="Times New Roman"/>
                      <w:color w:val="auto"/>
                      <w:sz w:val="22"/>
                      <w:szCs w:val="22"/>
                      <w:u w:val="single" w:color="auto"/>
                      <w:lang w:val="en-US" w:eastAsia="zh-CN" w:bidi="ar"/>
                    </w:rPr>
                    <w:t>3.4</w:t>
                  </w:r>
                  <w:r>
                    <w:rPr>
                      <w:rFonts w:hint="default" w:ascii="Times New Roman" w:hAnsi="Times New Roman" w:cs="Times New Roman"/>
                      <w:color w:val="auto"/>
                      <w:sz w:val="22"/>
                      <w:szCs w:val="22"/>
                      <w:u w:val="single" w:color="auto"/>
                      <w:lang w:bidi="ar"/>
                    </w:rPr>
                    <w:t>km</w:t>
                  </w:r>
                </w:p>
              </w:tc>
              <w:tc>
                <w:tcPr>
                  <w:tcW w:w="2275"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eastAsia"/>
                      <w:color w:val="auto"/>
                      <w:sz w:val="24"/>
                      <w:u w:val="single" w:color="auto"/>
                    </w:rPr>
                    <w:t>《</w:t>
                  </w:r>
                  <w:r>
                    <w:rPr>
                      <w:rFonts w:hint="eastAsia"/>
                      <w:color w:val="auto"/>
                      <w:szCs w:val="21"/>
                      <w:u w:val="single" w:color="auto"/>
                    </w:rPr>
                    <w:t>地表水环境质量标准（</w:t>
                  </w:r>
                  <w:r>
                    <w:rPr>
                      <w:color w:val="auto"/>
                      <w:szCs w:val="21"/>
                      <w:u w:val="single" w:color="auto"/>
                    </w:rPr>
                    <w:t>GB3838-2002</w:t>
                  </w:r>
                  <w:r>
                    <w:rPr>
                      <w:rFonts w:hint="eastAsia"/>
                      <w:color w:val="auto"/>
                      <w:szCs w:val="21"/>
                      <w:u w:val="single" w:color="auto"/>
                    </w:rPr>
                    <w:t>）》中</w:t>
                  </w:r>
                  <w:r>
                    <w:rPr>
                      <w:rFonts w:hint="default" w:ascii="Times New Roman" w:hAnsi="Times New Roman" w:cs="Times New Roman"/>
                      <w:color w:val="auto"/>
                      <w:sz w:val="22"/>
                      <w:szCs w:val="22"/>
                      <w:u w:val="single" w:color="auto"/>
                    </w:rPr>
                    <w:t>Ⅲ</w:t>
                  </w:r>
                  <w:r>
                    <w:rPr>
                      <w:rFonts w:hint="eastAsia"/>
                      <w:color w:val="auto"/>
                      <w:szCs w:val="21"/>
                      <w:u w:val="single" w:color="auto"/>
                    </w:rPr>
                    <w:t>类标准</w:t>
                  </w:r>
                </w:p>
              </w:tc>
            </w:tr>
          </w:tbl>
          <w:p>
            <w:pPr>
              <w:snapToGrid w:val="0"/>
              <w:spacing w:line="360" w:lineRule="auto"/>
              <w:ind w:firstLine="462" w:firstLineChars="200"/>
              <w:rPr>
                <w:bCs/>
                <w:color w:val="auto"/>
                <w:sz w:val="24"/>
                <w:u w:val="none" w:color="auto"/>
              </w:rPr>
            </w:pPr>
          </w:p>
          <w:p>
            <w:pPr>
              <w:snapToGrid w:val="0"/>
              <w:jc w:val="center"/>
              <w:rPr>
                <w:color w:val="auto"/>
                <w:u w:val="none" w:color="auto"/>
              </w:rPr>
            </w:pPr>
            <w:r>
              <w:rPr>
                <w:rFonts w:hAnsi="宋体"/>
                <w:color w:val="auto"/>
                <w:sz w:val="24"/>
                <w:szCs w:val="24"/>
                <w:u w:val="none" w:color="auto"/>
              </w:rPr>
              <w:cr/>
            </w:r>
            <w:r>
              <w:rPr>
                <w:rFonts w:hAnsi="宋体"/>
                <w:color w:val="auto"/>
                <w:sz w:val="24"/>
                <w:szCs w:val="24"/>
                <w:u w:val="none" w:color="auto"/>
              </w:rPr>
              <w:t xml:space="preserve">  </w:t>
            </w:r>
          </w:p>
        </w:tc>
      </w:tr>
    </w:tbl>
    <w:p>
      <w:pPr>
        <w:snapToGrid w:val="0"/>
        <w:textAlignment w:val="baseline"/>
        <w:outlineLvl w:val="0"/>
        <w:rPr>
          <w:rFonts w:eastAsia="黑体"/>
          <w:color w:val="auto"/>
          <w:sz w:val="32"/>
          <w:u w:val="none" w:color="auto"/>
        </w:rPr>
      </w:pPr>
      <w:r>
        <w:rPr>
          <w:color w:val="auto"/>
          <w:u w:val="none" w:color="auto"/>
        </w:rPr>
        <w:br w:type="page"/>
      </w:r>
      <w:bookmarkStart w:id="4" w:name="_Toc28966"/>
      <w:r>
        <w:rPr>
          <w:rFonts w:hint="default" w:ascii="Times New Roman" w:hAnsi="Times New Roman" w:eastAsia="黑体" w:cs="Times New Roman"/>
          <w:color w:val="auto"/>
          <w:sz w:val="32"/>
          <w:szCs w:val="32"/>
          <w:u w:val="none" w:color="auto"/>
        </w:rPr>
        <w:t>四、</w:t>
      </w:r>
      <w:r>
        <w:rPr>
          <w:rFonts w:hint="default" w:ascii="Times New Roman" w:hAnsi="Times New Roman" w:eastAsia="黑体" w:cs="Times New Roman"/>
          <w:color w:val="auto"/>
          <w:sz w:val="32"/>
          <w:u w:val="none" w:color="auto"/>
        </w:rPr>
        <w:t>评价适用标准</w:t>
      </w:r>
      <w:bookmarkEnd w:id="4"/>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2"/>
        <w:gridCol w:w="86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74"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环境质量标准</w:t>
            </w:r>
          </w:p>
        </w:tc>
        <w:tc>
          <w:tcPr>
            <w:tcW w:w="8676" w:type="dxa"/>
            <w:vAlign w:val="center"/>
          </w:tcPr>
          <w:p>
            <w:pPr>
              <w:pStyle w:val="172"/>
              <w:numPr>
                <w:ilvl w:val="0"/>
                <w:numId w:val="0"/>
              </w:numPr>
              <w:spacing w:line="360" w:lineRule="auto"/>
              <w:rPr>
                <w:rFonts w:hint="eastAsia" w:eastAsia="宋体"/>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1</w:t>
            </w:r>
            <w:r>
              <w:rPr>
                <w:rFonts w:hint="eastAsia" w:cs="Times New Roman"/>
                <w:color w:val="auto"/>
                <w:sz w:val="24"/>
                <w:szCs w:val="24"/>
                <w:u w:val="none" w:color="auto"/>
                <w:lang w:val="en-US" w:eastAsia="zh-CN"/>
              </w:rPr>
              <w:t>、</w:t>
            </w:r>
            <w:r>
              <w:rPr>
                <w:color w:val="auto"/>
                <w:sz w:val="24"/>
                <w:szCs w:val="24"/>
                <w:u w:val="none" w:color="auto"/>
              </w:rPr>
              <w:t>环境空气质量：</w:t>
            </w:r>
            <w:r>
              <w:rPr>
                <w:rFonts w:hint="default"/>
                <w:color w:val="auto"/>
                <w:sz w:val="24"/>
                <w:szCs w:val="24"/>
                <w:u w:val="none" w:color="auto"/>
              </w:rPr>
              <w:t>SO</w:t>
            </w:r>
            <w:r>
              <w:rPr>
                <w:rFonts w:hint="default"/>
                <w:color w:val="auto"/>
                <w:sz w:val="24"/>
                <w:szCs w:val="24"/>
                <w:u w:val="none" w:color="auto"/>
                <w:vertAlign w:val="subscript"/>
              </w:rPr>
              <w:t>2</w:t>
            </w:r>
            <w:r>
              <w:rPr>
                <w:rFonts w:hint="default"/>
                <w:color w:val="auto"/>
                <w:sz w:val="24"/>
                <w:szCs w:val="24"/>
                <w:u w:val="none" w:color="auto"/>
              </w:rPr>
              <w:t>、NO</w:t>
            </w:r>
            <w:r>
              <w:rPr>
                <w:rFonts w:hint="default"/>
                <w:color w:val="auto"/>
                <w:sz w:val="24"/>
                <w:szCs w:val="24"/>
                <w:u w:val="none" w:color="auto"/>
                <w:vertAlign w:val="subscript"/>
              </w:rPr>
              <w:t>2</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vertAlign w:val="baseline"/>
                <w:lang w:eastAsia="zh-CN"/>
              </w:rPr>
              <w:t>、</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w:t>
            </w:r>
            <w:r>
              <w:rPr>
                <w:rFonts w:hint="eastAsia" w:ascii="Times New Roman" w:hAnsi="Times New Roman" w:cs="Times New Roman"/>
                <w:color w:val="auto"/>
                <w:sz w:val="24"/>
                <w:szCs w:val="24"/>
                <w:u w:val="none" w:color="auto"/>
                <w:lang w:val="en-US" w:eastAsia="zh-CN"/>
              </w:rPr>
              <w:t>C</w:t>
            </w:r>
            <w:r>
              <w:rPr>
                <w:rFonts w:hint="default" w:ascii="Times New Roman" w:hAnsi="Times New Roman" w:cs="Times New Roman"/>
                <w:color w:val="auto"/>
                <w:sz w:val="24"/>
                <w:szCs w:val="24"/>
                <w:u w:val="none" w:color="auto"/>
              </w:rPr>
              <w:t>O</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O</w:t>
            </w:r>
            <w:r>
              <w:rPr>
                <w:rFonts w:hint="eastAsia" w:ascii="Times New Roman" w:hAnsi="Times New Roman" w:cs="Times New Roman"/>
                <w:color w:val="auto"/>
                <w:sz w:val="24"/>
                <w:szCs w:val="24"/>
                <w:u w:val="none" w:color="auto"/>
                <w:vertAlign w:val="subscript"/>
                <w:lang w:val="en-US" w:eastAsia="zh-CN"/>
              </w:rPr>
              <w:t>3</w:t>
            </w:r>
            <w:r>
              <w:rPr>
                <w:rFonts w:hint="default"/>
                <w:color w:val="auto"/>
                <w:sz w:val="24"/>
                <w:szCs w:val="24"/>
                <w:u w:val="none" w:color="auto"/>
              </w:rPr>
              <w:t>执行《环境空气质量标准》（GB3095-2012）中的二级标准</w:t>
            </w:r>
            <w:r>
              <w:rPr>
                <w:rFonts w:hint="eastAsia"/>
                <w:color w:val="auto"/>
                <w:sz w:val="24"/>
                <w:szCs w:val="24"/>
                <w:u w:val="none" w:color="auto"/>
                <w:lang w:eastAsia="zh-CN"/>
              </w:rPr>
              <w:t>。</w:t>
            </w:r>
            <w:r>
              <w:rPr>
                <w:rFonts w:hint="default"/>
                <w:color w:val="auto"/>
                <w:sz w:val="24"/>
                <w:szCs w:val="24"/>
                <w:u w:val="none" w:color="auto"/>
              </w:rPr>
              <w:t>TVOC满足《环境影响评价技术导则 大气环境》（HJ2.2-2018）附录D中相应的标准</w:t>
            </w:r>
            <w:r>
              <w:rPr>
                <w:rFonts w:hint="eastAsia"/>
                <w:color w:val="auto"/>
                <w:sz w:val="24"/>
                <w:szCs w:val="24"/>
                <w:u w:val="none" w:color="auto"/>
                <w:lang w:eastAsia="zh-CN"/>
              </w:rPr>
              <w:t>。</w:t>
            </w:r>
          </w:p>
          <w:p>
            <w:pPr>
              <w:pStyle w:val="186"/>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4-1</w:t>
            </w:r>
            <w:r>
              <w:rPr>
                <w:rFonts w:hint="default"/>
                <w:color w:val="auto"/>
                <w:u w:val="none" w:color="auto"/>
                <w:lang w:val="en-US" w:eastAsia="zh-CN"/>
              </w:rPr>
              <w:t xml:space="preserve">   环境空气质量标准  单位：ug/m</w:t>
            </w:r>
            <w:r>
              <w:rPr>
                <w:rFonts w:hint="default"/>
                <w:color w:val="auto"/>
                <w:u w:val="none" w:color="auto"/>
                <w:vertAlign w:val="superscript"/>
                <w:lang w:val="en-US" w:eastAsia="zh-CN"/>
              </w:rPr>
              <w:t>3</w:t>
            </w:r>
          </w:p>
          <w:tbl>
            <w:tblPr>
              <w:tblStyle w:val="39"/>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9"/>
              <w:gridCol w:w="1757"/>
              <w:gridCol w:w="1787"/>
              <w:gridCol w:w="1781"/>
              <w:gridCol w:w="17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restart"/>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污染物名称</w:t>
                  </w:r>
                </w:p>
              </w:tc>
              <w:tc>
                <w:tcPr>
                  <w:tcW w:w="7101" w:type="dxa"/>
                  <w:gridSpan w:val="4"/>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continue"/>
                  <w:tcBorders>
                    <w:tl2br w:val="nil"/>
                    <w:tr2bl w:val="nil"/>
                  </w:tcBorders>
                  <w:noWrap w:val="0"/>
                  <w:vAlign w:val="center"/>
                </w:tcPr>
                <w:p>
                  <w:pPr>
                    <w:pStyle w:val="184"/>
                    <w:rPr>
                      <w:rFonts w:hint="default"/>
                      <w:color w:val="auto"/>
                      <w:sz w:val="22"/>
                      <w:szCs w:val="22"/>
                      <w:u w:val="none" w:color="auto"/>
                    </w:rPr>
                  </w:pPr>
                </w:p>
              </w:tc>
              <w:tc>
                <w:tcPr>
                  <w:tcW w:w="175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1小时平均</w:t>
                  </w:r>
                </w:p>
              </w:tc>
              <w:tc>
                <w:tcPr>
                  <w:tcW w:w="178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日平均</w:t>
                  </w:r>
                </w:p>
              </w:tc>
              <w:tc>
                <w:tcPr>
                  <w:tcW w:w="1781" w:type="dxa"/>
                  <w:tcBorders>
                    <w:tl2br w:val="nil"/>
                    <w:tr2bl w:val="nil"/>
                  </w:tcBorders>
                  <w:noWrap w:val="0"/>
                  <w:vAlign w:val="center"/>
                </w:tcPr>
                <w:p>
                  <w:pPr>
                    <w:pStyle w:val="184"/>
                    <w:rPr>
                      <w:rFonts w:hint="default"/>
                      <w:color w:val="auto"/>
                      <w:sz w:val="22"/>
                      <w:szCs w:val="22"/>
                      <w:u w:val="none" w:color="auto"/>
                    </w:rPr>
                  </w:pPr>
                  <w:r>
                    <w:rPr>
                      <w:color w:val="auto"/>
                      <w:sz w:val="22"/>
                      <w:szCs w:val="22"/>
                      <w:u w:val="none" w:color="auto"/>
                    </w:rPr>
                    <w:t>8小时均值</w:t>
                  </w:r>
                </w:p>
              </w:tc>
              <w:tc>
                <w:tcPr>
                  <w:tcW w:w="1776"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eastAsia="zh-CN"/>
                    </w:rPr>
                    <w:t>年均值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500</w:t>
                  </w:r>
                </w:p>
              </w:tc>
              <w:tc>
                <w:tcPr>
                  <w:tcW w:w="178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150</w:t>
                  </w:r>
                </w:p>
              </w:tc>
              <w:tc>
                <w:tcPr>
                  <w:tcW w:w="1781" w:type="dxa"/>
                  <w:tcBorders>
                    <w:tl2br w:val="nil"/>
                    <w:tr2bl w:val="nil"/>
                  </w:tcBorders>
                  <w:noWrap w:val="0"/>
                  <w:vAlign w:val="center"/>
                </w:tcPr>
                <w:p>
                  <w:pPr>
                    <w:pStyle w:val="184"/>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200</w:t>
                  </w:r>
                </w:p>
              </w:tc>
              <w:tc>
                <w:tcPr>
                  <w:tcW w:w="178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80</w:t>
                  </w:r>
                </w:p>
              </w:tc>
              <w:tc>
                <w:tcPr>
                  <w:tcW w:w="1781" w:type="dxa"/>
                  <w:tcBorders>
                    <w:tl2br w:val="nil"/>
                    <w:tr2bl w:val="nil"/>
                  </w:tcBorders>
                  <w:noWrap w:val="0"/>
                  <w:vAlign w:val="center"/>
                </w:tcPr>
                <w:p>
                  <w:pPr>
                    <w:pStyle w:val="184"/>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75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w:t>
                  </w:r>
                </w:p>
              </w:tc>
              <w:tc>
                <w:tcPr>
                  <w:tcW w:w="1787"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val="en-US" w:eastAsia="zh-CN"/>
                    </w:rPr>
                    <w:t>150</w:t>
                  </w:r>
                </w:p>
              </w:tc>
              <w:tc>
                <w:tcPr>
                  <w:tcW w:w="1781" w:type="dxa"/>
                  <w:tcBorders>
                    <w:tl2br w:val="nil"/>
                    <w:tr2bl w:val="nil"/>
                  </w:tcBorders>
                  <w:noWrap w:val="0"/>
                  <w:vAlign w:val="center"/>
                </w:tcPr>
                <w:p>
                  <w:pPr>
                    <w:pStyle w:val="184"/>
                    <w:rPr>
                      <w:rFonts w:hint="eastAsia"/>
                      <w:color w:val="auto"/>
                      <w:sz w:val="22"/>
                      <w:szCs w:val="22"/>
                      <w:u w:val="none" w:color="auto"/>
                      <w:lang w:val="en-US" w:eastAsia="zh-CN"/>
                    </w:rPr>
                  </w:pPr>
                  <w:r>
                    <w:rPr>
                      <w:color w:val="auto"/>
                      <w:sz w:val="22"/>
                      <w:szCs w:val="22"/>
                      <w:u w:val="none" w:color="auto"/>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default" w:ascii="Times New Roman" w:hAnsi="Times New Roman" w:cs="Times New Roman"/>
                      <w:color w:val="auto"/>
                      <w:sz w:val="22"/>
                      <w:szCs w:val="22"/>
                      <w:u w:val="none" w:color="auto"/>
                    </w:rPr>
                    <w:t>PM</w:t>
                  </w:r>
                  <w:r>
                    <w:rPr>
                      <w:rFonts w:hint="eastAsia" w:ascii="Times New Roman" w:hAnsi="Times New Roman" w:cs="Times New Roman"/>
                      <w:color w:val="auto"/>
                      <w:sz w:val="22"/>
                      <w:szCs w:val="22"/>
                      <w:u w:val="none" w:color="auto"/>
                      <w:vertAlign w:val="subscript"/>
                      <w:lang w:val="en-US" w:eastAsia="zh-CN"/>
                    </w:rPr>
                    <w:t>2.5</w:t>
                  </w:r>
                </w:p>
              </w:tc>
              <w:tc>
                <w:tcPr>
                  <w:tcW w:w="1757"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87" w:type="dxa"/>
                  <w:tcBorders>
                    <w:tl2br w:val="nil"/>
                    <w:tr2bl w:val="nil"/>
                  </w:tcBorders>
                  <w:noWrap w:val="0"/>
                  <w:vAlign w:val="center"/>
                </w:tcPr>
                <w:p>
                  <w:pPr>
                    <w:pStyle w:val="184"/>
                    <w:rPr>
                      <w:rFonts w:hint="eastAsia"/>
                      <w:color w:val="auto"/>
                      <w:sz w:val="22"/>
                      <w:szCs w:val="22"/>
                      <w:u w:val="none" w:color="auto"/>
                      <w:lang w:val="en-US" w:eastAsia="zh-CN"/>
                    </w:rPr>
                  </w:pPr>
                  <w:r>
                    <w:rPr>
                      <w:rFonts w:hint="eastAsia"/>
                      <w:color w:val="auto"/>
                      <w:sz w:val="22"/>
                      <w:szCs w:val="22"/>
                      <w:u w:val="none" w:color="auto"/>
                      <w:lang w:val="en-US" w:eastAsia="zh-CN"/>
                    </w:rPr>
                    <w:t>75</w:t>
                  </w:r>
                </w:p>
              </w:tc>
              <w:tc>
                <w:tcPr>
                  <w:tcW w:w="1781"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eastAsia" w:ascii="Times New Roman" w:hAnsi="Times New Roman" w:cs="Times New Roman"/>
                      <w:color w:val="auto"/>
                      <w:sz w:val="22"/>
                      <w:szCs w:val="22"/>
                      <w:u w:val="none" w:color="auto"/>
                      <w:lang w:val="en-US" w:eastAsia="zh-CN"/>
                    </w:rPr>
                    <w:t>C</w:t>
                  </w:r>
                  <w:r>
                    <w:rPr>
                      <w:rFonts w:hint="default" w:ascii="Times New Roman" w:hAnsi="Times New Roman" w:cs="Times New Roman"/>
                      <w:color w:val="auto"/>
                      <w:sz w:val="22"/>
                      <w:szCs w:val="22"/>
                      <w:u w:val="none" w:color="auto"/>
                    </w:rPr>
                    <w:t>O</w:t>
                  </w:r>
                </w:p>
              </w:tc>
              <w:tc>
                <w:tcPr>
                  <w:tcW w:w="1757"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10000</w:t>
                  </w:r>
                </w:p>
              </w:tc>
              <w:tc>
                <w:tcPr>
                  <w:tcW w:w="1787" w:type="dxa"/>
                  <w:tcBorders>
                    <w:tl2br w:val="nil"/>
                    <w:tr2bl w:val="nil"/>
                  </w:tcBorders>
                  <w:noWrap w:val="0"/>
                  <w:vAlign w:val="center"/>
                </w:tcPr>
                <w:p>
                  <w:pPr>
                    <w:pStyle w:val="184"/>
                    <w:rPr>
                      <w:rFonts w:hint="eastAsia"/>
                      <w:color w:val="auto"/>
                      <w:sz w:val="22"/>
                      <w:szCs w:val="22"/>
                      <w:u w:val="none" w:color="auto"/>
                      <w:lang w:val="en-US" w:eastAsia="zh-CN"/>
                    </w:rPr>
                  </w:pPr>
                  <w:r>
                    <w:rPr>
                      <w:rFonts w:hint="eastAsia"/>
                      <w:color w:val="auto"/>
                      <w:sz w:val="22"/>
                      <w:szCs w:val="22"/>
                      <w:u w:val="none" w:color="auto"/>
                      <w:lang w:val="en-US" w:eastAsia="zh-CN"/>
                    </w:rPr>
                    <w:t>4000</w:t>
                  </w:r>
                </w:p>
              </w:tc>
              <w:tc>
                <w:tcPr>
                  <w:tcW w:w="1781"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default" w:ascii="Times New Roman" w:hAnsi="Times New Roman" w:cs="Times New Roman"/>
                      <w:color w:val="auto"/>
                      <w:sz w:val="22"/>
                      <w:szCs w:val="22"/>
                      <w:u w:val="none" w:color="auto"/>
                    </w:rPr>
                    <w:t>O</w:t>
                  </w:r>
                  <w:r>
                    <w:rPr>
                      <w:rFonts w:hint="eastAsia" w:ascii="Times New Roman" w:hAnsi="Times New Roman" w:cs="Times New Roman"/>
                      <w:color w:val="auto"/>
                      <w:sz w:val="22"/>
                      <w:szCs w:val="22"/>
                      <w:u w:val="none" w:color="auto"/>
                      <w:vertAlign w:val="subscript"/>
                      <w:lang w:val="en-US" w:eastAsia="zh-CN"/>
                    </w:rPr>
                    <w:t>3</w:t>
                  </w:r>
                </w:p>
              </w:tc>
              <w:tc>
                <w:tcPr>
                  <w:tcW w:w="1757"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200</w:t>
                  </w:r>
                </w:p>
              </w:tc>
              <w:tc>
                <w:tcPr>
                  <w:tcW w:w="1787" w:type="dxa"/>
                  <w:tcBorders>
                    <w:tl2br w:val="nil"/>
                    <w:tr2bl w:val="nil"/>
                  </w:tcBorders>
                  <w:noWrap w:val="0"/>
                  <w:vAlign w:val="center"/>
                </w:tcPr>
                <w:p>
                  <w:pPr>
                    <w:pStyle w:val="184"/>
                    <w:rPr>
                      <w:rFonts w:hint="eastAsia"/>
                      <w:color w:val="auto"/>
                      <w:sz w:val="22"/>
                      <w:szCs w:val="22"/>
                      <w:u w:val="none" w:color="auto"/>
                      <w:lang w:val="en-US" w:eastAsia="zh-CN"/>
                    </w:rPr>
                  </w:pPr>
                  <w:r>
                    <w:rPr>
                      <w:rFonts w:hint="eastAsia"/>
                      <w:color w:val="auto"/>
                      <w:sz w:val="22"/>
                      <w:szCs w:val="22"/>
                      <w:u w:val="none" w:color="auto"/>
                      <w:lang w:val="en-US" w:eastAsia="zh-CN"/>
                    </w:rPr>
                    <w:t>/</w:t>
                  </w:r>
                </w:p>
              </w:tc>
              <w:tc>
                <w:tcPr>
                  <w:tcW w:w="1781"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160</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bl>
          <w:p>
            <w:pPr>
              <w:pStyle w:val="186"/>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4-2</w:t>
            </w:r>
            <w:r>
              <w:rPr>
                <w:rFonts w:hint="default"/>
                <w:color w:val="auto"/>
                <w:u w:val="none" w:color="auto"/>
                <w:lang w:val="en-US" w:eastAsia="zh-CN"/>
              </w:rPr>
              <w:t xml:space="preserve">   </w:t>
            </w:r>
            <w:r>
              <w:rPr>
                <w:rFonts w:hint="default"/>
                <w:color w:val="auto"/>
                <w:u w:val="none" w:color="auto"/>
              </w:rPr>
              <w:t>附录D</w:t>
            </w:r>
            <w:r>
              <w:rPr>
                <w:rFonts w:hint="eastAsia"/>
                <w:color w:val="auto"/>
                <w:u w:val="none" w:color="auto"/>
                <w:lang w:val="en-US" w:eastAsia="zh-CN"/>
              </w:rPr>
              <w:t>其他污染物空气质量浓度参考限值</w:t>
            </w:r>
            <w:r>
              <w:rPr>
                <w:rFonts w:hint="default"/>
                <w:color w:val="auto"/>
                <w:u w:val="none" w:color="auto"/>
                <w:lang w:val="en-US" w:eastAsia="zh-CN"/>
              </w:rPr>
              <w:t xml:space="preserve">  单位：ug/m</w:t>
            </w:r>
            <w:r>
              <w:rPr>
                <w:rFonts w:hint="default"/>
                <w:color w:val="auto"/>
                <w:u w:val="none" w:color="auto"/>
                <w:vertAlign w:val="superscript"/>
                <w:lang w:val="en-US" w:eastAsia="zh-CN"/>
              </w:rPr>
              <w:t>3</w:t>
            </w:r>
          </w:p>
          <w:tbl>
            <w:tblPr>
              <w:tblStyle w:val="39"/>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4"/>
              <w:gridCol w:w="2225"/>
              <w:gridCol w:w="2265"/>
              <w:gridCol w:w="2254"/>
              <w:gridCol w:w="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4" w:type="dxa"/>
                  <w:vMerge w:val="restart"/>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污染物名称</w:t>
                  </w:r>
                </w:p>
              </w:tc>
              <w:tc>
                <w:tcPr>
                  <w:tcW w:w="6746" w:type="dxa"/>
                  <w:gridSpan w:val="4"/>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vMerge w:val="continue"/>
                  <w:tcBorders>
                    <w:tl2br w:val="nil"/>
                    <w:tr2bl w:val="nil"/>
                  </w:tcBorders>
                  <w:noWrap w:val="0"/>
                  <w:vAlign w:val="center"/>
                </w:tcPr>
                <w:p>
                  <w:pPr>
                    <w:pStyle w:val="184"/>
                    <w:rPr>
                      <w:rFonts w:hint="default"/>
                      <w:color w:val="auto"/>
                      <w:sz w:val="22"/>
                      <w:szCs w:val="22"/>
                      <w:u w:val="none" w:color="auto"/>
                    </w:rPr>
                  </w:pPr>
                </w:p>
              </w:tc>
              <w:tc>
                <w:tcPr>
                  <w:tcW w:w="2225"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1小时平均</w:t>
                  </w:r>
                </w:p>
              </w:tc>
              <w:tc>
                <w:tcPr>
                  <w:tcW w:w="2265"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日平均</w:t>
                  </w:r>
                </w:p>
              </w:tc>
              <w:tc>
                <w:tcPr>
                  <w:tcW w:w="2254" w:type="dxa"/>
                  <w:tcBorders>
                    <w:tl2br w:val="nil"/>
                    <w:tr2bl w:val="nil"/>
                  </w:tcBorders>
                  <w:noWrap w:val="0"/>
                  <w:vAlign w:val="center"/>
                </w:tcPr>
                <w:p>
                  <w:pPr>
                    <w:pStyle w:val="184"/>
                    <w:rPr>
                      <w:rFonts w:hint="default"/>
                      <w:color w:val="auto"/>
                      <w:sz w:val="22"/>
                      <w:szCs w:val="22"/>
                      <w:u w:val="none" w:color="auto"/>
                    </w:rPr>
                  </w:pPr>
                  <w:r>
                    <w:rPr>
                      <w:color w:val="auto"/>
                      <w:sz w:val="22"/>
                      <w:szCs w:val="22"/>
                      <w:u w:val="none" w:color="auto"/>
                    </w:rPr>
                    <w:t>8小时均值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TVOC</w:t>
                  </w:r>
                </w:p>
              </w:tc>
              <w:tc>
                <w:tcPr>
                  <w:tcW w:w="2225"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65"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54"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600</w:t>
                  </w:r>
                </w:p>
              </w:tc>
            </w:tr>
          </w:tbl>
          <w:p>
            <w:pPr>
              <w:pStyle w:val="165"/>
              <w:numPr>
                <w:ilvl w:val="0"/>
                <w:numId w:val="6"/>
              </w:numPr>
              <w:snapToGrid w:val="0"/>
              <w:spacing w:line="360" w:lineRule="auto"/>
              <w:ind w:firstLineChars="0"/>
              <w:rPr>
                <w:color w:val="auto"/>
                <w:sz w:val="24"/>
                <w:u w:val="none" w:color="auto"/>
              </w:rPr>
            </w:pPr>
            <w:r>
              <w:rPr>
                <w:color w:val="auto"/>
                <w:sz w:val="24"/>
                <w:u w:val="none" w:color="auto"/>
              </w:rPr>
              <w:t>地表水环境：执行《地表水环境质量标准》（GB3838-2002）中的</w:t>
            </w:r>
            <w:r>
              <w:rPr>
                <w:color w:val="auto"/>
                <w:szCs w:val="21"/>
                <w:u w:val="none" w:color="auto"/>
              </w:rPr>
              <w:t>III</w:t>
            </w:r>
            <w:r>
              <w:rPr>
                <w:color w:val="auto"/>
                <w:sz w:val="24"/>
                <w:u w:val="none" w:color="auto"/>
              </w:rPr>
              <w:t>类标准</w:t>
            </w:r>
          </w:p>
          <w:p>
            <w:pPr>
              <w:jc w:val="center"/>
              <w:rPr>
                <w:color w:val="auto"/>
                <w:sz w:val="24"/>
                <w:szCs w:val="24"/>
                <w:u w:val="none" w:color="auto"/>
              </w:rPr>
            </w:pPr>
            <w:r>
              <w:rPr>
                <w:b/>
                <w:bCs/>
                <w:color w:val="auto"/>
                <w:sz w:val="24"/>
                <w:u w:val="none" w:color="auto"/>
              </w:rPr>
              <w:t>表4-</w:t>
            </w:r>
            <w:r>
              <w:rPr>
                <w:rFonts w:hint="eastAsia"/>
                <w:b/>
                <w:bCs/>
                <w:color w:val="auto"/>
                <w:sz w:val="24"/>
                <w:u w:val="none" w:color="auto"/>
                <w:lang w:val="en-US" w:eastAsia="zh-CN"/>
              </w:rPr>
              <w:t>3</w:t>
            </w:r>
            <w:r>
              <w:rPr>
                <w:b/>
                <w:bCs/>
                <w:color w:val="auto"/>
                <w:sz w:val="24"/>
                <w:u w:val="none" w:color="auto"/>
              </w:rPr>
              <w:t xml:space="preserve">  《地表水环境质量标准》中的</w:t>
            </w:r>
            <w:r>
              <w:rPr>
                <w:color w:val="auto"/>
                <w:szCs w:val="21"/>
                <w:u w:val="none" w:color="auto"/>
              </w:rPr>
              <w:t>III</w:t>
            </w:r>
            <w:r>
              <w:rPr>
                <w:b/>
                <w:bCs/>
                <w:color w:val="auto"/>
                <w:sz w:val="24"/>
                <w:u w:val="none" w:color="auto"/>
              </w:rPr>
              <w:t>类标准</w:t>
            </w:r>
          </w:p>
          <w:tbl>
            <w:tblPr>
              <w:tblStyle w:val="39"/>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87"/>
              <w:gridCol w:w="1191"/>
              <w:gridCol w:w="1212"/>
              <w:gridCol w:w="1212"/>
              <w:gridCol w:w="1213"/>
              <w:gridCol w:w="1212"/>
              <w:gridCol w:w="12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7"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主要污</w:t>
                  </w:r>
                </w:p>
                <w:p>
                  <w:pPr>
                    <w:jc w:val="center"/>
                    <w:rPr>
                      <w:b/>
                      <w:color w:val="auto"/>
                      <w:sz w:val="22"/>
                      <w:szCs w:val="22"/>
                      <w:u w:val="none" w:color="auto"/>
                    </w:rPr>
                  </w:pPr>
                  <w:r>
                    <w:rPr>
                      <w:b/>
                      <w:bCs/>
                      <w:color w:val="auto"/>
                      <w:sz w:val="22"/>
                      <w:szCs w:val="22"/>
                      <w:u w:val="none" w:color="auto"/>
                    </w:rPr>
                    <w:t>染物</w:t>
                  </w:r>
                </w:p>
              </w:tc>
              <w:tc>
                <w:tcPr>
                  <w:tcW w:w="1191" w:type="dxa"/>
                  <w:tcBorders>
                    <w:tl2br w:val="nil"/>
                    <w:tr2bl w:val="nil"/>
                  </w:tcBorders>
                  <w:vAlign w:val="center"/>
                </w:tcPr>
                <w:p>
                  <w:pPr>
                    <w:jc w:val="center"/>
                    <w:rPr>
                      <w:b/>
                      <w:color w:val="auto"/>
                      <w:sz w:val="22"/>
                      <w:szCs w:val="22"/>
                      <w:u w:val="none" w:color="auto"/>
                    </w:rPr>
                  </w:pPr>
                  <w:r>
                    <w:rPr>
                      <w:b/>
                      <w:bCs/>
                      <w:color w:val="auto"/>
                      <w:sz w:val="22"/>
                      <w:szCs w:val="22"/>
                      <w:u w:val="none" w:color="auto"/>
                    </w:rPr>
                    <w:t>pH</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COD</w:t>
                  </w:r>
                  <w:r>
                    <w:rPr>
                      <w:b/>
                      <w:bCs/>
                      <w:color w:val="auto"/>
                      <w:sz w:val="22"/>
                      <w:szCs w:val="22"/>
                      <w:u w:val="none" w:color="auto"/>
                      <w:vertAlign w:val="subscript"/>
                    </w:rPr>
                    <w:t>Cr</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BOD</w:t>
                  </w:r>
                  <w:r>
                    <w:rPr>
                      <w:b/>
                      <w:bCs/>
                      <w:color w:val="auto"/>
                      <w:sz w:val="22"/>
                      <w:szCs w:val="22"/>
                      <w:u w:val="none" w:color="auto"/>
                      <w:vertAlign w:val="subscript"/>
                    </w:rPr>
                    <w:t>5</w:t>
                  </w:r>
                </w:p>
                <w:p>
                  <w:pPr>
                    <w:jc w:val="center"/>
                    <w:rPr>
                      <w:b/>
                      <w:color w:val="auto"/>
                      <w:sz w:val="22"/>
                      <w:szCs w:val="22"/>
                      <w:u w:val="none" w:color="auto"/>
                    </w:rPr>
                  </w:pPr>
                  <w:r>
                    <w:rPr>
                      <w:b/>
                      <w:bCs/>
                      <w:color w:val="auto"/>
                      <w:sz w:val="22"/>
                      <w:szCs w:val="22"/>
                      <w:u w:val="none" w:color="auto"/>
                    </w:rPr>
                    <w:t>（mg/L）</w:t>
                  </w:r>
                </w:p>
              </w:tc>
              <w:tc>
                <w:tcPr>
                  <w:tcW w:w="1213"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氨氮</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DO</w:t>
                  </w:r>
                </w:p>
                <w:p>
                  <w:pPr>
                    <w:jc w:val="center"/>
                    <w:rPr>
                      <w:b/>
                      <w:color w:val="auto"/>
                      <w:sz w:val="22"/>
                      <w:szCs w:val="22"/>
                      <w:u w:val="none" w:color="auto"/>
                    </w:rPr>
                  </w:pPr>
                  <w:r>
                    <w:rPr>
                      <w:b/>
                      <w:bCs/>
                      <w:color w:val="auto"/>
                      <w:sz w:val="22"/>
                      <w:szCs w:val="22"/>
                      <w:u w:val="none" w:color="auto"/>
                    </w:rPr>
                    <w:t>（mg/L）</w:t>
                  </w:r>
                </w:p>
              </w:tc>
              <w:tc>
                <w:tcPr>
                  <w:tcW w:w="1203" w:type="dxa"/>
                  <w:tcBorders>
                    <w:tl2br w:val="nil"/>
                    <w:tr2bl w:val="nil"/>
                  </w:tcBorders>
                  <w:vAlign w:val="center"/>
                </w:tcPr>
                <w:p>
                  <w:pPr>
                    <w:jc w:val="center"/>
                    <w:rPr>
                      <w:b/>
                      <w:color w:val="auto"/>
                      <w:sz w:val="22"/>
                      <w:szCs w:val="22"/>
                      <w:u w:val="none" w:color="auto"/>
                    </w:rPr>
                  </w:pPr>
                  <w:r>
                    <w:rPr>
                      <w:b/>
                      <w:bCs/>
                      <w:color w:val="auto"/>
                      <w:sz w:val="22"/>
                      <w:szCs w:val="22"/>
                      <w:u w:val="none" w:color="auto"/>
                    </w:rPr>
                    <w:t>石油类(mg/L)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trPr>
              <w:tc>
                <w:tcPr>
                  <w:tcW w:w="1187" w:type="dxa"/>
                  <w:tcBorders>
                    <w:tl2br w:val="nil"/>
                    <w:tr2bl w:val="nil"/>
                  </w:tcBorders>
                  <w:vAlign w:val="center"/>
                </w:tcPr>
                <w:p>
                  <w:pPr>
                    <w:jc w:val="center"/>
                    <w:rPr>
                      <w:color w:val="auto"/>
                      <w:sz w:val="22"/>
                      <w:szCs w:val="22"/>
                      <w:u w:val="none" w:color="auto"/>
                    </w:rPr>
                  </w:pPr>
                  <w:r>
                    <w:rPr>
                      <w:bCs/>
                      <w:color w:val="auto"/>
                      <w:sz w:val="22"/>
                      <w:szCs w:val="22"/>
                      <w:u w:val="none" w:color="auto"/>
                    </w:rPr>
                    <w:t>浓度限值</w:t>
                  </w:r>
                </w:p>
              </w:tc>
              <w:tc>
                <w:tcPr>
                  <w:tcW w:w="1191" w:type="dxa"/>
                  <w:tcBorders>
                    <w:tl2br w:val="nil"/>
                    <w:tr2bl w:val="nil"/>
                  </w:tcBorders>
                  <w:vAlign w:val="center"/>
                </w:tcPr>
                <w:p>
                  <w:pPr>
                    <w:jc w:val="center"/>
                    <w:rPr>
                      <w:color w:val="auto"/>
                      <w:sz w:val="22"/>
                      <w:szCs w:val="22"/>
                      <w:u w:val="none" w:color="auto"/>
                    </w:rPr>
                  </w:pPr>
                  <w:r>
                    <w:rPr>
                      <w:bCs/>
                      <w:color w:val="auto"/>
                      <w:sz w:val="22"/>
                      <w:szCs w:val="22"/>
                      <w:u w:val="none" w:color="auto"/>
                    </w:rPr>
                    <w:t>6～9</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≤20</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≤4.0</w:t>
                  </w:r>
                </w:p>
              </w:tc>
              <w:tc>
                <w:tcPr>
                  <w:tcW w:w="1213" w:type="dxa"/>
                  <w:tcBorders>
                    <w:tl2br w:val="nil"/>
                    <w:tr2bl w:val="nil"/>
                  </w:tcBorders>
                  <w:vAlign w:val="center"/>
                </w:tcPr>
                <w:p>
                  <w:pPr>
                    <w:jc w:val="center"/>
                    <w:rPr>
                      <w:color w:val="auto"/>
                      <w:sz w:val="22"/>
                      <w:szCs w:val="22"/>
                      <w:u w:val="none" w:color="auto"/>
                    </w:rPr>
                  </w:pPr>
                  <w:r>
                    <w:rPr>
                      <w:bCs/>
                      <w:color w:val="auto"/>
                      <w:sz w:val="22"/>
                      <w:szCs w:val="22"/>
                      <w:u w:val="none" w:color="auto"/>
                    </w:rPr>
                    <w:t>≤1.0</w:t>
                  </w:r>
                </w:p>
              </w:tc>
              <w:tc>
                <w:tcPr>
                  <w:tcW w:w="1212" w:type="dxa"/>
                  <w:tcBorders>
                    <w:tl2br w:val="nil"/>
                    <w:tr2bl w:val="nil"/>
                  </w:tcBorders>
                  <w:vAlign w:val="center"/>
                </w:tcPr>
                <w:p>
                  <w:pPr>
                    <w:jc w:val="center"/>
                    <w:rPr>
                      <w:color w:val="auto"/>
                      <w:sz w:val="22"/>
                      <w:szCs w:val="22"/>
                      <w:u w:val="none" w:color="auto"/>
                    </w:rPr>
                  </w:pPr>
                  <w:r>
                    <w:rPr>
                      <w:color w:val="auto"/>
                      <w:sz w:val="22"/>
                      <w:szCs w:val="22"/>
                      <w:u w:val="none" w:color="auto"/>
                    </w:rPr>
                    <w:t>≥5</w:t>
                  </w:r>
                </w:p>
              </w:tc>
              <w:tc>
                <w:tcPr>
                  <w:tcW w:w="1203" w:type="dxa"/>
                  <w:tcBorders>
                    <w:tl2br w:val="nil"/>
                    <w:tr2bl w:val="nil"/>
                  </w:tcBorders>
                  <w:vAlign w:val="center"/>
                </w:tcPr>
                <w:p>
                  <w:pPr>
                    <w:jc w:val="center"/>
                    <w:rPr>
                      <w:color w:val="auto"/>
                      <w:sz w:val="22"/>
                      <w:szCs w:val="22"/>
                      <w:u w:val="none" w:color="auto"/>
                    </w:rPr>
                  </w:pPr>
                  <w:r>
                    <w:rPr>
                      <w:bCs/>
                      <w:color w:val="auto"/>
                      <w:sz w:val="22"/>
                      <w:szCs w:val="22"/>
                      <w:u w:val="none" w:color="auto"/>
                    </w:rPr>
                    <w:t>≤0.05</w:t>
                  </w:r>
                </w:p>
              </w:tc>
            </w:tr>
          </w:tbl>
          <w:p>
            <w:pPr>
              <w:pStyle w:val="33"/>
              <w:numPr>
                <w:ilvl w:val="0"/>
                <w:numId w:val="0"/>
              </w:numPr>
              <w:spacing w:line="360" w:lineRule="auto"/>
              <w:ind w:leftChars="0"/>
              <w:rPr>
                <w:color w:val="auto"/>
                <w:sz w:val="24"/>
                <w:u w:val="none" w:color="auto"/>
              </w:rPr>
            </w:pPr>
            <w:r>
              <w:rPr>
                <w:rFonts w:hint="eastAsia"/>
                <w:color w:val="auto"/>
                <w:sz w:val="24"/>
                <w:u w:val="none" w:color="auto"/>
                <w:lang w:val="en-US" w:eastAsia="zh-CN"/>
              </w:rPr>
              <w:t>3、</w:t>
            </w:r>
            <w:r>
              <w:rPr>
                <w:color w:val="auto"/>
                <w:sz w:val="24"/>
                <w:u w:val="none" w:color="auto"/>
              </w:rPr>
              <w:t>声环境：执行《声环境质量标准》（GB3096-</w:t>
            </w:r>
            <w:r>
              <w:rPr>
                <w:rFonts w:hint="eastAsia"/>
                <w:color w:val="auto"/>
                <w:sz w:val="24"/>
                <w:u w:val="none" w:color="auto"/>
                <w:lang w:val="en-US" w:eastAsia="zh-CN"/>
              </w:rPr>
              <w:t>2008</w:t>
            </w:r>
            <w:r>
              <w:rPr>
                <w:color w:val="auto"/>
                <w:sz w:val="24"/>
                <w:u w:val="none" w:color="auto"/>
              </w:rPr>
              <w:t>）中的</w:t>
            </w:r>
            <w:r>
              <w:rPr>
                <w:rFonts w:hint="eastAsia"/>
                <w:color w:val="auto"/>
                <w:sz w:val="24"/>
                <w:u w:val="none" w:color="auto"/>
                <w:lang w:val="en-US" w:eastAsia="zh-CN"/>
              </w:rPr>
              <w:t>2</w:t>
            </w:r>
            <w:r>
              <w:rPr>
                <w:color w:val="auto"/>
                <w:sz w:val="24"/>
                <w:u w:val="none" w:color="auto"/>
              </w:rPr>
              <w:t>类标准</w:t>
            </w:r>
          </w:p>
          <w:p>
            <w:pPr>
              <w:pStyle w:val="33"/>
              <w:ind w:left="0" w:leftChars="0" w:firstLine="462"/>
              <w:jc w:val="center"/>
              <w:rPr>
                <w:b/>
                <w:bCs/>
                <w:color w:val="auto"/>
                <w:sz w:val="24"/>
                <w:u w:val="none" w:color="auto"/>
              </w:rPr>
            </w:pPr>
            <w:r>
              <w:rPr>
                <w:b/>
                <w:bCs/>
                <w:color w:val="auto"/>
                <w:sz w:val="24"/>
                <w:u w:val="none" w:color="auto"/>
              </w:rPr>
              <w:t>表4-</w:t>
            </w:r>
            <w:r>
              <w:rPr>
                <w:rFonts w:hint="eastAsia"/>
                <w:b/>
                <w:bCs/>
                <w:color w:val="auto"/>
                <w:sz w:val="24"/>
                <w:u w:val="none" w:color="auto"/>
                <w:lang w:val="en-US" w:eastAsia="zh-CN"/>
              </w:rPr>
              <w:t>4</w:t>
            </w:r>
            <w:r>
              <w:rPr>
                <w:b/>
                <w:bCs/>
                <w:color w:val="auto"/>
                <w:sz w:val="24"/>
                <w:u w:val="none" w:color="auto"/>
              </w:rPr>
              <w:t xml:space="preserve">  《声环境质量标准》中的标准</w:t>
            </w:r>
          </w:p>
          <w:tbl>
            <w:tblPr>
              <w:tblStyle w:val="39"/>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12"/>
              <w:gridCol w:w="2806"/>
              <w:gridCol w:w="28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restart"/>
                  <w:tcBorders>
                    <w:tl2br w:val="nil"/>
                    <w:tr2bl w:val="nil"/>
                  </w:tcBorders>
                  <w:vAlign w:val="center"/>
                </w:tcPr>
                <w:p>
                  <w:pPr>
                    <w:pStyle w:val="33"/>
                    <w:ind w:left="0" w:leftChars="0" w:firstLine="462"/>
                    <w:jc w:val="center"/>
                    <w:rPr>
                      <w:b/>
                      <w:bCs/>
                      <w:color w:val="auto"/>
                      <w:sz w:val="22"/>
                      <w:szCs w:val="22"/>
                      <w:u w:val="none" w:color="auto"/>
                    </w:rPr>
                  </w:pPr>
                  <w:r>
                    <w:rPr>
                      <w:b/>
                      <w:bCs/>
                      <w:color w:val="auto"/>
                      <w:sz w:val="22"/>
                      <w:szCs w:val="22"/>
                      <w:u w:val="none" w:color="auto"/>
                    </w:rPr>
                    <w:t>声环境功能区类别</w:t>
                  </w:r>
                </w:p>
              </w:tc>
              <w:tc>
                <w:tcPr>
                  <w:tcW w:w="5618" w:type="dxa"/>
                  <w:gridSpan w:val="2"/>
                  <w:tcBorders>
                    <w:tl2br w:val="nil"/>
                    <w:tr2bl w:val="nil"/>
                  </w:tcBorders>
                  <w:vAlign w:val="center"/>
                </w:tcPr>
                <w:p>
                  <w:pPr>
                    <w:pStyle w:val="33"/>
                    <w:ind w:left="0" w:leftChars="0" w:firstLine="462"/>
                    <w:jc w:val="center"/>
                    <w:rPr>
                      <w:b/>
                      <w:bCs/>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continue"/>
                  <w:tcBorders>
                    <w:tl2br w:val="nil"/>
                    <w:tr2bl w:val="nil"/>
                  </w:tcBorders>
                  <w:vAlign w:val="center"/>
                </w:tcPr>
                <w:p>
                  <w:pPr>
                    <w:pStyle w:val="33"/>
                    <w:ind w:left="400" w:firstLine="462"/>
                    <w:jc w:val="center"/>
                    <w:rPr>
                      <w:b/>
                      <w:bCs/>
                      <w:color w:val="auto"/>
                      <w:sz w:val="22"/>
                      <w:szCs w:val="22"/>
                      <w:u w:val="none" w:color="auto"/>
                    </w:rPr>
                  </w:pPr>
                </w:p>
              </w:tc>
              <w:tc>
                <w:tcPr>
                  <w:tcW w:w="2806" w:type="dxa"/>
                  <w:tcBorders>
                    <w:tl2br w:val="nil"/>
                    <w:tr2bl w:val="nil"/>
                  </w:tcBorders>
                  <w:vAlign w:val="center"/>
                </w:tcPr>
                <w:p>
                  <w:pPr>
                    <w:pStyle w:val="33"/>
                    <w:ind w:left="0" w:leftChars="0" w:firstLine="462"/>
                    <w:jc w:val="center"/>
                    <w:rPr>
                      <w:b/>
                      <w:bCs/>
                      <w:color w:val="auto"/>
                      <w:sz w:val="22"/>
                      <w:szCs w:val="22"/>
                      <w:u w:val="none" w:color="auto"/>
                    </w:rPr>
                  </w:pPr>
                  <w:r>
                    <w:rPr>
                      <w:b/>
                      <w:bCs/>
                      <w:color w:val="auto"/>
                      <w:sz w:val="22"/>
                      <w:szCs w:val="22"/>
                      <w:u w:val="none" w:color="auto"/>
                    </w:rPr>
                    <w:t>昼间</w:t>
                  </w:r>
                </w:p>
              </w:tc>
              <w:tc>
                <w:tcPr>
                  <w:tcW w:w="2812" w:type="dxa"/>
                  <w:tcBorders>
                    <w:tl2br w:val="nil"/>
                    <w:tr2bl w:val="nil"/>
                  </w:tcBorders>
                  <w:vAlign w:val="center"/>
                </w:tcPr>
                <w:p>
                  <w:pPr>
                    <w:pStyle w:val="33"/>
                    <w:ind w:left="0" w:leftChars="0" w:firstLine="462"/>
                    <w:jc w:val="center"/>
                    <w:rPr>
                      <w:b/>
                      <w:bCs/>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trPr>
              <w:tc>
                <w:tcPr>
                  <w:tcW w:w="2812" w:type="dxa"/>
                  <w:tcBorders>
                    <w:tl2br w:val="nil"/>
                    <w:tr2bl w:val="nil"/>
                  </w:tcBorders>
                  <w:vAlign w:val="center"/>
                </w:tcPr>
                <w:p>
                  <w:pPr>
                    <w:pStyle w:val="33"/>
                    <w:ind w:left="0" w:leftChars="0" w:firstLine="46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6" w:type="dxa"/>
                  <w:tcBorders>
                    <w:tl2br w:val="nil"/>
                    <w:tr2bl w:val="nil"/>
                  </w:tcBorders>
                  <w:vAlign w:val="center"/>
                </w:tcPr>
                <w:p>
                  <w:pPr>
                    <w:pStyle w:val="33"/>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2" w:type="dxa"/>
                  <w:tcBorders>
                    <w:tl2br w:val="nil"/>
                    <w:tr2bl w:val="nil"/>
                  </w:tcBorders>
                  <w:vAlign w:val="center"/>
                </w:tcPr>
                <w:p>
                  <w:pPr>
                    <w:pStyle w:val="33"/>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pStyle w:val="165"/>
              <w:ind w:left="360" w:firstLine="0" w:firstLineChars="0"/>
              <w:rPr>
                <w:color w:val="auto"/>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5"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污染物排放标准</w:t>
            </w:r>
          </w:p>
        </w:tc>
        <w:tc>
          <w:tcPr>
            <w:tcW w:w="8676" w:type="dxa"/>
            <w:vAlign w:val="center"/>
          </w:tcPr>
          <w:p>
            <w:pPr>
              <w:pStyle w:val="14"/>
              <w:spacing w:line="360" w:lineRule="auto"/>
              <w:rPr>
                <w:color w:val="auto"/>
                <w:sz w:val="24"/>
                <w:szCs w:val="24"/>
                <w:u w:val="none" w:color="auto"/>
              </w:rPr>
            </w:pPr>
            <w:r>
              <w:rPr>
                <w:rFonts w:hint="eastAsia"/>
                <w:color w:val="auto"/>
                <w:kern w:val="0"/>
                <w:sz w:val="24"/>
                <w:szCs w:val="24"/>
                <w:u w:val="none" w:color="auto"/>
              </w:rPr>
              <w:t>1、</w:t>
            </w:r>
            <w:r>
              <w:rPr>
                <w:color w:val="auto"/>
                <w:kern w:val="0"/>
                <w:sz w:val="24"/>
                <w:szCs w:val="24"/>
                <w:u w:val="none" w:color="auto"/>
              </w:rPr>
              <w:t>废水：</w:t>
            </w:r>
            <w:r>
              <w:rPr>
                <w:sz w:val="24"/>
                <w:szCs w:val="24"/>
                <w:u w:val="none" w:color="auto"/>
              </w:rPr>
              <w:t>在金龙新区工业区污水管网接入湘阴县第三污水处理厂之前，项目污水通过化粪池处理后排入园区污水管网再进入金龙新区人工湿地处理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eastAsia" w:hAnsi="宋体"/>
                <w:color w:val="auto"/>
                <w:sz w:val="24"/>
                <w:szCs w:val="24"/>
                <w:u w:val="none" w:color="auto"/>
              </w:rPr>
              <w:t>。</w:t>
            </w:r>
          </w:p>
          <w:p>
            <w:pPr>
              <w:pStyle w:val="186"/>
              <w:rPr>
                <w:color w:val="auto"/>
                <w:u w:val="none" w:color="auto"/>
              </w:rPr>
            </w:pPr>
            <w:r>
              <w:rPr>
                <w:rFonts w:hint="eastAsia"/>
                <w:color w:val="auto"/>
                <w:u w:val="none" w:color="auto"/>
                <w:lang w:val="en-US" w:eastAsia="zh-CN"/>
              </w:rPr>
              <w:t xml:space="preserve">             </w:t>
            </w:r>
            <w:r>
              <w:rPr>
                <w:color w:val="auto"/>
                <w:u w:val="none" w:color="auto"/>
              </w:rPr>
              <w:t>表4-</w:t>
            </w:r>
            <w:r>
              <w:rPr>
                <w:rFonts w:hint="eastAsia"/>
                <w:color w:val="auto"/>
                <w:u w:val="none" w:color="auto"/>
              </w:rPr>
              <w:t>5</w:t>
            </w:r>
            <w:r>
              <w:rPr>
                <w:color w:val="auto"/>
                <w:u w:val="none" w:color="auto"/>
              </w:rPr>
              <w:t xml:space="preserve">  </w:t>
            </w:r>
            <w:r>
              <w:rPr>
                <w:sz w:val="24"/>
                <w:szCs w:val="24"/>
                <w:u w:val="none" w:color="auto"/>
              </w:rPr>
              <w:t>城镇污水处理厂污染物排放标准</w:t>
            </w:r>
            <w:r>
              <w:rPr>
                <w:rFonts w:hint="eastAsia"/>
                <w:sz w:val="24"/>
                <w:szCs w:val="24"/>
                <w:u w:val="none" w:color="auto"/>
                <w:lang w:val="en-US" w:eastAsia="zh-CN"/>
              </w:rPr>
              <w:t xml:space="preserve">      </w:t>
            </w:r>
            <w:r>
              <w:rPr>
                <w:rFonts w:hint="eastAsia"/>
                <w:color w:val="auto"/>
                <w:u w:val="none" w:color="auto"/>
              </w:rPr>
              <w:t xml:space="preserve"> </w:t>
            </w:r>
            <w:r>
              <w:rPr>
                <w:color w:val="auto"/>
                <w:u w:val="none" w:color="auto"/>
              </w:rPr>
              <w:t>单位：mg/L，除pH外</w:t>
            </w:r>
          </w:p>
          <w:tbl>
            <w:tblPr>
              <w:tblStyle w:val="39"/>
              <w:tblW w:w="846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79"/>
              <w:gridCol w:w="1509"/>
              <w:gridCol w:w="1245"/>
              <w:gridCol w:w="1302"/>
              <w:gridCol w:w="1645"/>
              <w:gridCol w:w="138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3" w:hRule="atLeast"/>
                <w:jc w:val="center"/>
              </w:trPr>
              <w:tc>
                <w:tcPr>
                  <w:tcW w:w="1379"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水质指标</w:t>
                  </w:r>
                </w:p>
              </w:tc>
              <w:tc>
                <w:tcPr>
                  <w:tcW w:w="1509"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pH</w:t>
                  </w:r>
                </w:p>
              </w:tc>
              <w:tc>
                <w:tcPr>
                  <w:tcW w:w="1245"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COD</w:t>
                  </w:r>
                </w:p>
              </w:tc>
              <w:tc>
                <w:tcPr>
                  <w:tcW w:w="1302"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BOD</w:t>
                  </w:r>
                  <w:r>
                    <w:rPr>
                      <w:color w:val="auto"/>
                      <w:sz w:val="22"/>
                      <w:szCs w:val="22"/>
                      <w:u w:val="none" w:color="auto"/>
                      <w:vertAlign w:val="subscript"/>
                    </w:rPr>
                    <w:t>5</w:t>
                  </w:r>
                </w:p>
              </w:tc>
              <w:tc>
                <w:tcPr>
                  <w:tcW w:w="1645"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氨氮</w:t>
                  </w:r>
                </w:p>
              </w:tc>
              <w:tc>
                <w:tcPr>
                  <w:tcW w:w="1380"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动植物油</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30" w:hRule="atLeast"/>
                <w:jc w:val="center"/>
              </w:trPr>
              <w:tc>
                <w:tcPr>
                  <w:tcW w:w="1379" w:type="dxa"/>
                  <w:vMerge w:val="restart"/>
                  <w:tcBorders>
                    <w:tl2br w:val="nil"/>
                    <w:tr2bl w:val="nil"/>
                  </w:tcBorders>
                  <w:noWrap w:val="0"/>
                  <w:vAlign w:val="center"/>
                </w:tcPr>
                <w:p>
                  <w:pPr>
                    <w:pStyle w:val="184"/>
                    <w:rPr>
                      <w:color w:val="auto"/>
                      <w:sz w:val="22"/>
                      <w:szCs w:val="22"/>
                      <w:u w:val="none" w:color="auto"/>
                    </w:rPr>
                  </w:pPr>
                  <w:r>
                    <w:rPr>
                      <w:rFonts w:hint="eastAsia"/>
                      <w:color w:val="auto"/>
                      <w:sz w:val="22"/>
                      <w:szCs w:val="22"/>
                      <w:u w:val="none" w:color="auto"/>
                      <w:lang w:eastAsia="zh-CN"/>
                    </w:rPr>
                    <w:t>一级</w:t>
                  </w:r>
                  <w:r>
                    <w:rPr>
                      <w:rFonts w:hint="eastAsia"/>
                      <w:color w:val="auto"/>
                      <w:sz w:val="22"/>
                      <w:szCs w:val="22"/>
                      <w:u w:val="none" w:color="auto"/>
                      <w:lang w:val="en-US" w:eastAsia="zh-CN"/>
                    </w:rPr>
                    <w:t>A</w:t>
                  </w:r>
                  <w:r>
                    <w:rPr>
                      <w:color w:val="auto"/>
                      <w:sz w:val="22"/>
                      <w:szCs w:val="22"/>
                      <w:u w:val="none" w:color="auto"/>
                    </w:rPr>
                    <w:t>标准</w:t>
                  </w:r>
                </w:p>
              </w:tc>
              <w:tc>
                <w:tcPr>
                  <w:tcW w:w="1509"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6～9</w:t>
                  </w:r>
                </w:p>
              </w:tc>
              <w:tc>
                <w:tcPr>
                  <w:tcW w:w="1245"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50</w:t>
                  </w:r>
                </w:p>
              </w:tc>
              <w:tc>
                <w:tcPr>
                  <w:tcW w:w="1302"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10</w:t>
                  </w:r>
                </w:p>
              </w:tc>
              <w:tc>
                <w:tcPr>
                  <w:tcW w:w="1645"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8</w:t>
                  </w:r>
                </w:p>
              </w:tc>
              <w:tc>
                <w:tcPr>
                  <w:tcW w:w="1380"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45" w:hRule="atLeast"/>
                <w:jc w:val="center"/>
              </w:trPr>
              <w:tc>
                <w:tcPr>
                  <w:tcW w:w="1379" w:type="dxa"/>
                  <w:vMerge w:val="continue"/>
                  <w:tcBorders>
                    <w:tl2br w:val="nil"/>
                    <w:tr2bl w:val="nil"/>
                  </w:tcBorders>
                  <w:noWrap w:val="0"/>
                  <w:vAlign w:val="center"/>
                </w:tcPr>
                <w:p>
                  <w:pPr>
                    <w:pStyle w:val="184"/>
                    <w:rPr>
                      <w:color w:val="auto"/>
                      <w:sz w:val="22"/>
                      <w:szCs w:val="22"/>
                      <w:u w:val="none" w:color="auto"/>
                    </w:rPr>
                  </w:pPr>
                </w:p>
              </w:tc>
              <w:tc>
                <w:tcPr>
                  <w:tcW w:w="1509"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SS</w:t>
                  </w:r>
                </w:p>
              </w:tc>
              <w:tc>
                <w:tcPr>
                  <w:tcW w:w="1245"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eastAsia="zh-CN"/>
                    </w:rPr>
                    <w:t>总磷</w:t>
                  </w:r>
                </w:p>
              </w:tc>
              <w:tc>
                <w:tcPr>
                  <w:tcW w:w="1302" w:type="dxa"/>
                  <w:tcBorders>
                    <w:tl2br w:val="nil"/>
                    <w:tr2bl w:val="nil"/>
                  </w:tcBorders>
                  <w:noWrap w:val="0"/>
                  <w:vAlign w:val="center"/>
                </w:tcPr>
                <w:p>
                  <w:pPr>
                    <w:pStyle w:val="184"/>
                    <w:rPr>
                      <w:color w:val="auto"/>
                      <w:sz w:val="22"/>
                      <w:szCs w:val="22"/>
                      <w:u w:val="none" w:color="auto"/>
                    </w:rPr>
                  </w:pPr>
                </w:p>
              </w:tc>
              <w:tc>
                <w:tcPr>
                  <w:tcW w:w="1645" w:type="dxa"/>
                  <w:tcBorders>
                    <w:tl2br w:val="nil"/>
                    <w:tr2bl w:val="nil"/>
                  </w:tcBorders>
                  <w:noWrap w:val="0"/>
                  <w:vAlign w:val="center"/>
                </w:tcPr>
                <w:p>
                  <w:pPr>
                    <w:pStyle w:val="184"/>
                    <w:rPr>
                      <w:color w:val="auto"/>
                      <w:sz w:val="22"/>
                      <w:szCs w:val="22"/>
                      <w:u w:val="none" w:color="auto"/>
                    </w:rPr>
                  </w:pPr>
                </w:p>
              </w:tc>
              <w:tc>
                <w:tcPr>
                  <w:tcW w:w="1380" w:type="dxa"/>
                  <w:tcBorders>
                    <w:tl2br w:val="nil"/>
                    <w:tr2bl w:val="nil"/>
                  </w:tcBorders>
                  <w:noWrap w:val="0"/>
                  <w:vAlign w:val="center"/>
                </w:tcPr>
                <w:p>
                  <w:pPr>
                    <w:pStyle w:val="184"/>
                    <w:rPr>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379" w:type="dxa"/>
                  <w:vMerge w:val="continue"/>
                  <w:tcBorders>
                    <w:tl2br w:val="nil"/>
                    <w:tr2bl w:val="nil"/>
                  </w:tcBorders>
                  <w:noWrap w:val="0"/>
                  <w:vAlign w:val="center"/>
                </w:tcPr>
                <w:p>
                  <w:pPr>
                    <w:pStyle w:val="184"/>
                    <w:rPr>
                      <w:color w:val="auto"/>
                      <w:sz w:val="22"/>
                      <w:szCs w:val="22"/>
                      <w:u w:val="none" w:color="auto"/>
                    </w:rPr>
                  </w:pPr>
                </w:p>
              </w:tc>
              <w:tc>
                <w:tcPr>
                  <w:tcW w:w="1509"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10</w:t>
                  </w:r>
                </w:p>
              </w:tc>
              <w:tc>
                <w:tcPr>
                  <w:tcW w:w="1245"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0.5</w:t>
                  </w:r>
                </w:p>
              </w:tc>
              <w:tc>
                <w:tcPr>
                  <w:tcW w:w="1302" w:type="dxa"/>
                  <w:tcBorders>
                    <w:tl2br w:val="nil"/>
                    <w:tr2bl w:val="nil"/>
                  </w:tcBorders>
                  <w:noWrap w:val="0"/>
                  <w:vAlign w:val="center"/>
                </w:tcPr>
                <w:p>
                  <w:pPr>
                    <w:pStyle w:val="184"/>
                    <w:rPr>
                      <w:color w:val="auto"/>
                      <w:sz w:val="22"/>
                      <w:szCs w:val="22"/>
                      <w:u w:val="none" w:color="auto"/>
                    </w:rPr>
                  </w:pPr>
                </w:p>
              </w:tc>
              <w:tc>
                <w:tcPr>
                  <w:tcW w:w="1645" w:type="dxa"/>
                  <w:tcBorders>
                    <w:tl2br w:val="nil"/>
                    <w:tr2bl w:val="nil"/>
                  </w:tcBorders>
                  <w:noWrap w:val="0"/>
                  <w:vAlign w:val="center"/>
                </w:tcPr>
                <w:p>
                  <w:pPr>
                    <w:pStyle w:val="184"/>
                    <w:rPr>
                      <w:color w:val="auto"/>
                      <w:sz w:val="22"/>
                      <w:szCs w:val="22"/>
                      <w:u w:val="none" w:color="auto"/>
                    </w:rPr>
                  </w:pPr>
                </w:p>
              </w:tc>
              <w:tc>
                <w:tcPr>
                  <w:tcW w:w="1380" w:type="dxa"/>
                  <w:tcBorders>
                    <w:tl2br w:val="nil"/>
                    <w:tr2bl w:val="nil"/>
                  </w:tcBorders>
                  <w:noWrap w:val="0"/>
                  <w:vAlign w:val="center"/>
                </w:tcPr>
                <w:p>
                  <w:pPr>
                    <w:pStyle w:val="184"/>
                    <w:rPr>
                      <w:rFonts w:hint="eastAsia"/>
                      <w:color w:val="auto"/>
                      <w:sz w:val="22"/>
                      <w:szCs w:val="22"/>
                      <w:u w:val="none" w:color="auto"/>
                    </w:rPr>
                  </w:pPr>
                </w:p>
              </w:tc>
            </w:tr>
          </w:tbl>
          <w:p>
            <w:pPr>
              <w:keepNext w:val="0"/>
              <w:keepLines w:val="0"/>
              <w:widowControl/>
              <w:numPr>
                <w:ilvl w:val="0"/>
                <w:numId w:val="0"/>
              </w:numPr>
              <w:suppressLineNumbers w:val="0"/>
              <w:spacing w:line="360" w:lineRule="auto"/>
              <w:jc w:val="left"/>
              <w:rPr>
                <w:rFonts w:hint="default" w:ascii="Times New Roman" w:hAnsi="Times New Roman" w:eastAsia="宋体" w:cs="Times New Roman"/>
                <w:color w:val="auto"/>
                <w:kern w:val="0"/>
                <w:sz w:val="24"/>
                <w:szCs w:val="24"/>
                <w:u w:val="none" w:color="auto"/>
                <w:lang w:val="en-US" w:eastAsia="zh-CN" w:bidi="ar"/>
              </w:rPr>
            </w:pPr>
            <w:r>
              <w:rPr>
                <w:rFonts w:hint="eastAsia"/>
                <w:color w:val="auto"/>
                <w:sz w:val="24"/>
                <w:szCs w:val="24"/>
                <w:u w:val="none" w:color="auto"/>
              </w:rPr>
              <w:t>2</w:t>
            </w:r>
            <w:r>
              <w:rPr>
                <w:color w:val="auto"/>
                <w:kern w:val="0"/>
                <w:sz w:val="24"/>
                <w:szCs w:val="24"/>
                <w:u w:val="none" w:color="auto"/>
              </w:rPr>
              <w:t>、</w:t>
            </w:r>
            <w:r>
              <w:rPr>
                <w:rFonts w:hint="default" w:ascii="Times New Roman" w:hAnsi="Times New Roman" w:eastAsia="宋体" w:cs="Times New Roman"/>
                <w:color w:val="auto"/>
                <w:kern w:val="0"/>
                <w:sz w:val="24"/>
                <w:szCs w:val="24"/>
                <w:u w:val="none" w:color="auto"/>
                <w:lang w:val="en-US" w:eastAsia="zh-CN" w:bidi="ar"/>
              </w:rPr>
              <w:t>废气：颗粒物执行《大气污染物综合排放标准》（GB16297-1996）表2的二级标准</w:t>
            </w:r>
            <w:r>
              <w:rPr>
                <w:rFonts w:hint="eastAsia" w:ascii="Times New Roman" w:hAnsi="Times New Roman" w:cs="Times New Roman"/>
                <w:color w:val="auto"/>
                <w:kern w:val="0"/>
                <w:sz w:val="24"/>
                <w:szCs w:val="24"/>
                <w:u w:val="none" w:color="auto"/>
                <w:lang w:val="en-US" w:eastAsia="zh-CN" w:bidi="ar"/>
              </w:rPr>
              <w:t>和无组织排放标准</w:t>
            </w:r>
            <w:r>
              <w:rPr>
                <w:rFonts w:hint="default" w:ascii="Times New Roman" w:hAnsi="Times New Roman" w:eastAsia="宋体" w:cs="Times New Roman"/>
                <w:color w:val="auto"/>
                <w:kern w:val="0"/>
                <w:sz w:val="24"/>
                <w:szCs w:val="24"/>
                <w:u w:val="none" w:color="auto"/>
                <w:lang w:val="en-US" w:eastAsia="zh-CN" w:bidi="ar"/>
              </w:rPr>
              <w:t>，有机废气执行《表面涂装（汽车制造及维修）挥发性有机物、 镍排放标准》（DB43/1356-2017）表1中排放标准；无组织有机废气排放执行《挥发性有机物无组织排放控制标准》（GB37822-2019）中限值要求</w:t>
            </w:r>
            <w:r>
              <w:rPr>
                <w:rFonts w:hint="eastAsia" w:eastAsia="宋体" w:cs="Times New Roman"/>
                <w:color w:val="auto"/>
                <w:kern w:val="0"/>
                <w:sz w:val="24"/>
                <w:szCs w:val="24"/>
                <w:u w:val="none" w:color="auto"/>
                <w:lang w:val="en-US" w:eastAsia="zh-CN" w:bidi="ar"/>
              </w:rPr>
              <w:t>，液化石油气燃烧废气执行</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工业炉窑大气污染物排放标准</w:t>
            </w:r>
            <w:r>
              <w:rPr>
                <w:rFonts w:hint="default" w:ascii="Times New Roman" w:hAnsi="Times New Roman" w:eastAsia="宋体" w:cs="Times New Roman"/>
                <w:color w:val="auto"/>
                <w:kern w:val="0"/>
                <w:sz w:val="24"/>
                <w:szCs w:val="24"/>
                <w:u w:val="none" w:color="auto"/>
                <w:lang w:val="en-US" w:eastAsia="zh-CN" w:bidi="ar"/>
              </w:rPr>
              <w:t>》（GB</w:t>
            </w:r>
            <w:r>
              <w:rPr>
                <w:rFonts w:hint="eastAsia" w:cs="Times New Roman"/>
                <w:color w:val="auto"/>
                <w:kern w:val="0"/>
                <w:sz w:val="24"/>
                <w:szCs w:val="24"/>
                <w:u w:val="none" w:color="auto"/>
                <w:lang w:val="en-US" w:eastAsia="zh-CN" w:bidi="ar"/>
              </w:rPr>
              <w:t>9078</w:t>
            </w:r>
            <w:r>
              <w:rPr>
                <w:rFonts w:hint="default" w:ascii="Times New Roman" w:hAnsi="Times New Roman" w:eastAsia="宋体" w:cs="Times New Roman"/>
                <w:color w:val="auto"/>
                <w:kern w:val="0"/>
                <w:sz w:val="24"/>
                <w:szCs w:val="24"/>
                <w:u w:val="none" w:color="auto"/>
                <w:lang w:val="en-US" w:eastAsia="zh-CN" w:bidi="ar"/>
              </w:rPr>
              <w:t>-1996）</w:t>
            </w:r>
            <w:r>
              <w:rPr>
                <w:rFonts w:hint="eastAsia" w:cs="Times New Roman"/>
                <w:color w:val="auto"/>
                <w:kern w:val="0"/>
                <w:sz w:val="24"/>
                <w:szCs w:val="24"/>
                <w:u w:val="none" w:color="auto"/>
                <w:lang w:val="en-US" w:eastAsia="zh-CN" w:bidi="ar"/>
              </w:rPr>
              <w:t>中的排放</w:t>
            </w:r>
            <w:r>
              <w:rPr>
                <w:rFonts w:hint="default" w:ascii="Times New Roman" w:hAnsi="Times New Roman" w:eastAsia="宋体" w:cs="Times New Roman"/>
                <w:color w:val="auto"/>
                <w:kern w:val="0"/>
                <w:sz w:val="24"/>
                <w:szCs w:val="24"/>
                <w:u w:val="none" w:color="auto"/>
                <w:lang w:val="en-US" w:eastAsia="zh-CN" w:bidi="ar"/>
              </w:rPr>
              <w:t>标准</w:t>
            </w:r>
            <w:r>
              <w:rPr>
                <w:rFonts w:hint="eastAsia" w:cs="Times New Roman"/>
                <w:color w:val="auto"/>
                <w:kern w:val="0"/>
                <w:sz w:val="24"/>
                <w:szCs w:val="24"/>
                <w:u w:val="none" w:color="auto"/>
                <w:lang w:val="en-US" w:eastAsia="zh-CN" w:bidi="ar"/>
              </w:rPr>
              <w:t>，氮氧化物执行</w:t>
            </w:r>
            <w:r>
              <w:rPr>
                <w:rFonts w:hint="default" w:ascii="Times New Roman" w:hAnsi="Times New Roman" w:eastAsia="宋体" w:cs="Times New Roman"/>
                <w:color w:val="auto"/>
                <w:kern w:val="0"/>
                <w:sz w:val="24"/>
                <w:szCs w:val="24"/>
                <w:u w:val="none" w:color="auto"/>
                <w:lang w:val="en-US" w:eastAsia="zh-CN" w:bidi="ar"/>
              </w:rPr>
              <w:t>《大气污染物综合排放标准》（GB16297-1996）表2的二级标准</w:t>
            </w:r>
            <w:r>
              <w:rPr>
                <w:rFonts w:hint="eastAsia" w:cs="Times New Roman"/>
                <w:color w:val="auto"/>
                <w:kern w:val="0"/>
                <w:sz w:val="24"/>
                <w:szCs w:val="24"/>
                <w:u w:val="none" w:color="auto"/>
                <w:lang w:val="en-US" w:eastAsia="zh-CN" w:bidi="ar"/>
              </w:rPr>
              <w:t>；食堂油烟执行《饮食业油烟排放标准（试行）》（GB18483-2001）中排放标准要求（浓度小于2.0mg/m</w:t>
            </w:r>
            <w:r>
              <w:rPr>
                <w:rFonts w:hint="eastAsia" w:cs="Times New Roman"/>
                <w:color w:val="auto"/>
                <w:kern w:val="0"/>
                <w:sz w:val="24"/>
                <w:szCs w:val="24"/>
                <w:u w:val="none" w:color="auto"/>
                <w:vertAlign w:val="superscript"/>
                <w:lang w:val="en-US" w:eastAsia="zh-CN" w:bidi="ar"/>
              </w:rPr>
              <w:t>3</w:t>
            </w:r>
            <w:r>
              <w:rPr>
                <w:rFonts w:hint="eastAsia" w:cs="Times New Roman"/>
                <w:color w:val="auto"/>
                <w:kern w:val="0"/>
                <w:sz w:val="24"/>
                <w:szCs w:val="24"/>
                <w:u w:val="none" w:color="auto"/>
                <w:lang w:val="en-US" w:eastAsia="zh-CN" w:bidi="ar"/>
              </w:rPr>
              <w:t>）。</w:t>
            </w:r>
          </w:p>
          <w:p>
            <w:pPr>
              <w:pStyle w:val="38"/>
              <w:adjustRightInd w:val="0"/>
              <w:snapToGrid w:val="0"/>
              <w:spacing w:after="0" w:line="360" w:lineRule="auto"/>
              <w:ind w:left="0" w:leftChars="0" w:firstLine="0" w:firstLineChars="0"/>
              <w:jc w:val="center"/>
              <w:rPr>
                <w:rFonts w:ascii="Times New Roman" w:hAnsi="Times New Roman" w:eastAsia="宋体" w:cs="Times New Roman"/>
                <w:b w:val="0"/>
                <w:bCs/>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6</w:t>
            </w:r>
            <w:r>
              <w:rPr>
                <w:rFonts w:ascii="Times New Roman" w:hAnsi="Times New Roman" w:eastAsia="宋体" w:cs="Times New Roman"/>
                <w:b w:val="0"/>
                <w:bCs/>
                <w:color w:val="auto"/>
                <w:kern w:val="2"/>
                <w:sz w:val="22"/>
                <w:szCs w:val="22"/>
                <w:u w:val="none" w:color="auto"/>
                <w:lang w:val="en-US" w:eastAsia="zh-CN" w:bidi="ar-SA"/>
              </w:rPr>
              <w:t xml:space="preserve"> </w:t>
            </w:r>
            <w:r>
              <w:rPr>
                <w:rFonts w:hint="default" w:ascii="Times New Roman" w:hAnsi="Times New Roman" w:eastAsia="宋体" w:cs="Times New Roman"/>
                <w:b w:val="0"/>
                <w:bCs/>
                <w:color w:val="auto"/>
                <w:kern w:val="2"/>
                <w:sz w:val="22"/>
                <w:szCs w:val="22"/>
                <w:u w:val="none" w:color="auto"/>
                <w:lang w:val="en-US" w:eastAsia="zh-CN" w:bidi="ar-SA"/>
              </w:rPr>
              <w:t>《大气污染物综合排放标准》（GB16297-1996）</w:t>
            </w:r>
          </w:p>
          <w:tbl>
            <w:tblPr>
              <w:tblStyle w:val="39"/>
              <w:tblW w:w="838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36"/>
              <w:gridCol w:w="1700"/>
              <w:gridCol w:w="1843"/>
              <w:gridCol w:w="2126"/>
              <w:gridCol w:w="14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7" w:hRule="atLeast"/>
                <w:jc w:val="center"/>
              </w:trPr>
              <w:tc>
                <w:tcPr>
                  <w:tcW w:w="1236"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1700"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最高允许排放浓度(mg/m</w:t>
                  </w:r>
                  <w:r>
                    <w:rPr>
                      <w:b/>
                      <w:color w:val="auto"/>
                      <w:sz w:val="22"/>
                      <w:szCs w:val="22"/>
                      <w:u w:val="none" w:color="auto"/>
                      <w:vertAlign w:val="superscript"/>
                    </w:rPr>
                    <w:t>3</w:t>
                  </w:r>
                  <w:r>
                    <w:rPr>
                      <w:rFonts w:hint="eastAsia"/>
                      <w:b/>
                      <w:color w:val="auto"/>
                      <w:sz w:val="22"/>
                      <w:szCs w:val="22"/>
                      <w:u w:val="none" w:color="auto"/>
                    </w:rPr>
                    <w:t>)</w:t>
                  </w:r>
                </w:p>
              </w:tc>
              <w:tc>
                <w:tcPr>
                  <w:tcW w:w="1843"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w:t>
                  </w:r>
                  <w:r>
                    <w:rPr>
                      <w:rFonts w:hint="eastAsia"/>
                      <w:b/>
                      <w:color w:val="auto"/>
                      <w:sz w:val="22"/>
                      <w:szCs w:val="22"/>
                      <w:u w:val="none" w:color="auto"/>
                    </w:rPr>
                    <w:t>速率（k</w:t>
                  </w:r>
                  <w:r>
                    <w:rPr>
                      <w:b/>
                      <w:color w:val="auto"/>
                      <w:sz w:val="22"/>
                      <w:szCs w:val="22"/>
                      <w:u w:val="none" w:color="auto"/>
                    </w:rPr>
                    <w:t>g/h</w:t>
                  </w:r>
                  <w:r>
                    <w:rPr>
                      <w:rFonts w:hint="eastAsia"/>
                      <w:b/>
                      <w:color w:val="auto"/>
                      <w:sz w:val="22"/>
                      <w:szCs w:val="22"/>
                      <w:u w:val="none" w:color="auto"/>
                    </w:rPr>
                    <w:t>）</w:t>
                  </w:r>
                </w:p>
              </w:tc>
              <w:tc>
                <w:tcPr>
                  <w:tcW w:w="3605" w:type="dxa"/>
                  <w:gridSpan w:val="2"/>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 xml:space="preserve">无组织排放监测浓度限值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7" w:hRule="atLeast"/>
                <w:jc w:val="center"/>
              </w:trPr>
              <w:tc>
                <w:tcPr>
                  <w:tcW w:w="1236" w:type="dxa"/>
                  <w:vMerge w:val="continue"/>
                  <w:vAlign w:val="center"/>
                </w:tcPr>
                <w:p>
                  <w:pPr>
                    <w:adjustRightInd w:val="0"/>
                    <w:snapToGrid w:val="0"/>
                    <w:spacing w:line="360" w:lineRule="auto"/>
                    <w:jc w:val="center"/>
                    <w:rPr>
                      <w:b/>
                      <w:color w:val="auto"/>
                      <w:sz w:val="22"/>
                      <w:szCs w:val="22"/>
                      <w:u w:val="none" w:color="auto"/>
                    </w:rPr>
                  </w:pPr>
                </w:p>
              </w:tc>
              <w:tc>
                <w:tcPr>
                  <w:tcW w:w="1700" w:type="dxa"/>
                  <w:vMerge w:val="continue"/>
                  <w:vAlign w:val="center"/>
                </w:tcPr>
                <w:p>
                  <w:pPr>
                    <w:adjustRightInd w:val="0"/>
                    <w:snapToGrid w:val="0"/>
                    <w:spacing w:line="360" w:lineRule="auto"/>
                    <w:jc w:val="center"/>
                    <w:rPr>
                      <w:b/>
                      <w:color w:val="auto"/>
                      <w:sz w:val="22"/>
                      <w:szCs w:val="22"/>
                      <w:u w:val="none" w:color="auto"/>
                    </w:rPr>
                  </w:pPr>
                </w:p>
              </w:tc>
              <w:tc>
                <w:tcPr>
                  <w:tcW w:w="1843" w:type="dxa"/>
                  <w:vMerge w:val="continue"/>
                </w:tcPr>
                <w:p>
                  <w:pPr>
                    <w:adjustRightInd w:val="0"/>
                    <w:snapToGrid w:val="0"/>
                    <w:spacing w:line="360" w:lineRule="auto"/>
                    <w:jc w:val="center"/>
                    <w:rPr>
                      <w:b/>
                      <w:color w:val="auto"/>
                      <w:sz w:val="22"/>
                      <w:szCs w:val="22"/>
                      <w:u w:val="none" w:color="auto"/>
                    </w:rPr>
                  </w:pPr>
                </w:p>
              </w:tc>
              <w:tc>
                <w:tcPr>
                  <w:tcW w:w="2126" w:type="dxa"/>
                  <w:vAlign w:val="center"/>
                </w:tcPr>
                <w:p>
                  <w:pPr>
                    <w:adjustRightInd w:val="0"/>
                    <w:snapToGrid w:val="0"/>
                    <w:spacing w:line="360" w:lineRule="auto"/>
                    <w:jc w:val="center"/>
                    <w:rPr>
                      <w:b/>
                      <w:color w:val="auto"/>
                      <w:sz w:val="22"/>
                      <w:szCs w:val="22"/>
                      <w:u w:val="none" w:color="auto"/>
                    </w:rPr>
                  </w:pPr>
                  <w:r>
                    <w:rPr>
                      <w:rFonts w:hint="eastAsia"/>
                      <w:b/>
                      <w:color w:val="auto"/>
                      <w:sz w:val="22"/>
                      <w:szCs w:val="22"/>
                      <w:u w:val="none" w:color="auto"/>
                    </w:rPr>
                    <w:t>监控点</w:t>
                  </w:r>
                </w:p>
              </w:tc>
              <w:tc>
                <w:tcPr>
                  <w:tcW w:w="1479" w:type="dxa"/>
                  <w:vAlign w:val="center"/>
                </w:tcPr>
                <w:p>
                  <w:pPr>
                    <w:adjustRightInd w:val="0"/>
                    <w:snapToGrid w:val="0"/>
                    <w:spacing w:line="360" w:lineRule="auto"/>
                    <w:jc w:val="center"/>
                    <w:rPr>
                      <w:b/>
                      <w:color w:val="auto"/>
                      <w:sz w:val="22"/>
                      <w:szCs w:val="22"/>
                      <w:u w:val="none" w:color="auto"/>
                    </w:rPr>
                  </w:pPr>
                  <w:r>
                    <w:rPr>
                      <w:rFonts w:hint="eastAsia"/>
                      <w:b/>
                      <w:color w:val="auto"/>
                      <w:sz w:val="22"/>
                      <w:szCs w:val="22"/>
                      <w:u w:val="none" w:color="auto"/>
                    </w:rPr>
                    <w:t>浓度</w:t>
                  </w:r>
                  <w:r>
                    <w:rPr>
                      <w:b/>
                      <w:color w:val="auto"/>
                      <w:sz w:val="22"/>
                      <w:szCs w:val="22"/>
                      <w:u w:val="none" w:color="auto"/>
                    </w:rPr>
                    <w:t>(mg/m</w:t>
                  </w:r>
                  <w:r>
                    <w:rPr>
                      <w:b/>
                      <w:color w:val="auto"/>
                      <w:sz w:val="22"/>
                      <w:szCs w:val="22"/>
                      <w:u w:val="none" w:color="auto"/>
                      <w:vertAlign w:val="superscript"/>
                    </w:rPr>
                    <w:t>3</w:t>
                  </w:r>
                  <w:r>
                    <w:rPr>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2" w:hRule="atLeast"/>
                <w:jc w:val="center"/>
              </w:trPr>
              <w:tc>
                <w:tcPr>
                  <w:tcW w:w="1236"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颗粒物</w:t>
                  </w:r>
                </w:p>
              </w:tc>
              <w:tc>
                <w:tcPr>
                  <w:tcW w:w="1700"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1</w:t>
                  </w:r>
                  <w:r>
                    <w:rPr>
                      <w:color w:val="auto"/>
                      <w:sz w:val="22"/>
                      <w:szCs w:val="22"/>
                      <w:u w:val="none" w:color="auto"/>
                    </w:rPr>
                    <w:t>20</w:t>
                  </w:r>
                </w:p>
              </w:tc>
              <w:tc>
                <w:tcPr>
                  <w:tcW w:w="1843"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3</w:t>
                  </w:r>
                  <w:r>
                    <w:rPr>
                      <w:color w:val="auto"/>
                      <w:sz w:val="22"/>
                      <w:szCs w:val="22"/>
                      <w:u w:val="none" w:color="auto"/>
                    </w:rPr>
                    <w:t>.5</w:t>
                  </w:r>
                </w:p>
              </w:tc>
              <w:tc>
                <w:tcPr>
                  <w:tcW w:w="2126"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周界外浓度最高点</w:t>
                  </w:r>
                </w:p>
              </w:tc>
              <w:tc>
                <w:tcPr>
                  <w:tcW w:w="1479"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1</w:t>
                  </w:r>
                  <w:r>
                    <w:rPr>
                      <w:color w:val="auto"/>
                      <w:sz w:val="22"/>
                      <w:szCs w:val="22"/>
                      <w:u w:val="none" w:color="auto"/>
                    </w:rPr>
                    <w:t>.0</w:t>
                  </w:r>
                </w:p>
              </w:tc>
            </w:tr>
          </w:tbl>
          <w:p>
            <w:pPr>
              <w:pStyle w:val="38"/>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7</w:t>
            </w:r>
            <w:r>
              <w:rPr>
                <w:rFonts w:ascii="Times New Roman" w:hAnsi="Times New Roman" w:eastAsia="宋体" w:cs="Times New Roman"/>
                <w:b w:val="0"/>
                <w:bCs/>
                <w:color w:val="auto"/>
                <w:kern w:val="2"/>
                <w:sz w:val="22"/>
                <w:szCs w:val="22"/>
                <w:u w:val="none" w:color="auto"/>
                <w:lang w:val="en-US" w:eastAsia="zh-CN" w:bidi="ar-SA"/>
              </w:rPr>
              <w:t xml:space="preserve"> </w:t>
            </w:r>
            <w:r>
              <w:rPr>
                <w:rFonts w:ascii="Times New Roman" w:hAnsi="Times New Roman" w:eastAsia="宋体" w:cs="Times New Roman"/>
                <w:b/>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《表面涂装（汽车制造及维修）挥发性有机物、 镍排放标准》（DB43/1356-2017）</w:t>
            </w:r>
          </w:p>
          <w:tbl>
            <w:tblPr>
              <w:tblStyle w:val="39"/>
              <w:tblW w:w="843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80"/>
              <w:gridCol w:w="2999"/>
              <w:gridCol w:w="32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2180"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2999"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最高允许排放浓度(mg/m</w:t>
                  </w:r>
                  <w:r>
                    <w:rPr>
                      <w:b/>
                      <w:color w:val="auto"/>
                      <w:sz w:val="22"/>
                      <w:szCs w:val="22"/>
                      <w:u w:val="none" w:color="auto"/>
                      <w:vertAlign w:val="superscript"/>
                    </w:rPr>
                    <w:t>3</w:t>
                  </w:r>
                  <w:r>
                    <w:rPr>
                      <w:rFonts w:hint="eastAsia"/>
                      <w:b/>
                      <w:color w:val="auto"/>
                      <w:sz w:val="22"/>
                      <w:szCs w:val="22"/>
                      <w:u w:val="none" w:color="auto"/>
                    </w:rPr>
                    <w:t>)</w:t>
                  </w:r>
                </w:p>
              </w:tc>
              <w:tc>
                <w:tcPr>
                  <w:tcW w:w="3251"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w:t>
                  </w:r>
                  <w:r>
                    <w:rPr>
                      <w:rFonts w:hint="eastAsia"/>
                      <w:b/>
                      <w:color w:val="auto"/>
                      <w:sz w:val="22"/>
                      <w:szCs w:val="22"/>
                      <w:u w:val="none" w:color="auto"/>
                    </w:rPr>
                    <w:t>速率（k</w:t>
                  </w:r>
                  <w:r>
                    <w:rPr>
                      <w:b/>
                      <w:color w:val="auto"/>
                      <w:sz w:val="22"/>
                      <w:szCs w:val="22"/>
                      <w:u w:val="none" w:color="auto"/>
                    </w:rPr>
                    <w:t>g/h</w:t>
                  </w:r>
                  <w:r>
                    <w:rPr>
                      <w:rFonts w:hint="eastAsia"/>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2180" w:type="dxa"/>
                  <w:vMerge w:val="continue"/>
                  <w:vAlign w:val="center"/>
                </w:tcPr>
                <w:p>
                  <w:pPr>
                    <w:adjustRightInd w:val="0"/>
                    <w:snapToGrid w:val="0"/>
                    <w:spacing w:line="360" w:lineRule="auto"/>
                    <w:jc w:val="center"/>
                    <w:rPr>
                      <w:b/>
                      <w:color w:val="auto"/>
                      <w:sz w:val="22"/>
                      <w:szCs w:val="22"/>
                      <w:u w:val="none" w:color="auto"/>
                    </w:rPr>
                  </w:pPr>
                </w:p>
              </w:tc>
              <w:tc>
                <w:tcPr>
                  <w:tcW w:w="2999" w:type="dxa"/>
                  <w:vMerge w:val="continue"/>
                  <w:vAlign w:val="center"/>
                </w:tcPr>
                <w:p>
                  <w:pPr>
                    <w:adjustRightInd w:val="0"/>
                    <w:snapToGrid w:val="0"/>
                    <w:spacing w:line="360" w:lineRule="auto"/>
                    <w:jc w:val="center"/>
                    <w:rPr>
                      <w:b/>
                      <w:color w:val="auto"/>
                      <w:sz w:val="22"/>
                      <w:szCs w:val="22"/>
                      <w:u w:val="none" w:color="auto"/>
                    </w:rPr>
                  </w:pPr>
                </w:p>
              </w:tc>
              <w:tc>
                <w:tcPr>
                  <w:tcW w:w="3251" w:type="dxa"/>
                  <w:vMerge w:val="continue"/>
                </w:tcPr>
                <w:p>
                  <w:pPr>
                    <w:adjustRightInd w:val="0"/>
                    <w:snapToGrid w:val="0"/>
                    <w:spacing w:line="360" w:lineRule="auto"/>
                    <w:jc w:val="center"/>
                    <w:rPr>
                      <w:b/>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3" w:hRule="atLeast"/>
                <w:jc w:val="center"/>
              </w:trPr>
              <w:tc>
                <w:tcPr>
                  <w:tcW w:w="2180" w:type="dxa"/>
                  <w:vAlign w:val="center"/>
                </w:tcPr>
                <w:p>
                  <w:pPr>
                    <w:adjustRightInd w:val="0"/>
                    <w:snapToGrid w:val="0"/>
                    <w:spacing w:line="360" w:lineRule="auto"/>
                    <w:jc w:val="center"/>
                    <w:rPr>
                      <w:color w:val="auto"/>
                      <w:sz w:val="22"/>
                      <w:szCs w:val="22"/>
                      <w:u w:val="none" w:color="auto"/>
                    </w:rPr>
                  </w:pPr>
                  <w:r>
                    <w:rPr>
                      <w:rFonts w:hint="default" w:ascii="Times New Roman" w:hAnsi="Times New Roman" w:cs="Times New Roman"/>
                      <w:color w:val="auto"/>
                      <w:kern w:val="0"/>
                      <w:sz w:val="24"/>
                      <w:szCs w:val="24"/>
                      <w:u w:val="none" w:color="auto"/>
                      <w:lang w:val="en-US" w:eastAsia="zh-CN" w:bidi="ar"/>
                    </w:rPr>
                    <w:t xml:space="preserve">VOCs </w:t>
                  </w:r>
                </w:p>
              </w:tc>
              <w:tc>
                <w:tcPr>
                  <w:tcW w:w="2999"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50</w:t>
                  </w:r>
                </w:p>
              </w:tc>
              <w:tc>
                <w:tcPr>
                  <w:tcW w:w="3251" w:type="dxa"/>
                  <w:vAlign w:val="center"/>
                </w:tcPr>
                <w:p>
                  <w:pPr>
                    <w:adjustRightInd w:val="0"/>
                    <w:snapToGrid w:val="0"/>
                    <w:spacing w:line="360" w:lineRule="auto"/>
                    <w:jc w:val="center"/>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bl>
          <w:p>
            <w:pPr>
              <w:keepNext w:val="0"/>
              <w:keepLines w:val="0"/>
              <w:widowControl/>
              <w:numPr>
                <w:ilvl w:val="0"/>
                <w:numId w:val="0"/>
              </w:numPr>
              <w:suppressLineNumbers w:val="0"/>
              <w:spacing w:line="360" w:lineRule="auto"/>
              <w:jc w:val="left"/>
              <w:rPr>
                <w:rFonts w:hint="eastAsia" w:ascii="Times New Roman" w:hAnsi="Times New Roman" w:cs="Times New Roman"/>
                <w:color w:val="auto"/>
                <w:kern w:val="0"/>
                <w:sz w:val="24"/>
                <w:szCs w:val="24"/>
                <w:u w:val="none" w:color="auto"/>
                <w:lang w:val="en-US" w:eastAsia="zh-CN" w:bidi="ar"/>
              </w:rPr>
            </w:pPr>
            <w:r>
              <w:rPr>
                <w:rFonts w:hint="eastAsia" w:ascii="Times New Roman" w:hAnsi="Times New Roman" w:cs="Times New Roman"/>
                <w:color w:val="auto"/>
                <w:kern w:val="0"/>
                <w:sz w:val="24"/>
                <w:szCs w:val="24"/>
                <w:u w:val="none" w:color="auto"/>
                <w:lang w:val="en-US" w:eastAsia="zh-CN" w:bidi="ar"/>
              </w:rPr>
              <w:t xml:space="preserve">注：因《表面涂装（汽车制造及维修）挥发性有机物、镍排放标准》（DB43/1356-2017） </w:t>
            </w:r>
          </w:p>
          <w:p>
            <w:pPr>
              <w:keepNext w:val="0"/>
              <w:keepLines w:val="0"/>
              <w:widowControl/>
              <w:numPr>
                <w:ilvl w:val="0"/>
                <w:numId w:val="0"/>
              </w:numPr>
              <w:suppressLineNumbers w:val="0"/>
              <w:spacing w:line="360" w:lineRule="auto"/>
              <w:jc w:val="left"/>
              <w:rPr>
                <w:rFonts w:hint="eastAsia"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cs="Times New Roman"/>
                <w:color w:val="auto"/>
                <w:kern w:val="0"/>
                <w:sz w:val="24"/>
                <w:szCs w:val="24"/>
                <w:u w:val="none" w:color="auto"/>
                <w:lang w:val="en-US" w:eastAsia="zh-CN" w:bidi="ar"/>
              </w:rPr>
              <w:t xml:space="preserve">表 </w:t>
            </w:r>
            <w:r>
              <w:rPr>
                <w:rFonts w:hint="default" w:ascii="Times New Roman" w:hAnsi="Times New Roman" w:cs="Times New Roman"/>
                <w:color w:val="auto"/>
                <w:kern w:val="0"/>
                <w:sz w:val="24"/>
                <w:szCs w:val="24"/>
                <w:u w:val="none" w:color="auto"/>
                <w:lang w:val="en-US" w:eastAsia="zh-CN" w:bidi="ar"/>
              </w:rPr>
              <w:t xml:space="preserve">1 </w:t>
            </w:r>
            <w:r>
              <w:rPr>
                <w:rFonts w:hint="eastAsia" w:ascii="Times New Roman" w:hAnsi="Times New Roman" w:cs="Times New Roman"/>
                <w:color w:val="auto"/>
                <w:kern w:val="0"/>
                <w:sz w:val="24"/>
                <w:szCs w:val="24"/>
                <w:u w:val="none" w:color="auto"/>
                <w:lang w:val="en-US" w:eastAsia="zh-CN" w:bidi="ar"/>
              </w:rPr>
              <w:t xml:space="preserve">标准中，汽车维修业对 </w:t>
            </w:r>
            <w:r>
              <w:rPr>
                <w:rFonts w:hint="default" w:ascii="Times New Roman" w:hAnsi="Times New Roman" w:cs="Times New Roman"/>
                <w:color w:val="auto"/>
                <w:kern w:val="0"/>
                <w:sz w:val="24"/>
                <w:szCs w:val="24"/>
                <w:u w:val="none" w:color="auto"/>
                <w:lang w:val="en-US" w:eastAsia="zh-CN" w:bidi="ar"/>
              </w:rPr>
              <w:t xml:space="preserve">VOCs </w:t>
            </w:r>
            <w:r>
              <w:rPr>
                <w:rFonts w:hint="eastAsia" w:ascii="Times New Roman" w:hAnsi="Times New Roman" w:cs="Times New Roman"/>
                <w:color w:val="auto"/>
                <w:kern w:val="0"/>
                <w:sz w:val="24"/>
                <w:szCs w:val="24"/>
                <w:u w:val="none" w:color="auto"/>
                <w:lang w:val="en-US" w:eastAsia="zh-CN" w:bidi="ar"/>
              </w:rPr>
              <w:t>未做要求，</w:t>
            </w:r>
            <w:r>
              <w:rPr>
                <w:rFonts w:hint="default" w:ascii="Times New Roman" w:hAnsi="Times New Roman" w:cs="Times New Roman"/>
                <w:color w:val="auto"/>
                <w:kern w:val="0"/>
                <w:sz w:val="24"/>
                <w:szCs w:val="24"/>
                <w:u w:val="none" w:color="auto"/>
                <w:lang w:val="en-US" w:eastAsia="zh-CN" w:bidi="ar"/>
              </w:rPr>
              <w:t xml:space="preserve">VOCs </w:t>
            </w:r>
            <w:r>
              <w:rPr>
                <w:rFonts w:hint="eastAsia" w:ascii="Times New Roman" w:hAnsi="Times New Roman" w:cs="Times New Roman"/>
                <w:color w:val="auto"/>
                <w:kern w:val="0"/>
                <w:sz w:val="24"/>
                <w:szCs w:val="24"/>
                <w:u w:val="none" w:color="auto"/>
                <w:lang w:val="en-US" w:eastAsia="zh-CN" w:bidi="ar"/>
              </w:rPr>
              <w:t>排放浓度参考非甲烷总烃排放浓度</w:t>
            </w:r>
            <w:r>
              <w:rPr>
                <w:rFonts w:hint="eastAsia" w:cs="Times New Roman"/>
                <w:color w:val="auto"/>
                <w:kern w:val="0"/>
                <w:sz w:val="24"/>
                <w:szCs w:val="24"/>
                <w:u w:val="none" w:color="auto"/>
                <w:lang w:val="en-US" w:eastAsia="zh-CN" w:bidi="ar"/>
              </w:rPr>
              <w:t>。</w:t>
            </w:r>
          </w:p>
          <w:p>
            <w:pPr>
              <w:pStyle w:val="38"/>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color w:val="auto"/>
                <w:kern w:val="2"/>
                <w:sz w:val="22"/>
                <w:szCs w:val="22"/>
                <w:u w:val="none" w:color="auto"/>
                <w:lang w:val="en-US" w:eastAsia="zh-CN" w:bidi="ar-SA"/>
              </w:rPr>
              <w:t>表4</w:t>
            </w:r>
            <w:r>
              <w:rPr>
                <w:rFonts w:ascii="Times New Roman" w:hAnsi="Times New Roman" w:eastAsia="宋体" w:cs="Times New Roman"/>
                <w:b/>
                <w:color w:val="auto"/>
                <w:kern w:val="2"/>
                <w:sz w:val="22"/>
                <w:szCs w:val="22"/>
                <w:u w:val="none" w:color="auto"/>
                <w:lang w:val="en-US" w:eastAsia="zh-CN" w:bidi="ar-SA"/>
              </w:rPr>
              <w:t>-</w:t>
            </w:r>
            <w:r>
              <w:rPr>
                <w:rFonts w:hint="eastAsia" w:cs="Times New Roman"/>
                <w:b/>
                <w:color w:val="auto"/>
                <w:kern w:val="2"/>
                <w:sz w:val="22"/>
                <w:szCs w:val="22"/>
                <w:u w:val="none" w:color="auto"/>
                <w:lang w:val="en-US" w:eastAsia="zh-CN" w:bidi="ar-SA"/>
              </w:rPr>
              <w:t>8</w:t>
            </w:r>
            <w:r>
              <w:rPr>
                <w:rFonts w:ascii="Times New Roman" w:hAnsi="Times New Roman" w:eastAsia="宋体" w:cs="Times New Roman"/>
                <w:b/>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《挥发性有机物无组织排放控制标准》（GB37822-2019）</w:t>
            </w:r>
          </w:p>
          <w:tbl>
            <w:tblPr>
              <w:tblStyle w:val="40"/>
              <w:tblW w:w="8450"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92"/>
              <w:gridCol w:w="1770"/>
              <w:gridCol w:w="2235"/>
              <w:gridCol w:w="25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1" w:hRule="atLeast"/>
              </w:trPr>
              <w:tc>
                <w:tcPr>
                  <w:tcW w:w="1892"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污染物项目</w:t>
                  </w:r>
                </w:p>
              </w:tc>
              <w:tc>
                <w:tcPr>
                  <w:tcW w:w="1770"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排放限值</w:t>
                  </w:r>
                </w:p>
              </w:tc>
              <w:tc>
                <w:tcPr>
                  <w:tcW w:w="2235"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限值含义</w:t>
                  </w:r>
                </w:p>
              </w:tc>
              <w:tc>
                <w:tcPr>
                  <w:tcW w:w="2553"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无组织排放监控位置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3" w:hRule="atLeast"/>
              </w:trPr>
              <w:tc>
                <w:tcPr>
                  <w:tcW w:w="1892" w:type="dxa"/>
                  <w:tcBorders>
                    <w:tl2br w:val="nil"/>
                    <w:tr2bl w:val="nil"/>
                  </w:tcBorders>
                  <w:vAlign w:val="center"/>
                </w:tcPr>
                <w:p>
                  <w:pPr>
                    <w:pStyle w:val="38"/>
                    <w:adjustRightInd w:val="0"/>
                    <w:snapToGrid w:val="0"/>
                    <w:spacing w:after="0" w:line="360" w:lineRule="auto"/>
                    <w:ind w:left="0" w:leftChars="0" w:firstLine="0" w:firstLineChars="0"/>
                    <w:jc w:val="center"/>
                    <w:rPr>
                      <w:rFonts w:hint="default"/>
                      <w:color w:val="auto"/>
                      <w:kern w:val="0"/>
                      <w:sz w:val="24"/>
                      <w:szCs w:val="24"/>
                      <w:u w:val="none" w:color="auto"/>
                      <w:vertAlign w:val="baseline"/>
                      <w:lang w:val="en-US" w:eastAsia="zh-CN"/>
                    </w:rPr>
                  </w:pPr>
                  <w:r>
                    <w:rPr>
                      <w:rFonts w:hint="eastAsia"/>
                      <w:color w:val="auto"/>
                      <w:kern w:val="0"/>
                      <w:sz w:val="24"/>
                      <w:szCs w:val="24"/>
                      <w:u w:val="none" w:color="auto"/>
                      <w:vertAlign w:val="baseline"/>
                      <w:lang w:val="en-US" w:eastAsia="zh-CN"/>
                    </w:rPr>
                    <w:t>非甲烷总体</w:t>
                  </w:r>
                </w:p>
              </w:tc>
              <w:tc>
                <w:tcPr>
                  <w:tcW w:w="1770" w:type="dxa"/>
                  <w:tcBorders>
                    <w:tl2br w:val="nil"/>
                    <w:tr2bl w:val="nil"/>
                  </w:tcBorders>
                  <w:vAlign w:val="center"/>
                </w:tcPr>
                <w:p>
                  <w:pPr>
                    <w:pStyle w:val="38"/>
                    <w:adjustRightInd w:val="0"/>
                    <w:snapToGrid w:val="0"/>
                    <w:spacing w:after="0" w:line="360" w:lineRule="auto"/>
                    <w:ind w:left="0" w:leftChars="0" w:firstLine="0" w:firstLineChars="0"/>
                    <w:jc w:val="center"/>
                    <w:rPr>
                      <w:rFonts w:hint="default"/>
                      <w:color w:val="auto"/>
                      <w:kern w:val="0"/>
                      <w:sz w:val="24"/>
                      <w:szCs w:val="24"/>
                      <w:u w:val="none" w:color="auto"/>
                      <w:vertAlign w:val="baseline"/>
                      <w:lang w:val="en-US" w:eastAsia="zh-CN"/>
                    </w:rPr>
                  </w:pPr>
                  <w:r>
                    <w:rPr>
                      <w:rFonts w:hint="eastAsia"/>
                      <w:color w:val="auto"/>
                      <w:kern w:val="0"/>
                      <w:sz w:val="24"/>
                      <w:szCs w:val="24"/>
                      <w:u w:val="none" w:color="auto"/>
                      <w:vertAlign w:val="baseline"/>
                      <w:lang w:val="en-US" w:eastAsia="zh-CN"/>
                    </w:rPr>
                    <w:t>10</w:t>
                  </w:r>
                </w:p>
              </w:tc>
              <w:tc>
                <w:tcPr>
                  <w:tcW w:w="2235"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监控点处 1h 平</w:t>
                  </w:r>
                </w:p>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均浓度值</w:t>
                  </w:r>
                </w:p>
              </w:tc>
              <w:tc>
                <w:tcPr>
                  <w:tcW w:w="2553"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在厂房外设置监控点</w:t>
                  </w:r>
                </w:p>
              </w:tc>
            </w:tr>
          </w:tbl>
          <w:p>
            <w:pPr>
              <w:pStyle w:val="38"/>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9</w:t>
            </w:r>
            <w:r>
              <w:rPr>
                <w:rFonts w:ascii="Times New Roman" w:hAnsi="Times New Roman" w:eastAsia="宋体" w:cs="Times New Roman"/>
                <w:b w:val="0"/>
                <w:bCs/>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工业炉窑大气污染物排放标准</w:t>
            </w:r>
            <w:r>
              <w:rPr>
                <w:rFonts w:hint="default" w:ascii="Times New Roman" w:hAnsi="Times New Roman" w:eastAsia="宋体" w:cs="Times New Roman"/>
                <w:color w:val="auto"/>
                <w:kern w:val="0"/>
                <w:sz w:val="24"/>
                <w:szCs w:val="24"/>
                <w:u w:val="none" w:color="auto"/>
                <w:lang w:val="en-US" w:eastAsia="zh-CN" w:bidi="ar"/>
              </w:rPr>
              <w:t>》（GB</w:t>
            </w:r>
            <w:r>
              <w:rPr>
                <w:rFonts w:hint="eastAsia" w:cs="Times New Roman"/>
                <w:color w:val="auto"/>
                <w:kern w:val="0"/>
                <w:sz w:val="24"/>
                <w:szCs w:val="24"/>
                <w:u w:val="none" w:color="auto"/>
                <w:lang w:val="en-US" w:eastAsia="zh-CN" w:bidi="ar"/>
              </w:rPr>
              <w:t>9078</w:t>
            </w:r>
            <w:r>
              <w:rPr>
                <w:rFonts w:hint="default" w:ascii="Times New Roman" w:hAnsi="Times New Roman" w:eastAsia="宋体" w:cs="Times New Roman"/>
                <w:color w:val="auto"/>
                <w:kern w:val="0"/>
                <w:sz w:val="24"/>
                <w:szCs w:val="24"/>
                <w:u w:val="none" w:color="auto"/>
                <w:lang w:val="en-US" w:eastAsia="zh-CN" w:bidi="ar"/>
              </w:rPr>
              <w:t>-1996）</w:t>
            </w:r>
            <w:r>
              <w:rPr>
                <w:rFonts w:hint="eastAsia" w:cs="Times New Roman"/>
                <w:color w:val="auto"/>
                <w:kern w:val="0"/>
                <w:sz w:val="24"/>
                <w:szCs w:val="24"/>
                <w:u w:val="none" w:color="auto"/>
                <w:lang w:val="en-US" w:eastAsia="zh-CN" w:bidi="ar"/>
              </w:rPr>
              <w:t>中的排放</w:t>
            </w:r>
            <w:r>
              <w:rPr>
                <w:rFonts w:hint="default" w:ascii="Times New Roman" w:hAnsi="Times New Roman" w:eastAsia="宋体" w:cs="Times New Roman"/>
                <w:color w:val="auto"/>
                <w:kern w:val="0"/>
                <w:sz w:val="24"/>
                <w:szCs w:val="24"/>
                <w:u w:val="none" w:color="auto"/>
                <w:lang w:val="en-US" w:eastAsia="zh-CN" w:bidi="ar"/>
              </w:rPr>
              <w:t>标准</w:t>
            </w:r>
          </w:p>
          <w:tbl>
            <w:tblPr>
              <w:tblStyle w:val="39"/>
              <w:tblW w:w="843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548"/>
              <w:gridCol w:w="48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3548"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4882"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允许排放浓度(mg/m</w:t>
                  </w:r>
                  <w:r>
                    <w:rPr>
                      <w:b/>
                      <w:color w:val="auto"/>
                      <w:sz w:val="22"/>
                      <w:szCs w:val="22"/>
                      <w:u w:val="none" w:color="auto"/>
                      <w:vertAlign w:val="superscript"/>
                    </w:rPr>
                    <w:t>3</w:t>
                  </w:r>
                  <w:r>
                    <w:rPr>
                      <w:rFonts w:hint="eastAsia"/>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3548" w:type="dxa"/>
                  <w:vMerge w:val="continue"/>
                  <w:vAlign w:val="center"/>
                </w:tcPr>
                <w:p>
                  <w:pPr>
                    <w:adjustRightInd w:val="0"/>
                    <w:snapToGrid w:val="0"/>
                    <w:spacing w:line="360" w:lineRule="auto"/>
                    <w:jc w:val="center"/>
                    <w:rPr>
                      <w:b/>
                      <w:color w:val="auto"/>
                      <w:sz w:val="22"/>
                      <w:szCs w:val="22"/>
                      <w:u w:val="none" w:color="auto"/>
                    </w:rPr>
                  </w:pPr>
                </w:p>
              </w:tc>
              <w:tc>
                <w:tcPr>
                  <w:tcW w:w="4882" w:type="dxa"/>
                  <w:vMerge w:val="continue"/>
                  <w:vAlign w:val="center"/>
                </w:tcPr>
                <w:p>
                  <w:pPr>
                    <w:adjustRightInd w:val="0"/>
                    <w:snapToGrid w:val="0"/>
                    <w:spacing w:line="360" w:lineRule="auto"/>
                    <w:jc w:val="center"/>
                    <w:rPr>
                      <w:b/>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8" w:hRule="atLeast"/>
                <w:jc w:val="center"/>
              </w:trPr>
              <w:tc>
                <w:tcPr>
                  <w:tcW w:w="3548" w:type="dxa"/>
                  <w:vAlign w:val="center"/>
                </w:tcPr>
                <w:p>
                  <w:pPr>
                    <w:adjustRightInd w:val="0"/>
                    <w:snapToGrid w:val="0"/>
                    <w:spacing w:line="360" w:lineRule="auto"/>
                    <w:jc w:val="center"/>
                    <w:rPr>
                      <w:rFonts w:hint="eastAsia" w:eastAsia="宋体"/>
                      <w:color w:val="auto"/>
                      <w:sz w:val="22"/>
                      <w:szCs w:val="22"/>
                      <w:u w:val="none" w:color="auto"/>
                      <w:lang w:eastAsia="zh-CN"/>
                    </w:rPr>
                  </w:pPr>
                  <w:r>
                    <w:rPr>
                      <w:rFonts w:hint="eastAsia"/>
                      <w:color w:val="auto"/>
                      <w:sz w:val="22"/>
                      <w:szCs w:val="22"/>
                      <w:u w:val="none" w:color="auto"/>
                      <w:lang w:eastAsia="zh-CN"/>
                    </w:rPr>
                    <w:t>颗粒物</w:t>
                  </w:r>
                </w:p>
              </w:tc>
              <w:tc>
                <w:tcPr>
                  <w:tcW w:w="4882"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3548" w:type="dxa"/>
                  <w:vAlign w:val="center"/>
                </w:tcPr>
                <w:p>
                  <w:pPr>
                    <w:adjustRightInd w:val="0"/>
                    <w:snapToGrid w:val="0"/>
                    <w:spacing w:line="360" w:lineRule="auto"/>
                    <w:jc w:val="center"/>
                    <w:rPr>
                      <w:rFonts w:hint="default" w:ascii="Times New Roman" w:hAnsi="Times New Roman" w:cs="Times New Roman"/>
                      <w:color w:val="auto"/>
                      <w:kern w:val="0"/>
                      <w:sz w:val="22"/>
                      <w:szCs w:val="22"/>
                      <w:u w:val="none" w:color="auto"/>
                      <w:lang w:val="en-US" w:eastAsia="zh-CN" w:bidi="ar"/>
                    </w:rPr>
                  </w:pPr>
                  <w:r>
                    <w:rPr>
                      <w:rFonts w:hint="eastAsia" w:ascii="Times New Roman" w:hAnsi="Times New Roman" w:cs="Times New Roman"/>
                      <w:color w:val="auto"/>
                      <w:kern w:val="0"/>
                      <w:sz w:val="22"/>
                      <w:szCs w:val="22"/>
                      <w:u w:val="none" w:color="auto"/>
                      <w:lang w:val="en-US" w:eastAsia="zh-CN" w:bidi="ar"/>
                    </w:rPr>
                    <w:t>二氧化硫</w:t>
                  </w:r>
                </w:p>
              </w:tc>
              <w:tc>
                <w:tcPr>
                  <w:tcW w:w="4882" w:type="dxa"/>
                  <w:vAlign w:val="center"/>
                </w:tcPr>
                <w:p>
                  <w:pPr>
                    <w:adjustRightInd w:val="0"/>
                    <w:snapToGrid w:val="0"/>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850</w:t>
                  </w:r>
                </w:p>
              </w:tc>
            </w:tr>
          </w:tbl>
          <w:p>
            <w:pPr>
              <w:pStyle w:val="38"/>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10</w:t>
            </w:r>
            <w:r>
              <w:rPr>
                <w:rFonts w:ascii="Times New Roman" w:hAnsi="Times New Roman" w:eastAsia="宋体" w:cs="Times New Roman"/>
                <w:b w:val="0"/>
                <w:bCs/>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《大气污染物综合排放标准》（GB16297-1996）</w:t>
            </w:r>
          </w:p>
          <w:tbl>
            <w:tblPr>
              <w:tblStyle w:val="39"/>
              <w:tblW w:w="843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548"/>
              <w:gridCol w:w="48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3548"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4882"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允许排放浓度(mg/m</w:t>
                  </w:r>
                  <w:r>
                    <w:rPr>
                      <w:b/>
                      <w:color w:val="auto"/>
                      <w:sz w:val="22"/>
                      <w:szCs w:val="22"/>
                      <w:u w:val="none" w:color="auto"/>
                      <w:vertAlign w:val="superscript"/>
                    </w:rPr>
                    <w:t>3</w:t>
                  </w:r>
                  <w:r>
                    <w:rPr>
                      <w:rFonts w:hint="eastAsia"/>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3548" w:type="dxa"/>
                  <w:vMerge w:val="continue"/>
                  <w:vAlign w:val="center"/>
                </w:tcPr>
                <w:p>
                  <w:pPr>
                    <w:adjustRightInd w:val="0"/>
                    <w:snapToGrid w:val="0"/>
                    <w:spacing w:line="360" w:lineRule="auto"/>
                    <w:jc w:val="center"/>
                    <w:rPr>
                      <w:b/>
                      <w:color w:val="auto"/>
                      <w:sz w:val="22"/>
                      <w:szCs w:val="22"/>
                      <w:u w:val="none" w:color="auto"/>
                    </w:rPr>
                  </w:pPr>
                </w:p>
              </w:tc>
              <w:tc>
                <w:tcPr>
                  <w:tcW w:w="4882" w:type="dxa"/>
                  <w:vMerge w:val="continue"/>
                  <w:vAlign w:val="center"/>
                </w:tcPr>
                <w:p>
                  <w:pPr>
                    <w:adjustRightInd w:val="0"/>
                    <w:snapToGrid w:val="0"/>
                    <w:spacing w:line="360" w:lineRule="auto"/>
                    <w:jc w:val="center"/>
                    <w:rPr>
                      <w:b/>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3548" w:type="dxa"/>
                  <w:vAlign w:val="center"/>
                </w:tcPr>
                <w:p>
                  <w:pPr>
                    <w:adjustRightInd w:val="0"/>
                    <w:snapToGrid w:val="0"/>
                    <w:spacing w:line="360" w:lineRule="auto"/>
                    <w:jc w:val="center"/>
                    <w:rPr>
                      <w:rFonts w:hint="default" w:ascii="Times New Roman" w:hAnsi="Times New Roman" w:cs="Times New Roman"/>
                      <w:color w:val="auto"/>
                      <w:kern w:val="0"/>
                      <w:sz w:val="22"/>
                      <w:szCs w:val="22"/>
                      <w:u w:val="none" w:color="auto"/>
                      <w:lang w:val="en-US" w:eastAsia="zh-CN" w:bidi="ar"/>
                    </w:rPr>
                  </w:pPr>
                  <w:r>
                    <w:rPr>
                      <w:rFonts w:hint="eastAsia" w:ascii="Times New Roman" w:hAnsi="Times New Roman" w:cs="Times New Roman"/>
                      <w:color w:val="auto"/>
                      <w:kern w:val="0"/>
                      <w:sz w:val="22"/>
                      <w:szCs w:val="22"/>
                      <w:u w:val="none" w:color="auto"/>
                      <w:lang w:val="en-US" w:eastAsia="zh-CN" w:bidi="ar"/>
                    </w:rPr>
                    <w:t>氮氧化物</w:t>
                  </w:r>
                </w:p>
              </w:tc>
              <w:tc>
                <w:tcPr>
                  <w:tcW w:w="4882" w:type="dxa"/>
                  <w:vAlign w:val="center"/>
                </w:tcPr>
                <w:p>
                  <w:pPr>
                    <w:adjustRightInd w:val="0"/>
                    <w:snapToGrid w:val="0"/>
                    <w:spacing w:line="360" w:lineRule="auto"/>
                    <w:jc w:val="center"/>
                    <w:rPr>
                      <w:rFonts w:hint="default"/>
                      <w:color w:val="auto"/>
                      <w:sz w:val="22"/>
                      <w:szCs w:val="22"/>
                      <w:u w:val="none" w:color="auto"/>
                      <w:lang w:val="en-US" w:eastAsia="zh-CN"/>
                    </w:rPr>
                  </w:pPr>
                  <w:r>
                    <w:rPr>
                      <w:rFonts w:hint="eastAsia"/>
                      <w:color w:val="auto"/>
                      <w:sz w:val="22"/>
                      <w:szCs w:val="22"/>
                      <w:u w:val="none" w:color="auto"/>
                      <w:lang w:val="en-US" w:eastAsia="zh-CN"/>
                    </w:rPr>
                    <w:t>240</w:t>
                  </w:r>
                </w:p>
              </w:tc>
            </w:tr>
          </w:tbl>
          <w:p>
            <w:pPr>
              <w:pStyle w:val="38"/>
              <w:adjustRightInd w:val="0"/>
              <w:snapToGrid w:val="0"/>
              <w:spacing w:after="0" w:line="360" w:lineRule="auto"/>
              <w:ind w:left="0" w:leftChars="0" w:firstLine="0" w:firstLineChars="0"/>
              <w:rPr>
                <w:color w:val="auto"/>
                <w:sz w:val="24"/>
                <w:szCs w:val="24"/>
                <w:u w:val="none" w:color="auto"/>
              </w:rPr>
            </w:pPr>
            <w:r>
              <w:rPr>
                <w:color w:val="auto"/>
                <w:kern w:val="0"/>
                <w:sz w:val="24"/>
                <w:szCs w:val="24"/>
                <w:u w:val="none" w:color="auto"/>
              </w:rPr>
              <w:t>3、噪声</w:t>
            </w:r>
            <w:r>
              <w:rPr>
                <w:rFonts w:hint="eastAsia"/>
                <w:color w:val="auto"/>
                <w:kern w:val="0"/>
                <w:sz w:val="24"/>
                <w:szCs w:val="24"/>
                <w:u w:val="none" w:color="auto"/>
              </w:rPr>
              <w:t>：</w:t>
            </w:r>
            <w:r>
              <w:rPr>
                <w:color w:val="auto"/>
                <w:sz w:val="24"/>
                <w:szCs w:val="24"/>
                <w:u w:val="none" w:color="auto"/>
              </w:rPr>
              <w:t>噪声执行《工业企业厂界环境噪声排放标准》（GB12348-2008）</w:t>
            </w:r>
            <w:r>
              <w:rPr>
                <w:rFonts w:hint="eastAsia"/>
                <w:color w:val="auto"/>
                <w:sz w:val="24"/>
                <w:szCs w:val="24"/>
                <w:u w:val="none" w:color="auto"/>
                <w:lang w:val="en-US" w:eastAsia="zh-CN"/>
              </w:rPr>
              <w:t>3</w:t>
            </w:r>
            <w:r>
              <w:rPr>
                <w:color w:val="auto"/>
                <w:sz w:val="24"/>
                <w:szCs w:val="24"/>
                <w:u w:val="none" w:color="auto"/>
              </w:rPr>
              <w:t>类标准。</w:t>
            </w:r>
          </w:p>
          <w:p>
            <w:pPr>
              <w:pStyle w:val="38"/>
              <w:adjustRightInd w:val="0"/>
              <w:snapToGrid w:val="0"/>
              <w:spacing w:after="0"/>
              <w:ind w:left="0" w:leftChars="0" w:firstLine="0" w:firstLineChars="0"/>
              <w:jc w:val="center"/>
              <w:rPr>
                <w:b/>
                <w:bCs/>
                <w:color w:val="auto"/>
                <w:sz w:val="24"/>
                <w:szCs w:val="24"/>
                <w:u w:val="none" w:color="auto"/>
              </w:rPr>
            </w:pPr>
            <w:r>
              <w:rPr>
                <w:b/>
                <w:bCs/>
                <w:color w:val="auto"/>
                <w:sz w:val="24"/>
                <w:szCs w:val="24"/>
                <w:u w:val="none" w:color="auto"/>
              </w:rPr>
              <w:t>表4-</w:t>
            </w:r>
            <w:r>
              <w:rPr>
                <w:rFonts w:hint="eastAsia"/>
                <w:b/>
                <w:bCs/>
                <w:color w:val="auto"/>
                <w:sz w:val="24"/>
                <w:szCs w:val="24"/>
                <w:u w:val="none" w:color="auto"/>
                <w:lang w:val="en-US" w:eastAsia="zh-CN"/>
              </w:rPr>
              <w:t>11</w:t>
            </w:r>
            <w:r>
              <w:rPr>
                <w:b/>
                <w:bCs/>
                <w:color w:val="auto"/>
                <w:sz w:val="24"/>
                <w:szCs w:val="24"/>
                <w:u w:val="none" w:color="auto"/>
              </w:rPr>
              <w:t xml:space="preserve">  </w:t>
            </w:r>
            <w:r>
              <w:rPr>
                <w:b/>
                <w:color w:val="auto"/>
                <w:sz w:val="24"/>
                <w:szCs w:val="24"/>
                <w:u w:val="none" w:color="auto"/>
              </w:rPr>
              <w:t>工业企业厂界环境噪声排放标准</w:t>
            </w:r>
            <w:r>
              <w:rPr>
                <w:b/>
                <w:bCs/>
                <w:color w:val="auto"/>
                <w:sz w:val="24"/>
                <w:szCs w:val="24"/>
                <w:u w:val="none" w:color="auto"/>
              </w:rPr>
              <w:t xml:space="preserve">  单位dB(A)</w:t>
            </w:r>
          </w:p>
          <w:tbl>
            <w:tblPr>
              <w:tblStyle w:val="39"/>
              <w:tblW w:w="8430"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15"/>
              <w:gridCol w:w="2804"/>
              <w:gridCol w:w="28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vMerge w:val="restart"/>
                  <w:tcBorders>
                    <w:tl2br w:val="nil"/>
                    <w:tr2bl w:val="nil"/>
                  </w:tcBorders>
                  <w:vAlign w:val="center"/>
                </w:tcPr>
                <w:p>
                  <w:pPr>
                    <w:pStyle w:val="33"/>
                    <w:spacing w:line="360" w:lineRule="auto"/>
                    <w:ind w:left="0" w:leftChars="0"/>
                    <w:jc w:val="center"/>
                    <w:rPr>
                      <w:color w:val="auto"/>
                      <w:sz w:val="22"/>
                      <w:szCs w:val="22"/>
                      <w:u w:val="none" w:color="auto"/>
                    </w:rPr>
                  </w:pPr>
                  <w:r>
                    <w:rPr>
                      <w:b/>
                      <w:bCs/>
                      <w:color w:val="auto"/>
                      <w:sz w:val="22"/>
                      <w:szCs w:val="22"/>
                      <w:u w:val="none" w:color="auto"/>
                    </w:rPr>
                    <w:t>声环境功能区类别</w:t>
                  </w:r>
                </w:p>
              </w:tc>
              <w:tc>
                <w:tcPr>
                  <w:tcW w:w="5615" w:type="dxa"/>
                  <w:gridSpan w:val="2"/>
                  <w:tcBorders>
                    <w:tl2br w:val="nil"/>
                    <w:tr2bl w:val="nil"/>
                  </w:tcBorders>
                  <w:vAlign w:val="center"/>
                </w:tcPr>
                <w:p>
                  <w:pPr>
                    <w:pStyle w:val="33"/>
                    <w:spacing w:line="360" w:lineRule="auto"/>
                    <w:ind w:left="0" w:leftChars="0"/>
                    <w:jc w:val="center"/>
                    <w:rPr>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vMerge w:val="continue"/>
                  <w:tcBorders>
                    <w:tl2br w:val="nil"/>
                    <w:tr2bl w:val="nil"/>
                  </w:tcBorders>
                  <w:vAlign w:val="center"/>
                </w:tcPr>
                <w:p>
                  <w:pPr>
                    <w:pStyle w:val="33"/>
                    <w:spacing w:line="360" w:lineRule="auto"/>
                    <w:ind w:left="0" w:leftChars="0"/>
                    <w:jc w:val="center"/>
                    <w:rPr>
                      <w:color w:val="auto"/>
                      <w:sz w:val="22"/>
                      <w:szCs w:val="22"/>
                      <w:u w:val="none" w:color="auto"/>
                    </w:rPr>
                  </w:pPr>
                </w:p>
              </w:tc>
              <w:tc>
                <w:tcPr>
                  <w:tcW w:w="2804" w:type="dxa"/>
                  <w:tcBorders>
                    <w:tl2br w:val="nil"/>
                    <w:tr2bl w:val="nil"/>
                  </w:tcBorders>
                  <w:vAlign w:val="center"/>
                </w:tcPr>
                <w:p>
                  <w:pPr>
                    <w:pStyle w:val="33"/>
                    <w:spacing w:line="360" w:lineRule="auto"/>
                    <w:ind w:left="0" w:leftChars="0"/>
                    <w:jc w:val="center"/>
                    <w:rPr>
                      <w:color w:val="auto"/>
                      <w:sz w:val="22"/>
                      <w:szCs w:val="22"/>
                      <w:u w:val="none" w:color="auto"/>
                    </w:rPr>
                  </w:pPr>
                  <w:r>
                    <w:rPr>
                      <w:b/>
                      <w:bCs/>
                      <w:color w:val="auto"/>
                      <w:sz w:val="22"/>
                      <w:szCs w:val="22"/>
                      <w:u w:val="none" w:color="auto"/>
                    </w:rPr>
                    <w:t>昼间</w:t>
                  </w:r>
                </w:p>
              </w:tc>
              <w:tc>
                <w:tcPr>
                  <w:tcW w:w="2811" w:type="dxa"/>
                  <w:tcBorders>
                    <w:tl2br w:val="nil"/>
                    <w:tr2bl w:val="nil"/>
                  </w:tcBorders>
                  <w:vAlign w:val="center"/>
                </w:tcPr>
                <w:p>
                  <w:pPr>
                    <w:pStyle w:val="33"/>
                    <w:spacing w:line="360" w:lineRule="auto"/>
                    <w:ind w:left="0" w:leftChars="0"/>
                    <w:jc w:val="center"/>
                    <w:rPr>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tcBorders>
                    <w:tl2br w:val="nil"/>
                    <w:tr2bl w:val="nil"/>
                  </w:tcBorders>
                  <w:vAlign w:val="center"/>
                </w:tcPr>
                <w:p>
                  <w:pPr>
                    <w:pStyle w:val="33"/>
                    <w:spacing w:line="360" w:lineRule="auto"/>
                    <w:ind w:left="0" w:leftChars="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4" w:type="dxa"/>
                  <w:tcBorders>
                    <w:tl2br w:val="nil"/>
                    <w:tr2bl w:val="nil"/>
                  </w:tcBorders>
                  <w:vAlign w:val="center"/>
                </w:tcPr>
                <w:p>
                  <w:pPr>
                    <w:pStyle w:val="33"/>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1" w:type="dxa"/>
                  <w:tcBorders>
                    <w:tl2br w:val="nil"/>
                    <w:tr2bl w:val="nil"/>
                  </w:tcBorders>
                  <w:vAlign w:val="center"/>
                </w:tcPr>
                <w:p>
                  <w:pPr>
                    <w:pStyle w:val="33"/>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adjustRightInd w:val="0"/>
              <w:snapToGrid w:val="0"/>
              <w:spacing w:line="360" w:lineRule="auto"/>
              <w:rPr>
                <w:color w:val="auto"/>
                <w:sz w:val="24"/>
                <w:szCs w:val="24"/>
                <w:u w:val="none" w:color="auto"/>
              </w:rPr>
            </w:pPr>
            <w:r>
              <w:rPr>
                <w:color w:val="auto"/>
                <w:kern w:val="0"/>
                <w:sz w:val="24"/>
                <w:szCs w:val="24"/>
                <w:u w:val="none" w:color="auto"/>
              </w:rPr>
              <w:t>4、固体废物：</w:t>
            </w:r>
            <w:r>
              <w:rPr>
                <w:color w:val="auto"/>
                <w:sz w:val="24"/>
                <w:szCs w:val="24"/>
                <w:u w:val="none" w:color="auto"/>
              </w:rPr>
              <w:t>一般固体废物处置执行《一般工业固体废物贮存、处置场污染控制标准》（GB18599-2001）及其2013年修改单中的要求；生活垃圾执行《生活垃圾填埋污染控制标准》（GB16889-2008）。</w:t>
            </w:r>
            <w:r>
              <w:rPr>
                <w:rFonts w:hint="eastAsia"/>
                <w:color w:val="auto"/>
                <w:sz w:val="24"/>
                <w:szCs w:val="24"/>
                <w:u w:val="none" w:color="auto"/>
              </w:rPr>
              <w:t>危险废物执行《危险废物贮存污染控制标准》（GB18597－2001）及其修改单。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2" w:type="dxa"/>
            <w:vAlign w:val="center"/>
          </w:tcPr>
          <w:p>
            <w:pPr>
              <w:jc w:val="center"/>
              <w:rPr>
                <w:b/>
                <w:bCs/>
                <w:color w:val="auto"/>
                <w:sz w:val="24"/>
                <w:szCs w:val="24"/>
                <w:u w:val="none" w:color="auto"/>
              </w:rPr>
            </w:pPr>
            <w:r>
              <w:rPr>
                <w:b/>
                <w:bCs/>
                <w:color w:val="auto"/>
                <w:sz w:val="24"/>
                <w:szCs w:val="24"/>
                <w:u w:val="none" w:color="auto"/>
              </w:rPr>
              <w:t>总量控制指标</w:t>
            </w:r>
          </w:p>
        </w:tc>
        <w:tc>
          <w:tcPr>
            <w:tcW w:w="8676" w:type="dxa"/>
            <w:vAlign w:val="center"/>
          </w:tcPr>
          <w:p>
            <w:pPr>
              <w:spacing w:line="520" w:lineRule="exact"/>
              <w:ind w:firstLine="462" w:firstLineChars="200"/>
              <w:rPr>
                <w:color w:val="auto"/>
                <w:sz w:val="24"/>
                <w:szCs w:val="24"/>
                <w:u w:val="none" w:color="auto"/>
              </w:rPr>
            </w:pPr>
            <w:r>
              <w:rPr>
                <w:rFonts w:hint="eastAsia"/>
                <w:color w:val="auto"/>
                <w:sz w:val="24"/>
                <w:szCs w:val="24"/>
                <w:u w:val="none" w:color="auto"/>
              </w:rPr>
              <w:t>根据《湖南省“十三五”主要污染物减排规划》，湖南省约束性总量控制指标为二氧化硫（SO</w:t>
            </w:r>
            <w:r>
              <w:rPr>
                <w:rFonts w:hint="eastAsia"/>
                <w:color w:val="auto"/>
                <w:sz w:val="24"/>
                <w:szCs w:val="24"/>
                <w:u w:val="none" w:color="auto"/>
                <w:vertAlign w:val="subscript"/>
              </w:rPr>
              <w:t>2</w:t>
            </w:r>
            <w:r>
              <w:rPr>
                <w:rFonts w:hint="eastAsia"/>
                <w:color w:val="auto"/>
                <w:sz w:val="24"/>
                <w:szCs w:val="24"/>
                <w:u w:val="none" w:color="auto"/>
              </w:rPr>
              <w:t>）、氮氧化物（NOx）、化学需氧量（COD）和氨氮（NH</w:t>
            </w:r>
            <w:r>
              <w:rPr>
                <w:rFonts w:hint="eastAsia"/>
                <w:color w:val="auto"/>
                <w:sz w:val="24"/>
                <w:szCs w:val="24"/>
                <w:u w:val="none" w:color="auto"/>
                <w:vertAlign w:val="subscript"/>
              </w:rPr>
              <w:t>3</w:t>
            </w:r>
            <w:r>
              <w:rPr>
                <w:rFonts w:hint="eastAsia"/>
                <w:color w:val="auto"/>
                <w:sz w:val="24"/>
                <w:szCs w:val="24"/>
                <w:u w:val="none" w:color="auto"/>
              </w:rPr>
              <w:t>-N），推荐性总量控制指标为VOCs。</w:t>
            </w:r>
          </w:p>
          <w:p>
            <w:pPr>
              <w:spacing w:line="520" w:lineRule="exact"/>
              <w:ind w:firstLine="462" w:firstLineChars="200"/>
              <w:rPr>
                <w:rFonts w:hint="eastAsia"/>
                <w:color w:val="auto"/>
                <w:sz w:val="24"/>
                <w:u w:val="none" w:color="auto"/>
              </w:rPr>
            </w:pPr>
            <w:r>
              <w:rPr>
                <w:rFonts w:hint="default" w:ascii="Times New Roman" w:hAnsi="Times New Roman" w:cs="Times New Roman"/>
                <w:color w:val="auto"/>
                <w:sz w:val="24"/>
                <w:szCs w:val="24"/>
                <w:u w:val="none" w:color="auto"/>
                <w:lang w:val="en-US" w:eastAsia="zh-CN"/>
              </w:rPr>
              <w:t>本项目主要排放废水为生活污水，无生产废水产生，</w:t>
            </w:r>
            <w:r>
              <w:rPr>
                <w:rFonts w:hint="default" w:ascii="Times New Roman" w:hAnsi="Times New Roman" w:cs="Times New Roman"/>
                <w:color w:val="auto"/>
                <w:sz w:val="24"/>
                <w:szCs w:val="24"/>
                <w:u w:val="none" w:color="auto"/>
              </w:rPr>
              <w:t>生活污水</w:t>
            </w:r>
            <w:r>
              <w:rPr>
                <w:rFonts w:hint="eastAsia" w:cs="Times New Roman"/>
                <w:color w:val="auto"/>
                <w:sz w:val="24"/>
                <w:szCs w:val="24"/>
                <w:u w:val="none" w:color="auto"/>
                <w:lang w:eastAsia="zh-CN"/>
              </w:rPr>
              <w:t>经化粪池</w:t>
            </w:r>
            <w:r>
              <w:rPr>
                <w:rFonts w:hint="default" w:ascii="Times New Roman" w:hAnsi="Times New Roman" w:cs="Times New Roman"/>
                <w:color w:val="auto"/>
                <w:sz w:val="24"/>
                <w:szCs w:val="24"/>
                <w:u w:val="none" w:color="auto"/>
              </w:rPr>
              <w:t>处理后进入</w:t>
            </w:r>
            <w:r>
              <w:rPr>
                <w:rFonts w:hint="default" w:ascii="Times New Roman" w:hAnsi="Times New Roman" w:cs="Times New Roman"/>
                <w:color w:val="auto"/>
                <w:sz w:val="24"/>
                <w:szCs w:val="24"/>
                <w:u w:val="none" w:color="auto"/>
                <w:lang w:eastAsia="zh-CN"/>
              </w:rPr>
              <w:t>工业园</w:t>
            </w:r>
            <w:r>
              <w:rPr>
                <w:rFonts w:hint="default" w:ascii="Times New Roman" w:hAnsi="Times New Roman" w:cs="Times New Roman"/>
                <w:color w:val="auto"/>
                <w:sz w:val="24"/>
                <w:szCs w:val="24"/>
                <w:u w:val="none" w:color="auto"/>
              </w:rPr>
              <w:t>污水管网</w:t>
            </w:r>
            <w:r>
              <w:rPr>
                <w:rFonts w:hint="default" w:ascii="Times New Roman" w:hAnsi="Times New Roman" w:cs="Times New Roman"/>
                <w:color w:val="auto"/>
                <w:sz w:val="24"/>
                <w:szCs w:val="24"/>
                <w:u w:val="none" w:color="auto"/>
                <w:lang w:eastAsia="zh-CN"/>
              </w:rPr>
              <w:t>后排放</w:t>
            </w:r>
            <w:r>
              <w:rPr>
                <w:rFonts w:hint="eastAsia" w:cs="Times New Roman"/>
                <w:color w:val="auto"/>
                <w:sz w:val="24"/>
                <w:szCs w:val="24"/>
                <w:u w:val="none" w:color="auto"/>
                <w:lang w:eastAsia="zh-CN"/>
              </w:rPr>
              <w:t>园区污水处理设施处理后流入</w:t>
            </w:r>
            <w:r>
              <w:rPr>
                <w:rFonts w:hint="default" w:ascii="Times New Roman" w:hAnsi="Times New Roman" w:cs="Times New Roman"/>
                <w:color w:val="auto"/>
                <w:sz w:val="24"/>
                <w:szCs w:val="24"/>
                <w:u w:val="none" w:color="auto"/>
                <w:lang w:eastAsia="zh-CN"/>
              </w:rPr>
              <w:t>到洋沙河，最终汇入湘江</w:t>
            </w:r>
            <w:r>
              <w:rPr>
                <w:rFonts w:hint="default" w:ascii="Times New Roman" w:hAnsi="Times New Roman" w:cs="Times New Roman"/>
                <w:color w:val="auto"/>
                <w:sz w:val="24"/>
                <w:szCs w:val="24"/>
                <w:u w:val="none" w:color="auto"/>
                <w:lang w:val="en-US" w:eastAsia="zh-CN"/>
              </w:rPr>
              <w:t>，故本项目</w:t>
            </w:r>
            <w:r>
              <w:rPr>
                <w:rFonts w:hint="eastAsia" w:cs="Times New Roman"/>
                <w:color w:val="auto"/>
                <w:sz w:val="24"/>
                <w:szCs w:val="24"/>
                <w:u w:val="none" w:color="auto"/>
                <w:lang w:val="en-US" w:eastAsia="zh-CN"/>
              </w:rPr>
              <w:t>不</w:t>
            </w:r>
            <w:r>
              <w:rPr>
                <w:rFonts w:hint="default" w:ascii="Times New Roman" w:hAnsi="Times New Roman" w:cs="Times New Roman"/>
                <w:color w:val="auto"/>
                <w:sz w:val="24"/>
                <w:szCs w:val="24"/>
                <w:u w:val="none" w:color="auto"/>
                <w:lang w:val="en-US" w:eastAsia="zh-CN"/>
              </w:rPr>
              <w:t>申请水总量指标</w:t>
            </w:r>
            <w:r>
              <w:rPr>
                <w:rFonts w:hint="eastAsia" w:cs="Times New Roman"/>
                <w:color w:val="auto"/>
                <w:sz w:val="24"/>
                <w:szCs w:val="24"/>
                <w:u w:val="none" w:color="auto"/>
                <w:lang w:val="en-US" w:eastAsia="zh-CN"/>
              </w:rPr>
              <w:t>为化学需氧量、氨氮。</w:t>
            </w:r>
          </w:p>
          <w:p>
            <w:pPr>
              <w:spacing w:line="520" w:lineRule="exact"/>
              <w:ind w:firstLine="462" w:firstLineChars="200"/>
              <w:rPr>
                <w:color w:val="auto"/>
                <w:sz w:val="24"/>
                <w:u w:val="none" w:color="auto"/>
              </w:rPr>
            </w:pPr>
            <w:r>
              <w:rPr>
                <w:rFonts w:hint="eastAsia"/>
                <w:color w:val="auto"/>
                <w:sz w:val="24"/>
                <w:u w:val="none" w:color="auto"/>
              </w:rPr>
              <w:t>因此，结合本项目污染物排放因子，确定本项目的总量控制因子为V</w:t>
            </w:r>
            <w:r>
              <w:rPr>
                <w:color w:val="auto"/>
                <w:sz w:val="24"/>
                <w:u w:val="none" w:color="auto"/>
              </w:rPr>
              <w:t>OCs</w:t>
            </w:r>
            <w:r>
              <w:rPr>
                <w:rFonts w:hint="eastAsia"/>
                <w:color w:val="auto"/>
                <w:sz w:val="24"/>
                <w:u w:val="none" w:color="auto"/>
                <w:lang w:eastAsia="zh-CN"/>
              </w:rPr>
              <w:t>、二氧化硫、氮氧化物</w:t>
            </w:r>
            <w:r>
              <w:rPr>
                <w:color w:val="auto"/>
                <w:sz w:val="24"/>
                <w:u w:val="none" w:color="auto"/>
              </w:rPr>
              <w:t>。</w:t>
            </w:r>
          </w:p>
          <w:p>
            <w:pPr>
              <w:spacing w:line="520" w:lineRule="exact"/>
              <w:ind w:firstLine="453" w:firstLineChars="196"/>
              <w:jc w:val="left"/>
              <w:rPr>
                <w:color w:val="auto"/>
                <w:u w:val="none" w:color="auto"/>
              </w:rPr>
            </w:pPr>
            <w:r>
              <w:rPr>
                <w:rFonts w:hint="eastAsia"/>
                <w:color w:val="auto"/>
                <w:sz w:val="24"/>
                <w:u w:val="none" w:color="auto"/>
              </w:rPr>
              <w:t>本项目外排废气中：V</w:t>
            </w:r>
            <w:r>
              <w:rPr>
                <w:color w:val="auto"/>
                <w:sz w:val="24"/>
                <w:u w:val="none" w:color="auto"/>
              </w:rPr>
              <w:t>OCs</w:t>
            </w:r>
            <w:r>
              <w:rPr>
                <w:rFonts w:hint="eastAsia"/>
                <w:color w:val="auto"/>
                <w:sz w:val="24"/>
                <w:u w:val="none" w:color="auto"/>
              </w:rPr>
              <w:t>：</w:t>
            </w:r>
            <w:r>
              <w:rPr>
                <w:rFonts w:hint="eastAsia"/>
                <w:color w:val="auto"/>
                <w:sz w:val="24"/>
                <w:u w:val="none" w:color="auto"/>
                <w:lang w:val="en-US" w:eastAsia="zh-CN"/>
              </w:rPr>
              <w:t>0.703</w:t>
            </w:r>
            <w:r>
              <w:rPr>
                <w:color w:val="auto"/>
                <w:sz w:val="24"/>
                <w:u w:val="none" w:color="auto"/>
              </w:rPr>
              <w:t>t/a</w:t>
            </w:r>
            <w:r>
              <w:rPr>
                <w:rFonts w:hint="eastAsia"/>
                <w:color w:val="auto"/>
                <w:sz w:val="24"/>
                <w:u w:val="none" w:color="auto"/>
                <w:lang w:eastAsia="zh-CN"/>
              </w:rPr>
              <w:t>、二氧化硫：</w:t>
            </w:r>
            <w:r>
              <w:rPr>
                <w:rFonts w:hint="eastAsia"/>
                <w:color w:val="auto"/>
                <w:sz w:val="24"/>
                <w:u w:val="none" w:color="auto"/>
                <w:lang w:val="en-US" w:eastAsia="zh-CN"/>
              </w:rPr>
              <w:t>0.00123</w:t>
            </w:r>
            <w:r>
              <w:rPr>
                <w:color w:val="auto"/>
                <w:sz w:val="24"/>
                <w:u w:val="none" w:color="auto"/>
              </w:rPr>
              <w:t>t/a</w:t>
            </w:r>
            <w:r>
              <w:rPr>
                <w:rFonts w:hint="eastAsia"/>
                <w:color w:val="auto"/>
                <w:sz w:val="24"/>
                <w:u w:val="none" w:color="auto"/>
                <w:lang w:eastAsia="zh-CN"/>
              </w:rPr>
              <w:t>、氮氧化物：</w:t>
            </w:r>
            <w:r>
              <w:rPr>
                <w:rFonts w:hint="eastAsia"/>
                <w:color w:val="auto"/>
                <w:sz w:val="24"/>
                <w:u w:val="none" w:color="auto"/>
                <w:lang w:val="en-US" w:eastAsia="zh-CN"/>
              </w:rPr>
              <w:t>0.01067</w:t>
            </w:r>
            <w:r>
              <w:rPr>
                <w:color w:val="auto"/>
                <w:sz w:val="24"/>
                <w:u w:val="none" w:color="auto"/>
              </w:rPr>
              <w:t>t/a</w:t>
            </w:r>
          </w:p>
        </w:tc>
      </w:tr>
    </w:tbl>
    <w:p>
      <w:pPr>
        <w:snapToGrid w:val="0"/>
        <w:textAlignment w:val="baseline"/>
        <w:outlineLvl w:val="0"/>
        <w:rPr>
          <w:rFonts w:eastAsia="黑体"/>
          <w:color w:val="auto"/>
          <w:kern w:val="24"/>
          <w:sz w:val="32"/>
          <w:u w:val="none" w:color="auto"/>
        </w:rPr>
      </w:pPr>
      <w:r>
        <w:rPr>
          <w:rFonts w:eastAsia="黑体"/>
          <w:color w:val="auto"/>
          <w:sz w:val="32"/>
          <w:u w:val="none" w:color="auto"/>
        </w:rPr>
        <w:br w:type="page"/>
      </w:r>
      <w:bookmarkStart w:id="5" w:name="_Toc19044"/>
      <w:r>
        <w:rPr>
          <w:rFonts w:hint="eastAsia" w:eastAsia="黑体"/>
          <w:color w:val="auto"/>
          <w:sz w:val="32"/>
          <w:u w:val="none" w:color="auto"/>
        </w:rPr>
        <w:t>五、</w:t>
      </w:r>
      <w:r>
        <w:rPr>
          <w:rFonts w:eastAsia="黑体"/>
          <w:color w:val="auto"/>
          <w:sz w:val="32"/>
          <w:u w:val="none" w:color="auto"/>
        </w:rPr>
        <w:t>建设项目工程分析</w:t>
      </w:r>
      <w:bookmarkEnd w:id="5"/>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Layout w:type="fixed"/>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CellMar>
            <w:top w:w="0" w:type="dxa"/>
            <w:left w:w="85" w:type="dxa"/>
            <w:bottom w:w="0" w:type="dxa"/>
            <w:right w:w="85" w:type="dxa"/>
          </w:tblCellMar>
        </w:tblPrEx>
        <w:trPr>
          <w:trHeight w:val="90" w:hRule="atLeast"/>
          <w:jc w:val="center"/>
        </w:trPr>
        <w:tc>
          <w:tcPr>
            <w:tcW w:w="9268" w:type="dxa"/>
          </w:tcPr>
          <w:p>
            <w:pPr>
              <w:spacing w:line="360" w:lineRule="auto"/>
              <w:ind w:firstLine="462" w:firstLineChars="200"/>
              <w:rPr>
                <w:b/>
                <w:color w:val="auto"/>
                <w:sz w:val="24"/>
                <w:u w:val="none" w:color="auto"/>
              </w:rPr>
            </w:pPr>
            <w:r>
              <w:rPr>
                <w:rFonts w:hint="eastAsia"/>
                <w:b/>
                <w:color w:val="auto"/>
                <w:sz w:val="24"/>
                <w:u w:val="none" w:color="auto"/>
                <w:lang w:eastAsia="zh-CN"/>
              </w:rPr>
              <w:t>一</w:t>
            </w:r>
            <w:r>
              <w:rPr>
                <w:b/>
                <w:color w:val="auto"/>
                <w:sz w:val="24"/>
                <w:u w:val="none" w:color="auto"/>
              </w:rPr>
              <w:t>、施工期工艺流程简述：</w:t>
            </w:r>
          </w:p>
          <w:p>
            <w:pPr>
              <w:widowControl/>
              <w:adjustRightInd w:val="0"/>
              <w:snapToGrid w:val="0"/>
              <w:spacing w:line="360" w:lineRule="auto"/>
              <w:ind w:firstLine="462" w:firstLineChars="200"/>
              <w:jc w:val="left"/>
              <w:rPr>
                <w:color w:val="auto"/>
                <w:kern w:val="0"/>
                <w:sz w:val="24"/>
                <w:u w:val="none" w:color="auto"/>
              </w:rPr>
            </w:pPr>
            <w:r>
              <w:rPr>
                <w:color w:val="auto"/>
                <w:kern w:val="0"/>
                <w:sz w:val="24"/>
                <w:u w:val="none" w:color="auto"/>
              </w:rPr>
              <w:t>施工期主要是项目土建、给排水、电气、消防等建设，使用的施工设备包括电动挖掘机、推土机、电钻及运输、装卸设备等；本工程施工期的工艺流程及产污情况图示5-1如下：</w:t>
            </w:r>
          </w:p>
          <w:p>
            <w:pPr>
              <w:widowControl/>
              <w:adjustRightInd w:val="0"/>
              <w:snapToGrid w:val="0"/>
              <w:spacing w:line="360" w:lineRule="auto"/>
              <w:jc w:val="left"/>
              <w:rPr>
                <w:color w:val="auto"/>
                <w:kern w:val="0"/>
                <w:sz w:val="24"/>
                <w:u w:val="none" w:color="auto"/>
              </w:rPr>
            </w:pPr>
            <w:r>
              <w:rPr>
                <w:b/>
                <w:color w:val="auto"/>
                <w:sz w:val="28"/>
                <w:szCs w:val="28"/>
                <w:u w:val="none" w:color="auto"/>
              </w:rPr>
              <mc:AlternateContent>
                <mc:Choice Requires="wps">
                  <w:drawing>
                    <wp:anchor distT="0" distB="0" distL="114300" distR="114300" simplePos="0" relativeHeight="290124800" behindDoc="0" locked="0" layoutInCell="1" allowOverlap="1">
                      <wp:simplePos x="0" y="0"/>
                      <wp:positionH relativeFrom="column">
                        <wp:posOffset>1255395</wp:posOffset>
                      </wp:positionH>
                      <wp:positionV relativeFrom="paragraph">
                        <wp:posOffset>1098550</wp:posOffset>
                      </wp:positionV>
                      <wp:extent cx="2971800" cy="410845"/>
                      <wp:effectExtent l="0" t="0" r="0" b="0"/>
                      <wp:wrapNone/>
                      <wp:docPr id="4" name="矩形 4"/>
                      <wp:cNvGraphicFramePr/>
                      <a:graphic xmlns:a="http://schemas.openxmlformats.org/drawingml/2006/main">
                        <a:graphicData uri="http://schemas.microsoft.com/office/word/2010/wordprocessingShape">
                          <wps:wsp>
                            <wps:cNvSpPr/>
                            <wps:spPr>
                              <a:xfrm>
                                <a:off x="0" y="0"/>
                                <a:ext cx="2971800" cy="410845"/>
                              </a:xfrm>
                              <a:prstGeom prst="rect">
                                <a:avLst/>
                              </a:prstGeom>
                              <a:noFill/>
                              <a:ln>
                                <a:noFill/>
                              </a:ln>
                            </wps:spPr>
                            <wps:txbx>
                              <w:txbxContent>
                                <w:p>
                                  <w:pPr>
                                    <w:jc w:val="center"/>
                                    <w:rPr>
                                      <w:rFonts w:hint="eastAsia"/>
                                      <w:b/>
                                      <w:sz w:val="24"/>
                                    </w:rPr>
                                  </w:pPr>
                                  <w:r>
                                    <w:rPr>
                                      <w:rFonts w:hint="eastAsia"/>
                                      <w:b/>
                                      <w:sz w:val="24"/>
                                    </w:rPr>
                                    <w:t>图5-1   施工期工艺流程及产排污环节图</w:t>
                                  </w:r>
                                </w:p>
                              </w:txbxContent>
                            </wps:txbx>
                            <wps:bodyPr upright="1"/>
                          </wps:wsp>
                        </a:graphicData>
                      </a:graphic>
                    </wp:anchor>
                  </w:drawing>
                </mc:Choice>
                <mc:Fallback>
                  <w:pict>
                    <v:rect id="_x0000_s1026" o:spid="_x0000_s1026" o:spt="1" style="position:absolute;left:0pt;margin-left:98.85pt;margin-top:86.5pt;height:32.35pt;width:234pt;z-index:290124800;mso-width-relative:page;mso-height-relative:page;" filled="f" stroked="f" coordsize="21600,21600" o:gfxdata="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">
                      <v:fill on="f" focussize="0,0"/>
                      <v:stroke on="f"/>
                      <v:imagedata o:title=""/>
                      <o:lock v:ext="edit" aspectratio="f"/>
                      <v:textbox>
                        <w:txbxContent>
                          <w:p>
                            <w:pPr>
                              <w:jc w:val="center"/>
                              <w:rPr>
                                <w:rFonts w:hint="eastAsia"/>
                                <w:b/>
                                <w:sz w:val="24"/>
                              </w:rPr>
                            </w:pPr>
                            <w:r>
                              <w:rPr>
                                <w:rFonts w:hint="eastAsia"/>
                                <w:b/>
                                <w:sz w:val="24"/>
                              </w:rPr>
                              <w:t>图5-1   施工期工艺流程及产排污环节图</w:t>
                            </w:r>
                          </w:p>
                        </w:txbxContent>
                      </v:textbox>
                    </v:rect>
                  </w:pict>
                </mc:Fallback>
              </mc:AlternateContent>
            </w:r>
            <w:r>
              <w:rPr>
                <w:color w:val="auto"/>
                <w:kern w:val="0"/>
                <w:szCs w:val="21"/>
                <w:u w:val="none" w:color="auto"/>
              </w:rPr>
              <w:fldChar w:fldCharType="begin"/>
            </w:r>
            <w:r>
              <w:rPr>
                <w:color w:val="auto"/>
                <w:kern w:val="0"/>
                <w:szCs w:val="21"/>
                <w:u w:val="none" w:color="auto"/>
              </w:rPr>
              <w:instrText xml:space="preserve"> INCLUDEPICTURE "../../../../Users/lyx/AppData/Local/Temp/ksohtml/wps_clip_image-7833.png" \* MERGEFORMAT </w:instrText>
            </w:r>
            <w:r>
              <w:rPr>
                <w:color w:val="auto"/>
                <w:kern w:val="0"/>
                <w:szCs w:val="21"/>
                <w:u w:val="none" w:color="auto"/>
              </w:rPr>
              <w:fldChar w:fldCharType="separate"/>
            </w:r>
            <w:r>
              <w:rPr>
                <w:color w:val="auto"/>
                <w:kern w:val="0"/>
                <w:szCs w:val="21"/>
                <w:u w:val="none" w:color="auto"/>
              </w:rPr>
              <w:drawing>
                <wp:inline distT="0" distB="0" distL="114300" distR="114300">
                  <wp:extent cx="5305425" cy="1076325"/>
                  <wp:effectExtent l="0" t="0" r="9525" b="9525"/>
                  <wp:docPr id="5" name="图片 1" descr="wps_clip_image-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wps_clip_image-7833"/>
                          <pic:cNvPicPr>
                            <a:picLocks noChangeAspect="1"/>
                          </pic:cNvPicPr>
                        </pic:nvPicPr>
                        <pic:blipFill>
                          <a:blip r:embed="rId13"/>
                          <a:stretch>
                            <a:fillRect/>
                          </a:stretch>
                        </pic:blipFill>
                        <pic:spPr>
                          <a:xfrm>
                            <a:off x="0" y="0"/>
                            <a:ext cx="5305425" cy="1076325"/>
                          </a:xfrm>
                          <a:prstGeom prst="rect">
                            <a:avLst/>
                          </a:prstGeom>
                          <a:noFill/>
                          <a:ln>
                            <a:noFill/>
                          </a:ln>
                        </pic:spPr>
                      </pic:pic>
                    </a:graphicData>
                  </a:graphic>
                </wp:inline>
              </w:drawing>
            </w:r>
            <w:r>
              <w:rPr>
                <w:color w:val="auto"/>
                <w:kern w:val="0"/>
                <w:szCs w:val="21"/>
                <w:u w:val="none" w:color="auto"/>
              </w:rPr>
              <w:fldChar w:fldCharType="end"/>
            </w:r>
          </w:p>
          <w:p>
            <w:pPr>
              <w:snapToGrid w:val="0"/>
              <w:spacing w:line="360" w:lineRule="auto"/>
              <w:rPr>
                <w:rFonts w:hAnsi="宋体"/>
                <w:color w:val="auto"/>
                <w:sz w:val="24"/>
                <w:szCs w:val="24"/>
                <w:u w:val="none" w:color="auto"/>
              </w:rPr>
            </w:pPr>
          </w:p>
          <w:p>
            <w:pPr>
              <w:snapToGrid w:val="0"/>
              <w:spacing w:line="360" w:lineRule="auto"/>
              <w:ind w:firstLine="453" w:firstLineChars="196"/>
              <w:rPr>
                <w:rFonts w:hAnsi="宋体"/>
                <w:b/>
                <w:color w:val="auto"/>
                <w:sz w:val="24"/>
                <w:u w:val="none" w:color="auto"/>
              </w:rPr>
            </w:pPr>
            <w:r>
              <w:rPr>
                <w:rFonts w:hint="eastAsia" w:hAnsi="宋体"/>
                <w:b/>
                <w:color w:val="auto"/>
                <w:sz w:val="24"/>
                <w:u w:val="none" w:color="auto"/>
              </w:rPr>
              <w:t>二、营运期</w:t>
            </w:r>
          </w:p>
          <w:p>
            <w:pPr>
              <w:pStyle w:val="33"/>
              <w:ind w:leftChars="0"/>
              <w:rPr>
                <w:color w:val="auto"/>
                <w:sz w:val="24"/>
                <w:u w:val="none" w:color="auto"/>
              </w:rPr>
            </w:pPr>
            <w:r>
              <w:rPr>
                <w:b/>
                <w:color w:val="auto"/>
                <w:sz w:val="24"/>
                <w:szCs w:val="24"/>
                <w:u w:val="none" w:color="auto"/>
              </w:rPr>
              <w:pict>
                <v:shape id="_x0000_s2052" o:spid="_x0000_s2052" o:spt="75" type="#_x0000_t75" style="position:absolute;left:0pt;margin-left:-6.85pt;margin-top:13pt;height:419.9pt;width:467.8pt;z-index:1329626112;mso-width-relative:page;mso-height-relative:page;" o:ole="t" filled="f" o:preferrelative="t" stroked="f" coordsize="21600,21600">
                  <v:path/>
                  <v:fill on="f" focussize="0,0"/>
                  <v:stroke on="f"/>
                  <v:imagedata r:id="rId15" o:title=""/>
                  <o:lock v:ext="edit" aspectratio="f"/>
                </v:shape>
                <o:OLEObject Type="Embed" ProgID="Visio.Drawing.11" ShapeID="_x0000_s2052" DrawAspect="Content" ObjectID="_1468075726" r:id="rId14">
                  <o:LockedField>false</o:LockedField>
                </o:OLEObject>
              </w:pict>
            </w:r>
            <w:r>
              <w:rPr>
                <w:rFonts w:hint="eastAsia"/>
                <w:color w:val="auto"/>
                <w:sz w:val="24"/>
                <w:u w:val="none" w:color="auto"/>
              </w:rPr>
              <w:t>（1）生产工艺流程及产污环节见图5</w:t>
            </w:r>
            <w:r>
              <w:rPr>
                <w:color w:val="auto"/>
                <w:sz w:val="24"/>
                <w:u w:val="none" w:color="auto"/>
              </w:rPr>
              <w:t>-</w:t>
            </w:r>
            <w:r>
              <w:rPr>
                <w:rFonts w:hint="eastAsia"/>
                <w:color w:val="auto"/>
                <w:sz w:val="24"/>
                <w:u w:val="none" w:color="auto"/>
                <w:lang w:val="en-US" w:eastAsia="zh-CN"/>
              </w:rPr>
              <w:t>2</w:t>
            </w:r>
            <w:r>
              <w:rPr>
                <w:rFonts w:hint="eastAsia"/>
                <w:color w:val="auto"/>
                <w:sz w:val="24"/>
                <w:u w:val="none" w:color="auto"/>
              </w:rPr>
              <w:t>所示：</w:t>
            </w:r>
          </w:p>
          <w:p>
            <w:pPr>
              <w:jc w:val="center"/>
              <w:rPr>
                <w:color w:val="auto"/>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both"/>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r>
              <w:rPr>
                <w:b/>
                <w:color w:val="auto"/>
                <w:sz w:val="24"/>
                <w:szCs w:val="24"/>
                <w:u w:val="none" w:color="auto"/>
              </w:rPr>
              <w:t>图5-</w:t>
            </w:r>
            <w:r>
              <w:rPr>
                <w:rFonts w:hint="eastAsia"/>
                <w:b/>
                <w:color w:val="auto"/>
                <w:sz w:val="24"/>
                <w:szCs w:val="24"/>
                <w:u w:val="none" w:color="auto"/>
                <w:lang w:val="en-US" w:eastAsia="zh-CN"/>
              </w:rPr>
              <w:t>2</w:t>
            </w:r>
            <w:r>
              <w:rPr>
                <w:b/>
                <w:color w:val="auto"/>
                <w:sz w:val="24"/>
                <w:szCs w:val="24"/>
                <w:u w:val="none" w:color="auto"/>
              </w:rPr>
              <w:t xml:space="preserve">   生产工艺流程图及产污环节</w:t>
            </w:r>
            <w:r>
              <w:rPr>
                <w:rFonts w:hint="eastAsia"/>
                <w:b/>
                <w:color w:val="auto"/>
                <w:sz w:val="24"/>
                <w:szCs w:val="24"/>
                <w:u w:val="none" w:color="auto"/>
              </w:rPr>
              <w:t>图</w:t>
            </w:r>
          </w:p>
          <w:p>
            <w:pPr>
              <w:pStyle w:val="33"/>
              <w:spacing w:line="360" w:lineRule="auto"/>
              <w:ind w:left="400"/>
              <w:rPr>
                <w:color w:val="auto"/>
                <w:sz w:val="24"/>
                <w:u w:val="single" w:color="auto"/>
              </w:rPr>
            </w:pPr>
            <w:r>
              <w:rPr>
                <w:rFonts w:hint="eastAsia"/>
                <w:color w:val="auto"/>
                <w:sz w:val="24"/>
                <w:u w:val="single" w:color="auto"/>
              </w:rPr>
              <w:t>工艺流程简述：</w:t>
            </w:r>
          </w:p>
          <w:p>
            <w:pPr>
              <w:pStyle w:val="4"/>
              <w:ind w:firstLine="420" w:firstLineChars="182"/>
              <w:rPr>
                <w:rFonts w:hint="default" w:ascii="Times New Roman" w:hAnsi="Times New Roman"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①</w:t>
            </w:r>
            <w:r>
              <w:rPr>
                <w:rFonts w:hint="eastAsia" w:ascii="Times New Roman" w:hAnsi="Times New Roman" w:cs="Times New Roman"/>
                <w:color w:val="auto"/>
                <w:kern w:val="0"/>
                <w:sz w:val="24"/>
                <w:szCs w:val="24"/>
                <w:u w:val="single" w:color="auto"/>
                <w:lang w:val="en-US" w:eastAsia="zh-CN" w:bidi="ar"/>
              </w:rPr>
              <w:t>外壳：</w:t>
            </w:r>
            <w:r>
              <w:rPr>
                <w:rFonts w:hint="default" w:ascii="Times New Roman" w:hAnsi="Times New Roman" w:eastAsia="宋体" w:cs="Times New Roman"/>
                <w:color w:val="auto"/>
                <w:kern w:val="0"/>
                <w:sz w:val="24"/>
                <w:szCs w:val="24"/>
                <w:u w:val="single" w:color="auto"/>
                <w:lang w:val="en-US" w:eastAsia="zh-CN" w:bidi="ar"/>
              </w:rPr>
              <w:t>板材经车、钻、冲压等机加工后进行表面喷塑处理</w:t>
            </w:r>
            <w:r>
              <w:rPr>
                <w:rFonts w:hint="default" w:ascii="Times New Roman" w:hAnsi="Times New Roman" w:cs="Times New Roman"/>
                <w:color w:val="auto"/>
                <w:kern w:val="0"/>
                <w:sz w:val="24"/>
                <w:szCs w:val="24"/>
                <w:u w:val="single" w:color="auto"/>
                <w:lang w:val="en-US" w:eastAsia="zh-CN" w:bidi="ar"/>
              </w:rPr>
              <w:t>，</w:t>
            </w:r>
          </w:p>
          <w:p>
            <w:pPr>
              <w:pStyle w:val="4"/>
              <w:ind w:firstLine="420" w:firstLineChars="182"/>
              <w:rPr>
                <w:rFonts w:hint="default" w:ascii="Times New Roman" w:hAnsi="Times New Roman" w:cs="Times New Roman"/>
                <w:color w:val="auto"/>
                <w:kern w:val="0"/>
                <w:sz w:val="24"/>
                <w:szCs w:val="24"/>
                <w:u w:val="single" w:color="auto"/>
                <w:lang w:val="en-US" w:eastAsia="zh-CN" w:bidi="ar"/>
              </w:rPr>
            </w:pPr>
            <w:r>
              <w:rPr>
                <w:rFonts w:hint="default" w:ascii="Times New Roman" w:hAnsi="Times New Roman" w:cs="Times New Roman"/>
                <w:color w:val="auto"/>
                <w:kern w:val="0"/>
                <w:sz w:val="24"/>
                <w:szCs w:val="24"/>
                <w:u w:val="single" w:color="auto"/>
                <w:lang w:val="en-US" w:eastAsia="zh-CN" w:bidi="ar"/>
              </w:rPr>
              <w:t>②</w:t>
            </w:r>
            <w:r>
              <w:rPr>
                <w:rFonts w:hint="eastAsia" w:ascii="Times New Roman" w:hAnsi="Times New Roman" w:cs="Times New Roman"/>
                <w:color w:val="auto"/>
                <w:kern w:val="0"/>
                <w:sz w:val="24"/>
                <w:szCs w:val="24"/>
                <w:u w:val="single" w:color="auto"/>
                <w:lang w:val="en-US" w:eastAsia="zh-CN" w:bidi="ar"/>
              </w:rPr>
              <w:t>底座：</w:t>
            </w:r>
            <w:r>
              <w:rPr>
                <w:rFonts w:hint="default" w:ascii="Times New Roman" w:hAnsi="Times New Roman" w:eastAsia="宋体" w:cs="Times New Roman"/>
                <w:color w:val="auto"/>
                <w:kern w:val="0"/>
                <w:sz w:val="24"/>
                <w:szCs w:val="24"/>
                <w:u w:val="single" w:color="auto"/>
                <w:lang w:val="en-US" w:eastAsia="zh-CN" w:bidi="ar"/>
              </w:rPr>
              <w:t>钢</w:t>
            </w:r>
            <w:r>
              <w:rPr>
                <w:rFonts w:hint="default" w:ascii="Times New Roman" w:hAnsi="Times New Roman" w:cs="Times New Roman"/>
                <w:color w:val="auto"/>
                <w:kern w:val="0"/>
                <w:sz w:val="24"/>
                <w:szCs w:val="24"/>
                <w:u w:val="single" w:color="auto"/>
                <w:lang w:val="en-US" w:eastAsia="zh-CN" w:bidi="ar"/>
              </w:rPr>
              <w:t>材</w:t>
            </w:r>
            <w:r>
              <w:rPr>
                <w:rFonts w:hint="eastAsia" w:ascii="Times New Roman" w:hAnsi="Times New Roman" w:cs="Times New Roman"/>
                <w:color w:val="auto"/>
                <w:kern w:val="0"/>
                <w:sz w:val="24"/>
                <w:szCs w:val="24"/>
                <w:u w:val="single" w:color="auto"/>
                <w:lang w:val="en-US" w:eastAsia="zh-CN" w:bidi="ar"/>
              </w:rPr>
              <w:t>经</w:t>
            </w:r>
            <w:r>
              <w:rPr>
                <w:rFonts w:hint="default" w:ascii="Times New Roman" w:hAnsi="Times New Roman" w:eastAsia="宋体" w:cs="Times New Roman"/>
                <w:color w:val="auto"/>
                <w:kern w:val="0"/>
                <w:sz w:val="24"/>
                <w:szCs w:val="24"/>
                <w:u w:val="single" w:color="auto"/>
                <w:lang w:val="en-US" w:eastAsia="zh-CN" w:bidi="ar"/>
              </w:rPr>
              <w:t>机加工后进行表面喷漆处理</w:t>
            </w:r>
            <w:r>
              <w:rPr>
                <w:rFonts w:hint="default" w:ascii="Times New Roman" w:hAnsi="Times New Roman" w:cs="Times New Roman"/>
                <w:color w:val="auto"/>
                <w:kern w:val="0"/>
                <w:sz w:val="24"/>
                <w:szCs w:val="24"/>
                <w:u w:val="single" w:color="auto"/>
                <w:lang w:val="en-US" w:eastAsia="zh-CN" w:bidi="ar"/>
              </w:rPr>
              <w:t>，</w:t>
            </w:r>
          </w:p>
          <w:p>
            <w:pPr>
              <w:pStyle w:val="4"/>
              <w:ind w:firstLine="420" w:firstLineChars="182"/>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③</w:t>
            </w:r>
            <w:r>
              <w:rPr>
                <w:rFonts w:hint="eastAsia" w:ascii="Times New Roman" w:hAnsi="Times New Roman" w:eastAsia="宋体" w:cs="Times New Roman"/>
                <w:color w:val="auto"/>
                <w:kern w:val="0"/>
                <w:sz w:val="24"/>
                <w:szCs w:val="24"/>
                <w:u w:val="single" w:color="auto"/>
                <w:lang w:val="en-US" w:eastAsia="zh-CN" w:bidi="ar"/>
              </w:rPr>
              <w:t>电机：</w:t>
            </w:r>
            <w:r>
              <w:rPr>
                <w:rFonts w:hint="default" w:ascii="Times New Roman" w:hAnsi="Times New Roman" w:cs="Times New Roman"/>
                <w:color w:val="auto"/>
                <w:kern w:val="0"/>
                <w:sz w:val="24"/>
                <w:szCs w:val="24"/>
                <w:u w:val="single" w:color="auto"/>
                <w:lang w:val="en-US" w:eastAsia="zh-CN" w:bidi="ar"/>
              </w:rPr>
              <w:t>电机内</w:t>
            </w:r>
            <w:r>
              <w:rPr>
                <w:rFonts w:hint="eastAsia" w:cs="Times New Roman"/>
                <w:color w:val="auto"/>
                <w:kern w:val="0"/>
                <w:sz w:val="24"/>
                <w:szCs w:val="24"/>
                <w:u w:val="single" w:color="auto"/>
                <w:lang w:val="en-US" w:eastAsia="zh-CN" w:bidi="ar"/>
              </w:rPr>
              <w:t>配件先进行浸漆（浸绝缘漆）处理后，再进行烘干（电加热）和组装，完成后，整体再经喷漆处理，喷漆后自然晾干</w:t>
            </w:r>
            <w:r>
              <w:rPr>
                <w:rFonts w:hint="default" w:ascii="Times New Roman" w:hAnsi="Times New Roman" w:eastAsia="宋体" w:cs="Times New Roman"/>
                <w:color w:val="auto"/>
                <w:kern w:val="0"/>
                <w:sz w:val="24"/>
                <w:szCs w:val="24"/>
                <w:u w:val="single" w:color="auto"/>
                <w:lang w:val="en-US" w:eastAsia="zh-CN" w:bidi="ar"/>
              </w:rPr>
              <w:t>，</w:t>
            </w:r>
          </w:p>
          <w:p>
            <w:pPr>
              <w:pStyle w:val="4"/>
              <w:ind w:firstLine="420" w:firstLineChars="182"/>
              <w:rPr>
                <w:rFonts w:hint="eastAsia" w:ascii="Times New Roman" w:hAnsi="Times New Roman" w:cs="Times New Roman"/>
                <w:color w:val="auto"/>
                <w:sz w:val="24"/>
                <w:szCs w:val="24"/>
                <w:u w:val="single" w:color="auto"/>
                <w:lang w:eastAsia="zh-CN"/>
              </w:rPr>
            </w:pPr>
            <w:r>
              <w:rPr>
                <w:rFonts w:hint="eastAsia" w:cs="Times New Roman"/>
                <w:color w:val="auto"/>
                <w:kern w:val="0"/>
                <w:sz w:val="24"/>
                <w:szCs w:val="24"/>
                <w:u w:val="single" w:color="auto"/>
                <w:lang w:val="en-US" w:eastAsia="zh-CN" w:bidi="ar"/>
              </w:rPr>
              <w:t>组装：</w:t>
            </w:r>
            <w:r>
              <w:rPr>
                <w:rFonts w:hint="default" w:ascii="Times New Roman" w:hAnsi="Times New Roman" w:eastAsia="宋体" w:cs="Times New Roman"/>
                <w:color w:val="auto"/>
                <w:kern w:val="0"/>
                <w:sz w:val="24"/>
                <w:szCs w:val="24"/>
                <w:u w:val="single" w:color="auto"/>
                <w:lang w:val="en-US" w:eastAsia="zh-CN" w:bidi="ar"/>
              </w:rPr>
              <w:t>经表面处理后的外壳、底座和电机等配件进行组装</w:t>
            </w:r>
            <w:r>
              <w:rPr>
                <w:rFonts w:hint="eastAsia" w:cs="Times New Roman"/>
                <w:color w:val="auto"/>
                <w:kern w:val="0"/>
                <w:sz w:val="24"/>
                <w:szCs w:val="24"/>
                <w:u w:val="single" w:color="auto"/>
                <w:lang w:val="en-US" w:eastAsia="zh-CN" w:bidi="ar"/>
              </w:rPr>
              <w:t>，组装后进行耐高温</w:t>
            </w:r>
            <w:r>
              <w:rPr>
                <w:rFonts w:hint="default" w:ascii="Times New Roman" w:hAnsi="Times New Roman" w:eastAsia="宋体" w:cs="Times New Roman"/>
                <w:color w:val="auto"/>
                <w:kern w:val="0"/>
                <w:sz w:val="24"/>
                <w:szCs w:val="24"/>
                <w:u w:val="single" w:color="auto"/>
                <w:lang w:val="en-US" w:eastAsia="zh-CN" w:bidi="ar"/>
              </w:rPr>
              <w:t>测试</w:t>
            </w:r>
            <w:r>
              <w:rPr>
                <w:rFonts w:hint="eastAsia" w:cs="Times New Roman"/>
                <w:color w:val="auto"/>
                <w:kern w:val="0"/>
                <w:sz w:val="24"/>
                <w:szCs w:val="24"/>
                <w:u w:val="single" w:color="auto"/>
                <w:lang w:val="en-US" w:eastAsia="zh-CN" w:bidi="ar"/>
              </w:rPr>
              <w:t>（使用液化石油气燃烧提供热源），</w:t>
            </w:r>
            <w:r>
              <w:rPr>
                <w:rFonts w:hint="default" w:ascii="Times New Roman" w:hAnsi="Times New Roman" w:eastAsia="宋体" w:cs="Times New Roman"/>
                <w:color w:val="auto"/>
                <w:kern w:val="0"/>
                <w:sz w:val="24"/>
                <w:szCs w:val="24"/>
                <w:u w:val="single" w:color="auto"/>
                <w:lang w:val="en-US" w:eastAsia="zh-CN" w:bidi="ar"/>
              </w:rPr>
              <w:t>合格后包装即为成品。</w:t>
            </w:r>
            <w:r>
              <w:rPr>
                <w:rFonts w:hint="default" w:ascii="Times New Roman" w:hAnsi="Times New Roman" w:eastAsia="宋体" w:cs="Times New Roman"/>
                <w:color w:val="auto"/>
                <w:kern w:val="0"/>
                <w:sz w:val="24"/>
                <w:szCs w:val="24"/>
                <w:u w:val="single" w:color="auto"/>
                <w:lang w:val="en-US" w:eastAsia="zh-CN" w:bidi="ar"/>
              </w:rPr>
              <w:br w:type="textWrapping"/>
            </w:r>
            <w:r>
              <w:rPr>
                <w:rFonts w:hint="eastAsia" w:ascii="Times New Roman" w:hAnsi="Times New Roman" w:eastAsia="宋体" w:cs="Times New Roman"/>
                <w:color w:val="auto"/>
                <w:kern w:val="0"/>
                <w:sz w:val="24"/>
                <w:szCs w:val="24"/>
                <w:u w:val="single" w:color="auto"/>
                <w:lang w:val="en-US" w:eastAsia="zh-CN" w:bidi="ar"/>
              </w:rPr>
              <w:t xml:space="preserve">    </w:t>
            </w:r>
            <w:r>
              <w:rPr>
                <w:rFonts w:hint="default" w:ascii="Times New Roman" w:hAnsi="Times New Roman" w:eastAsia="宋体" w:cs="Times New Roman"/>
                <w:color w:val="auto"/>
                <w:kern w:val="0"/>
                <w:sz w:val="24"/>
                <w:szCs w:val="24"/>
                <w:u w:val="single" w:color="auto"/>
                <w:lang w:val="en-US" w:eastAsia="zh-CN" w:bidi="ar"/>
              </w:rPr>
              <w:t>喷塑</w:t>
            </w:r>
            <w:r>
              <w:rPr>
                <w:rFonts w:hint="eastAsia"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采用的是树脂基材料 (固体粉末状)</w:t>
            </w:r>
            <w:r>
              <w:rPr>
                <w:rFonts w:hint="eastAsia"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本项目采用静电喷涂。静电喷塑吸附在工件表面上，再经高温( 1</w:t>
            </w:r>
            <w:r>
              <w:rPr>
                <w:rFonts w:hint="eastAsia" w:cs="Times New Roman"/>
                <w:color w:val="auto"/>
                <w:kern w:val="0"/>
                <w:sz w:val="24"/>
                <w:szCs w:val="24"/>
                <w:u w:val="single" w:color="auto"/>
                <w:lang w:val="en-US" w:eastAsia="zh-CN" w:bidi="ar"/>
              </w:rPr>
              <w:t>7</w:t>
            </w:r>
            <w:r>
              <w:rPr>
                <w:rFonts w:hint="default" w:ascii="Times New Roman" w:hAnsi="Times New Roman" w:eastAsia="宋体" w:cs="Times New Roman"/>
                <w:color w:val="auto"/>
                <w:kern w:val="0"/>
                <w:sz w:val="24"/>
                <w:szCs w:val="24"/>
                <w:u w:val="single" w:color="auto"/>
                <w:lang w:val="en-US" w:eastAsia="zh-CN" w:bidi="ar"/>
              </w:rPr>
              <w:t>0'C)烘烤后熔化固定在工件表面的一种工艺。它具有无毒、无臭、无污染的优点，表面色泽艳丽。喷粉室主要由喷枪、房体、自动回收系统和供粉系统组成。</w:t>
            </w:r>
            <w:r>
              <w:rPr>
                <w:rFonts w:hint="default" w:ascii="Times New Roman" w:hAnsi="Times New Roman" w:eastAsia="宋体" w:cs="Times New Roman"/>
                <w:color w:val="auto"/>
                <w:kern w:val="0"/>
                <w:sz w:val="24"/>
                <w:szCs w:val="24"/>
                <w:u w:val="single" w:color="auto"/>
                <w:lang w:val="en-US" w:eastAsia="zh-CN" w:bidi="ar"/>
              </w:rPr>
              <w:br w:type="textWrapping"/>
            </w:r>
            <w:r>
              <w:rPr>
                <w:rFonts w:hint="default" w:ascii="Times New Roman" w:hAnsi="Times New Roman" w:eastAsia="宋体" w:cs="Times New Roman"/>
                <w:color w:val="auto"/>
                <w:kern w:val="0"/>
                <w:sz w:val="24"/>
                <w:szCs w:val="24"/>
                <w:u w:val="single" w:color="auto"/>
                <w:lang w:val="en-US" w:eastAsia="zh-CN" w:bidi="ar"/>
              </w:rPr>
              <w:t>供粉系统把压缩空气与粉桶内的粉末充分混合后成为流体状并通过粉泵输送到喷枪中:喷枪的枪体内带有高压发生器，它可以在枪尖处产生高达10万伏高压，将枪尖附近的空气电离，从喷枪中喷出的粉体通过该电离区域时带上负电荷，通过电场力的作用粉末被吸附到工件表面，并形成一层厚度约50-60μm的粉膜:在喷粉室内通过风机产生负压，将喷粉室内未吸附在工件表面的粉体吸入自动回收系统，经过玻璃纤维滤芯过滤后送回供粉系统循环使用，过滤后气体外排。</w:t>
            </w:r>
            <w:r>
              <w:rPr>
                <w:rFonts w:hint="default" w:ascii="Times New Roman" w:hAnsi="Times New Roman" w:eastAsia="宋体" w:cs="Times New Roman"/>
                <w:color w:val="auto"/>
                <w:kern w:val="0"/>
                <w:sz w:val="24"/>
                <w:szCs w:val="24"/>
                <w:u w:val="single" w:color="auto"/>
                <w:lang w:val="en-US" w:eastAsia="zh-CN" w:bidi="ar"/>
              </w:rPr>
              <w:br w:type="textWrapping"/>
            </w:r>
            <w:r>
              <w:rPr>
                <w:rFonts w:hint="default" w:ascii="Times New Roman" w:hAnsi="Times New Roman" w:eastAsia="宋体" w:cs="Times New Roman"/>
                <w:color w:val="auto"/>
                <w:kern w:val="0"/>
                <w:sz w:val="24"/>
                <w:szCs w:val="24"/>
                <w:u w:val="single" w:color="auto"/>
                <w:lang w:val="en-US" w:eastAsia="zh-CN" w:bidi="ar"/>
              </w:rPr>
              <w:t> </w:t>
            </w:r>
            <w:r>
              <w:rPr>
                <w:rFonts w:hint="eastAsia" w:ascii="Times New Roman" w:hAnsi="Times New Roman" w:eastAsia="宋体" w:cs="Times New Roman"/>
                <w:color w:val="auto"/>
                <w:kern w:val="0"/>
                <w:sz w:val="24"/>
                <w:szCs w:val="24"/>
                <w:u w:val="single" w:color="auto"/>
                <w:lang w:val="en-US" w:eastAsia="zh-CN" w:bidi="ar"/>
              </w:rPr>
              <w:t xml:space="preserve">    </w:t>
            </w:r>
            <w:r>
              <w:rPr>
                <w:rFonts w:hint="default" w:ascii="Times New Roman" w:hAnsi="Times New Roman" w:eastAsia="宋体" w:cs="Times New Roman"/>
                <w:color w:val="auto"/>
                <w:kern w:val="0"/>
                <w:sz w:val="24"/>
                <w:szCs w:val="24"/>
                <w:u w:val="single" w:color="auto"/>
                <w:lang w:val="en-US" w:eastAsia="zh-CN" w:bidi="ar"/>
              </w:rPr>
              <w:t>喷漆</w:t>
            </w:r>
            <w:r>
              <w:rPr>
                <w:rFonts w:hint="eastAsia" w:ascii="Times New Roman" w:hAnsi="Times New Roman" w:eastAsia="宋体" w:cs="Times New Roman"/>
                <w:color w:val="auto"/>
                <w:kern w:val="0"/>
                <w:sz w:val="24"/>
                <w:szCs w:val="24"/>
                <w:u w:val="single" w:color="auto"/>
                <w:lang w:val="en-US" w:eastAsia="zh-CN" w:bidi="ar"/>
              </w:rPr>
              <w:t>：</w:t>
            </w:r>
            <w:r>
              <w:rPr>
                <w:rFonts w:hint="eastAsia"/>
                <w:color w:val="auto"/>
                <w:u w:val="single" w:color="auto"/>
              </w:rPr>
              <w:t>处理</w:t>
            </w:r>
            <w:r>
              <w:rPr>
                <w:color w:val="auto"/>
                <w:u w:val="single" w:color="auto"/>
              </w:rPr>
              <w:t>后的</w:t>
            </w:r>
            <w:r>
              <w:rPr>
                <w:rFonts w:hint="eastAsia"/>
                <w:color w:val="auto"/>
                <w:u w:val="single" w:color="auto"/>
                <w:lang w:eastAsia="zh-CN"/>
              </w:rPr>
              <w:t>板材</w:t>
            </w:r>
            <w:r>
              <w:rPr>
                <w:color w:val="auto"/>
                <w:u w:val="single" w:color="auto"/>
              </w:rPr>
              <w:t>通过悬挂输送系统运至喷漆房。喷漆在完全密闭的</w:t>
            </w:r>
            <w:r>
              <w:rPr>
                <w:rFonts w:hint="eastAsia"/>
                <w:color w:val="auto"/>
                <w:u w:val="single" w:color="auto"/>
                <w:lang w:eastAsia="zh-CN"/>
              </w:rPr>
              <w:t>喷</w:t>
            </w:r>
            <w:r>
              <w:rPr>
                <w:color w:val="auto"/>
                <w:u w:val="single" w:color="auto"/>
              </w:rPr>
              <w:t>漆房内进行。喷好漆的喷件</w:t>
            </w:r>
            <w:r>
              <w:rPr>
                <w:rFonts w:hint="eastAsia"/>
                <w:color w:val="auto"/>
                <w:u w:val="single" w:color="auto"/>
                <w:lang w:eastAsia="zh-CN"/>
              </w:rPr>
              <w:t>进行自然晾干即可</w:t>
            </w:r>
            <w:r>
              <w:rPr>
                <w:rFonts w:hint="default"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br w:type="textWrapping"/>
            </w:r>
            <w:r>
              <w:rPr>
                <w:rFonts w:hint="default" w:ascii="Times New Roman" w:hAnsi="Times New Roman" w:eastAsia="宋体" w:cs="Times New Roman"/>
                <w:color w:val="auto"/>
                <w:kern w:val="0"/>
                <w:sz w:val="24"/>
                <w:szCs w:val="24"/>
                <w:u w:val="single" w:color="auto"/>
                <w:lang w:val="en-US" w:eastAsia="zh-CN" w:bidi="ar"/>
              </w:rPr>
              <w:t> </w:t>
            </w:r>
            <w:r>
              <w:rPr>
                <w:rFonts w:hint="eastAsia" w:ascii="Times New Roman" w:hAnsi="Times New Roman" w:eastAsia="宋体" w:cs="Times New Roman"/>
                <w:color w:val="auto"/>
                <w:kern w:val="0"/>
                <w:sz w:val="24"/>
                <w:szCs w:val="24"/>
                <w:u w:val="single" w:color="auto"/>
                <w:lang w:val="en-US" w:eastAsia="zh-CN" w:bidi="ar"/>
              </w:rPr>
              <w:t xml:space="preserve">    </w:t>
            </w:r>
            <w:r>
              <w:rPr>
                <w:color w:val="auto"/>
                <w:u w:val="single" w:color="auto"/>
              </w:rPr>
              <w:t>固化烘干：喷完</w:t>
            </w:r>
            <w:r>
              <w:rPr>
                <w:rFonts w:hint="eastAsia"/>
                <w:color w:val="auto"/>
                <w:u w:val="single" w:color="auto"/>
                <w:lang w:eastAsia="zh-CN"/>
              </w:rPr>
              <w:t>塑粉</w:t>
            </w:r>
            <w:r>
              <w:rPr>
                <w:color w:val="auto"/>
                <w:u w:val="single" w:color="auto"/>
              </w:rPr>
              <w:t>后的</w:t>
            </w:r>
            <w:r>
              <w:rPr>
                <w:rFonts w:hint="eastAsia"/>
                <w:color w:val="auto"/>
                <w:u w:val="single" w:color="auto"/>
                <w:lang w:eastAsia="zh-CN"/>
              </w:rPr>
              <w:t>板材</w:t>
            </w:r>
            <w:r>
              <w:rPr>
                <w:color w:val="auto"/>
                <w:u w:val="single" w:color="auto"/>
              </w:rPr>
              <w:t>通过悬挂系统进入固化烘干炉烘干，固化烘道为</w:t>
            </w:r>
            <w:r>
              <w:rPr>
                <w:rFonts w:hint="eastAsia"/>
                <w:color w:val="auto"/>
                <w:u w:val="single" w:color="auto"/>
              </w:rPr>
              <w:t>液化气</w:t>
            </w:r>
            <w:r>
              <w:rPr>
                <w:color w:val="auto"/>
                <w:u w:val="single" w:color="auto"/>
              </w:rPr>
              <w:t>加热</w:t>
            </w:r>
            <w:r>
              <w:rPr>
                <w:rFonts w:hint="eastAsia"/>
                <w:color w:val="auto"/>
                <w:u w:val="single" w:color="auto"/>
                <w:lang w:eastAsia="zh-CN"/>
              </w:rPr>
              <w:t>（电为备用）</w:t>
            </w:r>
            <w:r>
              <w:rPr>
                <w:color w:val="auto"/>
                <w:u w:val="single" w:color="auto"/>
              </w:rPr>
              <w:t>，固化烘干炉由烘道炉、热风循环系统和废气排放系统组成。</w:t>
            </w:r>
            <w:r>
              <w:rPr>
                <w:rFonts w:hint="eastAsia"/>
                <w:color w:val="auto"/>
                <w:u w:val="single" w:color="auto"/>
              </w:rPr>
              <w:t>固化</w:t>
            </w:r>
            <w:r>
              <w:rPr>
                <w:color w:val="auto"/>
                <w:u w:val="single" w:color="auto"/>
              </w:rPr>
              <w:t xml:space="preserve">烘干温度 </w:t>
            </w:r>
            <w:r>
              <w:rPr>
                <w:rFonts w:hint="eastAsia"/>
                <w:color w:val="auto"/>
                <w:u w:val="single" w:color="auto"/>
                <w:lang w:val="en-US" w:eastAsia="zh-CN"/>
              </w:rPr>
              <w:t>170</w:t>
            </w:r>
            <w:r>
              <w:rPr>
                <w:color w:val="auto"/>
                <w:u w:val="single" w:color="auto"/>
              </w:rPr>
              <w:t>℃</w:t>
            </w:r>
            <w:r>
              <w:rPr>
                <w:rFonts w:hint="eastAsia" w:ascii="Times New Roman" w:hAnsi="Times New Roman" w:cs="Times New Roman"/>
                <w:color w:val="auto"/>
                <w:sz w:val="24"/>
                <w:szCs w:val="24"/>
                <w:u w:val="single" w:color="auto"/>
                <w:lang w:eastAsia="zh-CN"/>
              </w:rPr>
              <w:t>。</w:t>
            </w:r>
          </w:p>
          <w:p>
            <w:pPr>
              <w:spacing w:after="120" w:line="360" w:lineRule="auto"/>
              <w:rPr>
                <w:b/>
                <w:bCs/>
                <w:color w:val="auto"/>
                <w:sz w:val="24"/>
                <w:u w:val="none" w:color="auto"/>
              </w:rPr>
            </w:pPr>
            <w:r>
              <w:rPr>
                <w:b/>
                <w:bCs/>
                <w:color w:val="auto"/>
                <w:sz w:val="24"/>
                <w:u w:val="none" w:color="auto"/>
              </w:rPr>
              <w:t>施工期污染源分析</w:t>
            </w:r>
          </w:p>
          <w:p>
            <w:pPr>
              <w:spacing w:line="360" w:lineRule="auto"/>
              <w:ind w:firstLine="462" w:firstLineChars="200"/>
              <w:rPr>
                <w:b/>
                <w:color w:val="auto"/>
                <w:sz w:val="24"/>
                <w:u w:val="none" w:color="auto"/>
              </w:rPr>
            </w:pPr>
            <w:r>
              <w:rPr>
                <w:b/>
                <w:color w:val="auto"/>
                <w:sz w:val="24"/>
                <w:u w:val="none" w:color="auto"/>
              </w:rPr>
              <w:t>1</w:t>
            </w:r>
            <w:r>
              <w:rPr>
                <w:rFonts w:hint="eastAsia"/>
                <w:b/>
                <w:color w:val="auto"/>
                <w:sz w:val="24"/>
                <w:u w:val="none" w:color="auto"/>
              </w:rPr>
              <w:t>、</w:t>
            </w:r>
            <w:r>
              <w:rPr>
                <w:b/>
                <w:color w:val="auto"/>
                <w:sz w:val="24"/>
                <w:u w:val="none" w:color="auto"/>
              </w:rPr>
              <w:t>气型污染源分析</w:t>
            </w:r>
          </w:p>
          <w:p>
            <w:pPr>
              <w:pStyle w:val="16"/>
              <w:spacing w:after="0" w:line="360" w:lineRule="auto"/>
              <w:ind w:left="0" w:leftChars="0" w:firstLine="462" w:firstLineChars="200"/>
              <w:rPr>
                <w:color w:val="auto"/>
                <w:sz w:val="24"/>
                <w:u w:val="none" w:color="auto"/>
              </w:rPr>
            </w:pPr>
            <w:r>
              <w:rPr>
                <w:color w:val="auto"/>
                <w:sz w:val="24"/>
                <w:u w:val="none" w:color="auto"/>
              </w:rPr>
              <w:t>本项目的施工期主要气型污染源有：施工扬尘、施工机械和运输车辆排放的尾气。</w:t>
            </w:r>
          </w:p>
          <w:p>
            <w:pPr>
              <w:pStyle w:val="16"/>
              <w:spacing w:after="0" w:line="360" w:lineRule="auto"/>
              <w:rPr>
                <w:color w:val="auto"/>
                <w:sz w:val="24"/>
                <w:u w:val="none" w:color="auto"/>
              </w:rPr>
            </w:pPr>
            <w:r>
              <w:rPr>
                <w:color w:val="auto"/>
                <w:sz w:val="24"/>
                <w:u w:val="none" w:color="auto"/>
              </w:rPr>
              <w:t>（1）施工扬尘</w:t>
            </w:r>
          </w:p>
          <w:p>
            <w:pPr>
              <w:pStyle w:val="16"/>
              <w:spacing w:after="0" w:line="360" w:lineRule="auto"/>
              <w:ind w:left="0" w:leftChars="0" w:firstLine="462" w:firstLineChars="200"/>
              <w:rPr>
                <w:color w:val="auto"/>
                <w:sz w:val="24"/>
                <w:u w:val="none" w:color="auto"/>
              </w:rPr>
            </w:pPr>
            <w:r>
              <w:rPr>
                <w:color w:val="auto"/>
                <w:sz w:val="24"/>
                <w:u w:val="none" w:color="auto"/>
              </w:rPr>
              <w:t>施工期扬尘有地表开挖、基础施工及其他施工产生的地面扬尘；建筑材料的现场搬运及堆放</w:t>
            </w:r>
            <w:r>
              <w:rPr>
                <w:rFonts w:hint="eastAsia"/>
                <w:color w:val="auto"/>
                <w:sz w:val="24"/>
                <w:u w:val="none" w:color="auto"/>
                <w:lang w:eastAsia="zh-CN"/>
              </w:rPr>
              <w:t>起</w:t>
            </w:r>
            <w:r>
              <w:rPr>
                <w:color w:val="auto"/>
                <w:sz w:val="24"/>
                <w:u w:val="none" w:color="auto"/>
              </w:rPr>
              <w:t>尘；汽车运输带来道路扬尘；施工建筑垃圾的清理及堆放带来的扬尘。</w:t>
            </w:r>
          </w:p>
          <w:p>
            <w:pPr>
              <w:pStyle w:val="16"/>
              <w:spacing w:after="0" w:line="360" w:lineRule="auto"/>
              <w:ind w:left="0" w:leftChars="0" w:firstLine="462" w:firstLineChars="200"/>
              <w:rPr>
                <w:color w:val="auto"/>
                <w:sz w:val="24"/>
                <w:u w:val="none" w:color="auto"/>
              </w:rPr>
            </w:pPr>
            <w:r>
              <w:rPr>
                <w:color w:val="auto"/>
                <w:sz w:val="24"/>
                <w:u w:val="none" w:color="auto"/>
              </w:rPr>
              <w:t>据有关资料显示，施工扬尘主要来源是运输车辆行驶而形成，约占扬尘总量的60%，扬尘量的大小与天气干燥程度、道路路况、车辆行驶速度、风速大小有关；类比同类的施工场地，施工车辆运输行驶于泥土路面而扬起的灰土，其灰尘的浓度可达到1～3g/m</w:t>
            </w:r>
            <w:r>
              <w:rPr>
                <w:color w:val="auto"/>
                <w:sz w:val="24"/>
                <w:u w:val="none" w:color="auto"/>
                <w:vertAlign w:val="superscript"/>
              </w:rPr>
              <w:t>3</w:t>
            </w:r>
            <w:r>
              <w:rPr>
                <w:color w:val="auto"/>
                <w:sz w:val="24"/>
                <w:u w:val="none" w:color="auto"/>
              </w:rPr>
              <w:t>。另外由于在挖方过程中破坏了地表结构，造成地面扬尘污染环境，扬尘的大小因施工现场工作条件、施工季节、施工阶段、机械化程度及土质、天气条件的不同而差异较大。一般情况下，在自然风作用下，扬尘受重力、浮力和气流运动的作用，可以发生沉降、上升和扩散，扬尘影响范围在80m以内。在大风天气，扬尘量及影响范围将有所扩大。施工中的弃土、砂料、宕渣、石灰等，若堆放时盖覆不当或装卸运输时散落，也会造成施工扬尘，影响范围在50m左右。</w:t>
            </w:r>
          </w:p>
          <w:p>
            <w:pPr>
              <w:pStyle w:val="16"/>
              <w:spacing w:after="0" w:line="360" w:lineRule="auto"/>
              <w:rPr>
                <w:color w:val="auto"/>
                <w:sz w:val="24"/>
                <w:u w:val="none" w:color="auto"/>
              </w:rPr>
            </w:pPr>
            <w:r>
              <w:rPr>
                <w:color w:val="auto"/>
                <w:sz w:val="24"/>
                <w:u w:val="none" w:color="auto"/>
              </w:rPr>
              <w:t>（2）施工机械和运输车辆排放的尾气</w:t>
            </w:r>
          </w:p>
          <w:p>
            <w:pPr>
              <w:spacing w:line="360" w:lineRule="auto"/>
              <w:ind w:firstLine="462" w:firstLineChars="200"/>
              <w:rPr>
                <w:rFonts w:hint="eastAsia"/>
                <w:color w:val="auto"/>
                <w:sz w:val="24"/>
                <w:u w:val="none" w:color="auto"/>
              </w:rPr>
            </w:pPr>
            <w:r>
              <w:rPr>
                <w:color w:val="auto"/>
                <w:sz w:val="24"/>
                <w:u w:val="none" w:color="auto"/>
              </w:rPr>
              <w:t>施工机械和运输车辆会产生一定的尾气。排放的尾气污染物主要有一氧化碳、碳氢化合物、氮氧化合物、微粒物和二氧化碳等。</w:t>
            </w:r>
            <w:r>
              <w:rPr>
                <w:rFonts w:hint="eastAsia"/>
                <w:color w:val="auto"/>
                <w:sz w:val="24"/>
                <w:u w:val="none" w:color="auto"/>
              </w:rPr>
              <w:t xml:space="preserve"> </w:t>
            </w:r>
          </w:p>
          <w:p>
            <w:pPr>
              <w:spacing w:line="360" w:lineRule="auto"/>
              <w:ind w:firstLine="462" w:firstLineChars="200"/>
              <w:rPr>
                <w:color w:val="auto"/>
                <w:sz w:val="24"/>
                <w:u w:val="none" w:color="auto"/>
              </w:rPr>
            </w:pPr>
            <w:r>
              <w:rPr>
                <w:color w:val="auto"/>
                <w:sz w:val="24"/>
                <w:u w:val="none" w:color="auto"/>
              </w:rPr>
              <w:t>据调查，一般大型工程车辆污染物排放量CO约为5.25g/辆·km，THC约为2.08g/辆·km，NOx约为10.44g/辆·km。工程施工用车以2辆计，每辆车每天按行驶200km计算，则施工车辆每天排放的尾气量CO为2.1kg/天，THC为0.832kg/天，NOx为4.2 kg/天。</w:t>
            </w:r>
          </w:p>
          <w:p>
            <w:pPr>
              <w:spacing w:line="360" w:lineRule="auto"/>
              <w:ind w:firstLine="462" w:firstLineChars="200"/>
              <w:rPr>
                <w:b/>
                <w:color w:val="auto"/>
                <w:sz w:val="24"/>
                <w:u w:val="none" w:color="auto"/>
              </w:rPr>
            </w:pPr>
            <w:r>
              <w:rPr>
                <w:b/>
                <w:color w:val="auto"/>
                <w:sz w:val="24"/>
                <w:u w:val="none" w:color="auto"/>
              </w:rPr>
              <w:t>2</w:t>
            </w:r>
            <w:r>
              <w:rPr>
                <w:rFonts w:hint="eastAsia"/>
                <w:b/>
                <w:color w:val="auto"/>
                <w:sz w:val="24"/>
                <w:u w:val="none" w:color="auto"/>
              </w:rPr>
              <w:t>、</w:t>
            </w:r>
            <w:r>
              <w:rPr>
                <w:b/>
                <w:color w:val="auto"/>
                <w:sz w:val="24"/>
                <w:u w:val="none" w:color="auto"/>
              </w:rPr>
              <w:t>水污染源分析</w:t>
            </w:r>
          </w:p>
          <w:p>
            <w:pPr>
              <w:spacing w:line="360" w:lineRule="auto"/>
              <w:ind w:left="402" w:leftChars="200"/>
              <w:outlineLvl w:val="2"/>
              <w:rPr>
                <w:color w:val="auto"/>
                <w:sz w:val="24"/>
                <w:u w:val="none" w:color="auto"/>
              </w:rPr>
            </w:pPr>
            <w:r>
              <w:rPr>
                <w:color w:val="auto"/>
                <w:sz w:val="24"/>
                <w:u w:val="none" w:color="auto"/>
              </w:rPr>
              <w:t>（1）施工废水</w:t>
            </w:r>
          </w:p>
          <w:p>
            <w:pPr>
              <w:spacing w:line="360" w:lineRule="auto"/>
              <w:ind w:firstLine="462" w:firstLineChars="200"/>
              <w:outlineLvl w:val="2"/>
              <w:rPr>
                <w:color w:val="auto"/>
                <w:sz w:val="24"/>
                <w:u w:val="none" w:color="auto"/>
              </w:rPr>
            </w:pPr>
            <w:r>
              <w:rPr>
                <w:color w:val="auto"/>
                <w:sz w:val="24"/>
                <w:u w:val="none" w:color="auto"/>
              </w:rPr>
              <w:t>施工期水环境污染源包括施工废水、施工人员污水</w:t>
            </w:r>
            <w:r>
              <w:rPr>
                <w:rFonts w:hint="eastAsia"/>
                <w:color w:val="auto"/>
                <w:sz w:val="24"/>
                <w:u w:val="none" w:color="auto"/>
              </w:rPr>
              <w:t>和暴雨的地表径流</w:t>
            </w:r>
            <w:r>
              <w:rPr>
                <w:color w:val="auto"/>
                <w:sz w:val="24"/>
                <w:u w:val="none" w:color="auto"/>
              </w:rPr>
              <w:t>等。</w:t>
            </w:r>
          </w:p>
          <w:p>
            <w:pPr>
              <w:spacing w:line="360" w:lineRule="auto"/>
              <w:ind w:firstLine="462" w:firstLineChars="200"/>
              <w:outlineLvl w:val="2"/>
              <w:rPr>
                <w:color w:val="auto"/>
                <w:sz w:val="24"/>
                <w:u w:val="none" w:color="auto"/>
              </w:rPr>
            </w:pPr>
            <w:r>
              <w:rPr>
                <w:color w:val="auto"/>
                <w:sz w:val="24"/>
                <w:u w:val="none" w:color="auto"/>
              </w:rPr>
              <w:t>①施工废水</w:t>
            </w:r>
          </w:p>
          <w:p>
            <w:pPr>
              <w:spacing w:line="360" w:lineRule="auto"/>
              <w:ind w:firstLine="462" w:firstLineChars="200"/>
              <w:outlineLvl w:val="2"/>
              <w:rPr>
                <w:color w:val="auto"/>
                <w:sz w:val="24"/>
                <w:u w:val="none" w:color="auto"/>
              </w:rPr>
            </w:pPr>
            <w:r>
              <w:rPr>
                <w:color w:val="auto"/>
                <w:sz w:val="24"/>
                <w:u w:val="none" w:color="auto"/>
              </w:rPr>
              <w:t>施工废水主要来源于工程施工砼浇筑和机械、车辆的维修、冲洗等，砼浇筑废水主要污染物为悬浮物，冲洗废水主要为油污。其中主要污染物有COD、石油类、SS，据类比及初步估算，一般施工车辆冲洗废水约500L/辆·次，每辆车每天按冲洗2次，每天按2辆计，冲洗废水产生量约2m</w:t>
            </w:r>
            <w:r>
              <w:rPr>
                <w:color w:val="auto"/>
                <w:sz w:val="24"/>
                <w:u w:val="none" w:color="auto"/>
                <w:vertAlign w:val="superscript"/>
              </w:rPr>
              <w:t>3</w:t>
            </w:r>
            <w:r>
              <w:rPr>
                <w:color w:val="auto"/>
                <w:sz w:val="24"/>
                <w:u w:val="none" w:color="auto"/>
              </w:rPr>
              <w:t>/d。废水的排放量按产生量的80%计，则冲洗废水的排放量为1.6m</w:t>
            </w:r>
            <w:r>
              <w:rPr>
                <w:color w:val="auto"/>
                <w:sz w:val="24"/>
                <w:u w:val="none" w:color="auto"/>
                <w:vertAlign w:val="superscript"/>
              </w:rPr>
              <w:t>3</w:t>
            </w:r>
            <w:r>
              <w:rPr>
                <w:color w:val="auto"/>
                <w:sz w:val="24"/>
                <w:u w:val="none" w:color="auto"/>
              </w:rPr>
              <w:t>/d废水经临时的沉淀池处理后</w:t>
            </w:r>
            <w:r>
              <w:rPr>
                <w:rFonts w:hint="eastAsia"/>
                <w:color w:val="auto"/>
                <w:sz w:val="24"/>
                <w:u w:val="none" w:color="auto"/>
                <w:lang w:eastAsia="zh-CN"/>
              </w:rPr>
              <w:t>回用于洒水降尘</w:t>
            </w:r>
            <w:r>
              <w:rPr>
                <w:color w:val="auto"/>
                <w:sz w:val="24"/>
                <w:u w:val="none" w:color="auto"/>
              </w:rPr>
              <w:t>。</w:t>
            </w:r>
          </w:p>
          <w:p>
            <w:pPr>
              <w:spacing w:line="360" w:lineRule="auto"/>
              <w:ind w:firstLine="462" w:firstLineChars="200"/>
              <w:outlineLvl w:val="2"/>
              <w:rPr>
                <w:color w:val="auto"/>
                <w:sz w:val="24"/>
                <w:u w:val="none" w:color="auto"/>
              </w:rPr>
            </w:pPr>
            <w:r>
              <w:rPr>
                <w:color w:val="auto"/>
                <w:sz w:val="24"/>
                <w:u w:val="none" w:color="auto"/>
              </w:rPr>
              <w:t>②施工人员生活污水</w:t>
            </w:r>
          </w:p>
          <w:p>
            <w:pPr>
              <w:spacing w:line="360" w:lineRule="auto"/>
              <w:ind w:firstLine="462" w:firstLineChars="200"/>
              <w:outlineLvl w:val="2"/>
              <w:rPr>
                <w:b/>
                <w:color w:val="auto"/>
                <w:sz w:val="24"/>
                <w:u w:val="none" w:color="auto"/>
              </w:rPr>
            </w:pPr>
            <w:r>
              <w:rPr>
                <w:color w:val="auto"/>
                <w:sz w:val="24"/>
                <w:u w:val="none" w:color="auto"/>
              </w:rPr>
              <w:t>建设项目施工期</w:t>
            </w:r>
            <w:r>
              <w:rPr>
                <w:rFonts w:hint="eastAsia"/>
                <w:color w:val="auto"/>
                <w:sz w:val="24"/>
                <w:u w:val="none" w:color="auto"/>
                <w:lang w:val="en-US" w:eastAsia="zh-CN"/>
              </w:rPr>
              <w:t>36</w:t>
            </w:r>
            <w:r>
              <w:rPr>
                <w:color w:val="auto"/>
                <w:sz w:val="24"/>
                <w:u w:val="none" w:color="auto"/>
              </w:rPr>
              <w:t>个月，高峰期施工人员约为</w:t>
            </w:r>
            <w:r>
              <w:rPr>
                <w:rFonts w:hint="eastAsia"/>
                <w:color w:val="auto"/>
                <w:sz w:val="24"/>
                <w:u w:val="none" w:color="auto"/>
                <w:lang w:val="en-US" w:eastAsia="zh-CN"/>
              </w:rPr>
              <w:t>30</w:t>
            </w:r>
            <w:r>
              <w:rPr>
                <w:color w:val="auto"/>
                <w:sz w:val="24"/>
                <w:u w:val="none" w:color="auto"/>
              </w:rPr>
              <w:t>人。施工人员生活用水量参照《湖南省用水定额》，按50L/.d计，则生活用水量为</w:t>
            </w:r>
            <w:r>
              <w:rPr>
                <w:rFonts w:hint="eastAsia"/>
                <w:color w:val="auto"/>
                <w:sz w:val="24"/>
                <w:u w:val="none" w:color="auto"/>
                <w:lang w:val="en-US" w:eastAsia="zh-CN"/>
              </w:rPr>
              <w:t>2.0</w:t>
            </w:r>
            <w:r>
              <w:rPr>
                <w:color w:val="auto"/>
                <w:sz w:val="24"/>
                <w:u w:val="none" w:color="auto"/>
              </w:rPr>
              <w:t>m</w:t>
            </w:r>
            <w:r>
              <w:rPr>
                <w:color w:val="auto"/>
                <w:sz w:val="24"/>
                <w:u w:val="none" w:color="auto"/>
                <w:vertAlign w:val="superscript"/>
              </w:rPr>
              <w:t>3</w:t>
            </w:r>
            <w:r>
              <w:rPr>
                <w:color w:val="auto"/>
                <w:sz w:val="24"/>
                <w:u w:val="none" w:color="auto"/>
              </w:rPr>
              <w:t>/d，污水产生系数取0.8，则生活污水产生量为</w:t>
            </w:r>
            <w:r>
              <w:rPr>
                <w:rFonts w:hint="eastAsia"/>
                <w:color w:val="auto"/>
                <w:sz w:val="24"/>
                <w:u w:val="none" w:color="auto"/>
                <w:lang w:val="en-US" w:eastAsia="zh-CN"/>
              </w:rPr>
              <w:t>1.6</w:t>
            </w:r>
            <w:r>
              <w:rPr>
                <w:color w:val="auto"/>
                <w:sz w:val="24"/>
                <w:u w:val="none" w:color="auto"/>
              </w:rPr>
              <w:t>m</w:t>
            </w:r>
            <w:r>
              <w:rPr>
                <w:color w:val="auto"/>
                <w:sz w:val="24"/>
                <w:u w:val="none" w:color="auto"/>
                <w:vertAlign w:val="superscript"/>
              </w:rPr>
              <w:t>3</w:t>
            </w:r>
            <w:r>
              <w:rPr>
                <w:color w:val="auto"/>
                <w:sz w:val="24"/>
                <w:u w:val="none" w:color="auto"/>
              </w:rPr>
              <w:t>/d。生活污水主要污染因子为COD、SS、氨氮和总磷等。施工人员生活污水由临时化粪池处理后</w:t>
            </w:r>
            <w:r>
              <w:rPr>
                <w:rFonts w:hint="eastAsia"/>
                <w:color w:val="auto"/>
                <w:sz w:val="24"/>
                <w:u w:val="none" w:color="auto"/>
                <w:lang w:eastAsia="zh-CN"/>
              </w:rPr>
              <w:t>用作周边绿化施肥</w:t>
            </w:r>
            <w:r>
              <w:rPr>
                <w:color w:val="auto"/>
                <w:sz w:val="24"/>
                <w:u w:val="none" w:color="auto"/>
              </w:rPr>
              <w:t>。</w:t>
            </w:r>
          </w:p>
          <w:p>
            <w:pPr>
              <w:spacing w:line="360" w:lineRule="auto"/>
              <w:ind w:firstLine="462" w:firstLineChars="200"/>
              <w:rPr>
                <w:b/>
                <w:color w:val="auto"/>
                <w:sz w:val="24"/>
                <w:u w:val="none" w:color="auto"/>
              </w:rPr>
            </w:pPr>
            <w:r>
              <w:rPr>
                <w:b/>
                <w:color w:val="auto"/>
                <w:sz w:val="24"/>
                <w:u w:val="none" w:color="auto"/>
              </w:rPr>
              <w:t>3</w:t>
            </w:r>
            <w:r>
              <w:rPr>
                <w:rFonts w:hint="eastAsia"/>
                <w:b/>
                <w:color w:val="auto"/>
                <w:sz w:val="24"/>
                <w:u w:val="none" w:color="auto"/>
              </w:rPr>
              <w:t>、</w:t>
            </w:r>
            <w:r>
              <w:rPr>
                <w:b/>
                <w:color w:val="auto"/>
                <w:sz w:val="24"/>
                <w:u w:val="none" w:color="auto"/>
              </w:rPr>
              <w:t>噪声污染源分析</w:t>
            </w:r>
          </w:p>
          <w:p>
            <w:pPr>
              <w:keepNext w:val="0"/>
              <w:keepLines w:val="0"/>
              <w:pageBreakBefore w:val="0"/>
              <w:widowControl w:val="0"/>
              <w:kinsoku/>
              <w:wordWrap/>
              <w:overflowPunct/>
              <w:topLinePunct w:val="0"/>
              <w:autoSpaceDE/>
              <w:autoSpaceDN/>
              <w:bidi w:val="0"/>
              <w:adjustRightInd/>
              <w:snapToGrid/>
              <w:spacing w:line="360" w:lineRule="auto"/>
              <w:ind w:firstLine="462" w:firstLineChars="200"/>
              <w:textAlignment w:val="auto"/>
              <w:rPr>
                <w:b/>
                <w:color w:val="auto"/>
                <w:sz w:val="24"/>
                <w:u w:val="none" w:color="auto"/>
              </w:rPr>
            </w:pPr>
            <w:r>
              <w:rPr>
                <w:color w:val="auto"/>
                <w:sz w:val="24"/>
                <w:u w:val="none" w:color="auto"/>
              </w:rPr>
              <w:t>施工期噪声主要来自施工机械噪声、施工作业噪声和运输车辆噪声。施工机械噪声由施工机械所造成，如挖土机械、振捣器等，多为点声源；施工作业噪声主要指一些零星的敲打声、装卸建材的撞击声、拆装模板的撞击声等，多为瞬间噪声。在这些施工噪声中对声环境影响最大的是施工机械噪声。</w:t>
            </w:r>
            <w:r>
              <w:rPr>
                <w:color w:val="auto"/>
                <w:kern w:val="28"/>
                <w:sz w:val="24"/>
                <w:szCs w:val="28"/>
                <w:u w:val="none" w:color="auto"/>
              </w:rPr>
              <w:t>在这类施工机械中，噪声最高的为电锯、电钻、混凝土振捣器。</w:t>
            </w:r>
            <w:r>
              <w:rPr>
                <w:rFonts w:hint="eastAsia"/>
                <w:color w:val="auto"/>
                <w:kern w:val="28"/>
                <w:sz w:val="24"/>
                <w:szCs w:val="28"/>
                <w:u w:val="none" w:color="auto"/>
                <w:lang w:val="en-US" w:eastAsia="zh-CN"/>
              </w:rPr>
              <w:t xml:space="preserve">    </w:t>
            </w:r>
            <w:r>
              <w:rPr>
                <w:rFonts w:hint="eastAsia"/>
                <w:b/>
                <w:color w:val="auto"/>
                <w:sz w:val="24"/>
                <w:u w:val="none" w:color="auto"/>
                <w:lang w:val="en-US" w:eastAsia="zh-CN"/>
              </w:rPr>
              <w:t xml:space="preserve">           4.</w:t>
            </w:r>
            <w:r>
              <w:rPr>
                <w:b/>
                <w:color w:val="auto"/>
                <w:sz w:val="24"/>
                <w:u w:val="none" w:color="auto"/>
              </w:rPr>
              <w:t>固体废弃物污染源分析</w:t>
            </w:r>
          </w:p>
          <w:p>
            <w:pPr>
              <w:spacing w:line="360" w:lineRule="auto"/>
              <w:ind w:firstLine="462" w:firstLineChars="200"/>
              <w:rPr>
                <w:color w:val="auto"/>
                <w:sz w:val="24"/>
                <w:u w:val="none" w:color="auto"/>
              </w:rPr>
            </w:pPr>
            <w:r>
              <w:rPr>
                <w:color w:val="auto"/>
                <w:sz w:val="24"/>
                <w:u w:val="none" w:color="auto"/>
              </w:rPr>
              <w:t>施工期固体废物主要是施工过程中产生的土石方和施工人员的生活垃圾。</w:t>
            </w:r>
          </w:p>
          <w:p>
            <w:pPr>
              <w:spacing w:line="360" w:lineRule="auto"/>
              <w:ind w:firstLine="462" w:firstLineChars="200"/>
              <w:rPr>
                <w:rFonts w:hint="eastAsia"/>
                <w:color w:val="auto"/>
                <w:sz w:val="24"/>
                <w:u w:val="none" w:color="auto"/>
              </w:rPr>
            </w:pPr>
            <w:r>
              <w:rPr>
                <w:rFonts w:hint="eastAsia"/>
                <w:color w:val="auto"/>
                <w:sz w:val="24"/>
                <w:u w:val="none" w:color="auto"/>
              </w:rPr>
              <w:t>土石方：</w:t>
            </w:r>
            <w:r>
              <w:rPr>
                <w:color w:val="auto"/>
                <w:sz w:val="24"/>
                <w:u w:val="none" w:color="auto"/>
              </w:rPr>
              <w:t>本项目建设期产生的</w:t>
            </w:r>
            <w:r>
              <w:rPr>
                <w:rFonts w:hint="eastAsia"/>
                <w:color w:val="auto"/>
                <w:sz w:val="24"/>
                <w:u w:val="none" w:color="auto"/>
              </w:rPr>
              <w:t>固废是</w:t>
            </w:r>
            <w:r>
              <w:rPr>
                <w:color w:val="auto"/>
                <w:sz w:val="24"/>
                <w:u w:val="none" w:color="auto"/>
              </w:rPr>
              <w:t>建设地少量的挖方。项目产生弃土在项目地所在区域的渣土管理中心的管理下进行处理。</w:t>
            </w:r>
          </w:p>
          <w:p>
            <w:pPr>
              <w:adjustRightInd w:val="0"/>
              <w:snapToGrid w:val="0"/>
              <w:spacing w:line="360" w:lineRule="auto"/>
              <w:ind w:right="113" w:firstLine="462" w:firstLineChars="200"/>
              <w:rPr>
                <w:rFonts w:hint="eastAsia" w:eastAsia="宋体"/>
                <w:b/>
                <w:color w:val="auto"/>
                <w:kern w:val="0"/>
                <w:sz w:val="30"/>
                <w:szCs w:val="30"/>
                <w:u w:val="none" w:color="auto"/>
                <w:lang w:eastAsia="zh-CN"/>
              </w:rPr>
            </w:pPr>
            <w:r>
              <w:rPr>
                <w:rFonts w:hint="eastAsia"/>
                <w:color w:val="auto"/>
                <w:sz w:val="24"/>
                <w:u w:val="none" w:color="auto"/>
              </w:rPr>
              <w:t>生活垃圾：</w:t>
            </w:r>
            <w:r>
              <w:rPr>
                <w:color w:val="auto"/>
                <w:sz w:val="24"/>
                <w:u w:val="none" w:color="auto"/>
              </w:rPr>
              <w:t>项目施工人员</w:t>
            </w:r>
            <w:r>
              <w:rPr>
                <w:rFonts w:hint="eastAsia"/>
                <w:color w:val="auto"/>
                <w:sz w:val="24"/>
                <w:u w:val="none" w:color="auto"/>
                <w:lang w:val="en-US" w:eastAsia="zh-CN"/>
              </w:rPr>
              <w:t>3</w:t>
            </w:r>
            <w:r>
              <w:rPr>
                <w:color w:val="auto"/>
                <w:sz w:val="24"/>
                <w:u w:val="none" w:color="auto"/>
              </w:rPr>
              <w:t>0人，按每人每天产生1kg垃圾估算，则施工期生活垃圾产生量为</w:t>
            </w:r>
            <w:r>
              <w:rPr>
                <w:rFonts w:hint="eastAsia"/>
                <w:color w:val="auto"/>
                <w:sz w:val="24"/>
                <w:u w:val="none" w:color="auto"/>
                <w:lang w:val="en-US" w:eastAsia="zh-CN"/>
              </w:rPr>
              <w:t>0.03</w:t>
            </w:r>
            <w:r>
              <w:rPr>
                <w:color w:val="auto"/>
                <w:sz w:val="24"/>
                <w:u w:val="none" w:color="auto"/>
              </w:rPr>
              <w:t>t/d</w:t>
            </w:r>
            <w:r>
              <w:rPr>
                <w:rFonts w:hint="eastAsia"/>
                <w:color w:val="auto"/>
                <w:sz w:val="24"/>
                <w:u w:val="none" w:color="auto"/>
                <w:lang w:eastAsia="zh-CN"/>
              </w:rPr>
              <w:t>。</w:t>
            </w:r>
          </w:p>
          <w:p>
            <w:pPr>
              <w:adjustRightInd w:val="0"/>
              <w:snapToGrid w:val="0"/>
              <w:spacing w:line="360" w:lineRule="auto"/>
              <w:ind w:right="113"/>
              <w:rPr>
                <w:b/>
                <w:color w:val="auto"/>
                <w:kern w:val="0"/>
                <w:sz w:val="30"/>
                <w:szCs w:val="30"/>
                <w:u w:val="none" w:color="auto"/>
              </w:rPr>
            </w:pPr>
            <w:r>
              <w:rPr>
                <w:rFonts w:hint="eastAsia"/>
                <w:b/>
                <w:color w:val="auto"/>
                <w:kern w:val="0"/>
                <w:sz w:val="30"/>
                <w:szCs w:val="30"/>
                <w:u w:val="none" w:color="auto"/>
              </w:rPr>
              <w:t>运营期</w:t>
            </w:r>
            <w:r>
              <w:rPr>
                <w:b/>
                <w:color w:val="auto"/>
                <w:kern w:val="0"/>
                <w:sz w:val="30"/>
                <w:szCs w:val="30"/>
                <w:u w:val="none" w:color="auto"/>
              </w:rPr>
              <w:t>：</w:t>
            </w:r>
          </w:p>
          <w:p>
            <w:pPr>
              <w:snapToGrid w:val="0"/>
              <w:spacing w:line="360" w:lineRule="auto"/>
              <w:ind w:firstLine="453" w:firstLineChars="196"/>
              <w:rPr>
                <w:color w:val="auto"/>
                <w:sz w:val="24"/>
                <w:szCs w:val="24"/>
                <w:u w:val="none" w:color="auto"/>
              </w:rPr>
            </w:pPr>
            <w:r>
              <w:rPr>
                <w:color w:val="auto"/>
                <w:sz w:val="24"/>
                <w:szCs w:val="24"/>
                <w:u w:val="none" w:color="auto"/>
              </w:rPr>
              <w:t>1、废水</w:t>
            </w:r>
          </w:p>
          <w:p>
            <w:pPr>
              <w:snapToGrid w:val="0"/>
              <w:spacing w:line="360" w:lineRule="auto"/>
              <w:ind w:firstLine="453" w:firstLineChars="196"/>
              <w:rPr>
                <w:bCs/>
                <w:color w:val="auto"/>
                <w:sz w:val="24"/>
                <w:szCs w:val="24"/>
                <w:u w:val="none" w:color="auto"/>
              </w:rPr>
            </w:pPr>
            <w:r>
              <w:rPr>
                <w:rFonts w:hint="eastAsia"/>
                <w:bCs/>
                <w:color w:val="auto"/>
                <w:sz w:val="24"/>
                <w:szCs w:val="24"/>
                <w:u w:val="none" w:color="auto"/>
              </w:rPr>
              <w:t>本项目车间地面基本以干式打扫为主，故无车间清洁废水。所以本项目产生的废水主要来自于员工的生活污水。</w:t>
            </w:r>
          </w:p>
          <w:p>
            <w:pPr>
              <w:snapToGrid w:val="0"/>
              <w:spacing w:line="360" w:lineRule="auto"/>
              <w:ind w:firstLine="453" w:firstLineChars="196"/>
              <w:rPr>
                <w:bCs/>
                <w:color w:val="auto"/>
                <w:sz w:val="24"/>
                <w:u w:val="single" w:color="auto"/>
              </w:rPr>
            </w:pPr>
            <w:r>
              <w:rPr>
                <w:rFonts w:hint="eastAsia"/>
                <w:bCs/>
                <w:color w:val="auto"/>
                <w:sz w:val="24"/>
                <w:u w:val="single" w:color="auto"/>
              </w:rPr>
              <w:t>（1）生活污水</w:t>
            </w:r>
          </w:p>
          <w:p>
            <w:pPr>
              <w:snapToGrid w:val="0"/>
              <w:spacing w:line="360" w:lineRule="auto"/>
              <w:ind w:firstLine="453" w:firstLineChars="196"/>
              <w:rPr>
                <w:color w:val="auto"/>
                <w:u w:val="single" w:color="auto"/>
              </w:rPr>
            </w:pPr>
            <w:r>
              <w:rPr>
                <w:rFonts w:hint="eastAsia"/>
                <w:bCs/>
                <w:color w:val="auto"/>
                <w:sz w:val="24"/>
                <w:u w:val="single" w:color="auto"/>
              </w:rPr>
              <w:t>本项目营运期生活污水</w:t>
            </w:r>
            <w:r>
              <w:rPr>
                <w:rFonts w:hint="eastAsia"/>
                <w:bCs/>
                <w:color w:val="auto"/>
                <w:sz w:val="24"/>
                <w:u w:val="single" w:color="auto"/>
                <w:lang w:eastAsia="zh-CN"/>
              </w:rPr>
              <w:t>排放</w:t>
            </w:r>
            <w:r>
              <w:rPr>
                <w:rFonts w:hint="eastAsia"/>
                <w:bCs/>
                <w:color w:val="auto"/>
                <w:sz w:val="24"/>
                <w:u w:val="single" w:color="auto"/>
              </w:rPr>
              <w:t>量为</w:t>
            </w:r>
            <w:r>
              <w:rPr>
                <w:rFonts w:hint="eastAsia"/>
                <w:color w:val="auto"/>
                <w:sz w:val="24"/>
                <w:szCs w:val="24"/>
                <w:u w:val="single" w:color="auto"/>
                <w:lang w:val="en-US" w:eastAsia="zh-CN"/>
              </w:rPr>
              <w:t>20</w:t>
            </w:r>
            <w:r>
              <w:rPr>
                <w:rFonts w:hint="eastAsia"/>
                <w:bCs/>
                <w:color w:val="auto"/>
                <w:sz w:val="24"/>
                <w:u w:val="single" w:color="auto"/>
              </w:rPr>
              <w:t>m</w:t>
            </w:r>
            <w:r>
              <w:rPr>
                <w:rFonts w:hint="eastAsia"/>
                <w:bCs/>
                <w:color w:val="auto"/>
                <w:sz w:val="24"/>
                <w:u w:val="single" w:color="auto"/>
                <w:vertAlign w:val="superscript"/>
              </w:rPr>
              <w:t>3</w:t>
            </w:r>
            <w:r>
              <w:rPr>
                <w:rFonts w:hint="eastAsia"/>
                <w:bCs/>
                <w:color w:val="auto"/>
                <w:sz w:val="24"/>
                <w:u w:val="single" w:color="auto"/>
              </w:rPr>
              <w:t>/d、</w:t>
            </w:r>
            <w:r>
              <w:rPr>
                <w:rFonts w:hint="eastAsia"/>
                <w:bCs/>
                <w:color w:val="auto"/>
                <w:sz w:val="24"/>
                <w:u w:val="single" w:color="auto"/>
                <w:lang w:val="en-US" w:eastAsia="zh-CN"/>
              </w:rPr>
              <w:t>6000</w:t>
            </w:r>
            <w:r>
              <w:rPr>
                <w:rFonts w:hint="eastAsia"/>
                <w:bCs/>
                <w:color w:val="auto"/>
                <w:sz w:val="24"/>
                <w:u w:val="single" w:color="auto"/>
              </w:rPr>
              <w:t>m</w:t>
            </w:r>
            <w:r>
              <w:rPr>
                <w:rFonts w:hint="eastAsia"/>
                <w:bCs/>
                <w:color w:val="auto"/>
                <w:sz w:val="24"/>
                <w:u w:val="single" w:color="auto"/>
                <w:vertAlign w:val="superscript"/>
              </w:rPr>
              <w:t>3</w:t>
            </w:r>
            <w:r>
              <w:rPr>
                <w:rFonts w:hint="eastAsia"/>
                <w:bCs/>
                <w:color w:val="auto"/>
                <w:sz w:val="24"/>
                <w:u w:val="single" w:color="auto"/>
              </w:rPr>
              <w:t>/a，其主要污染因子为 COD、BOD</w:t>
            </w:r>
            <w:r>
              <w:rPr>
                <w:rFonts w:hint="eastAsia"/>
                <w:bCs/>
                <w:color w:val="auto"/>
                <w:sz w:val="24"/>
                <w:u w:val="single" w:color="auto"/>
                <w:vertAlign w:val="subscript"/>
              </w:rPr>
              <w:t>5</w:t>
            </w:r>
            <w:r>
              <w:rPr>
                <w:rFonts w:hint="eastAsia"/>
                <w:bCs/>
                <w:color w:val="auto"/>
                <w:sz w:val="24"/>
                <w:u w:val="single" w:color="auto"/>
              </w:rPr>
              <w:t>、SS、NH</w:t>
            </w:r>
            <w:r>
              <w:rPr>
                <w:rFonts w:hint="eastAsia"/>
                <w:bCs/>
                <w:color w:val="auto"/>
                <w:sz w:val="24"/>
                <w:u w:val="single" w:color="auto"/>
                <w:vertAlign w:val="subscript"/>
              </w:rPr>
              <w:t>3</w:t>
            </w:r>
            <w:r>
              <w:rPr>
                <w:rFonts w:hint="eastAsia"/>
                <w:bCs/>
                <w:color w:val="auto"/>
                <w:sz w:val="24"/>
                <w:u w:val="single" w:color="auto"/>
              </w:rPr>
              <w:t>-N。</w:t>
            </w:r>
            <w:r>
              <w:rPr>
                <w:color w:val="auto"/>
                <w:sz w:val="24"/>
                <w:szCs w:val="24"/>
                <w:u w:val="single" w:color="auto"/>
                <w:lang w:bidi="ar"/>
              </w:rPr>
              <w:t>根据同类项目类比，生活废水中COD300mg/L、BOD</w:t>
            </w:r>
            <w:r>
              <w:rPr>
                <w:color w:val="auto"/>
                <w:sz w:val="24"/>
                <w:szCs w:val="24"/>
                <w:u w:val="single" w:color="auto"/>
                <w:vertAlign w:val="subscript"/>
                <w:lang w:bidi="ar"/>
              </w:rPr>
              <w:t>5</w:t>
            </w:r>
            <w:r>
              <w:rPr>
                <w:color w:val="auto"/>
                <w:sz w:val="24"/>
                <w:szCs w:val="24"/>
                <w:u w:val="single" w:color="auto"/>
                <w:lang w:bidi="ar"/>
              </w:rPr>
              <w:t>200mg/L、氨氮30mg/L、SS250mg/L</w:t>
            </w:r>
            <w:r>
              <w:rPr>
                <w:rFonts w:hint="eastAsia"/>
                <w:color w:val="auto"/>
                <w:sz w:val="24"/>
                <w:szCs w:val="24"/>
                <w:u w:val="single" w:color="auto"/>
                <w:lang w:bidi="ar"/>
              </w:rPr>
              <w:t>。</w:t>
            </w:r>
            <w:r>
              <w:rPr>
                <w:sz w:val="24"/>
                <w:szCs w:val="24"/>
                <w:u w:val="single" w:color="auto"/>
              </w:rPr>
              <w:t>在金龙新区工业区污水管网接入湘阴县第三污水处理厂之前，项目污水通过化粪池处理后排入园区污水管网再进入金龙新区人工湿地处理</w:t>
            </w:r>
            <w:r>
              <w:rPr>
                <w:rFonts w:hAnsi="宋体"/>
                <w:sz w:val="24"/>
                <w:szCs w:val="24"/>
                <w:u w:val="single" w:color="auto"/>
              </w:rPr>
              <w:t>达《污水综合排放标准》（</w:t>
            </w:r>
            <w:r>
              <w:rPr>
                <w:sz w:val="24"/>
                <w:szCs w:val="24"/>
                <w:u w:val="single" w:color="auto"/>
              </w:rPr>
              <w:t>GB 8978-1996</w:t>
            </w:r>
            <w:r>
              <w:rPr>
                <w:rFonts w:hAnsi="宋体"/>
                <w:sz w:val="24"/>
                <w:szCs w:val="24"/>
                <w:u w:val="single" w:color="auto"/>
              </w:rPr>
              <w:t>）表</w:t>
            </w:r>
            <w:r>
              <w:rPr>
                <w:sz w:val="24"/>
                <w:szCs w:val="24"/>
                <w:u w:val="single" w:color="auto"/>
              </w:rPr>
              <w:t>4</w:t>
            </w:r>
            <w:r>
              <w:rPr>
                <w:rFonts w:hAnsi="宋体"/>
                <w:sz w:val="24"/>
                <w:szCs w:val="24"/>
                <w:u w:val="single" w:color="auto"/>
              </w:rPr>
              <w:t>中一级标准</w:t>
            </w:r>
            <w:r>
              <w:rPr>
                <w:sz w:val="24"/>
                <w:szCs w:val="24"/>
                <w:u w:val="single" w:color="auto"/>
              </w:rPr>
              <w:t>后经</w:t>
            </w:r>
            <w:r>
              <w:rPr>
                <w:rFonts w:hint="eastAsia"/>
                <w:sz w:val="24"/>
                <w:szCs w:val="24"/>
                <w:u w:val="single" w:color="auto"/>
                <w:lang w:eastAsia="zh-CN"/>
              </w:rPr>
              <w:t>洋沙河</w:t>
            </w:r>
            <w:r>
              <w:rPr>
                <w:sz w:val="24"/>
                <w:szCs w:val="24"/>
                <w:u w:val="singl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color w:val="auto"/>
                <w:sz w:val="24"/>
                <w:u w:val="single" w:color="auto"/>
              </w:rPr>
              <w:t>。</w:t>
            </w:r>
          </w:p>
          <w:p>
            <w:pPr>
              <w:pStyle w:val="186"/>
              <w:rPr>
                <w:color w:val="auto"/>
                <w:u w:val="none" w:color="auto"/>
              </w:rPr>
            </w:pPr>
            <w:r>
              <w:rPr>
                <w:color w:val="auto"/>
                <w:u w:val="none" w:color="auto"/>
              </w:rPr>
              <w:t>表5-</w:t>
            </w:r>
            <w:r>
              <w:rPr>
                <w:rFonts w:hint="eastAsia"/>
                <w:color w:val="auto"/>
                <w:u w:val="none" w:color="auto"/>
                <w:lang w:val="en-US" w:eastAsia="zh-CN"/>
              </w:rPr>
              <w:t>1</w:t>
            </w:r>
            <w:r>
              <w:rPr>
                <w:color w:val="auto"/>
                <w:u w:val="none" w:color="auto"/>
              </w:rPr>
              <w:t xml:space="preserve"> 本项目废水产生及排放情况一览表</w:t>
            </w:r>
          </w:p>
          <w:tbl>
            <w:tblPr>
              <w:tblStyle w:val="39"/>
              <w:tblW w:w="906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425"/>
              <w:gridCol w:w="1334"/>
              <w:gridCol w:w="1408"/>
              <w:gridCol w:w="1842"/>
              <w:gridCol w:w="1"/>
              <w:gridCol w:w="1257"/>
              <w:gridCol w:w="180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1425" w:type="dxa"/>
                  <w:vMerge w:val="restar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产生环节</w:t>
                  </w:r>
                </w:p>
              </w:tc>
              <w:tc>
                <w:tcPr>
                  <w:tcW w:w="1334" w:type="dxa"/>
                  <w:vMerge w:val="restar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指标</w:t>
                  </w:r>
                </w:p>
              </w:tc>
              <w:tc>
                <w:tcPr>
                  <w:tcW w:w="3251" w:type="dxa"/>
                  <w:gridSpan w:val="3"/>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处理前</w:t>
                  </w:r>
                </w:p>
              </w:tc>
              <w:tc>
                <w:tcPr>
                  <w:tcW w:w="3058" w:type="dxa"/>
                  <w:gridSpan w:val="2"/>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eastAsia" w:cs="Times New Roman"/>
                      <w:color w:val="auto"/>
                      <w:sz w:val="22"/>
                      <w:szCs w:val="22"/>
                      <w:u w:val="none" w:color="auto"/>
                      <w:lang w:eastAsia="zh-CN"/>
                    </w:rPr>
                    <w:t>人工湿地</w:t>
                  </w:r>
                  <w:r>
                    <w:rPr>
                      <w:rFonts w:hint="default" w:ascii="Times New Roman" w:hAnsi="Times New Roman" w:eastAsia="宋体" w:cs="Times New Roman"/>
                      <w:color w:val="auto"/>
                      <w:sz w:val="22"/>
                      <w:szCs w:val="22"/>
                      <w:u w:val="none" w:color="auto"/>
                    </w:rPr>
                    <w:t>处理后</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334" w:type="dxa"/>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408"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水质(mg/L)</w:t>
                  </w:r>
                </w:p>
              </w:tc>
              <w:tc>
                <w:tcPr>
                  <w:tcW w:w="1842"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产生量（t/a）</w:t>
                  </w:r>
                </w:p>
              </w:tc>
              <w:tc>
                <w:tcPr>
                  <w:tcW w:w="1258" w:type="dxa"/>
                  <w:gridSpan w:val="2"/>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水质(mg/L)</w:t>
                  </w:r>
                </w:p>
              </w:tc>
              <w:tc>
                <w:tcPr>
                  <w:tcW w:w="1801"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排放量（t/a）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425" w:type="dxa"/>
                  <w:vMerge w:val="restar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生活污水</w:t>
                  </w:r>
                </w:p>
              </w:tc>
              <w:tc>
                <w:tcPr>
                  <w:tcW w:w="1334"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水量</w:t>
                  </w:r>
                </w:p>
              </w:tc>
              <w:tc>
                <w:tcPr>
                  <w:tcW w:w="1408"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w:t>
                  </w:r>
                </w:p>
              </w:tc>
              <w:tc>
                <w:tcPr>
                  <w:tcW w:w="1842"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6000</w:t>
                  </w:r>
                </w:p>
              </w:tc>
              <w:tc>
                <w:tcPr>
                  <w:tcW w:w="1258" w:type="dxa"/>
                  <w:gridSpan w:val="2"/>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w:t>
                  </w:r>
                </w:p>
              </w:tc>
              <w:tc>
                <w:tcPr>
                  <w:tcW w:w="1801"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6000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COD</w:t>
                  </w:r>
                </w:p>
              </w:tc>
              <w:tc>
                <w:tcPr>
                  <w:tcW w:w="1408"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300</w:t>
                  </w:r>
                </w:p>
              </w:tc>
              <w:tc>
                <w:tcPr>
                  <w:tcW w:w="1842"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1.8</w:t>
                  </w:r>
                </w:p>
              </w:tc>
              <w:tc>
                <w:tcPr>
                  <w:tcW w:w="1258" w:type="dxa"/>
                  <w:gridSpan w:val="2"/>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80</w:t>
                  </w:r>
                </w:p>
              </w:tc>
              <w:tc>
                <w:tcPr>
                  <w:tcW w:w="1801"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0.48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BOD</w:t>
                  </w:r>
                  <w:r>
                    <w:rPr>
                      <w:rFonts w:hint="default" w:ascii="Times New Roman" w:hAnsi="Times New Roman" w:eastAsia="宋体" w:cs="Times New Roman"/>
                      <w:color w:val="auto"/>
                      <w:sz w:val="22"/>
                      <w:szCs w:val="22"/>
                      <w:u w:val="none" w:color="auto"/>
                      <w:vertAlign w:val="subscript"/>
                    </w:rPr>
                    <w:t>5</w:t>
                  </w:r>
                </w:p>
              </w:tc>
              <w:tc>
                <w:tcPr>
                  <w:tcW w:w="1408"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200</w:t>
                  </w:r>
                </w:p>
              </w:tc>
              <w:tc>
                <w:tcPr>
                  <w:tcW w:w="1842"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1.2</w:t>
                  </w:r>
                </w:p>
              </w:tc>
              <w:tc>
                <w:tcPr>
                  <w:tcW w:w="1258" w:type="dxa"/>
                  <w:gridSpan w:val="2"/>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15</w:t>
                  </w:r>
                </w:p>
              </w:tc>
              <w:tc>
                <w:tcPr>
                  <w:tcW w:w="1801"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0.09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SS</w:t>
                  </w:r>
                </w:p>
              </w:tc>
              <w:tc>
                <w:tcPr>
                  <w:tcW w:w="1408"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250</w:t>
                  </w:r>
                </w:p>
              </w:tc>
              <w:tc>
                <w:tcPr>
                  <w:tcW w:w="1842"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1.5</w:t>
                  </w:r>
                </w:p>
              </w:tc>
              <w:tc>
                <w:tcPr>
                  <w:tcW w:w="1258" w:type="dxa"/>
                  <w:gridSpan w:val="2"/>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20</w:t>
                  </w:r>
                </w:p>
              </w:tc>
              <w:tc>
                <w:tcPr>
                  <w:tcW w:w="1801"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0.12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25" w:type="dxa"/>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334"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NH</w:t>
                  </w:r>
                  <w:r>
                    <w:rPr>
                      <w:rFonts w:hint="default" w:ascii="Times New Roman" w:hAnsi="Times New Roman" w:eastAsia="宋体" w:cs="Times New Roman"/>
                      <w:color w:val="auto"/>
                      <w:sz w:val="22"/>
                      <w:szCs w:val="22"/>
                      <w:u w:val="none" w:color="auto"/>
                      <w:vertAlign w:val="subscript"/>
                    </w:rPr>
                    <w:t>3</w:t>
                  </w:r>
                  <w:r>
                    <w:rPr>
                      <w:rFonts w:hint="default" w:ascii="Times New Roman" w:hAnsi="Times New Roman" w:eastAsia="宋体" w:cs="Times New Roman"/>
                      <w:color w:val="auto"/>
                      <w:sz w:val="22"/>
                      <w:szCs w:val="22"/>
                      <w:u w:val="none" w:color="auto"/>
                    </w:rPr>
                    <w:t>-N</w:t>
                  </w:r>
                </w:p>
              </w:tc>
              <w:tc>
                <w:tcPr>
                  <w:tcW w:w="1408" w:type="dxa"/>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w:t>
                  </w:r>
                </w:p>
              </w:tc>
              <w:tc>
                <w:tcPr>
                  <w:tcW w:w="1842"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0.180</w:t>
                  </w:r>
                </w:p>
              </w:tc>
              <w:tc>
                <w:tcPr>
                  <w:tcW w:w="1258" w:type="dxa"/>
                  <w:gridSpan w:val="2"/>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5</w:t>
                  </w:r>
                </w:p>
              </w:tc>
              <w:tc>
                <w:tcPr>
                  <w:tcW w:w="1801" w:type="dxa"/>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0.03</w:t>
                  </w:r>
                </w:p>
              </w:tc>
            </w:tr>
          </w:tbl>
          <w:p>
            <w:pPr>
              <w:spacing w:line="360" w:lineRule="auto"/>
              <w:ind w:firstLine="462" w:firstLineChars="200"/>
              <w:rPr>
                <w:color w:val="auto"/>
                <w:sz w:val="24"/>
                <w:szCs w:val="24"/>
                <w:u w:val="none" w:color="auto"/>
              </w:rPr>
            </w:pPr>
            <w:r>
              <w:rPr>
                <w:color w:val="auto"/>
                <w:sz w:val="24"/>
                <w:szCs w:val="24"/>
                <w:u w:val="none" w:color="auto"/>
              </w:rPr>
              <w:t>2、废气</w:t>
            </w:r>
          </w:p>
          <w:p>
            <w:pPr>
              <w:pStyle w:val="33"/>
              <w:spacing w:line="360" w:lineRule="auto"/>
              <w:ind w:left="0" w:leftChars="0" w:firstLine="462" w:firstLineChars="200"/>
              <w:jc w:val="left"/>
              <w:rPr>
                <w:color w:val="auto"/>
                <w:sz w:val="24"/>
                <w:u w:val="none" w:color="auto"/>
              </w:rPr>
            </w:pPr>
            <w:r>
              <w:rPr>
                <w:color w:val="auto"/>
                <w:sz w:val="24"/>
                <w:u w:val="none" w:color="auto"/>
              </w:rPr>
              <w:t>本项目运营过程中产生的废气有</w:t>
            </w:r>
            <w:r>
              <w:rPr>
                <w:rFonts w:hint="eastAsia"/>
                <w:color w:val="auto"/>
                <w:sz w:val="24"/>
                <w:u w:val="none" w:color="auto"/>
                <w:lang w:eastAsia="zh-CN"/>
              </w:rPr>
              <w:t>焊接烟尘、切割废气、喷塑粉尘、抛丸粉尘、烘干固化废气、液化石油气燃烧废气、</w:t>
            </w:r>
            <w:r>
              <w:rPr>
                <w:rFonts w:hint="eastAsia"/>
                <w:color w:val="auto"/>
                <w:sz w:val="24"/>
                <w:u w:val="none" w:color="auto"/>
              </w:rPr>
              <w:t>喷漆过程中产生的</w:t>
            </w:r>
            <w:r>
              <w:rPr>
                <w:color w:val="auto"/>
                <w:sz w:val="24"/>
                <w:u w:val="none" w:color="auto"/>
              </w:rPr>
              <w:t>漆雾，有机废气</w:t>
            </w:r>
            <w:r>
              <w:rPr>
                <w:rFonts w:hint="eastAsia"/>
                <w:color w:val="auto"/>
                <w:sz w:val="24"/>
                <w:u w:val="none" w:color="auto"/>
                <w:lang w:eastAsia="zh-CN"/>
              </w:rPr>
              <w:t>、喷涂线废气、食堂油烟、耐高温检测废气</w:t>
            </w:r>
            <w:r>
              <w:rPr>
                <w:rFonts w:hint="eastAsia"/>
                <w:color w:val="auto"/>
                <w:sz w:val="24"/>
                <w:u w:val="none" w:color="auto"/>
              </w:rPr>
              <w:t>。</w:t>
            </w:r>
          </w:p>
          <w:p>
            <w:pPr>
              <w:spacing w:line="360" w:lineRule="auto"/>
              <w:ind w:firstLine="462" w:firstLineChars="200"/>
              <w:rPr>
                <w:rFonts w:hint="eastAsia" w:hAnsi="宋体"/>
                <w:color w:val="auto"/>
                <w:sz w:val="24"/>
                <w:u w:val="none" w:color="auto"/>
              </w:rPr>
            </w:pPr>
            <w:r>
              <w:rPr>
                <w:rFonts w:hint="eastAsia" w:hAnsi="宋体"/>
                <w:color w:val="auto"/>
                <w:sz w:val="24"/>
                <w:u w:val="none" w:color="auto"/>
              </w:rPr>
              <w:t>（1）焊接烟尘</w:t>
            </w:r>
          </w:p>
          <w:p>
            <w:pPr>
              <w:pStyle w:val="172"/>
              <w:spacing w:line="360" w:lineRule="auto"/>
              <w:ind w:firstLine="480"/>
              <w:rPr>
                <w:color w:val="auto"/>
                <w:sz w:val="24"/>
                <w:szCs w:val="24"/>
                <w:u w:val="none" w:color="auto"/>
              </w:rPr>
            </w:pPr>
            <w:r>
              <w:rPr>
                <w:color w:val="auto"/>
                <w:sz w:val="24"/>
                <w:szCs w:val="24"/>
                <w:u w:val="none" w:color="auto"/>
              </w:rPr>
              <w:t>本项目焊接烟尘主要来自焊条，少量来自焊芯及被焊工件，根据《焊接工作的劳动保护》调查，焊接烟尘的产生量与焊条的种类及焊接工艺有关，各类焊接烟尘产生量如下表：</w:t>
            </w:r>
          </w:p>
          <w:p>
            <w:pPr>
              <w:pStyle w:val="186"/>
              <w:rPr>
                <w:color w:val="auto"/>
                <w:u w:val="none" w:color="auto"/>
              </w:rPr>
            </w:pPr>
            <w:r>
              <w:rPr>
                <w:color w:val="auto"/>
                <w:u w:val="none" w:color="auto"/>
              </w:rPr>
              <w:t>表5-</w:t>
            </w:r>
            <w:r>
              <w:rPr>
                <w:rFonts w:hint="eastAsia"/>
                <w:color w:val="auto"/>
                <w:u w:val="none" w:color="auto"/>
                <w:lang w:val="en-US" w:eastAsia="zh-CN"/>
              </w:rPr>
              <w:t>2</w:t>
            </w:r>
            <w:r>
              <w:rPr>
                <w:color w:val="auto"/>
                <w:u w:val="none" w:color="auto"/>
              </w:rPr>
              <w:t xml:space="preserve"> 焊接烟尘产生情况表</w:t>
            </w:r>
          </w:p>
          <w:tbl>
            <w:tblPr>
              <w:tblStyle w:val="39"/>
              <w:tblW w:w="90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5"/>
              <w:gridCol w:w="4038"/>
              <w:gridCol w:w="2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33" w:type="dxa"/>
                  <w:gridSpan w:val="2"/>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焊接工艺</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烟尘产生量g/kg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restar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手工电弧焊</w:t>
                  </w: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低氮型普低钢焊条（结507）</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钛钙型低碳钢焊条（结422）</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钛钙型低碳钢焊条（结423）</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7.5~9.5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高效铁粉焊条</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自保护电弧焊</w:t>
                  </w: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保护药芯焊丝</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restar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气体保护电弧焊</w:t>
                  </w: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CO2保护药芯焊丝</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CO2保护实芯焊丝</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5" w:type="dxa"/>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p>
              </w:tc>
              <w:tc>
                <w:tcPr>
                  <w:tcW w:w="4038"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Ar+5%O2保护实芯焊</w:t>
                  </w:r>
                </w:p>
              </w:tc>
              <w:tc>
                <w:tcPr>
                  <w:tcW w:w="2965" w:type="dxa"/>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3~6.5</w:t>
                  </w:r>
                </w:p>
              </w:tc>
            </w:tr>
          </w:tbl>
          <w:p>
            <w:pPr>
              <w:jc w:val="left"/>
              <w:rPr>
                <w:color w:val="auto"/>
                <w:szCs w:val="21"/>
                <w:u w:val="none" w:color="auto"/>
              </w:rPr>
            </w:pPr>
            <w:r>
              <w:rPr>
                <w:color w:val="auto"/>
                <w:szCs w:val="21"/>
                <w:u w:val="none" w:color="auto"/>
              </w:rPr>
              <w:t>注：本表摘自《焊接工作的劳动保护》</w:t>
            </w:r>
            <w:r>
              <w:rPr>
                <w:rFonts w:hint="eastAsia"/>
                <w:color w:val="auto"/>
                <w:szCs w:val="21"/>
                <w:u w:val="none" w:color="auto"/>
              </w:rPr>
              <w:t>。</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焊接烟尘中的主要有害物质为Fe</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O</w:t>
            </w:r>
            <w:r>
              <w:rPr>
                <w:rFonts w:hint="default" w:ascii="Times New Roman" w:hAnsi="Times New Roman" w:cs="Times New Roman"/>
                <w:color w:val="auto"/>
                <w:sz w:val="24"/>
                <w:szCs w:val="24"/>
                <w:u w:val="none" w:color="auto"/>
                <w:vertAlign w:val="subscript"/>
              </w:rPr>
              <w:t>3</w:t>
            </w:r>
            <w:r>
              <w:rPr>
                <w:rFonts w:hint="default" w:ascii="Times New Roman" w:hAnsi="Times New Roman" w:cs="Times New Roman"/>
                <w:color w:val="auto"/>
                <w:sz w:val="24"/>
                <w:szCs w:val="24"/>
                <w:u w:val="none" w:color="auto"/>
              </w:rPr>
              <w:t>、SiO</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、MnO、HF等，其中含量最多的为Fe</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O</w:t>
            </w:r>
            <w:r>
              <w:rPr>
                <w:rFonts w:hint="default" w:ascii="Times New Roman" w:hAnsi="Times New Roman" w:cs="Times New Roman"/>
                <w:color w:val="auto"/>
                <w:sz w:val="24"/>
                <w:szCs w:val="24"/>
                <w:u w:val="none" w:color="auto"/>
                <w:vertAlign w:val="subscript"/>
              </w:rPr>
              <w:t>3</w:t>
            </w:r>
            <w:r>
              <w:rPr>
                <w:rFonts w:hint="default" w:ascii="Times New Roman" w:hAnsi="Times New Roman" w:cs="Times New Roman"/>
                <w:color w:val="auto"/>
                <w:sz w:val="24"/>
                <w:szCs w:val="24"/>
                <w:u w:val="none" w:color="auto"/>
              </w:rPr>
              <w:t>，一般占烟气总量的35.56%，其次是SiO</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，其含量占10～20％，MnO占5～20％左右。焊接烟尘中有毒有害气体的成份主要为CO、CO</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rPr>
              <w:t>、O</w:t>
            </w:r>
            <w:r>
              <w:rPr>
                <w:rFonts w:hint="default" w:ascii="Times New Roman" w:hAnsi="Times New Roman" w:cs="Times New Roman"/>
                <w:color w:val="auto"/>
                <w:sz w:val="24"/>
                <w:szCs w:val="24"/>
                <w:u w:val="none" w:color="auto"/>
                <w:vertAlign w:val="subscript"/>
              </w:rPr>
              <w:t>3</w:t>
            </w:r>
            <w:r>
              <w:rPr>
                <w:rFonts w:hint="default" w:ascii="Times New Roman" w:hAnsi="Times New Roman" w:cs="Times New Roman"/>
                <w:color w:val="auto"/>
                <w:sz w:val="24"/>
                <w:szCs w:val="24"/>
                <w:u w:val="none" w:color="auto"/>
              </w:rPr>
              <w:t>、NO</w:t>
            </w:r>
            <w:r>
              <w:rPr>
                <w:rFonts w:hint="default" w:ascii="Times New Roman" w:hAnsi="Times New Roman" w:cs="Times New Roman"/>
                <w:color w:val="auto"/>
                <w:sz w:val="24"/>
                <w:szCs w:val="24"/>
                <w:u w:val="none" w:color="auto"/>
                <w:vertAlign w:val="subscript"/>
              </w:rPr>
              <w:t>X</w:t>
            </w:r>
            <w:r>
              <w:rPr>
                <w:rFonts w:hint="default" w:ascii="Times New Roman" w:hAnsi="Times New Roman" w:cs="Times New Roman"/>
                <w:color w:val="auto"/>
                <w:sz w:val="24"/>
                <w:szCs w:val="24"/>
                <w:u w:val="none" w:color="auto"/>
              </w:rPr>
              <w:t>、CH</w:t>
            </w:r>
            <w:r>
              <w:rPr>
                <w:rFonts w:hint="default" w:ascii="Times New Roman" w:hAnsi="Times New Roman" w:cs="Times New Roman"/>
                <w:color w:val="auto"/>
                <w:sz w:val="24"/>
                <w:szCs w:val="24"/>
                <w:u w:val="none" w:color="auto"/>
                <w:vertAlign w:val="subscript"/>
              </w:rPr>
              <w:t>4</w:t>
            </w:r>
            <w:r>
              <w:rPr>
                <w:rFonts w:hint="default" w:ascii="Times New Roman" w:hAnsi="Times New Roman" w:cs="Times New Roman"/>
                <w:color w:val="auto"/>
                <w:sz w:val="24"/>
                <w:szCs w:val="24"/>
                <w:u w:val="none" w:color="auto"/>
              </w:rPr>
              <w:t>等，其中以CO所占的比例最大。由于有毒有害气体产生量不大，气体成份复杂，较难定量化，且本项目焊丝使用量不大，主要对回收钢架中出现松动的进行点焊加固，本环评仅在此作定性分析，而对焊接烟尘则作定量化分析。</w:t>
            </w:r>
          </w:p>
          <w:p>
            <w:pPr>
              <w:pStyle w:val="33"/>
              <w:spacing w:line="360" w:lineRule="auto"/>
              <w:ind w:left="0" w:leftChars="0" w:firstLine="462" w:firstLineChars="200"/>
              <w:jc w:val="left"/>
              <w:rPr>
                <w:color w:val="auto"/>
                <w:sz w:val="24"/>
                <w:szCs w:val="24"/>
                <w:u w:val="none" w:color="auto"/>
              </w:rPr>
            </w:pPr>
            <w:r>
              <w:rPr>
                <w:rFonts w:hint="default" w:ascii="Times New Roman" w:hAnsi="Times New Roman" w:cs="Times New Roman"/>
                <w:color w:val="auto"/>
                <w:sz w:val="24"/>
                <w:szCs w:val="24"/>
                <w:u w:val="none" w:color="auto"/>
              </w:rPr>
              <w:t>项目焊条采用钛钙型低碳钢焊条（结422），不含铅成分，其年用量为0.5t/a，焊条烟尘产生量按最大产尘量计算8g/kg，焊接作业时间按平均每天最长工作时间</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小时计算，则项目烟尘产生量共约</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kg/a。考虑到焊接点位比较分散，因此，本评价建议在主要焊接工位采用移动式焊接烟尘净化器收集焊接烟气，</w:t>
            </w:r>
            <w:r>
              <w:rPr>
                <w:rFonts w:hint="default" w:ascii="Times New Roman" w:hAnsi="Times New Roman" w:cs="Times New Roman"/>
                <w:color w:val="auto"/>
                <w:sz w:val="24"/>
                <w:szCs w:val="24"/>
                <w:u w:val="none" w:color="auto"/>
                <w:lang w:eastAsia="zh-CN"/>
              </w:rPr>
              <w:t>收集效率</w:t>
            </w:r>
            <w:r>
              <w:rPr>
                <w:rFonts w:hint="default" w:ascii="Times New Roman" w:hAnsi="Times New Roman" w:cs="Times New Roman"/>
                <w:color w:val="auto"/>
                <w:sz w:val="24"/>
                <w:szCs w:val="24"/>
                <w:u w:val="none" w:color="auto"/>
              </w:rPr>
              <w:t>约为90%，收集到的烟气颗粒物的去除率为9</w:t>
            </w:r>
            <w:r>
              <w:rPr>
                <w:rFonts w:hint="default" w:ascii="Times New Roman" w:hAnsi="Times New Roman" w:cs="Times New Roman"/>
                <w:color w:val="auto"/>
                <w:sz w:val="24"/>
                <w:szCs w:val="24"/>
                <w:u w:val="none" w:color="auto"/>
                <w:lang w:val="en-US" w:eastAsia="zh-CN"/>
              </w:rPr>
              <w:t>0</w:t>
            </w:r>
            <w:r>
              <w:rPr>
                <w:rFonts w:hint="default" w:ascii="Times New Roman" w:hAnsi="Times New Roman" w:cs="Times New Roman"/>
                <w:color w:val="auto"/>
                <w:sz w:val="24"/>
                <w:szCs w:val="24"/>
                <w:u w:val="none" w:color="auto"/>
              </w:rPr>
              <w:t>%。则颗粒物的排放量为0.</w:t>
            </w:r>
            <w:r>
              <w:rPr>
                <w:rFonts w:hint="default" w:ascii="Times New Roman" w:hAnsi="Times New Roman" w:cs="Times New Roman"/>
                <w:color w:val="auto"/>
                <w:sz w:val="24"/>
                <w:szCs w:val="24"/>
                <w:u w:val="none" w:color="auto"/>
                <w:lang w:val="en-US" w:eastAsia="zh-CN"/>
              </w:rPr>
              <w:t>76</w:t>
            </w:r>
            <w:r>
              <w:rPr>
                <w:rFonts w:hint="default" w:ascii="Times New Roman" w:hAnsi="Times New Roman" w:cs="Times New Roman"/>
                <w:color w:val="auto"/>
                <w:sz w:val="24"/>
                <w:szCs w:val="24"/>
                <w:u w:val="none" w:color="auto"/>
              </w:rPr>
              <w:t>kg/a，能满足满足《大气污染物综合排放标准》（GB16297－1996）表2无组织排放限值要求</w:t>
            </w:r>
            <w:r>
              <w:rPr>
                <w:rFonts w:hint="eastAsia"/>
                <w:color w:val="auto"/>
                <w:sz w:val="24"/>
                <w:szCs w:val="24"/>
                <w:u w:val="none" w:color="auto"/>
              </w:rPr>
              <w:t>。</w:t>
            </w:r>
          </w:p>
          <w:p>
            <w:pPr>
              <w:pStyle w:val="188"/>
              <w:numPr>
                <w:ilvl w:val="0"/>
                <w:numId w:val="7"/>
              </w:numPr>
              <w:spacing w:line="360" w:lineRule="auto"/>
              <w:rPr>
                <w:rFonts w:cs="Times New Roman"/>
                <w:bCs/>
                <w:color w:val="auto"/>
                <w:szCs w:val="24"/>
                <w:u w:val="none" w:color="auto"/>
              </w:rPr>
            </w:pPr>
            <w:r>
              <w:rPr>
                <w:rFonts w:cs="Times New Roman"/>
                <w:bCs/>
                <w:color w:val="auto"/>
                <w:szCs w:val="24"/>
                <w:u w:val="none" w:color="auto"/>
              </w:rPr>
              <w:t>喷塑粉尘 </w:t>
            </w:r>
          </w:p>
          <w:p>
            <w:pPr>
              <w:pStyle w:val="188"/>
              <w:spacing w:line="360" w:lineRule="auto"/>
              <w:rPr>
                <w:rFonts w:hint="eastAsia" w:ascii="Times New Roman" w:hAnsi="Times New Roman" w:eastAsia="宋体" w:cs="Times New Roman"/>
                <w:bCs/>
                <w:color w:val="auto"/>
                <w:sz w:val="24"/>
                <w:szCs w:val="24"/>
                <w:u w:val="none" w:color="auto"/>
                <w:lang w:eastAsia="zh-CN"/>
              </w:rPr>
            </w:pPr>
            <w:r>
              <w:rPr>
                <w:rFonts w:hint="default" w:ascii="Times New Roman" w:hAnsi="Times New Roman" w:cs="Times New Roman"/>
                <w:bCs/>
                <w:color w:val="auto"/>
                <w:sz w:val="24"/>
                <w:szCs w:val="24"/>
                <w:u w:val="none" w:color="auto"/>
              </w:rPr>
              <w:t>拟建项目采用自动粉末静电喷塑机进行喷塑</w:t>
            </w:r>
            <w:r>
              <w:rPr>
                <w:rFonts w:hint="eastAsia" w:cs="Times New Roman"/>
                <w:bCs/>
                <w:color w:val="auto"/>
                <w:sz w:val="24"/>
                <w:szCs w:val="24"/>
                <w:u w:val="none" w:color="auto"/>
                <w:lang w:eastAsia="zh-CN"/>
              </w:rPr>
              <w:t>，</w:t>
            </w:r>
            <w:r>
              <w:rPr>
                <w:rFonts w:hint="eastAsia" w:cs="Times New Roman"/>
                <w:bCs/>
                <w:color w:val="auto"/>
                <w:sz w:val="24"/>
                <w:szCs w:val="24"/>
                <w:u w:val="none" w:color="auto"/>
                <w:lang w:val="en-US" w:eastAsia="zh-CN"/>
              </w:rPr>
              <w:t>喷塑工序使用的塑粉为6t，工作时间均为4小时</w:t>
            </w:r>
            <w:r>
              <w:rPr>
                <w:rFonts w:hint="default" w:ascii="Times New Roman" w:hAnsi="Times New Roman" w:cs="Times New Roman"/>
                <w:bCs/>
                <w:color w:val="auto"/>
                <w:sz w:val="24"/>
                <w:szCs w:val="24"/>
                <w:u w:val="none" w:color="auto"/>
              </w:rPr>
              <w:t>，根据相关企业类比数据，拟建项目在静电喷塑过程粉尘发生量约占塑粉耗量的10%</w:t>
            </w:r>
            <w:r>
              <w:rPr>
                <w:rFonts w:hint="eastAsia" w:cs="Times New Roman"/>
                <w:bCs/>
                <w:color w:val="auto"/>
                <w:sz w:val="24"/>
                <w:szCs w:val="24"/>
                <w:u w:val="none" w:color="auto"/>
                <w:lang w:eastAsia="zh-CN"/>
              </w:rPr>
              <w:t>。</w:t>
            </w:r>
          </w:p>
          <w:p>
            <w:pPr>
              <w:pStyle w:val="188"/>
              <w:spacing w:line="360" w:lineRule="auto"/>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喷塑工序：</w:t>
            </w:r>
            <w:r>
              <w:rPr>
                <w:rFonts w:hint="default" w:ascii="Times New Roman" w:hAnsi="Times New Roman" w:cs="Times New Roman"/>
                <w:bCs/>
                <w:color w:val="auto"/>
                <w:sz w:val="24"/>
                <w:szCs w:val="24"/>
                <w:u w:val="none" w:color="auto"/>
              </w:rPr>
              <w:t>粉尘产生量约为0.</w:t>
            </w:r>
            <w:r>
              <w:rPr>
                <w:rFonts w:hint="eastAsia" w:cs="Times New Roman"/>
                <w:bCs/>
                <w:color w:val="auto"/>
                <w:sz w:val="24"/>
                <w:szCs w:val="24"/>
                <w:u w:val="none" w:color="auto"/>
                <w:lang w:val="en-US" w:eastAsia="zh-CN"/>
              </w:rPr>
              <w:t>6</w:t>
            </w:r>
            <w:r>
              <w:rPr>
                <w:rFonts w:hint="default" w:ascii="Times New Roman" w:hAnsi="Times New Roman" w:cs="Times New Roman"/>
                <w:bCs/>
                <w:color w:val="auto"/>
                <w:sz w:val="24"/>
                <w:szCs w:val="24"/>
                <w:u w:val="none" w:color="auto"/>
              </w:rPr>
              <w:t>t/a，每天连续喷塑约4小时，因此粉尘产生速率约为</w:t>
            </w:r>
            <w:r>
              <w:rPr>
                <w:rFonts w:hint="eastAsia" w:cs="Times New Roman"/>
                <w:bCs/>
                <w:color w:val="auto"/>
                <w:sz w:val="24"/>
                <w:szCs w:val="24"/>
                <w:u w:val="none" w:color="auto"/>
                <w:lang w:val="en-US" w:eastAsia="zh-CN"/>
              </w:rPr>
              <w:t>0.5</w:t>
            </w:r>
            <w:r>
              <w:rPr>
                <w:rFonts w:hint="default" w:ascii="Times New Roman" w:hAnsi="Times New Roman" w:cs="Times New Roman"/>
                <w:bCs/>
                <w:color w:val="auto"/>
                <w:sz w:val="24"/>
                <w:szCs w:val="24"/>
                <w:u w:val="none" w:color="auto"/>
              </w:rPr>
              <w:t>kg/h。喷塑工序在密闭的防静电PVC粉房进行，粉尘通过风机进入</w:t>
            </w:r>
            <w:r>
              <w:rPr>
                <w:rFonts w:hint="default" w:ascii="Times New Roman" w:hAnsi="Times New Roman" w:cs="Times New Roman"/>
                <w:bCs/>
                <w:color w:val="auto"/>
                <w:sz w:val="24"/>
                <w:szCs w:val="24"/>
                <w:u w:val="none" w:color="auto"/>
                <w:lang w:eastAsia="zh-CN"/>
              </w:rPr>
              <w:t>自带的滤芯回收过滤装置</w:t>
            </w:r>
            <w:r>
              <w:rPr>
                <w:rFonts w:hint="default" w:ascii="Times New Roman" w:hAnsi="Times New Roman" w:cs="Times New Roman"/>
                <w:bCs/>
                <w:color w:val="auto"/>
                <w:sz w:val="24"/>
                <w:szCs w:val="24"/>
                <w:u w:val="none" w:color="auto"/>
              </w:rPr>
              <w:t>处理后排放，风机风量约为</w:t>
            </w:r>
            <w:r>
              <w:rPr>
                <w:rFonts w:hint="eastAsia" w:cs="Times New Roman"/>
                <w:bCs/>
                <w:color w:val="auto"/>
                <w:sz w:val="24"/>
                <w:szCs w:val="24"/>
                <w:u w:val="none" w:color="auto"/>
                <w:lang w:val="en-US" w:eastAsia="zh-CN"/>
              </w:rPr>
              <w:t>3</w:t>
            </w:r>
            <w:r>
              <w:rPr>
                <w:rFonts w:hint="default" w:ascii="Times New Roman" w:hAnsi="Times New Roman" w:cs="Times New Roman"/>
                <w:bCs/>
                <w:color w:val="auto"/>
                <w:sz w:val="24"/>
                <w:szCs w:val="24"/>
                <w:u w:val="none" w:color="auto"/>
              </w:rPr>
              <w:t>000m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/h，因此粉尘产生浓度约为</w:t>
            </w:r>
            <w:r>
              <w:rPr>
                <w:rFonts w:hint="eastAsia" w:cs="Times New Roman"/>
                <w:bCs/>
                <w:color w:val="auto"/>
                <w:sz w:val="24"/>
                <w:szCs w:val="24"/>
                <w:u w:val="none" w:color="auto"/>
                <w:lang w:val="en-US" w:eastAsia="zh-CN"/>
              </w:rPr>
              <w:t>166.7</w:t>
            </w:r>
            <w:r>
              <w:rPr>
                <w:rFonts w:hint="default" w:ascii="Times New Roman" w:hAnsi="Times New Roman" w:cs="Times New Roman"/>
                <w:bCs/>
                <w:color w:val="auto"/>
                <w:sz w:val="24"/>
                <w:szCs w:val="24"/>
                <w:u w:val="none" w:color="auto"/>
              </w:rPr>
              <w:t>mg/m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w:t>
            </w:r>
            <w:r>
              <w:rPr>
                <w:rFonts w:hint="default" w:ascii="Times New Roman" w:hAnsi="Times New Roman" w:cs="Times New Roman"/>
                <w:bCs/>
                <w:color w:val="auto"/>
                <w:sz w:val="24"/>
                <w:szCs w:val="24"/>
                <w:u w:val="none" w:color="auto"/>
                <w:lang w:eastAsia="zh-CN"/>
              </w:rPr>
              <w:t>自带的滤芯回收过滤装置</w:t>
            </w:r>
            <w:r>
              <w:rPr>
                <w:rFonts w:hint="default" w:ascii="Times New Roman" w:hAnsi="Times New Roman" w:cs="Times New Roman"/>
                <w:bCs/>
                <w:color w:val="auto"/>
                <w:sz w:val="24"/>
                <w:szCs w:val="24"/>
                <w:u w:val="none" w:color="auto"/>
              </w:rPr>
              <w:t>器除尘效率约为95%，因此粉尘排放量约为0.0</w:t>
            </w:r>
            <w:r>
              <w:rPr>
                <w:rFonts w:hint="eastAsia" w:cs="Times New Roman"/>
                <w:bCs/>
                <w:color w:val="auto"/>
                <w:sz w:val="24"/>
                <w:szCs w:val="24"/>
                <w:u w:val="none" w:color="auto"/>
                <w:lang w:val="en-US" w:eastAsia="zh-CN"/>
              </w:rPr>
              <w:t>3</w:t>
            </w:r>
            <w:r>
              <w:rPr>
                <w:rFonts w:hint="default" w:ascii="Times New Roman" w:hAnsi="Times New Roman" w:cs="Times New Roman"/>
                <w:bCs/>
                <w:color w:val="auto"/>
                <w:sz w:val="24"/>
                <w:szCs w:val="24"/>
                <w:u w:val="none" w:color="auto"/>
              </w:rPr>
              <w:t>t/a，排放浓度约为</w:t>
            </w:r>
            <w:r>
              <w:rPr>
                <w:rFonts w:hint="eastAsia" w:cs="Times New Roman"/>
                <w:bCs/>
                <w:color w:val="auto"/>
                <w:sz w:val="24"/>
                <w:szCs w:val="24"/>
                <w:u w:val="none" w:color="auto"/>
                <w:lang w:val="en-US" w:eastAsia="zh-CN"/>
              </w:rPr>
              <w:t>10</w:t>
            </w:r>
            <w:r>
              <w:rPr>
                <w:rFonts w:hint="default" w:ascii="Times New Roman" w:hAnsi="Times New Roman" w:cs="Times New Roman"/>
                <w:bCs/>
                <w:color w:val="auto"/>
                <w:sz w:val="24"/>
                <w:szCs w:val="24"/>
                <w:u w:val="none" w:color="auto"/>
              </w:rPr>
              <w:t>mg/m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，粉尘废气最终通过距地面高15m排气筒外排（</w:t>
            </w:r>
            <w:r>
              <w:rPr>
                <w:rFonts w:hint="eastAsia" w:cs="Times New Roman"/>
                <w:bCs/>
                <w:color w:val="auto"/>
                <w:sz w:val="24"/>
                <w:szCs w:val="24"/>
                <w:u w:val="none" w:color="auto"/>
                <w:lang w:val="en-US" w:eastAsia="zh-CN"/>
              </w:rPr>
              <w:t>G1</w:t>
            </w:r>
            <w:r>
              <w:rPr>
                <w:rFonts w:hint="default" w:ascii="Times New Roman" w:hAnsi="Times New Roman" w:cs="Times New Roman"/>
                <w:bCs/>
                <w:color w:val="auto"/>
                <w:sz w:val="24"/>
                <w:szCs w:val="24"/>
                <w:u w:val="none" w:color="auto"/>
              </w:rPr>
              <w:t>），能够满足《大气污染物综合排放标准》（GB16297-1996）表2中二级排放标准要求。</w:t>
            </w:r>
            <w:r>
              <w:rPr>
                <w:rFonts w:hint="eastAsia" w:cs="Times New Roman"/>
                <w:bCs/>
                <w:color w:val="auto"/>
                <w:sz w:val="24"/>
                <w:szCs w:val="24"/>
                <w:u w:val="none" w:color="auto"/>
                <w:lang w:eastAsia="zh-CN"/>
              </w:rPr>
              <w:t>。</w:t>
            </w:r>
          </w:p>
          <w:p>
            <w:pPr>
              <w:pStyle w:val="188"/>
              <w:spacing w:line="360" w:lineRule="auto"/>
              <w:rPr>
                <w:rFonts w:hint="default" w:ascii="Times New Roman" w:hAnsi="Times New Roman" w:cs="Times New Roman"/>
                <w:bCs/>
                <w:color w:val="auto"/>
                <w:sz w:val="24"/>
                <w:szCs w:val="24"/>
                <w:u w:val="none" w:color="auto"/>
              </w:rPr>
            </w:pPr>
            <w:r>
              <w:rPr>
                <w:rFonts w:hint="default" w:ascii="Times New Roman" w:hAnsi="Times New Roman" w:cs="Times New Roman"/>
                <w:bCs/>
                <w:color w:val="auto"/>
                <w:sz w:val="24"/>
                <w:szCs w:val="24"/>
                <w:u w:val="none" w:color="auto"/>
              </w:rPr>
              <w:t>（3）烘干固化废气 </w:t>
            </w:r>
          </w:p>
          <w:p>
            <w:pPr>
              <w:pStyle w:val="172"/>
              <w:spacing w:line="360" w:lineRule="auto"/>
              <w:ind w:firstLine="480"/>
              <w:rPr>
                <w:color w:val="auto"/>
                <w:sz w:val="24"/>
                <w:szCs w:val="24"/>
                <w:u w:val="none" w:color="auto"/>
              </w:rPr>
            </w:pPr>
            <w:r>
              <w:rPr>
                <w:rFonts w:hint="default" w:ascii="Times New Roman" w:hAnsi="Times New Roman" w:cs="Times New Roman"/>
                <w:bCs/>
                <w:color w:val="auto"/>
                <w:sz w:val="24"/>
                <w:szCs w:val="24"/>
                <w:u w:val="none" w:color="auto"/>
              </w:rPr>
              <w:t>喷塑后的工件依次进入直线式烘道中烘干固化，烘道热风采用</w:t>
            </w:r>
            <w:r>
              <w:rPr>
                <w:rFonts w:hint="eastAsia" w:cs="Times New Roman"/>
                <w:bCs/>
                <w:color w:val="auto"/>
                <w:sz w:val="24"/>
                <w:szCs w:val="24"/>
                <w:u w:val="none" w:color="auto"/>
                <w:lang w:eastAsia="zh-CN"/>
              </w:rPr>
              <w:t>液化石油气燃烧热量</w:t>
            </w:r>
            <w:r>
              <w:rPr>
                <w:rFonts w:hint="default" w:ascii="Times New Roman" w:hAnsi="Times New Roman" w:cs="Times New Roman"/>
                <w:bCs/>
                <w:color w:val="auto"/>
                <w:sz w:val="24"/>
                <w:szCs w:val="24"/>
                <w:u w:val="none" w:color="auto"/>
              </w:rPr>
              <w:t>提供</w:t>
            </w:r>
            <w:r>
              <w:rPr>
                <w:rFonts w:hint="eastAsia" w:ascii="Times New Roman" w:hAnsi="Times New Roman" w:cs="Times New Roman"/>
                <w:bCs/>
                <w:color w:val="auto"/>
                <w:sz w:val="24"/>
                <w:szCs w:val="24"/>
                <w:u w:val="none" w:color="auto"/>
                <w:lang w:eastAsia="zh-CN"/>
              </w:rPr>
              <w:t>，本项目塑粉</w:t>
            </w:r>
            <w:r>
              <w:rPr>
                <w:rFonts w:hint="eastAsia" w:cs="Times New Roman"/>
                <w:bCs/>
                <w:color w:val="auto"/>
                <w:sz w:val="24"/>
                <w:szCs w:val="24"/>
                <w:u w:val="none" w:color="auto"/>
                <w:lang w:eastAsia="zh-CN"/>
              </w:rPr>
              <w:t>共</w:t>
            </w:r>
            <w:r>
              <w:rPr>
                <w:rFonts w:hint="eastAsia" w:ascii="Times New Roman" w:hAnsi="Times New Roman" w:cs="Times New Roman"/>
                <w:bCs/>
                <w:color w:val="auto"/>
                <w:sz w:val="24"/>
                <w:szCs w:val="24"/>
                <w:u w:val="none" w:color="auto"/>
                <w:lang w:eastAsia="zh-CN"/>
              </w:rPr>
              <w:t>使用量为</w:t>
            </w:r>
            <w:r>
              <w:rPr>
                <w:rFonts w:hint="eastAsia" w:cs="Times New Roman"/>
                <w:bCs/>
                <w:color w:val="auto"/>
                <w:sz w:val="24"/>
                <w:szCs w:val="24"/>
                <w:u w:val="none" w:color="auto"/>
                <w:lang w:val="en-US" w:eastAsia="zh-CN"/>
              </w:rPr>
              <w:t>6.0t/a</w:t>
            </w:r>
            <w:r>
              <w:rPr>
                <w:rFonts w:hint="default" w:ascii="Times New Roman" w:hAnsi="Times New Roman" w:cs="Times New Roman"/>
                <w:bCs/>
                <w:color w:val="auto"/>
                <w:sz w:val="24"/>
                <w:szCs w:val="24"/>
                <w:u w:val="none" w:color="auto"/>
              </w:rPr>
              <w:t>，</w:t>
            </w:r>
            <w:r>
              <w:rPr>
                <w:color w:val="auto"/>
                <w:sz w:val="24"/>
                <w:szCs w:val="24"/>
                <w:u w:val="none" w:color="auto"/>
              </w:rPr>
              <w:t>根据《湖南省制造业（工业涂装）VOCs排放量测算技术指南（试行）》（湖南省环境保护厅，2016.12）中方法1（物料衡算法）和参考表1进行测算，则本项目</w:t>
            </w:r>
            <w:r>
              <w:rPr>
                <w:rFonts w:hint="eastAsia"/>
                <w:color w:val="auto"/>
                <w:sz w:val="24"/>
                <w:szCs w:val="24"/>
                <w:u w:val="none" w:color="auto"/>
                <w:lang w:eastAsia="zh-CN"/>
              </w:rPr>
              <w:t>喷粉有机</w:t>
            </w:r>
            <w:r>
              <w:rPr>
                <w:color w:val="auto"/>
                <w:sz w:val="24"/>
                <w:szCs w:val="24"/>
                <w:u w:val="none" w:color="auto"/>
              </w:rPr>
              <w:t>废气总产生量见下表。</w:t>
            </w:r>
          </w:p>
          <w:p>
            <w:pPr>
              <w:pStyle w:val="186"/>
              <w:rPr>
                <w:rFonts w:hint="eastAsia"/>
                <w:color w:val="auto"/>
                <w:u w:val="none" w:color="auto"/>
              </w:rPr>
            </w:pPr>
            <w:r>
              <w:rPr>
                <w:rFonts w:hint="eastAsia"/>
                <w:color w:val="auto"/>
                <w:u w:val="none" w:color="auto"/>
              </w:rPr>
              <w:t>表5-</w:t>
            </w:r>
            <w:r>
              <w:rPr>
                <w:rFonts w:hint="eastAsia"/>
                <w:color w:val="auto"/>
                <w:u w:val="none" w:color="auto"/>
                <w:lang w:val="en-US" w:eastAsia="zh-CN"/>
              </w:rPr>
              <w:t>3</w:t>
            </w:r>
            <w:r>
              <w:rPr>
                <w:rFonts w:hint="eastAsia"/>
                <w:color w:val="auto"/>
                <w:u w:val="none" w:color="auto"/>
              </w:rPr>
              <w:t xml:space="preserve">  物料中 VOC</w:t>
            </w:r>
            <w:r>
              <w:rPr>
                <w:rFonts w:hint="eastAsia"/>
                <w:color w:val="auto"/>
                <w:u w:val="none" w:color="auto"/>
                <w:vertAlign w:val="subscript"/>
              </w:rPr>
              <w:t>S</w:t>
            </w:r>
            <w:r>
              <w:rPr>
                <w:rFonts w:hint="eastAsia"/>
                <w:color w:val="auto"/>
                <w:u w:val="none" w:color="auto"/>
              </w:rPr>
              <w:t xml:space="preserve"> 含量</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67"/>
              <w:gridCol w:w="4214"/>
              <w:gridCol w:w="25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2267" w:type="dxa"/>
                  <w:noWrap w:val="0"/>
                  <w:vAlign w:val="center"/>
                </w:tcPr>
                <w:p>
                  <w:pPr>
                    <w:pStyle w:val="184"/>
                    <w:spacing w:line="360" w:lineRule="auto"/>
                    <w:rPr>
                      <w:color w:val="auto"/>
                      <w:sz w:val="22"/>
                      <w:szCs w:val="22"/>
                      <w:u w:val="none" w:color="auto"/>
                    </w:rPr>
                  </w:pPr>
                  <w:r>
                    <w:rPr>
                      <w:color w:val="auto"/>
                      <w:sz w:val="22"/>
                      <w:szCs w:val="22"/>
                      <w:u w:val="none" w:color="auto"/>
                    </w:rPr>
                    <w:t>行业类别</w:t>
                  </w:r>
                </w:p>
              </w:tc>
              <w:tc>
                <w:tcPr>
                  <w:tcW w:w="4214" w:type="dxa"/>
                  <w:noWrap w:val="0"/>
                  <w:vAlign w:val="center"/>
                </w:tcPr>
                <w:p>
                  <w:pPr>
                    <w:pStyle w:val="184"/>
                    <w:spacing w:line="360" w:lineRule="auto"/>
                    <w:rPr>
                      <w:color w:val="auto"/>
                      <w:sz w:val="22"/>
                      <w:szCs w:val="22"/>
                      <w:u w:val="none" w:color="auto"/>
                    </w:rPr>
                  </w:pPr>
                  <w:r>
                    <w:rPr>
                      <w:color w:val="auto"/>
                      <w:sz w:val="22"/>
                      <w:szCs w:val="22"/>
                      <w:u w:val="none" w:color="auto"/>
                    </w:rPr>
                    <w:t>物料</w:t>
                  </w:r>
                </w:p>
              </w:tc>
              <w:tc>
                <w:tcPr>
                  <w:tcW w:w="2587" w:type="dxa"/>
                  <w:noWrap w:val="0"/>
                  <w:vAlign w:val="center"/>
                </w:tcPr>
                <w:p>
                  <w:pPr>
                    <w:pStyle w:val="184"/>
                    <w:spacing w:line="360" w:lineRule="auto"/>
                    <w:rPr>
                      <w:color w:val="auto"/>
                      <w:sz w:val="22"/>
                      <w:szCs w:val="22"/>
                      <w:u w:val="none" w:color="auto"/>
                    </w:rPr>
                  </w:pPr>
                  <w:r>
                    <w:rPr>
                      <w:color w:val="auto"/>
                      <w:sz w:val="22"/>
                      <w:szCs w:val="22"/>
                      <w:u w:val="none" w:color="auto"/>
                    </w:rPr>
                    <w:t>VOC</w:t>
                  </w:r>
                  <w:r>
                    <w:rPr>
                      <w:rFonts w:hint="eastAsia"/>
                      <w:color w:val="auto"/>
                      <w:sz w:val="22"/>
                      <w:szCs w:val="22"/>
                      <w:u w:val="none" w:color="auto"/>
                    </w:rPr>
                    <w:t>s</w:t>
                  </w:r>
                  <w:r>
                    <w:rPr>
                      <w:color w:val="auto"/>
                      <w:sz w:val="22"/>
                      <w:szCs w:val="22"/>
                      <w:u w:val="none" w:color="auto"/>
                    </w:rPr>
                    <w:t xml:space="preserve"> 质量含量（%）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1" w:hRule="atLeast"/>
                <w:jc w:val="center"/>
              </w:trPr>
              <w:tc>
                <w:tcPr>
                  <w:tcW w:w="2267" w:type="dxa"/>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制造业通用系数</w:t>
                  </w:r>
                </w:p>
              </w:tc>
              <w:tc>
                <w:tcPr>
                  <w:tcW w:w="4214" w:type="dxa"/>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高固体粉末涂料</w:t>
                  </w:r>
                </w:p>
              </w:tc>
              <w:tc>
                <w:tcPr>
                  <w:tcW w:w="2587" w:type="dxa"/>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10</w:t>
                  </w:r>
                </w:p>
              </w:tc>
            </w:tr>
          </w:tbl>
          <w:p>
            <w:pPr>
              <w:pStyle w:val="172"/>
              <w:spacing w:line="240" w:lineRule="auto"/>
              <w:ind w:firstLine="0" w:firstLineChars="0"/>
              <w:rPr>
                <w:rFonts w:hint="eastAsia"/>
                <w:color w:val="auto"/>
                <w:sz w:val="21"/>
                <w:szCs w:val="21"/>
                <w:u w:val="none" w:color="auto"/>
              </w:rPr>
            </w:pPr>
            <w:r>
              <w:rPr>
                <w:color w:val="auto"/>
                <w:sz w:val="21"/>
                <w:szCs w:val="21"/>
                <w:u w:val="none" w:color="auto"/>
              </w:rPr>
              <w:t>注：源于《湖南省制造业（工业涂装）VOCs排放量测算技术指南（试行）》（湖南省环境保护厅，2016.12）中方法1表1。</w:t>
            </w:r>
          </w:p>
          <w:p>
            <w:pPr>
              <w:pStyle w:val="186"/>
              <w:rPr>
                <w:rFonts w:hint="eastAsia"/>
                <w:color w:val="auto"/>
                <w:u w:val="none" w:color="auto"/>
              </w:rPr>
            </w:pPr>
          </w:p>
          <w:p>
            <w:pPr>
              <w:pStyle w:val="186"/>
              <w:rPr>
                <w:rFonts w:hint="eastAsia"/>
                <w:color w:val="auto"/>
                <w:u w:val="none" w:color="auto"/>
              </w:rPr>
            </w:pPr>
          </w:p>
          <w:p>
            <w:pPr>
              <w:pStyle w:val="186"/>
              <w:rPr>
                <w:rFonts w:hint="eastAsia"/>
                <w:color w:val="auto"/>
                <w:u w:val="none" w:color="auto"/>
              </w:rPr>
            </w:pPr>
          </w:p>
          <w:p>
            <w:pPr>
              <w:pStyle w:val="186"/>
              <w:rPr>
                <w:rFonts w:hint="eastAsia"/>
                <w:color w:val="auto"/>
                <w:u w:val="none" w:color="auto"/>
              </w:rPr>
            </w:pPr>
          </w:p>
          <w:p>
            <w:pPr>
              <w:pStyle w:val="186"/>
              <w:rPr>
                <w:rFonts w:hint="eastAsia"/>
                <w:color w:val="auto"/>
                <w:u w:val="none" w:color="auto"/>
              </w:rPr>
            </w:pPr>
            <w:r>
              <w:rPr>
                <w:rFonts w:hint="eastAsia"/>
                <w:color w:val="auto"/>
                <w:u w:val="none" w:color="auto"/>
              </w:rPr>
              <w:t>表5-</w:t>
            </w:r>
            <w:r>
              <w:rPr>
                <w:rFonts w:hint="eastAsia"/>
                <w:color w:val="auto"/>
                <w:u w:val="none" w:color="auto"/>
                <w:lang w:val="en-US" w:eastAsia="zh-CN"/>
              </w:rPr>
              <w:t>4</w:t>
            </w:r>
            <w:r>
              <w:rPr>
                <w:rFonts w:hint="eastAsia"/>
                <w:color w:val="auto"/>
                <w:u w:val="none" w:color="auto"/>
              </w:rPr>
              <w:t xml:space="preserve">  项目粉末废气污染物产生量一览表</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0"/>
              <w:gridCol w:w="1202"/>
              <w:gridCol w:w="1753"/>
              <w:gridCol w:w="2661"/>
              <w:gridCol w:w="26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830" w:type="dxa"/>
                  <w:noWrap w:val="0"/>
                  <w:vAlign w:val="center"/>
                </w:tcPr>
                <w:p>
                  <w:pPr>
                    <w:pStyle w:val="184"/>
                    <w:spacing w:line="360" w:lineRule="auto"/>
                    <w:rPr>
                      <w:color w:val="auto"/>
                      <w:sz w:val="22"/>
                      <w:szCs w:val="22"/>
                      <w:u w:val="none" w:color="auto"/>
                    </w:rPr>
                  </w:pPr>
                  <w:r>
                    <w:rPr>
                      <w:color w:val="auto"/>
                      <w:sz w:val="22"/>
                      <w:szCs w:val="22"/>
                      <w:u w:val="none" w:color="auto"/>
                    </w:rPr>
                    <w:t>序号</w:t>
                  </w:r>
                </w:p>
              </w:tc>
              <w:tc>
                <w:tcPr>
                  <w:tcW w:w="1202" w:type="dxa"/>
                  <w:noWrap w:val="0"/>
                  <w:vAlign w:val="center"/>
                </w:tcPr>
                <w:p>
                  <w:pPr>
                    <w:pStyle w:val="184"/>
                    <w:spacing w:line="360" w:lineRule="auto"/>
                    <w:rPr>
                      <w:color w:val="auto"/>
                      <w:sz w:val="22"/>
                      <w:szCs w:val="22"/>
                      <w:u w:val="none" w:color="auto"/>
                    </w:rPr>
                  </w:pPr>
                  <w:r>
                    <w:rPr>
                      <w:color w:val="auto"/>
                      <w:sz w:val="22"/>
                      <w:szCs w:val="22"/>
                      <w:u w:val="none" w:color="auto"/>
                    </w:rPr>
                    <w:t>污染物</w:t>
                  </w:r>
                </w:p>
              </w:tc>
              <w:tc>
                <w:tcPr>
                  <w:tcW w:w="1753" w:type="dxa"/>
                  <w:noWrap w:val="0"/>
                  <w:vAlign w:val="center"/>
                </w:tcPr>
                <w:p>
                  <w:pPr>
                    <w:pStyle w:val="184"/>
                    <w:spacing w:line="360" w:lineRule="auto"/>
                    <w:rPr>
                      <w:color w:val="auto"/>
                      <w:sz w:val="22"/>
                      <w:szCs w:val="22"/>
                      <w:u w:val="none" w:color="auto"/>
                    </w:rPr>
                  </w:pPr>
                  <w:r>
                    <w:rPr>
                      <w:color w:val="auto"/>
                      <w:sz w:val="22"/>
                      <w:szCs w:val="22"/>
                      <w:u w:val="none" w:color="auto"/>
                    </w:rPr>
                    <w:t>使用量（t/a）</w:t>
                  </w:r>
                </w:p>
              </w:tc>
              <w:tc>
                <w:tcPr>
                  <w:tcW w:w="2661" w:type="dxa"/>
                  <w:noWrap w:val="0"/>
                  <w:vAlign w:val="center"/>
                </w:tcPr>
                <w:p>
                  <w:pPr>
                    <w:pStyle w:val="184"/>
                    <w:spacing w:line="360" w:lineRule="auto"/>
                    <w:rPr>
                      <w:color w:val="auto"/>
                      <w:sz w:val="22"/>
                      <w:szCs w:val="22"/>
                      <w:u w:val="none" w:color="auto"/>
                    </w:rPr>
                  </w:pPr>
                  <w:r>
                    <w:rPr>
                      <w:color w:val="auto"/>
                      <w:sz w:val="22"/>
                      <w:szCs w:val="22"/>
                      <w:u w:val="none" w:color="auto"/>
                    </w:rPr>
                    <w:t>VOCs 质量含量（%）</w:t>
                  </w:r>
                </w:p>
              </w:tc>
              <w:tc>
                <w:tcPr>
                  <w:tcW w:w="2622" w:type="dxa"/>
                  <w:noWrap w:val="0"/>
                  <w:vAlign w:val="center"/>
                </w:tcPr>
                <w:p>
                  <w:pPr>
                    <w:pStyle w:val="184"/>
                    <w:spacing w:line="360" w:lineRule="auto"/>
                    <w:rPr>
                      <w:color w:val="auto"/>
                      <w:sz w:val="22"/>
                      <w:szCs w:val="22"/>
                      <w:u w:val="none" w:color="auto"/>
                    </w:rPr>
                  </w:pPr>
                  <w:r>
                    <w:rPr>
                      <w:color w:val="auto"/>
                      <w:sz w:val="22"/>
                      <w:szCs w:val="22"/>
                      <w:u w:val="none" w:color="auto"/>
                    </w:rPr>
                    <w:t>VOCs产生量（t/a）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830" w:type="dxa"/>
                  <w:tcBorders>
                    <w:bottom w:val="single" w:color="000000" w:sz="12" w:space="0"/>
                  </w:tcBorders>
                  <w:noWrap w:val="0"/>
                  <w:vAlign w:val="center"/>
                </w:tcPr>
                <w:p>
                  <w:pPr>
                    <w:pStyle w:val="184"/>
                    <w:spacing w:line="360" w:lineRule="auto"/>
                    <w:rPr>
                      <w:rFonts w:hint="eastAsia" w:eastAsia="宋体"/>
                      <w:color w:val="auto"/>
                      <w:sz w:val="22"/>
                      <w:szCs w:val="22"/>
                      <w:u w:val="none" w:color="auto"/>
                      <w:lang w:eastAsia="zh-CN"/>
                    </w:rPr>
                  </w:pPr>
                  <w:r>
                    <w:rPr>
                      <w:color w:val="auto"/>
                      <w:sz w:val="22"/>
                      <w:szCs w:val="22"/>
                      <w:u w:val="none" w:color="auto"/>
                    </w:rPr>
                    <w:t>1</w:t>
                  </w:r>
                </w:p>
              </w:tc>
              <w:tc>
                <w:tcPr>
                  <w:tcW w:w="1202" w:type="dxa"/>
                  <w:tcBorders>
                    <w:bottom w:val="single" w:color="000000" w:sz="12" w:space="0"/>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eastAsia="zh-CN"/>
                    </w:rPr>
                    <w:t>有机废气</w:t>
                  </w:r>
                </w:p>
              </w:tc>
              <w:tc>
                <w:tcPr>
                  <w:tcW w:w="1753" w:type="dxa"/>
                  <w:tcBorders>
                    <w:bottom w:val="single" w:color="000000" w:sz="12" w:space="0"/>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val="en-US" w:eastAsia="zh-CN"/>
                    </w:rPr>
                    <w:t>6</w:t>
                  </w:r>
                </w:p>
              </w:tc>
              <w:tc>
                <w:tcPr>
                  <w:tcW w:w="2661" w:type="dxa"/>
                  <w:tcBorders>
                    <w:bottom w:val="single" w:color="000000" w:sz="12" w:space="0"/>
                  </w:tcBorders>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10</w:t>
                  </w:r>
                </w:p>
              </w:tc>
              <w:tc>
                <w:tcPr>
                  <w:tcW w:w="2622" w:type="dxa"/>
                  <w:tcBorders>
                    <w:bottom w:val="single" w:color="000000" w:sz="12" w:space="0"/>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6" w:type="dxa"/>
                  <w:gridSpan w:val="4"/>
                  <w:noWrap w:val="0"/>
                  <w:vAlign w:val="center"/>
                </w:tcPr>
                <w:p>
                  <w:pPr>
                    <w:pStyle w:val="184"/>
                    <w:spacing w:line="360" w:lineRule="auto"/>
                    <w:rPr>
                      <w:color w:val="auto"/>
                      <w:sz w:val="22"/>
                      <w:szCs w:val="22"/>
                      <w:u w:val="none" w:color="auto"/>
                    </w:rPr>
                  </w:pPr>
                  <w:r>
                    <w:rPr>
                      <w:color w:val="auto"/>
                      <w:sz w:val="22"/>
                      <w:szCs w:val="22"/>
                      <w:u w:val="none" w:color="auto"/>
                    </w:rPr>
                    <w:t>合计</w:t>
                  </w:r>
                </w:p>
              </w:tc>
              <w:tc>
                <w:tcPr>
                  <w:tcW w:w="2622" w:type="dxa"/>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0.6</w:t>
                  </w:r>
                </w:p>
              </w:tc>
            </w:tr>
          </w:tbl>
          <w:p>
            <w:pPr>
              <w:pStyle w:val="178"/>
              <w:spacing w:line="360" w:lineRule="auto"/>
              <w:ind w:firstLine="460"/>
              <w:rPr>
                <w:rFonts w:hint="eastAsia"/>
                <w:color w:val="auto"/>
                <w:sz w:val="24"/>
                <w:u w:val="none" w:color="auto"/>
                <w:lang w:eastAsia="zh-CN"/>
              </w:rPr>
            </w:pPr>
            <w:r>
              <w:rPr>
                <w:rFonts w:hint="default" w:ascii="Times New Roman" w:hAnsi="Times New Roman" w:cs="Times New Roman"/>
                <w:b/>
                <w:bCs w:val="0"/>
                <w:color w:val="auto"/>
                <w:sz w:val="24"/>
                <w:szCs w:val="24"/>
                <w:u w:val="none" w:color="auto"/>
              </w:rPr>
              <w:t>烘干固化废气</w:t>
            </w:r>
            <w:r>
              <w:rPr>
                <w:rFonts w:hint="eastAsia" w:ascii="Times New Roman" w:hAnsi="Times New Roman" w:cs="Times New Roman"/>
                <w:b/>
                <w:bCs w:val="0"/>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由上表可知</w:t>
            </w:r>
            <w:r>
              <w:rPr>
                <w:rFonts w:hint="default" w:ascii="Times New Roman" w:hAnsi="Times New Roman" w:cs="Times New Roman"/>
                <w:bCs/>
                <w:color w:val="auto"/>
                <w:sz w:val="24"/>
                <w:szCs w:val="24"/>
                <w:u w:val="none" w:color="auto"/>
              </w:rPr>
              <w:t>VOC</w:t>
            </w:r>
            <w:r>
              <w:rPr>
                <w:rFonts w:hint="default" w:ascii="Times New Roman" w:hAnsi="Times New Roman" w:cs="Times New Roman"/>
                <w:bCs/>
                <w:color w:val="auto"/>
                <w:sz w:val="24"/>
                <w:szCs w:val="24"/>
                <w:u w:val="none" w:color="auto"/>
                <w:vertAlign w:val="subscript"/>
              </w:rPr>
              <w:t>S</w:t>
            </w:r>
            <w:r>
              <w:rPr>
                <w:rFonts w:hint="default" w:ascii="Times New Roman" w:hAnsi="Times New Roman" w:cs="Times New Roman"/>
                <w:bCs/>
                <w:color w:val="auto"/>
                <w:sz w:val="24"/>
                <w:szCs w:val="24"/>
                <w:u w:val="none" w:color="auto"/>
              </w:rPr>
              <w:t>产生量约为0.</w:t>
            </w:r>
            <w:r>
              <w:rPr>
                <w:rFonts w:hint="eastAsia" w:ascii="Times New Roman" w:hAnsi="Times New Roman" w:cs="Times New Roman"/>
                <w:bCs/>
                <w:color w:val="auto"/>
                <w:sz w:val="24"/>
                <w:szCs w:val="24"/>
                <w:u w:val="none" w:color="auto"/>
                <w:lang w:val="en-US" w:eastAsia="zh-CN"/>
              </w:rPr>
              <w:t>6</w:t>
            </w:r>
            <w:r>
              <w:rPr>
                <w:rFonts w:hint="default" w:ascii="Times New Roman" w:hAnsi="Times New Roman" w:cs="Times New Roman"/>
                <w:bCs/>
                <w:color w:val="auto"/>
                <w:sz w:val="24"/>
                <w:szCs w:val="24"/>
                <w:u w:val="none" w:color="auto"/>
              </w:rPr>
              <w:t>t/a，每天持续烘干固化约</w:t>
            </w:r>
            <w:r>
              <w:rPr>
                <w:rFonts w:hint="eastAsia" w:ascii="Times New Roman" w:hAnsi="Times New Roman" w:cs="Times New Roman"/>
                <w:bCs/>
                <w:color w:val="auto"/>
                <w:sz w:val="24"/>
                <w:szCs w:val="24"/>
                <w:u w:val="none" w:color="auto"/>
                <w:lang w:val="en-US" w:eastAsia="zh-CN"/>
              </w:rPr>
              <w:t>4</w:t>
            </w:r>
            <w:r>
              <w:rPr>
                <w:rFonts w:hint="default" w:ascii="Times New Roman" w:hAnsi="Times New Roman" w:cs="Times New Roman"/>
                <w:bCs/>
                <w:color w:val="auto"/>
                <w:sz w:val="24"/>
                <w:szCs w:val="24"/>
                <w:u w:val="none" w:color="auto"/>
              </w:rPr>
              <w:t>小时，因此VOC</w:t>
            </w:r>
            <w:r>
              <w:rPr>
                <w:rFonts w:hint="default" w:ascii="Times New Roman" w:hAnsi="Times New Roman" w:cs="Times New Roman"/>
                <w:bCs/>
                <w:color w:val="auto"/>
                <w:sz w:val="24"/>
                <w:szCs w:val="24"/>
                <w:u w:val="none" w:color="auto"/>
                <w:vertAlign w:val="subscript"/>
              </w:rPr>
              <w:t>S</w:t>
            </w:r>
            <w:r>
              <w:rPr>
                <w:rFonts w:hint="default" w:ascii="Times New Roman" w:hAnsi="Times New Roman" w:cs="Times New Roman"/>
                <w:bCs/>
                <w:color w:val="auto"/>
                <w:sz w:val="24"/>
                <w:szCs w:val="24"/>
                <w:u w:val="none" w:color="auto"/>
              </w:rPr>
              <w:t>产生速率约为</w:t>
            </w:r>
            <w:r>
              <w:rPr>
                <w:rFonts w:hint="eastAsia" w:ascii="Times New Roman" w:hAnsi="Times New Roman" w:cs="Times New Roman"/>
                <w:bCs/>
                <w:color w:val="auto"/>
                <w:sz w:val="24"/>
                <w:szCs w:val="24"/>
                <w:u w:val="none" w:color="auto"/>
                <w:lang w:val="en-US" w:eastAsia="zh-CN"/>
              </w:rPr>
              <w:t>0.5</w:t>
            </w:r>
            <w:r>
              <w:rPr>
                <w:rFonts w:hint="default" w:ascii="Times New Roman" w:hAnsi="Times New Roman" w:cs="Times New Roman"/>
                <w:bCs/>
                <w:color w:val="auto"/>
                <w:sz w:val="24"/>
                <w:szCs w:val="24"/>
                <w:u w:val="none" w:color="auto"/>
              </w:rPr>
              <w:t>kg/h。烘干固化在密闭的直线式烘道内进行，风机风量约为</w:t>
            </w:r>
            <w:r>
              <w:rPr>
                <w:rFonts w:hint="eastAsia" w:ascii="Times New Roman" w:hAnsi="Times New Roman" w:cs="Times New Roman"/>
                <w:bCs/>
                <w:color w:val="auto"/>
                <w:sz w:val="24"/>
                <w:szCs w:val="24"/>
                <w:u w:val="none" w:color="auto"/>
                <w:lang w:val="en-US" w:eastAsia="zh-CN"/>
              </w:rPr>
              <w:t>5</w:t>
            </w:r>
            <w:r>
              <w:rPr>
                <w:rFonts w:hint="default" w:ascii="Times New Roman" w:hAnsi="Times New Roman" w:cs="Times New Roman"/>
                <w:bCs/>
                <w:color w:val="auto"/>
                <w:sz w:val="24"/>
                <w:szCs w:val="24"/>
                <w:u w:val="none" w:color="auto"/>
              </w:rPr>
              <w:t>000m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/h，因此产生浓度约为</w:t>
            </w:r>
            <w:r>
              <w:rPr>
                <w:rFonts w:hint="eastAsia" w:ascii="Times New Roman" w:hAnsi="Times New Roman" w:cs="Times New Roman"/>
                <w:bCs/>
                <w:color w:val="auto"/>
                <w:sz w:val="24"/>
                <w:szCs w:val="24"/>
                <w:u w:val="none" w:color="auto"/>
                <w:lang w:val="en-US" w:eastAsia="zh-CN"/>
              </w:rPr>
              <w:t>100</w:t>
            </w:r>
            <w:r>
              <w:rPr>
                <w:rFonts w:hint="default" w:ascii="Times New Roman" w:hAnsi="Times New Roman" w:cs="Times New Roman"/>
                <w:bCs/>
                <w:color w:val="auto"/>
                <w:sz w:val="24"/>
                <w:szCs w:val="24"/>
                <w:u w:val="none" w:color="auto"/>
              </w:rPr>
              <w:t>mg/m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，VOC</w:t>
            </w:r>
            <w:r>
              <w:rPr>
                <w:rFonts w:hint="default" w:ascii="Times New Roman" w:hAnsi="Times New Roman" w:cs="Times New Roman"/>
                <w:bCs/>
                <w:color w:val="auto"/>
                <w:sz w:val="24"/>
                <w:szCs w:val="24"/>
                <w:u w:val="none" w:color="auto"/>
                <w:vertAlign w:val="subscript"/>
              </w:rPr>
              <w:t>S</w:t>
            </w:r>
            <w:r>
              <w:rPr>
                <w:rFonts w:hint="default" w:ascii="Times New Roman" w:hAnsi="Times New Roman" w:cs="Times New Roman"/>
                <w:bCs/>
                <w:color w:val="auto"/>
                <w:sz w:val="24"/>
                <w:szCs w:val="24"/>
                <w:u w:val="none" w:color="auto"/>
              </w:rPr>
              <w:t>废气通过UV光解处理器处理后排放（处置效率70%）</w:t>
            </w:r>
            <w:r>
              <w:rPr>
                <w:rFonts w:hint="eastAsia" w:ascii="Times New Roman" w:hAnsi="Times New Roman" w:cs="Times New Roman"/>
                <w:bCs/>
                <w:color w:val="auto"/>
                <w:sz w:val="24"/>
                <w:szCs w:val="24"/>
                <w:u w:val="none" w:color="auto"/>
                <w:lang w:eastAsia="zh-CN"/>
              </w:rPr>
              <w:t>，</w:t>
            </w:r>
            <w:r>
              <w:rPr>
                <w:rFonts w:hint="default" w:ascii="Times New Roman" w:hAnsi="Times New Roman" w:cs="Times New Roman"/>
                <w:bCs/>
                <w:color w:val="auto"/>
                <w:sz w:val="24"/>
                <w:szCs w:val="24"/>
                <w:u w:val="none" w:color="auto"/>
              </w:rPr>
              <w:t>因此VOC</w:t>
            </w:r>
            <w:r>
              <w:rPr>
                <w:rFonts w:hint="default" w:ascii="Times New Roman" w:hAnsi="Times New Roman" w:cs="Times New Roman"/>
                <w:bCs/>
                <w:color w:val="auto"/>
                <w:sz w:val="24"/>
                <w:szCs w:val="24"/>
                <w:u w:val="none" w:color="auto"/>
                <w:vertAlign w:val="subscript"/>
              </w:rPr>
              <w:t>S</w:t>
            </w:r>
            <w:r>
              <w:rPr>
                <w:rFonts w:hint="default" w:ascii="Times New Roman" w:hAnsi="Times New Roman" w:cs="Times New Roman"/>
                <w:bCs/>
                <w:color w:val="auto"/>
                <w:sz w:val="24"/>
                <w:szCs w:val="24"/>
                <w:u w:val="none" w:color="auto"/>
              </w:rPr>
              <w:t>废气排放浓度约为</w:t>
            </w:r>
            <w:r>
              <w:rPr>
                <w:rFonts w:hint="eastAsia" w:ascii="Times New Roman" w:hAnsi="Times New Roman" w:cs="Times New Roman"/>
                <w:bCs/>
                <w:color w:val="auto"/>
                <w:sz w:val="24"/>
                <w:szCs w:val="24"/>
                <w:u w:val="none" w:color="auto"/>
                <w:lang w:val="en-US" w:eastAsia="zh-CN"/>
              </w:rPr>
              <w:t>36</w:t>
            </w:r>
            <w:r>
              <w:rPr>
                <w:rFonts w:hint="default" w:ascii="Times New Roman" w:hAnsi="Times New Roman" w:cs="Times New Roman"/>
                <w:bCs/>
                <w:color w:val="auto"/>
                <w:sz w:val="24"/>
                <w:szCs w:val="24"/>
                <w:u w:val="none" w:color="auto"/>
              </w:rPr>
              <w:t>mg/m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，排放量0.</w:t>
            </w:r>
            <w:r>
              <w:rPr>
                <w:rFonts w:hint="eastAsia" w:ascii="Times New Roman" w:hAnsi="Times New Roman" w:cs="Times New Roman"/>
                <w:bCs/>
                <w:color w:val="auto"/>
                <w:sz w:val="24"/>
                <w:szCs w:val="24"/>
                <w:u w:val="none" w:color="auto"/>
                <w:lang w:val="en-US" w:eastAsia="zh-CN"/>
              </w:rPr>
              <w:t>18</w:t>
            </w:r>
            <w:r>
              <w:rPr>
                <w:rFonts w:hint="default" w:ascii="Times New Roman" w:hAnsi="Times New Roman" w:cs="Times New Roman"/>
                <w:bCs/>
                <w:color w:val="auto"/>
                <w:sz w:val="24"/>
                <w:szCs w:val="24"/>
                <w:u w:val="none" w:color="auto"/>
              </w:rPr>
              <w:t>t/a，可以达到</w:t>
            </w:r>
            <w:r>
              <w:rPr>
                <w:rFonts w:hint="default" w:ascii="Times New Roman" w:hAnsi="Times New Roman" w:cs="Times New Roman"/>
                <w:color w:val="auto"/>
                <w:sz w:val="24"/>
                <w:szCs w:val="24"/>
                <w:u w:val="none" w:color="auto"/>
              </w:rPr>
              <w:t>《表面涂装(汽车制造)挥发性有机物、镍排放标准》（DB43/1356-2017）表1标准</w:t>
            </w:r>
            <w:r>
              <w:rPr>
                <w:rFonts w:hint="default" w:ascii="Times New Roman" w:hAnsi="Times New Roman" w:cs="Times New Roman"/>
                <w:bCs/>
                <w:color w:val="auto"/>
                <w:sz w:val="24"/>
                <w:szCs w:val="24"/>
                <w:u w:val="none" w:color="auto"/>
              </w:rPr>
              <w:t>标准要求，废气最终通过距地面高15m的排气筒外排(</w:t>
            </w:r>
            <w:r>
              <w:rPr>
                <w:rFonts w:hint="eastAsia" w:cs="Times New Roman"/>
                <w:bCs/>
                <w:color w:val="auto"/>
                <w:sz w:val="24"/>
                <w:szCs w:val="24"/>
                <w:u w:val="none" w:color="auto"/>
                <w:lang w:val="en-US" w:eastAsia="zh-CN"/>
              </w:rPr>
              <w:t>G2</w:t>
            </w:r>
            <w:r>
              <w:rPr>
                <w:rFonts w:hint="default" w:ascii="Times New Roman" w:hAnsi="Times New Roman" w:cs="Times New Roman"/>
                <w:bCs/>
                <w:color w:val="auto"/>
                <w:sz w:val="24"/>
                <w:szCs w:val="24"/>
                <w:u w:val="none" w:color="auto"/>
              </w:rPr>
              <w:t>)</w:t>
            </w:r>
            <w:r>
              <w:rPr>
                <w:rFonts w:hint="eastAsia"/>
                <w:color w:val="auto"/>
                <w:sz w:val="24"/>
                <w:u w:val="none" w:color="auto"/>
                <w:lang w:val="en-US" w:eastAsia="zh-CN"/>
              </w:rPr>
              <w:t>。</w:t>
            </w:r>
          </w:p>
          <w:p>
            <w:pPr>
              <w:snapToGrid w:val="0"/>
              <w:spacing w:line="360" w:lineRule="auto"/>
              <w:ind w:firstLine="462" w:firstLineChars="200"/>
              <w:rPr>
                <w:color w:val="auto"/>
                <w:sz w:val="24"/>
                <w:szCs w:val="24"/>
                <w:u w:val="none" w:color="auto"/>
              </w:rPr>
            </w:pPr>
            <w:r>
              <w:rPr>
                <w:rFonts w:hint="eastAsia"/>
                <w:color w:val="auto"/>
                <w:sz w:val="24"/>
                <w:u w:val="none" w:color="auto"/>
                <w:lang w:eastAsia="zh-CN"/>
              </w:rPr>
              <w:t>（</w:t>
            </w:r>
            <w:r>
              <w:rPr>
                <w:rFonts w:hint="eastAsia"/>
                <w:color w:val="auto"/>
                <w:sz w:val="24"/>
                <w:u w:val="none" w:color="auto"/>
                <w:lang w:val="en-US" w:eastAsia="zh-CN"/>
              </w:rPr>
              <w:t>4</w:t>
            </w:r>
            <w:r>
              <w:rPr>
                <w:rFonts w:hint="eastAsia"/>
                <w:color w:val="auto"/>
                <w:sz w:val="24"/>
                <w:u w:val="none" w:color="auto"/>
                <w:lang w:eastAsia="zh-CN"/>
              </w:rPr>
              <w:t>）</w:t>
            </w:r>
            <w:r>
              <w:rPr>
                <w:color w:val="auto"/>
                <w:sz w:val="24"/>
                <w:szCs w:val="24"/>
                <w:u w:val="none" w:color="auto"/>
              </w:rPr>
              <w:t>漆雾</w:t>
            </w:r>
            <w:r>
              <w:rPr>
                <w:rFonts w:hint="eastAsia"/>
                <w:color w:val="auto"/>
                <w:sz w:val="24"/>
                <w:szCs w:val="24"/>
                <w:u w:val="none" w:color="auto"/>
              </w:rPr>
              <w:t>、</w:t>
            </w:r>
            <w:r>
              <w:rPr>
                <w:color w:val="auto"/>
                <w:sz w:val="24"/>
                <w:szCs w:val="24"/>
                <w:u w:val="none" w:color="auto"/>
              </w:rPr>
              <w:t>有机废气</w:t>
            </w:r>
          </w:p>
          <w:p>
            <w:pPr>
              <w:spacing w:line="360" w:lineRule="auto"/>
              <w:ind w:firstLine="420"/>
              <w:rPr>
                <w:color w:val="auto"/>
                <w:sz w:val="24"/>
                <w:szCs w:val="24"/>
                <w:u w:val="none" w:color="auto"/>
              </w:rPr>
            </w:pPr>
            <w:r>
              <w:rPr>
                <w:rFonts w:hint="eastAsia"/>
                <w:color w:val="auto"/>
                <w:sz w:val="24"/>
                <w:szCs w:val="24"/>
                <w:u w:val="none" w:color="auto"/>
              </w:rPr>
              <w:t>漆料用量一览表</w:t>
            </w:r>
          </w:p>
          <w:p>
            <w:pPr>
              <w:pStyle w:val="33"/>
              <w:ind w:left="0" w:leftChars="0"/>
              <w:jc w:val="center"/>
              <w:rPr>
                <w:b/>
                <w:color w:val="auto"/>
                <w:sz w:val="24"/>
                <w:u w:val="none" w:color="auto"/>
              </w:rPr>
            </w:pPr>
            <w:r>
              <w:rPr>
                <w:b/>
                <w:color w:val="auto"/>
                <w:sz w:val="24"/>
                <w:u w:val="none" w:color="auto"/>
              </w:rPr>
              <w:t>表5-</w:t>
            </w:r>
            <w:r>
              <w:rPr>
                <w:rFonts w:hint="eastAsia"/>
                <w:b/>
                <w:color w:val="auto"/>
                <w:sz w:val="24"/>
                <w:u w:val="none" w:color="auto"/>
                <w:lang w:val="en-US" w:eastAsia="zh-CN"/>
              </w:rPr>
              <w:t>5</w:t>
            </w:r>
            <w:r>
              <w:rPr>
                <w:b/>
                <w:color w:val="auto"/>
                <w:sz w:val="24"/>
                <w:u w:val="none" w:color="auto"/>
              </w:rPr>
              <w:t xml:space="preserve">  漆料用量一览表</w:t>
            </w:r>
          </w:p>
          <w:tbl>
            <w:tblPr>
              <w:tblStyle w:val="40"/>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41"/>
              <w:gridCol w:w="42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841" w:type="dxa"/>
                  <w:tcBorders>
                    <w:tl2br w:val="nil"/>
                    <w:tr2bl w:val="nil"/>
                  </w:tcBorders>
                  <w:vAlign w:val="center"/>
                </w:tcPr>
                <w:p>
                  <w:pPr>
                    <w:spacing w:line="360" w:lineRule="auto"/>
                    <w:jc w:val="center"/>
                    <w:rPr>
                      <w:b/>
                      <w:color w:val="auto"/>
                      <w:u w:val="none" w:color="auto"/>
                    </w:rPr>
                  </w:pPr>
                  <w:r>
                    <w:rPr>
                      <w:b/>
                      <w:color w:val="auto"/>
                      <w:u w:val="none" w:color="auto"/>
                    </w:rPr>
                    <w:t>类别</w:t>
                  </w:r>
                </w:p>
              </w:tc>
              <w:tc>
                <w:tcPr>
                  <w:tcW w:w="4227" w:type="dxa"/>
                  <w:tcBorders>
                    <w:tl2br w:val="nil"/>
                    <w:tr2bl w:val="nil"/>
                  </w:tcBorders>
                  <w:vAlign w:val="center"/>
                </w:tcPr>
                <w:p>
                  <w:pPr>
                    <w:spacing w:line="360" w:lineRule="auto"/>
                    <w:jc w:val="center"/>
                    <w:rPr>
                      <w:b/>
                      <w:color w:val="auto"/>
                      <w:u w:val="none" w:color="auto"/>
                    </w:rPr>
                  </w:pPr>
                  <w:r>
                    <w:rPr>
                      <w:b/>
                      <w:color w:val="auto"/>
                      <w:u w:val="none" w:color="auto"/>
                    </w:rPr>
                    <w:t>本项目用量t/a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4841" w:type="dxa"/>
                  <w:tcBorders>
                    <w:tl2br w:val="nil"/>
                    <w:tr2bl w:val="nil"/>
                  </w:tcBorders>
                  <w:vAlign w:val="center"/>
                </w:tcPr>
                <w:p>
                  <w:pPr>
                    <w:spacing w:line="360" w:lineRule="auto"/>
                    <w:jc w:val="center"/>
                    <w:rPr>
                      <w:color w:val="auto"/>
                      <w:u w:val="none" w:color="auto"/>
                    </w:rPr>
                  </w:pPr>
                  <w:r>
                    <w:rPr>
                      <w:rFonts w:hint="eastAsia"/>
                      <w:color w:val="auto"/>
                      <w:u w:val="none" w:color="auto"/>
                    </w:rPr>
                    <w:t>水性</w:t>
                  </w:r>
                  <w:r>
                    <w:rPr>
                      <w:rFonts w:hint="eastAsia"/>
                      <w:color w:val="auto"/>
                      <w:u w:val="none" w:color="auto"/>
                      <w:lang w:eastAsia="zh-CN"/>
                    </w:rPr>
                    <w:t>油</w:t>
                  </w:r>
                  <w:r>
                    <w:rPr>
                      <w:rFonts w:hint="eastAsia"/>
                      <w:color w:val="auto"/>
                      <w:u w:val="none" w:color="auto"/>
                    </w:rPr>
                    <w:t>漆</w:t>
                  </w:r>
                </w:p>
              </w:tc>
              <w:tc>
                <w:tcPr>
                  <w:tcW w:w="4227" w:type="dxa"/>
                  <w:tcBorders>
                    <w:tl2br w:val="nil"/>
                    <w:tr2bl w:val="nil"/>
                  </w:tcBorders>
                  <w:vAlign w:val="center"/>
                </w:tcPr>
                <w:p>
                  <w:pPr>
                    <w:spacing w:line="360" w:lineRule="auto"/>
                    <w:jc w:val="center"/>
                    <w:rPr>
                      <w:rFonts w:hint="default" w:eastAsia="宋体"/>
                      <w:color w:val="auto"/>
                      <w:u w:val="none" w:color="auto"/>
                      <w:lang w:val="en-US" w:eastAsia="zh-CN"/>
                    </w:rPr>
                  </w:pPr>
                  <w:r>
                    <w:rPr>
                      <w:rFonts w:hint="eastAsia"/>
                      <w:color w:val="auto"/>
                      <w:u w:val="none" w:color="auto"/>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4841" w:type="dxa"/>
                  <w:tcBorders>
                    <w:tl2br w:val="nil"/>
                    <w:tr2bl w:val="nil"/>
                  </w:tcBorders>
                  <w:vAlign w:val="center"/>
                </w:tcPr>
                <w:p>
                  <w:pPr>
                    <w:spacing w:line="360" w:lineRule="auto"/>
                    <w:jc w:val="center"/>
                    <w:rPr>
                      <w:rFonts w:hint="eastAsia" w:eastAsia="宋体"/>
                      <w:color w:val="auto"/>
                      <w:u w:val="none" w:color="auto"/>
                      <w:lang w:eastAsia="zh-CN"/>
                    </w:rPr>
                  </w:pPr>
                  <w:r>
                    <w:rPr>
                      <w:rFonts w:hint="eastAsia"/>
                      <w:color w:val="auto"/>
                      <w:u w:val="none" w:color="auto"/>
                      <w:lang w:eastAsia="zh-CN"/>
                    </w:rPr>
                    <w:t>绝缘漆</w:t>
                  </w:r>
                </w:p>
              </w:tc>
              <w:tc>
                <w:tcPr>
                  <w:tcW w:w="4227" w:type="dxa"/>
                  <w:tcBorders>
                    <w:tl2br w:val="nil"/>
                    <w:tr2bl w:val="nil"/>
                  </w:tcBorders>
                  <w:vAlign w:val="center"/>
                </w:tcPr>
                <w:p>
                  <w:pPr>
                    <w:spacing w:line="360" w:lineRule="auto"/>
                    <w:jc w:val="center"/>
                    <w:rPr>
                      <w:rFonts w:hint="default"/>
                      <w:color w:val="auto"/>
                      <w:u w:val="none" w:color="auto"/>
                      <w:lang w:val="en-US" w:eastAsia="zh-CN"/>
                    </w:rPr>
                  </w:pPr>
                  <w:r>
                    <w:rPr>
                      <w:rFonts w:hint="eastAsia"/>
                      <w:color w:val="auto"/>
                      <w:u w:val="none" w:color="auto"/>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4841" w:type="dxa"/>
                  <w:tcBorders>
                    <w:tl2br w:val="nil"/>
                    <w:tr2bl w:val="nil"/>
                  </w:tcBorders>
                  <w:vAlign w:val="center"/>
                </w:tcPr>
                <w:p>
                  <w:pPr>
                    <w:spacing w:line="360" w:lineRule="auto"/>
                    <w:jc w:val="center"/>
                    <w:rPr>
                      <w:rFonts w:hint="eastAsia"/>
                      <w:color w:val="auto"/>
                      <w:u w:val="none" w:color="auto"/>
                      <w:lang w:eastAsia="zh-CN"/>
                    </w:rPr>
                  </w:pPr>
                  <w:r>
                    <w:rPr>
                      <w:rFonts w:hint="eastAsia"/>
                      <w:color w:val="auto"/>
                      <w:u w:val="none" w:color="auto"/>
                      <w:lang w:eastAsia="zh-CN"/>
                    </w:rPr>
                    <w:t>稀释剂</w:t>
                  </w:r>
                </w:p>
              </w:tc>
              <w:tc>
                <w:tcPr>
                  <w:tcW w:w="4227" w:type="dxa"/>
                  <w:tcBorders>
                    <w:tl2br w:val="nil"/>
                    <w:tr2bl w:val="nil"/>
                  </w:tcBorders>
                  <w:vAlign w:val="center"/>
                </w:tcPr>
                <w:p>
                  <w:pPr>
                    <w:spacing w:line="360" w:lineRule="auto"/>
                    <w:jc w:val="center"/>
                    <w:rPr>
                      <w:rFonts w:hint="default"/>
                      <w:color w:val="auto"/>
                      <w:u w:val="none" w:color="auto"/>
                      <w:lang w:val="en-US" w:eastAsia="zh-CN"/>
                    </w:rPr>
                  </w:pPr>
                  <w:r>
                    <w:rPr>
                      <w:rFonts w:hint="eastAsia"/>
                      <w:color w:val="auto"/>
                      <w:u w:val="none" w:color="auto"/>
                      <w:lang w:val="en-US" w:eastAsia="zh-CN"/>
                    </w:rPr>
                    <w:t>0.35</w:t>
                  </w:r>
                </w:p>
              </w:tc>
            </w:tr>
          </w:tbl>
          <w:p>
            <w:pPr>
              <w:pStyle w:val="172"/>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项目水性</w:t>
            </w:r>
            <w:r>
              <w:rPr>
                <w:rFonts w:hint="eastAsia" w:ascii="Times New Roman" w:hAnsi="Times New Roman" w:eastAsia="宋体" w:cs="Times New Roman"/>
                <w:color w:val="auto"/>
                <w:sz w:val="24"/>
                <w:szCs w:val="24"/>
                <w:u w:val="none" w:color="auto"/>
                <w:lang w:eastAsia="zh-CN"/>
              </w:rPr>
              <w:t>油</w:t>
            </w:r>
            <w:r>
              <w:rPr>
                <w:rFonts w:hint="default" w:ascii="Times New Roman" w:hAnsi="Times New Roman" w:eastAsia="宋体" w:cs="Times New Roman"/>
                <w:color w:val="auto"/>
                <w:sz w:val="24"/>
                <w:szCs w:val="24"/>
                <w:u w:val="none" w:color="auto"/>
              </w:rPr>
              <w:t>漆使用量为</w:t>
            </w:r>
            <w:r>
              <w:rPr>
                <w:rFonts w:hint="eastAsia" w:ascii="Times New Roman" w:hAnsi="Times New Roman" w:eastAsia="宋体" w:cs="Times New Roman"/>
                <w:color w:val="auto"/>
                <w:sz w:val="24"/>
                <w:szCs w:val="24"/>
                <w:u w:val="none" w:color="auto"/>
                <w:lang w:val="en-US" w:eastAsia="zh-CN"/>
              </w:rPr>
              <w:t>8</w:t>
            </w:r>
            <w:r>
              <w:rPr>
                <w:rFonts w:hint="default" w:ascii="Times New Roman" w:hAnsi="Times New Roman" w:eastAsia="宋体" w:cs="Times New Roman"/>
                <w:color w:val="auto"/>
                <w:sz w:val="24"/>
                <w:szCs w:val="24"/>
                <w:u w:val="none" w:color="auto"/>
              </w:rPr>
              <w:t>t/a，本项目水性漆可用水作为稀释剂。</w:t>
            </w:r>
          </w:p>
          <w:p>
            <w:pPr>
              <w:pStyle w:val="172"/>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喷漆车间在喷漆过程中产生的废气包含的主要污染因子为VOCs和颗粒物，其中颗粒物主要为漆雾。本项目废气处理设施处理范围包含整个喷漆车间。项目喷漆车间为密闭系统，设计最大漏风系数为</w:t>
            </w:r>
            <w:r>
              <w:rPr>
                <w:rFonts w:hint="eastAsia"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%，故可知本项目废气收集效率约为9</w:t>
            </w:r>
            <w:r>
              <w:rPr>
                <w:rFonts w:hint="eastAsia"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w:t>
            </w:r>
            <w:r>
              <w:rPr>
                <w:rFonts w:hint="eastAsia" w:cs="Times New Roman"/>
                <w:color w:val="auto"/>
                <w:sz w:val="24"/>
                <w:szCs w:val="24"/>
                <w:u w:val="none" w:color="auto"/>
                <w:lang w:eastAsia="zh-CN"/>
              </w:rPr>
              <w:t>，项目共设置了</w:t>
            </w:r>
            <w:r>
              <w:rPr>
                <w:rFonts w:hint="eastAsia" w:cs="Times New Roman"/>
                <w:color w:val="auto"/>
                <w:sz w:val="24"/>
                <w:szCs w:val="24"/>
                <w:u w:val="none" w:color="auto"/>
                <w:lang w:val="en-US" w:eastAsia="zh-CN"/>
              </w:rPr>
              <w:t>个喷漆房和1个喷涂流水线（包括了浸漆工序），其中喷漆房油漆使用量为7t/a，喷涂流水线水性油漆用量为1t/a，绝缘漆为1.5t/a，稀释剂为0.35t/a，喷涂流水线和喷漆房共用一套处理设备和经同一个排气筒排放</w:t>
            </w:r>
            <w:r>
              <w:rPr>
                <w:rFonts w:hint="default" w:ascii="Times New Roman" w:hAnsi="Times New Roman" w:eastAsia="宋体" w:cs="Times New Roman"/>
                <w:color w:val="auto"/>
                <w:sz w:val="24"/>
                <w:szCs w:val="24"/>
                <w:u w:val="none" w:color="auto"/>
              </w:rPr>
              <w:t>。</w:t>
            </w:r>
          </w:p>
          <w:p>
            <w:pPr>
              <w:pStyle w:val="172"/>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根据设计工件的上漆率约为90%；10%的油漆在喷漆房内因喷漆形成的颗粒物（主要为未被上漆的漆雾）。因此，本项目喷漆废气中漆雾产生量</w:t>
            </w:r>
            <w:r>
              <w:rPr>
                <w:rFonts w:hint="eastAsia" w:cs="Times New Roman"/>
                <w:color w:val="auto"/>
                <w:sz w:val="24"/>
                <w:szCs w:val="24"/>
                <w:u w:val="none" w:color="auto"/>
                <w:lang w:eastAsia="zh-CN"/>
              </w:rPr>
              <w:t>共</w:t>
            </w:r>
            <w:r>
              <w:rPr>
                <w:rFonts w:hint="default" w:ascii="Times New Roman" w:hAnsi="Times New Roman" w:eastAsia="宋体" w:cs="Times New Roman"/>
                <w:color w:val="auto"/>
                <w:sz w:val="24"/>
                <w:szCs w:val="24"/>
                <w:u w:val="none" w:color="auto"/>
              </w:rPr>
              <w:t>为</w:t>
            </w:r>
            <w:r>
              <w:rPr>
                <w:rFonts w:hint="eastAsia" w:ascii="Times New Roman" w:hAnsi="Times New Roman" w:eastAsia="宋体" w:cs="Times New Roman"/>
                <w:color w:val="auto"/>
                <w:sz w:val="24"/>
                <w:szCs w:val="24"/>
                <w:u w:val="none" w:color="auto"/>
                <w:lang w:val="en-US" w:eastAsia="zh-CN"/>
              </w:rPr>
              <w:t>0.8</w:t>
            </w:r>
            <w:r>
              <w:rPr>
                <w:rFonts w:hint="default" w:ascii="Times New Roman" w:hAnsi="Times New Roman" w:eastAsia="宋体" w:cs="Times New Roman"/>
                <w:color w:val="auto"/>
                <w:sz w:val="24"/>
                <w:szCs w:val="24"/>
                <w:u w:val="none" w:color="auto"/>
              </w:rPr>
              <w:t>t/a（</w:t>
            </w:r>
            <w:r>
              <w:rPr>
                <w:rFonts w:hint="eastAsia" w:ascii="Times New Roman" w:hAnsi="Times New Roman" w:eastAsia="宋体" w:cs="Times New Roman"/>
                <w:color w:val="auto"/>
                <w:sz w:val="24"/>
                <w:szCs w:val="24"/>
                <w:u w:val="none" w:color="auto"/>
                <w:lang w:val="en-US" w:eastAsia="zh-CN"/>
              </w:rPr>
              <w:t>0.</w:t>
            </w:r>
            <w:r>
              <w:rPr>
                <w:rFonts w:hint="eastAsia" w:cs="Times New Roman"/>
                <w:color w:val="auto"/>
                <w:sz w:val="24"/>
                <w:szCs w:val="24"/>
                <w:u w:val="none" w:color="auto"/>
                <w:lang w:val="en-US" w:eastAsia="zh-CN"/>
              </w:rPr>
              <w:t>667</w:t>
            </w:r>
            <w:r>
              <w:rPr>
                <w:rFonts w:hint="default" w:ascii="Times New Roman" w:hAnsi="Times New Roman" w:eastAsia="宋体" w:cs="Times New Roman"/>
                <w:color w:val="auto"/>
                <w:sz w:val="24"/>
                <w:szCs w:val="24"/>
                <w:u w:val="none" w:color="auto"/>
              </w:rPr>
              <w:t>kg/h）</w:t>
            </w:r>
            <w:r>
              <w:rPr>
                <w:rFonts w:hint="eastAsia" w:cs="Times New Roman"/>
                <w:color w:val="auto"/>
                <w:sz w:val="24"/>
                <w:szCs w:val="24"/>
                <w:u w:val="none" w:color="auto"/>
                <w:lang w:eastAsia="zh-CN"/>
              </w:rPr>
              <w:t>，其中</w:t>
            </w:r>
            <w:r>
              <w:rPr>
                <w:rFonts w:hint="eastAsia" w:cs="Times New Roman"/>
                <w:color w:val="auto"/>
                <w:sz w:val="24"/>
                <w:szCs w:val="24"/>
                <w:u w:val="none" w:color="auto"/>
                <w:lang w:val="en-US" w:eastAsia="zh-CN"/>
              </w:rPr>
              <w:t>喷漆房漆雾产生量均为</w:t>
            </w:r>
            <w:r>
              <w:rPr>
                <w:rFonts w:hint="eastAsia" w:ascii="Times New Roman" w:hAnsi="Times New Roman" w:eastAsia="宋体" w:cs="Times New Roman"/>
                <w:color w:val="auto"/>
                <w:sz w:val="24"/>
                <w:szCs w:val="24"/>
                <w:u w:val="none" w:color="auto"/>
                <w:lang w:val="en-US" w:eastAsia="zh-CN"/>
              </w:rPr>
              <w:t>0.</w:t>
            </w:r>
            <w:r>
              <w:rPr>
                <w:rFonts w:hint="eastAsia" w:cs="Times New Roman"/>
                <w:color w:val="auto"/>
                <w:sz w:val="24"/>
                <w:szCs w:val="24"/>
                <w:u w:val="none" w:color="auto"/>
                <w:lang w:val="en-US" w:eastAsia="zh-CN"/>
              </w:rPr>
              <w:t>7</w:t>
            </w:r>
            <w:r>
              <w:rPr>
                <w:rFonts w:hint="default" w:ascii="Times New Roman" w:hAnsi="Times New Roman" w:eastAsia="宋体" w:cs="Times New Roman"/>
                <w:color w:val="auto"/>
                <w:sz w:val="24"/>
                <w:szCs w:val="24"/>
                <w:u w:val="none" w:color="auto"/>
              </w:rPr>
              <w:t>t/a（</w:t>
            </w:r>
            <w:r>
              <w:rPr>
                <w:rFonts w:hint="eastAsia" w:cs="Times New Roman"/>
                <w:color w:val="auto"/>
                <w:sz w:val="24"/>
                <w:szCs w:val="24"/>
                <w:u w:val="none" w:color="auto"/>
                <w:lang w:val="en-US" w:eastAsia="zh-CN"/>
              </w:rPr>
              <w:t>0.583</w:t>
            </w:r>
            <w:r>
              <w:rPr>
                <w:rFonts w:hint="default" w:ascii="Times New Roman" w:hAnsi="Times New Roman" w:eastAsia="宋体" w:cs="Times New Roman"/>
                <w:color w:val="auto"/>
                <w:sz w:val="24"/>
                <w:szCs w:val="24"/>
                <w:u w:val="none" w:color="auto"/>
              </w:rPr>
              <w:t>kg/h）</w:t>
            </w:r>
            <w:r>
              <w:rPr>
                <w:rFonts w:hint="eastAsia" w:eastAsia="宋体" w:cs="Times New Roman"/>
                <w:color w:val="auto"/>
                <w:sz w:val="24"/>
                <w:szCs w:val="24"/>
                <w:u w:val="none" w:color="auto"/>
                <w:lang w:eastAsia="zh-CN"/>
              </w:rPr>
              <w:t>、</w:t>
            </w:r>
            <w:r>
              <w:rPr>
                <w:rFonts w:hint="eastAsia" w:cs="Times New Roman"/>
                <w:color w:val="auto"/>
                <w:sz w:val="24"/>
                <w:szCs w:val="24"/>
                <w:u w:val="none" w:color="auto"/>
                <w:lang w:val="en-US" w:eastAsia="zh-CN"/>
              </w:rPr>
              <w:t>喷涂流水线漆雾产生量均为</w:t>
            </w:r>
            <w:r>
              <w:rPr>
                <w:rFonts w:hint="eastAsia" w:ascii="Times New Roman" w:hAnsi="Times New Roman" w:eastAsia="宋体" w:cs="Times New Roman"/>
                <w:color w:val="auto"/>
                <w:sz w:val="24"/>
                <w:szCs w:val="24"/>
                <w:u w:val="none" w:color="auto"/>
                <w:lang w:val="en-US" w:eastAsia="zh-CN"/>
              </w:rPr>
              <w:t>0.</w:t>
            </w:r>
            <w:r>
              <w:rPr>
                <w:rFonts w:hint="eastAsia" w:eastAsia="宋体" w:cs="Times New Roman"/>
                <w:color w:val="auto"/>
                <w:sz w:val="24"/>
                <w:szCs w:val="24"/>
                <w:u w:val="none" w:color="auto"/>
                <w:lang w:val="en-US" w:eastAsia="zh-CN"/>
              </w:rPr>
              <w:t>1</w:t>
            </w:r>
            <w:r>
              <w:rPr>
                <w:rFonts w:hint="default" w:ascii="Times New Roman" w:hAnsi="Times New Roman" w:eastAsia="宋体" w:cs="Times New Roman"/>
                <w:color w:val="auto"/>
                <w:sz w:val="24"/>
                <w:szCs w:val="24"/>
                <w:u w:val="none" w:color="auto"/>
              </w:rPr>
              <w:t>t/a（</w:t>
            </w:r>
            <w:r>
              <w:rPr>
                <w:rFonts w:hint="eastAsia" w:ascii="Times New Roman" w:hAnsi="Times New Roman" w:eastAsia="宋体" w:cs="Times New Roman"/>
                <w:color w:val="auto"/>
                <w:sz w:val="24"/>
                <w:szCs w:val="24"/>
                <w:u w:val="none" w:color="auto"/>
                <w:lang w:val="en-US" w:eastAsia="zh-CN"/>
              </w:rPr>
              <w:t>0.</w:t>
            </w:r>
            <w:r>
              <w:rPr>
                <w:rFonts w:hint="eastAsia" w:eastAsia="宋体" w:cs="Times New Roman"/>
                <w:color w:val="auto"/>
                <w:sz w:val="24"/>
                <w:szCs w:val="24"/>
                <w:u w:val="none" w:color="auto"/>
                <w:lang w:val="en-US" w:eastAsia="zh-CN"/>
              </w:rPr>
              <w:t>167</w:t>
            </w:r>
            <w:r>
              <w:rPr>
                <w:rFonts w:hint="default" w:ascii="Times New Roman" w:hAnsi="Times New Roman" w:eastAsia="宋体" w:cs="Times New Roman"/>
                <w:color w:val="auto"/>
                <w:sz w:val="24"/>
                <w:szCs w:val="24"/>
                <w:u w:val="none" w:color="auto"/>
              </w:rPr>
              <w:t>kg/h）。</w:t>
            </w:r>
          </w:p>
          <w:p>
            <w:pPr>
              <w:pStyle w:val="172"/>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根据《湖南省制造业（工业涂装）VOCs排放量测算技术指南（试行）》（湖南省环境保护厅，2016.12）中方法1（物料衡算法）和参考表1进行测算，则本项目油漆涂装废气总产生量见下表。</w:t>
            </w:r>
          </w:p>
          <w:p>
            <w:pPr>
              <w:pStyle w:val="186"/>
              <w:rPr>
                <w:rFonts w:hint="eastAsia"/>
                <w:color w:val="auto"/>
                <w:u w:val="none" w:color="auto"/>
              </w:rPr>
            </w:pPr>
            <w:r>
              <w:rPr>
                <w:rFonts w:hint="eastAsia"/>
                <w:color w:val="auto"/>
                <w:u w:val="none" w:color="auto"/>
              </w:rPr>
              <w:t>表5-</w:t>
            </w:r>
            <w:r>
              <w:rPr>
                <w:rFonts w:hint="eastAsia"/>
                <w:color w:val="auto"/>
                <w:u w:val="none" w:color="auto"/>
                <w:lang w:val="en-US" w:eastAsia="zh-CN"/>
              </w:rPr>
              <w:t>6</w:t>
            </w:r>
            <w:r>
              <w:rPr>
                <w:rFonts w:hint="eastAsia"/>
                <w:color w:val="auto"/>
                <w:u w:val="none" w:color="auto"/>
              </w:rPr>
              <w:t xml:space="preserve">  物料中 VOC</w:t>
            </w:r>
            <w:r>
              <w:rPr>
                <w:rFonts w:hint="eastAsia"/>
                <w:color w:val="auto"/>
                <w:u w:val="none" w:color="auto"/>
                <w:vertAlign w:val="subscript"/>
              </w:rPr>
              <w:t>S</w:t>
            </w:r>
            <w:r>
              <w:rPr>
                <w:rFonts w:hint="eastAsia"/>
                <w:color w:val="auto"/>
                <w:u w:val="none" w:color="auto"/>
              </w:rPr>
              <w:t xml:space="preserve"> 含量</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67"/>
              <w:gridCol w:w="4214"/>
              <w:gridCol w:w="25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7"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行业类别</w:t>
                  </w:r>
                </w:p>
              </w:tc>
              <w:tc>
                <w:tcPr>
                  <w:tcW w:w="4214"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物料</w:t>
                  </w:r>
                </w:p>
              </w:tc>
              <w:tc>
                <w:tcPr>
                  <w:tcW w:w="2587"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 质量含量（%）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7" w:type="dxa"/>
                  <w:vMerge w:val="restart"/>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制造业通用系数</w:t>
                  </w:r>
                </w:p>
              </w:tc>
              <w:tc>
                <w:tcPr>
                  <w:tcW w:w="4214"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水性涂料</w:t>
                  </w:r>
                </w:p>
              </w:tc>
              <w:tc>
                <w:tcPr>
                  <w:tcW w:w="2587"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7" w:type="dxa"/>
                  <w:vMerge w:val="continue"/>
                  <w:noWrap w:val="0"/>
                  <w:vAlign w:val="center"/>
                </w:tcPr>
                <w:p>
                  <w:pPr>
                    <w:pStyle w:val="184"/>
                    <w:spacing w:line="360" w:lineRule="auto"/>
                    <w:rPr>
                      <w:rFonts w:hint="default" w:ascii="Times New Roman" w:hAnsi="Times New Roman" w:cs="Times New Roman"/>
                      <w:color w:val="auto"/>
                      <w:sz w:val="22"/>
                      <w:szCs w:val="22"/>
                      <w:u w:val="none" w:color="auto"/>
                    </w:rPr>
                  </w:pPr>
                </w:p>
              </w:tc>
              <w:tc>
                <w:tcPr>
                  <w:tcW w:w="4214" w:type="dxa"/>
                  <w:noWrap w:val="0"/>
                  <w:vAlign w:val="center"/>
                </w:tcPr>
                <w:p>
                  <w:pPr>
                    <w:pStyle w:val="184"/>
                    <w:rPr>
                      <w:rFonts w:hint="default" w:ascii="Times New Roman" w:hAnsi="Times New Roman" w:cs="Times New Roman"/>
                      <w:color w:val="auto"/>
                      <w:sz w:val="22"/>
                      <w:szCs w:val="22"/>
                      <w:u w:val="none" w:color="auto"/>
                    </w:rPr>
                  </w:pPr>
                  <w:r>
                    <w:rPr>
                      <w:rFonts w:hint="eastAsia"/>
                      <w:color w:val="auto"/>
                      <w:u w:val="none" w:color="auto"/>
                    </w:rPr>
                    <w:t>溶剂型涂料</w:t>
                  </w:r>
                </w:p>
              </w:tc>
              <w:tc>
                <w:tcPr>
                  <w:tcW w:w="2587" w:type="dxa"/>
                  <w:noWrap w:val="0"/>
                  <w:vAlign w:val="center"/>
                </w:tcPr>
                <w:p>
                  <w:pPr>
                    <w:pStyle w:val="184"/>
                    <w:rPr>
                      <w:rFonts w:hint="default" w:ascii="Times New Roman" w:hAnsi="Times New Roman" w:cs="Times New Roman"/>
                      <w:color w:val="auto"/>
                      <w:sz w:val="22"/>
                      <w:szCs w:val="22"/>
                      <w:u w:val="none" w:color="auto"/>
                    </w:rPr>
                  </w:pPr>
                  <w:r>
                    <w:rPr>
                      <w:rFonts w:hint="eastAsia"/>
                      <w:color w:val="auto"/>
                      <w:u w:val="none" w:color="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7" w:type="dxa"/>
                  <w:vMerge w:val="continue"/>
                  <w:noWrap w:val="0"/>
                  <w:vAlign w:val="center"/>
                </w:tcPr>
                <w:p>
                  <w:pPr>
                    <w:pStyle w:val="184"/>
                    <w:spacing w:line="360" w:lineRule="auto"/>
                    <w:rPr>
                      <w:rFonts w:hint="default" w:ascii="Times New Roman" w:hAnsi="Times New Roman" w:cs="Times New Roman"/>
                      <w:color w:val="auto"/>
                      <w:sz w:val="22"/>
                      <w:szCs w:val="22"/>
                      <w:u w:val="none" w:color="auto"/>
                    </w:rPr>
                  </w:pPr>
                </w:p>
              </w:tc>
              <w:tc>
                <w:tcPr>
                  <w:tcW w:w="4214" w:type="dxa"/>
                  <w:noWrap w:val="0"/>
                  <w:vAlign w:val="center"/>
                </w:tcPr>
                <w:p>
                  <w:pPr>
                    <w:pStyle w:val="184"/>
                    <w:rPr>
                      <w:rFonts w:hint="eastAsia"/>
                      <w:color w:val="auto"/>
                      <w:u w:val="none" w:color="auto"/>
                    </w:rPr>
                  </w:pPr>
                  <w:r>
                    <w:rPr>
                      <w:color w:val="auto"/>
                      <w:u w:val="none" w:color="auto"/>
                    </w:rPr>
                    <w:t>稀释剂</w:t>
                  </w:r>
                </w:p>
              </w:tc>
              <w:tc>
                <w:tcPr>
                  <w:tcW w:w="2587" w:type="dxa"/>
                  <w:noWrap w:val="0"/>
                  <w:vAlign w:val="center"/>
                </w:tcPr>
                <w:p>
                  <w:pPr>
                    <w:pStyle w:val="184"/>
                    <w:rPr>
                      <w:rFonts w:hint="eastAsia"/>
                      <w:color w:val="auto"/>
                      <w:u w:val="none" w:color="auto"/>
                    </w:rPr>
                  </w:pPr>
                  <w:r>
                    <w:rPr>
                      <w:rFonts w:hint="eastAsia"/>
                      <w:color w:val="auto"/>
                      <w:u w:val="none" w:color="auto"/>
                    </w:rPr>
                    <w:t>100</w:t>
                  </w:r>
                </w:p>
              </w:tc>
            </w:tr>
          </w:tbl>
          <w:p>
            <w:pPr>
              <w:pStyle w:val="172"/>
              <w:spacing w:line="240" w:lineRule="auto"/>
              <w:ind w:firstLine="0" w:firstLineChars="0"/>
              <w:rPr>
                <w:rFonts w:hint="eastAsia" w:eastAsia="宋体"/>
                <w:color w:val="auto"/>
                <w:sz w:val="21"/>
                <w:szCs w:val="21"/>
                <w:u w:val="none" w:color="auto"/>
                <w:lang w:eastAsia="zh-CN"/>
              </w:rPr>
            </w:pPr>
            <w:r>
              <w:rPr>
                <w:color w:val="auto"/>
                <w:sz w:val="21"/>
                <w:szCs w:val="21"/>
                <w:u w:val="none" w:color="auto"/>
              </w:rPr>
              <w:t>注：源于《湖南省制造业（工业涂装）VOCs排放量测算技术指南（试行）》（湖南省环境保护厅，2016.12）中方法1表1。</w:t>
            </w:r>
          </w:p>
          <w:p>
            <w:pPr>
              <w:pStyle w:val="186"/>
              <w:rPr>
                <w:rFonts w:hint="eastAsia"/>
                <w:color w:val="auto"/>
                <w:u w:val="none" w:color="auto"/>
              </w:rPr>
            </w:pPr>
            <w:r>
              <w:rPr>
                <w:rFonts w:hint="eastAsia"/>
                <w:color w:val="auto"/>
                <w:u w:val="none" w:color="auto"/>
              </w:rPr>
              <w:t>表5-</w:t>
            </w:r>
            <w:r>
              <w:rPr>
                <w:rFonts w:hint="eastAsia"/>
                <w:color w:val="auto"/>
                <w:u w:val="none" w:color="auto"/>
                <w:lang w:val="en-US" w:eastAsia="zh-CN"/>
              </w:rPr>
              <w:t>7</w:t>
            </w:r>
            <w:r>
              <w:rPr>
                <w:rFonts w:hint="eastAsia"/>
                <w:color w:val="auto"/>
                <w:u w:val="none" w:color="auto"/>
              </w:rPr>
              <w:t xml:space="preserve">  项目油漆废气污染物产生量一览表</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0"/>
              <w:gridCol w:w="1989"/>
              <w:gridCol w:w="1598"/>
              <w:gridCol w:w="2505"/>
              <w:gridCol w:w="21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830"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序号</w:t>
                  </w:r>
                </w:p>
              </w:tc>
              <w:tc>
                <w:tcPr>
                  <w:tcW w:w="1989"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污染物</w:t>
                  </w:r>
                </w:p>
              </w:tc>
              <w:tc>
                <w:tcPr>
                  <w:tcW w:w="1598"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使用量（t/a）</w:t>
                  </w:r>
                </w:p>
              </w:tc>
              <w:tc>
                <w:tcPr>
                  <w:tcW w:w="2505"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VOCs 质量含量（%）</w:t>
                  </w:r>
                </w:p>
              </w:tc>
              <w:tc>
                <w:tcPr>
                  <w:tcW w:w="2146"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VOCs产生量（t/a）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30"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val="en-US" w:eastAsia="zh-CN"/>
                    </w:rPr>
                    <w:t>1</w:t>
                  </w:r>
                </w:p>
              </w:tc>
              <w:tc>
                <w:tcPr>
                  <w:tcW w:w="1989"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rPr>
                    <w:t>水性油漆</w:t>
                  </w:r>
                  <w:r>
                    <w:rPr>
                      <w:rFonts w:hint="eastAsia"/>
                      <w:color w:val="auto"/>
                      <w:sz w:val="22"/>
                      <w:szCs w:val="22"/>
                      <w:u w:val="none" w:color="auto"/>
                      <w:lang w:eastAsia="zh-CN"/>
                    </w:rPr>
                    <w:t>（</w:t>
                  </w:r>
                  <w:r>
                    <w:rPr>
                      <w:rFonts w:hint="eastAsia"/>
                      <w:color w:val="auto"/>
                      <w:sz w:val="22"/>
                      <w:szCs w:val="22"/>
                      <w:u w:val="none" w:color="auto"/>
                      <w:lang w:val="en-US" w:eastAsia="zh-CN"/>
                    </w:rPr>
                    <w:t>喷漆房</w:t>
                  </w:r>
                  <w:r>
                    <w:rPr>
                      <w:rFonts w:hint="eastAsia"/>
                      <w:color w:val="auto"/>
                      <w:sz w:val="22"/>
                      <w:szCs w:val="22"/>
                      <w:u w:val="none" w:color="auto"/>
                      <w:lang w:eastAsia="zh-CN"/>
                    </w:rPr>
                    <w:t>）</w:t>
                  </w:r>
                </w:p>
              </w:tc>
              <w:tc>
                <w:tcPr>
                  <w:tcW w:w="1598"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7</w:t>
                  </w:r>
                </w:p>
              </w:tc>
              <w:tc>
                <w:tcPr>
                  <w:tcW w:w="2505" w:type="dxa"/>
                  <w:tcBorders>
                    <w:tl2br w:val="nil"/>
                    <w:tr2bl w:val="nil"/>
                  </w:tcBorders>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15</w:t>
                  </w:r>
                </w:p>
              </w:tc>
              <w:tc>
                <w:tcPr>
                  <w:tcW w:w="2146"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1.05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830"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2</w:t>
                  </w:r>
                </w:p>
              </w:tc>
              <w:tc>
                <w:tcPr>
                  <w:tcW w:w="1989" w:type="dxa"/>
                  <w:tcBorders>
                    <w:tl2br w:val="nil"/>
                    <w:tr2bl w:val="nil"/>
                  </w:tcBorders>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水性油漆</w:t>
                  </w:r>
                  <w:r>
                    <w:rPr>
                      <w:rFonts w:hint="eastAsia"/>
                      <w:color w:val="auto"/>
                      <w:sz w:val="22"/>
                      <w:szCs w:val="22"/>
                      <w:u w:val="none" w:color="auto"/>
                      <w:lang w:eastAsia="zh-CN"/>
                    </w:rPr>
                    <w:t>（</w:t>
                  </w:r>
                  <w:r>
                    <w:rPr>
                      <w:rFonts w:hint="eastAsia"/>
                      <w:color w:val="auto"/>
                      <w:sz w:val="22"/>
                      <w:szCs w:val="22"/>
                      <w:u w:val="none" w:color="auto"/>
                      <w:lang w:val="en-US" w:eastAsia="zh-CN"/>
                    </w:rPr>
                    <w:t>喷涂流水线</w:t>
                  </w:r>
                  <w:r>
                    <w:rPr>
                      <w:rFonts w:hint="eastAsia"/>
                      <w:color w:val="auto"/>
                      <w:sz w:val="22"/>
                      <w:szCs w:val="22"/>
                      <w:u w:val="none" w:color="auto"/>
                      <w:lang w:eastAsia="zh-CN"/>
                    </w:rPr>
                    <w:t>）</w:t>
                  </w:r>
                </w:p>
              </w:tc>
              <w:tc>
                <w:tcPr>
                  <w:tcW w:w="1598"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1</w:t>
                  </w:r>
                </w:p>
              </w:tc>
              <w:tc>
                <w:tcPr>
                  <w:tcW w:w="2505" w:type="dxa"/>
                  <w:tcBorders>
                    <w:tl2br w:val="nil"/>
                    <w:tr2bl w:val="nil"/>
                  </w:tcBorders>
                  <w:noWrap w:val="0"/>
                  <w:vAlign w:val="center"/>
                </w:tcPr>
                <w:p>
                  <w:pPr>
                    <w:pStyle w:val="184"/>
                    <w:spacing w:line="360" w:lineRule="auto"/>
                    <w:rPr>
                      <w:rFonts w:hint="eastAsia"/>
                      <w:color w:val="auto"/>
                      <w:sz w:val="22"/>
                      <w:szCs w:val="22"/>
                      <w:u w:val="none" w:color="auto"/>
                    </w:rPr>
                  </w:pPr>
                  <w:r>
                    <w:rPr>
                      <w:rFonts w:hint="eastAsia"/>
                      <w:color w:val="auto"/>
                      <w:sz w:val="22"/>
                      <w:szCs w:val="22"/>
                      <w:u w:val="none" w:color="auto"/>
                    </w:rPr>
                    <w:t>15</w:t>
                  </w:r>
                </w:p>
              </w:tc>
              <w:tc>
                <w:tcPr>
                  <w:tcW w:w="2146"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830"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3</w:t>
                  </w:r>
                </w:p>
              </w:tc>
              <w:tc>
                <w:tcPr>
                  <w:tcW w:w="1989"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eastAsia="zh-CN"/>
                    </w:rPr>
                    <w:t>绝缘浸渍漆</w:t>
                  </w:r>
                </w:p>
              </w:tc>
              <w:tc>
                <w:tcPr>
                  <w:tcW w:w="159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1.5</w:t>
                  </w:r>
                </w:p>
              </w:tc>
              <w:tc>
                <w:tcPr>
                  <w:tcW w:w="2505"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80</w:t>
                  </w:r>
                </w:p>
              </w:tc>
              <w:tc>
                <w:tcPr>
                  <w:tcW w:w="2146"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830"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4</w:t>
                  </w:r>
                </w:p>
              </w:tc>
              <w:tc>
                <w:tcPr>
                  <w:tcW w:w="1989"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稀释剂</w:t>
                  </w:r>
                </w:p>
              </w:tc>
              <w:tc>
                <w:tcPr>
                  <w:tcW w:w="159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0.35</w:t>
                  </w:r>
                </w:p>
              </w:tc>
              <w:tc>
                <w:tcPr>
                  <w:tcW w:w="2505"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100</w:t>
                  </w:r>
                </w:p>
              </w:tc>
              <w:tc>
                <w:tcPr>
                  <w:tcW w:w="2146"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0.35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2" w:type="dxa"/>
                  <w:gridSpan w:val="4"/>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合计</w:t>
                  </w:r>
                </w:p>
              </w:tc>
              <w:tc>
                <w:tcPr>
                  <w:tcW w:w="2146"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2.75</w:t>
                  </w:r>
                </w:p>
              </w:tc>
            </w:tr>
          </w:tbl>
          <w:p>
            <w:pPr>
              <w:pStyle w:val="172"/>
              <w:spacing w:line="360" w:lineRule="auto"/>
              <w:ind w:firstLine="480"/>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注：绝缘漆参照</w:t>
            </w:r>
            <w:r>
              <w:rPr>
                <w:rFonts w:hint="eastAsia"/>
                <w:color w:val="auto"/>
                <w:sz w:val="22"/>
                <w:szCs w:val="22"/>
                <w:u w:val="none" w:color="auto"/>
              </w:rPr>
              <w:t>溶剂型涂料</w:t>
            </w:r>
            <w:r>
              <w:rPr>
                <w:rFonts w:hint="eastAsia"/>
                <w:color w:val="auto"/>
                <w:sz w:val="22"/>
                <w:szCs w:val="22"/>
                <w:u w:val="none" w:color="auto"/>
                <w:lang w:eastAsia="zh-CN"/>
              </w:rPr>
              <w:t>计算。</w:t>
            </w:r>
          </w:p>
          <w:p>
            <w:pPr>
              <w:pStyle w:val="172"/>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根据上表得知，本项目废气VOCs产生量约</w:t>
            </w:r>
            <w:r>
              <w:rPr>
                <w:rFonts w:hint="eastAsia" w:cs="Times New Roman"/>
                <w:color w:val="auto"/>
                <w:sz w:val="24"/>
                <w:szCs w:val="24"/>
                <w:u w:val="none" w:color="auto"/>
                <w:lang w:val="en-US" w:eastAsia="zh-CN"/>
              </w:rPr>
              <w:t>2.75</w:t>
            </w:r>
            <w:r>
              <w:rPr>
                <w:rFonts w:hint="default" w:ascii="Times New Roman" w:hAnsi="Times New Roman" w:eastAsia="宋体" w:cs="Times New Roman"/>
                <w:color w:val="auto"/>
                <w:sz w:val="24"/>
                <w:szCs w:val="24"/>
                <w:u w:val="none" w:color="auto"/>
              </w:rPr>
              <w:t>t/a。</w:t>
            </w:r>
          </w:p>
          <w:p>
            <w:pPr>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废气（漆雾、VOCs）经过</w:t>
            </w:r>
            <w:r>
              <w:rPr>
                <w:rFonts w:hint="eastAsia" w:cs="Times New Roman"/>
                <w:bCs/>
                <w:color w:val="auto"/>
                <w:sz w:val="24"/>
                <w:szCs w:val="24"/>
                <w:u w:val="none" w:color="auto"/>
                <w:lang w:eastAsia="zh-CN"/>
              </w:rPr>
              <w:t>水帘</w:t>
            </w:r>
            <w:r>
              <w:rPr>
                <w:rFonts w:hint="default" w:ascii="Times New Roman" w:hAnsi="Times New Roman" w:eastAsia="宋体" w:cs="Times New Roman"/>
                <w:bCs/>
                <w:color w:val="auto"/>
                <w:sz w:val="24"/>
                <w:szCs w:val="24"/>
                <w:u w:val="none" w:color="auto"/>
              </w:rPr>
              <w:t>装置</w:t>
            </w:r>
            <w:r>
              <w:rPr>
                <w:rFonts w:hint="eastAsia" w:cs="Times New Roman"/>
                <w:bCs/>
                <w:color w:val="auto"/>
                <w:sz w:val="24"/>
                <w:szCs w:val="24"/>
                <w:u w:val="none" w:color="auto"/>
                <w:lang w:eastAsia="zh-CN"/>
              </w:rPr>
              <w:t>处理</w:t>
            </w:r>
            <w:r>
              <w:rPr>
                <w:rFonts w:hint="default" w:ascii="Times New Roman" w:hAnsi="Times New Roman" w:eastAsia="宋体" w:cs="Times New Roman"/>
                <w:bCs/>
                <w:color w:val="auto"/>
                <w:sz w:val="24"/>
                <w:szCs w:val="24"/>
                <w:u w:val="none" w:color="auto"/>
              </w:rPr>
              <w:t>后，其中极大部分漆</w:t>
            </w:r>
            <w:r>
              <w:rPr>
                <w:rFonts w:hint="eastAsia" w:cs="Times New Roman"/>
                <w:bCs/>
                <w:color w:val="auto"/>
                <w:sz w:val="24"/>
                <w:szCs w:val="24"/>
                <w:u w:val="none" w:color="auto"/>
                <w:lang w:eastAsia="zh-CN"/>
              </w:rPr>
              <w:t>雾</w:t>
            </w:r>
            <w:r>
              <w:rPr>
                <w:rFonts w:hint="default" w:ascii="Times New Roman" w:hAnsi="Times New Roman" w:eastAsia="宋体" w:cs="Times New Roman"/>
                <w:bCs/>
                <w:color w:val="auto"/>
                <w:sz w:val="24"/>
                <w:szCs w:val="24"/>
                <w:u w:val="none" w:color="auto"/>
              </w:rPr>
              <w:t>吸附沉淀为</w:t>
            </w:r>
            <w:r>
              <w:rPr>
                <w:rFonts w:hint="eastAsia" w:cs="Times New Roman"/>
                <w:bCs/>
                <w:color w:val="auto"/>
                <w:sz w:val="24"/>
                <w:szCs w:val="24"/>
                <w:u w:val="none" w:color="auto"/>
                <w:lang w:eastAsia="zh-CN"/>
              </w:rPr>
              <w:t>沉</w:t>
            </w:r>
            <w:r>
              <w:rPr>
                <w:rFonts w:hint="default" w:ascii="Times New Roman" w:hAnsi="Times New Roman" w:eastAsia="宋体" w:cs="Times New Roman"/>
                <w:bCs/>
                <w:color w:val="auto"/>
                <w:sz w:val="24"/>
                <w:szCs w:val="24"/>
                <w:u w:val="none" w:color="auto"/>
              </w:rPr>
              <w:t>渣（漆雾处理效率为90</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bCs/>
                <w:color w:val="auto"/>
                <w:sz w:val="24"/>
                <w:szCs w:val="24"/>
                <w:u w:val="none" w:color="auto"/>
              </w:rPr>
              <w:t>）。在将废气</w:t>
            </w:r>
            <w:r>
              <w:rPr>
                <w:rFonts w:hint="default" w:ascii="Times New Roman" w:hAnsi="Times New Roman" w:eastAsia="宋体" w:cs="Times New Roman"/>
                <w:color w:val="auto"/>
                <w:sz w:val="24"/>
                <w:szCs w:val="24"/>
                <w:u w:val="none" w:color="auto"/>
              </w:rPr>
              <w:t>引入</w:t>
            </w:r>
            <w:r>
              <w:rPr>
                <w:rFonts w:hint="eastAsia" w:ascii="Times New Roman" w:hAnsi="Times New Roman" w:eastAsia="宋体" w:cs="Times New Roman"/>
                <w:color w:val="auto"/>
                <w:sz w:val="24"/>
                <w:szCs w:val="24"/>
                <w:u w:val="none" w:color="auto"/>
                <w:lang w:eastAsia="zh-CN"/>
              </w:rPr>
              <w:t>活性炭吸附装置</w:t>
            </w:r>
            <w:r>
              <w:rPr>
                <w:rFonts w:hint="eastAsia" w:cs="Times New Roman"/>
                <w:color w:val="auto"/>
                <w:sz w:val="24"/>
                <w:szCs w:val="24"/>
                <w:u w:val="none" w:color="auto"/>
                <w:lang w:val="en-US" w:eastAsia="zh-CN"/>
              </w:rPr>
              <w:t>+UV光解设施</w:t>
            </w:r>
            <w:r>
              <w:rPr>
                <w:rFonts w:hint="default" w:ascii="Times New Roman" w:hAnsi="Times New Roman" w:eastAsia="宋体" w:cs="Times New Roman"/>
                <w:color w:val="auto"/>
                <w:sz w:val="24"/>
                <w:szCs w:val="24"/>
                <w:u w:val="none" w:color="auto"/>
              </w:rPr>
              <w:t>，其对VOCs的</w:t>
            </w:r>
            <w:r>
              <w:rPr>
                <w:rFonts w:hint="eastAsia" w:ascii="Times New Roman" w:hAnsi="Times New Roman" w:eastAsia="宋体" w:cs="Times New Roman"/>
                <w:color w:val="auto"/>
                <w:sz w:val="24"/>
                <w:szCs w:val="24"/>
                <w:u w:val="none" w:color="auto"/>
                <w:lang w:eastAsia="zh-CN"/>
              </w:rPr>
              <w:t>吸附</w:t>
            </w:r>
            <w:r>
              <w:rPr>
                <w:rFonts w:hint="eastAsia" w:cs="Times New Roman"/>
                <w:color w:val="auto"/>
                <w:sz w:val="24"/>
                <w:szCs w:val="24"/>
                <w:u w:val="none" w:color="auto"/>
                <w:lang w:eastAsia="zh-CN"/>
              </w:rPr>
              <w:t>处理</w:t>
            </w:r>
            <w:r>
              <w:rPr>
                <w:rFonts w:hint="default" w:ascii="Times New Roman" w:hAnsi="Times New Roman" w:eastAsia="宋体" w:cs="Times New Roman"/>
                <w:color w:val="auto"/>
                <w:sz w:val="24"/>
                <w:szCs w:val="24"/>
                <w:u w:val="none" w:color="auto"/>
              </w:rPr>
              <w:t>效率均为</w:t>
            </w:r>
            <w:r>
              <w:rPr>
                <w:rFonts w:hint="eastAsia" w:ascii="Times New Roman" w:hAnsi="Times New Roman" w:eastAsia="宋体" w:cs="Times New Roman"/>
                <w:color w:val="auto"/>
                <w:sz w:val="24"/>
                <w:szCs w:val="24"/>
                <w:u w:val="none" w:color="auto"/>
                <w:lang w:val="en-US" w:eastAsia="zh-CN"/>
              </w:rPr>
              <w:t>8</w:t>
            </w:r>
            <w:r>
              <w:rPr>
                <w:rFonts w:hint="default" w:ascii="Times New Roman" w:hAnsi="Times New Roman" w:eastAsia="宋体" w:cs="Times New Roman"/>
                <w:color w:val="auto"/>
                <w:sz w:val="24"/>
                <w:szCs w:val="24"/>
                <w:u w:val="none" w:color="auto"/>
              </w:rPr>
              <w:t>0%</w:t>
            </w:r>
            <w:r>
              <w:rPr>
                <w:rFonts w:hint="eastAsia" w:cs="Times New Roman"/>
                <w:color w:val="auto"/>
                <w:sz w:val="24"/>
                <w:szCs w:val="24"/>
                <w:u w:val="none" w:color="auto"/>
                <w:lang w:eastAsia="zh-CN"/>
              </w:rPr>
              <w:t>，喷漆房废气和喷涂流水线废气收集后一同经水帘</w:t>
            </w:r>
            <w:r>
              <w:rPr>
                <w:rFonts w:hint="eastAsia" w:cs="Times New Roman"/>
                <w:color w:val="auto"/>
                <w:sz w:val="24"/>
                <w:szCs w:val="24"/>
                <w:u w:val="none" w:color="auto"/>
                <w:lang w:val="en-US" w:eastAsia="zh-CN"/>
              </w:rPr>
              <w:t>+</w:t>
            </w:r>
            <w:r>
              <w:rPr>
                <w:rFonts w:hint="eastAsia" w:ascii="Times New Roman" w:hAnsi="Times New Roman" w:eastAsia="宋体" w:cs="Times New Roman"/>
                <w:color w:val="auto"/>
                <w:sz w:val="24"/>
                <w:szCs w:val="24"/>
                <w:u w:val="none" w:color="auto"/>
                <w:lang w:eastAsia="zh-CN"/>
              </w:rPr>
              <w:t>活性炭吸附装置</w:t>
            </w:r>
            <w:r>
              <w:rPr>
                <w:rFonts w:hint="eastAsia" w:cs="Times New Roman"/>
                <w:color w:val="auto"/>
                <w:sz w:val="24"/>
                <w:szCs w:val="24"/>
                <w:u w:val="none" w:color="auto"/>
                <w:lang w:val="en-US" w:eastAsia="zh-CN"/>
              </w:rPr>
              <w:t>+UV光解设施处理后由15m高排气筒排放（</w:t>
            </w:r>
            <w:r>
              <w:rPr>
                <w:rFonts w:hint="eastAsia" w:cs="Times New Roman"/>
                <w:bCs/>
                <w:color w:val="auto"/>
                <w:sz w:val="24"/>
                <w:szCs w:val="24"/>
                <w:u w:val="none" w:color="auto"/>
                <w:lang w:val="en-US" w:eastAsia="zh-CN"/>
              </w:rPr>
              <w:t>G3</w:t>
            </w:r>
            <w:r>
              <w:rPr>
                <w:rFonts w:hint="eastAsia" w:cs="Times New Roman"/>
                <w:color w:val="auto"/>
                <w:sz w:val="24"/>
                <w:szCs w:val="24"/>
                <w:u w:val="none" w:color="auto"/>
                <w:lang w:val="en-US" w:eastAsia="zh-CN"/>
              </w:rPr>
              <w:t>）</w:t>
            </w:r>
            <w:r>
              <w:rPr>
                <w:rFonts w:hint="eastAsia"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设计风机总风量为</w:t>
            </w:r>
            <w:r>
              <w:rPr>
                <w:rFonts w:hint="eastAsia" w:cs="Times New Roman"/>
                <w:color w:val="auto"/>
                <w:sz w:val="24"/>
                <w:szCs w:val="24"/>
                <w:u w:val="none" w:color="auto"/>
                <w:lang w:val="en-US" w:eastAsia="zh-CN"/>
              </w:rPr>
              <w:t>1</w:t>
            </w:r>
            <w:r>
              <w:rPr>
                <w:rFonts w:hint="default" w:ascii="Times New Roman" w:hAnsi="Times New Roman" w:eastAsia="宋体" w:cs="Times New Roman"/>
                <w:color w:val="auto"/>
                <w:sz w:val="24"/>
                <w:szCs w:val="24"/>
                <w:u w:val="none" w:color="auto"/>
              </w:rPr>
              <w:t>0000m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/h。</w:t>
            </w:r>
            <w:r>
              <w:rPr>
                <w:rFonts w:hint="eastAsia" w:cs="Times New Roman"/>
                <w:color w:val="auto"/>
                <w:sz w:val="24"/>
                <w:szCs w:val="24"/>
                <w:u w:val="none" w:color="auto"/>
                <w:lang w:eastAsia="zh-CN"/>
              </w:rPr>
              <w:t>项目有机废气量为</w:t>
            </w:r>
            <w:r>
              <w:rPr>
                <w:rFonts w:hint="eastAsia" w:cs="Times New Roman"/>
                <w:color w:val="auto"/>
                <w:sz w:val="24"/>
                <w:szCs w:val="24"/>
                <w:u w:val="none" w:color="auto"/>
                <w:lang w:val="en-US" w:eastAsia="zh-CN"/>
              </w:rPr>
              <w:t>2.75t/a（2.29kg/h），漆雾产生量为0.8t/a（0.667kg/h），运行时间为1200h/a，处理前有机废气排放浓度为229</w:t>
            </w:r>
            <w:r>
              <w:rPr>
                <w:rFonts w:hint="default" w:ascii="Times New Roman" w:hAnsi="Times New Roman" w:eastAsia="宋体" w:cs="Times New Roman"/>
                <w:color w:val="auto"/>
                <w:sz w:val="24"/>
                <w:szCs w:val="24"/>
                <w:u w:val="none" w:color="auto"/>
              </w:rPr>
              <w:t>mg/m</w:t>
            </w:r>
            <w:r>
              <w:rPr>
                <w:rFonts w:hint="default" w:ascii="Times New Roman" w:hAnsi="Times New Roman" w:eastAsia="宋体" w:cs="Times New Roman"/>
                <w:color w:val="auto"/>
                <w:sz w:val="24"/>
                <w:szCs w:val="24"/>
                <w:u w:val="none" w:color="auto"/>
                <w:vertAlign w:val="superscript"/>
              </w:rPr>
              <w:t>3</w:t>
            </w:r>
            <w:r>
              <w:rPr>
                <w:rFonts w:hint="eastAsia" w:cs="Times New Roman"/>
                <w:color w:val="auto"/>
                <w:sz w:val="24"/>
                <w:szCs w:val="24"/>
                <w:u w:val="none" w:color="auto"/>
                <w:lang w:eastAsia="zh-CN"/>
              </w:rPr>
              <w:t>、漆雾排放浓度为</w:t>
            </w:r>
            <w:r>
              <w:rPr>
                <w:rFonts w:hint="eastAsia" w:cs="Times New Roman"/>
                <w:color w:val="auto"/>
                <w:sz w:val="24"/>
                <w:szCs w:val="24"/>
                <w:u w:val="none" w:color="auto"/>
                <w:lang w:val="en-US" w:eastAsia="zh-CN"/>
              </w:rPr>
              <w:t>66.7</w:t>
            </w:r>
            <w:r>
              <w:rPr>
                <w:rFonts w:hint="default" w:ascii="Times New Roman" w:hAnsi="Times New Roman" w:eastAsia="宋体" w:cs="Times New Roman"/>
                <w:color w:val="auto"/>
                <w:sz w:val="24"/>
                <w:szCs w:val="24"/>
                <w:u w:val="none" w:color="auto"/>
              </w:rPr>
              <w:t>mg/m</w:t>
            </w:r>
            <w:r>
              <w:rPr>
                <w:rFonts w:hint="default" w:ascii="Times New Roman" w:hAnsi="Times New Roman" w:eastAsia="宋体" w:cs="Times New Roman"/>
                <w:color w:val="auto"/>
                <w:sz w:val="24"/>
                <w:szCs w:val="24"/>
                <w:u w:val="none" w:color="auto"/>
                <w:vertAlign w:val="superscript"/>
              </w:rPr>
              <w:t>3</w:t>
            </w:r>
            <w:r>
              <w:rPr>
                <w:rFonts w:hint="eastAsia" w:cs="Times New Roman"/>
                <w:color w:val="auto"/>
                <w:sz w:val="24"/>
                <w:szCs w:val="24"/>
                <w:u w:val="none" w:color="auto"/>
                <w:lang w:eastAsia="zh-CN"/>
              </w:rPr>
              <w:t>，经处理后本排气筒中</w:t>
            </w:r>
            <w:r>
              <w:rPr>
                <w:rFonts w:hint="default" w:ascii="Times New Roman" w:hAnsi="Times New Roman" w:eastAsia="宋体" w:cs="Times New Roman"/>
                <w:color w:val="auto"/>
                <w:sz w:val="24"/>
                <w:szCs w:val="24"/>
                <w:u w:val="none" w:color="auto"/>
              </w:rPr>
              <w:t>VOCs有组织排放量为</w:t>
            </w:r>
            <w:r>
              <w:rPr>
                <w:rFonts w:hint="eastAsia" w:cs="Times New Roman"/>
                <w:color w:val="auto"/>
                <w:sz w:val="24"/>
                <w:szCs w:val="24"/>
                <w:u w:val="none" w:color="auto"/>
                <w:lang w:val="en-US" w:eastAsia="zh-CN"/>
              </w:rPr>
              <w:t>0.523</w:t>
            </w:r>
            <w:r>
              <w:rPr>
                <w:rFonts w:hint="default" w:ascii="Times New Roman" w:hAnsi="Times New Roman" w:eastAsia="宋体" w:cs="Times New Roman"/>
                <w:color w:val="auto"/>
                <w:sz w:val="24"/>
                <w:szCs w:val="24"/>
                <w:u w:val="none" w:color="auto"/>
              </w:rPr>
              <w:t>t/a（</w:t>
            </w:r>
            <w:r>
              <w:rPr>
                <w:rFonts w:hint="eastAsia" w:cs="Times New Roman"/>
                <w:color w:val="auto"/>
                <w:sz w:val="24"/>
                <w:szCs w:val="24"/>
                <w:u w:val="none" w:color="auto"/>
                <w:lang w:val="en-US" w:eastAsia="zh-CN"/>
              </w:rPr>
              <w:t>0.436</w:t>
            </w:r>
            <w:r>
              <w:rPr>
                <w:rFonts w:hint="default" w:ascii="Times New Roman" w:hAnsi="Times New Roman" w:eastAsia="宋体" w:cs="Times New Roman"/>
                <w:color w:val="auto"/>
                <w:sz w:val="24"/>
                <w:szCs w:val="24"/>
                <w:u w:val="none" w:color="auto"/>
              </w:rPr>
              <w:t>kg/h，</w:t>
            </w:r>
            <w:r>
              <w:rPr>
                <w:rFonts w:hint="eastAsia" w:cs="Times New Roman"/>
                <w:color w:val="auto"/>
                <w:sz w:val="24"/>
                <w:szCs w:val="24"/>
                <w:u w:val="none" w:color="auto"/>
                <w:lang w:val="en-US" w:eastAsia="zh-CN"/>
              </w:rPr>
              <w:t>43.6</w:t>
            </w:r>
            <w:r>
              <w:rPr>
                <w:rFonts w:hint="default" w:ascii="Times New Roman" w:hAnsi="Times New Roman" w:eastAsia="宋体" w:cs="Times New Roman"/>
                <w:color w:val="auto"/>
                <w:sz w:val="24"/>
                <w:szCs w:val="24"/>
                <w:u w:val="none" w:color="auto"/>
              </w:rPr>
              <w:t>mg/m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w:t>
            </w:r>
            <w:r>
              <w:rPr>
                <w:rFonts w:hint="eastAsia"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VOCs无组织排放量为</w:t>
            </w:r>
            <w:r>
              <w:rPr>
                <w:rFonts w:hint="eastAsia" w:cs="Times New Roman"/>
                <w:color w:val="auto"/>
                <w:sz w:val="24"/>
                <w:szCs w:val="24"/>
                <w:u w:val="none" w:color="auto"/>
                <w:lang w:val="en-US" w:eastAsia="zh-CN"/>
              </w:rPr>
              <w:t>0.138</w:t>
            </w:r>
            <w:r>
              <w:rPr>
                <w:rFonts w:hint="default" w:ascii="Times New Roman" w:hAnsi="Times New Roman" w:eastAsia="宋体" w:cs="Times New Roman"/>
                <w:color w:val="auto"/>
                <w:sz w:val="24"/>
                <w:szCs w:val="24"/>
                <w:u w:val="none" w:color="auto"/>
              </w:rPr>
              <w:t>t/a（</w:t>
            </w:r>
            <w:r>
              <w:rPr>
                <w:rFonts w:hint="eastAsia" w:cs="Times New Roman"/>
                <w:color w:val="auto"/>
                <w:sz w:val="24"/>
                <w:szCs w:val="24"/>
                <w:u w:val="none" w:color="auto"/>
                <w:lang w:val="en-US" w:eastAsia="zh-CN"/>
              </w:rPr>
              <w:t>0.115</w:t>
            </w:r>
            <w:r>
              <w:rPr>
                <w:rFonts w:hint="default" w:ascii="Times New Roman" w:hAnsi="Times New Roman" w:eastAsia="宋体" w:cs="Times New Roman"/>
                <w:color w:val="auto"/>
                <w:sz w:val="24"/>
                <w:szCs w:val="24"/>
                <w:u w:val="none" w:color="auto"/>
              </w:rPr>
              <w:t>kg/h）</w:t>
            </w:r>
            <w:r>
              <w:rPr>
                <w:rFonts w:hint="eastAsia"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颗粒物有组织排放量为</w:t>
            </w:r>
            <w:r>
              <w:rPr>
                <w:rFonts w:hint="eastAsia" w:ascii="Times New Roman" w:hAnsi="Times New Roman" w:eastAsia="宋体" w:cs="Times New Roman"/>
                <w:color w:val="auto"/>
                <w:sz w:val="24"/>
                <w:szCs w:val="24"/>
                <w:u w:val="none" w:color="auto"/>
                <w:lang w:val="en-US" w:eastAsia="zh-CN"/>
              </w:rPr>
              <w:t>0.</w:t>
            </w:r>
            <w:r>
              <w:rPr>
                <w:rFonts w:hint="eastAsia" w:cs="Times New Roman"/>
                <w:color w:val="auto"/>
                <w:sz w:val="24"/>
                <w:szCs w:val="24"/>
                <w:u w:val="none" w:color="auto"/>
                <w:lang w:val="en-US" w:eastAsia="zh-CN"/>
              </w:rPr>
              <w:t>076</w:t>
            </w:r>
            <w:r>
              <w:rPr>
                <w:rFonts w:hint="default" w:ascii="Times New Roman" w:hAnsi="Times New Roman" w:eastAsia="宋体" w:cs="Times New Roman"/>
                <w:color w:val="auto"/>
                <w:sz w:val="24"/>
                <w:szCs w:val="24"/>
                <w:u w:val="none" w:color="auto"/>
              </w:rPr>
              <w:t>t/a（0.</w:t>
            </w:r>
            <w:r>
              <w:rPr>
                <w:rFonts w:hint="eastAsia" w:cs="Times New Roman"/>
                <w:color w:val="auto"/>
                <w:sz w:val="24"/>
                <w:szCs w:val="24"/>
                <w:u w:val="none" w:color="auto"/>
                <w:lang w:val="en-US" w:eastAsia="zh-CN"/>
              </w:rPr>
              <w:t>063</w:t>
            </w:r>
            <w:r>
              <w:rPr>
                <w:rFonts w:hint="default" w:ascii="Times New Roman" w:hAnsi="Times New Roman" w:eastAsia="宋体" w:cs="Times New Roman"/>
                <w:color w:val="auto"/>
                <w:sz w:val="24"/>
                <w:szCs w:val="24"/>
                <w:u w:val="none" w:color="auto"/>
              </w:rPr>
              <w:t>kg/h，</w:t>
            </w:r>
            <w:r>
              <w:rPr>
                <w:rFonts w:hint="eastAsia" w:cs="Times New Roman"/>
                <w:color w:val="auto"/>
                <w:sz w:val="24"/>
                <w:szCs w:val="24"/>
                <w:u w:val="none" w:color="auto"/>
                <w:lang w:val="en-US" w:eastAsia="zh-CN"/>
              </w:rPr>
              <w:t>6.3</w:t>
            </w:r>
            <w:r>
              <w:rPr>
                <w:rFonts w:hint="default" w:ascii="Times New Roman" w:hAnsi="Times New Roman" w:eastAsia="宋体" w:cs="Times New Roman"/>
                <w:color w:val="auto"/>
                <w:sz w:val="24"/>
                <w:szCs w:val="24"/>
                <w:u w:val="none" w:color="auto"/>
              </w:rPr>
              <w:t>mg/m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w:t>
            </w:r>
            <w:r>
              <w:rPr>
                <w:rFonts w:hint="eastAsia" w:cs="Times New Roman"/>
                <w:color w:val="auto"/>
                <w:sz w:val="24"/>
                <w:szCs w:val="24"/>
                <w:u w:val="none" w:color="auto"/>
                <w:lang w:eastAsia="zh-CN"/>
              </w:rPr>
              <w:t>、颗粒物</w:t>
            </w:r>
            <w:r>
              <w:rPr>
                <w:rFonts w:hint="default" w:ascii="Times New Roman" w:hAnsi="Times New Roman" w:eastAsia="宋体" w:cs="Times New Roman"/>
                <w:color w:val="auto"/>
                <w:sz w:val="24"/>
                <w:szCs w:val="24"/>
                <w:u w:val="none" w:color="auto"/>
              </w:rPr>
              <w:t>无组织排放量</w:t>
            </w:r>
            <w:r>
              <w:rPr>
                <w:rFonts w:hint="eastAsia" w:ascii="Times New Roman" w:hAnsi="Times New Roman" w:eastAsia="宋体" w:cs="Times New Roman"/>
                <w:color w:val="auto"/>
                <w:sz w:val="24"/>
                <w:szCs w:val="24"/>
                <w:u w:val="none" w:color="auto"/>
                <w:lang w:val="en-US" w:eastAsia="zh-CN"/>
              </w:rPr>
              <w:t>0.</w:t>
            </w:r>
            <w:r>
              <w:rPr>
                <w:rFonts w:hint="eastAsia" w:cs="Times New Roman"/>
                <w:color w:val="auto"/>
                <w:sz w:val="24"/>
                <w:szCs w:val="24"/>
                <w:u w:val="none" w:color="auto"/>
                <w:lang w:val="en-US" w:eastAsia="zh-CN"/>
              </w:rPr>
              <w:t>04</w:t>
            </w:r>
            <w:r>
              <w:rPr>
                <w:rFonts w:hint="default" w:ascii="Times New Roman" w:hAnsi="Times New Roman" w:eastAsia="宋体" w:cs="Times New Roman"/>
                <w:color w:val="auto"/>
                <w:sz w:val="24"/>
                <w:szCs w:val="24"/>
                <w:u w:val="none" w:color="auto"/>
              </w:rPr>
              <w:t>t/a（0.</w:t>
            </w:r>
            <w:r>
              <w:rPr>
                <w:rFonts w:hint="eastAsia" w:cs="Times New Roman"/>
                <w:color w:val="auto"/>
                <w:sz w:val="24"/>
                <w:szCs w:val="24"/>
                <w:u w:val="none" w:color="auto"/>
                <w:lang w:val="en-US" w:eastAsia="zh-CN"/>
              </w:rPr>
              <w:t>033</w:t>
            </w:r>
            <w:r>
              <w:rPr>
                <w:rFonts w:hint="default" w:ascii="Times New Roman" w:hAnsi="Times New Roman" w:eastAsia="宋体" w:cs="Times New Roman"/>
                <w:color w:val="auto"/>
                <w:sz w:val="24"/>
                <w:szCs w:val="24"/>
                <w:u w:val="none" w:color="auto"/>
              </w:rPr>
              <w:t>kg/h）</w:t>
            </w:r>
            <w:r>
              <w:rPr>
                <w:rFonts w:hint="eastAsia" w:cs="Times New Roman"/>
                <w:color w:val="auto"/>
                <w:sz w:val="24"/>
                <w:szCs w:val="24"/>
                <w:u w:val="none" w:color="auto"/>
                <w:lang w:eastAsia="zh-CN"/>
              </w:rPr>
              <w:t>。</w:t>
            </w:r>
          </w:p>
          <w:p>
            <w:pPr>
              <w:pStyle w:val="172"/>
              <w:spacing w:line="360" w:lineRule="auto"/>
              <w:ind w:firstLine="480"/>
              <w:rPr>
                <w:rFonts w:hint="default" w:ascii="Times New Roman" w:hAnsi="Times New Roman" w:cs="Times New Roman"/>
                <w:color w:val="auto"/>
                <w:sz w:val="24"/>
                <w:szCs w:val="24"/>
                <w:u w:val="none" w:color="auto"/>
              </w:rPr>
            </w:pP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eastAsia="zh-CN"/>
              </w:rPr>
              <w:t>喷塑后</w:t>
            </w:r>
            <w:r>
              <w:rPr>
                <w:rFonts w:hint="default" w:ascii="Times New Roman" w:hAnsi="Times New Roman" w:cs="Times New Roman"/>
                <w:color w:val="auto"/>
                <w:sz w:val="24"/>
                <w:szCs w:val="24"/>
                <w:u w:val="none" w:color="auto"/>
              </w:rPr>
              <w:t>烘干燃气</w:t>
            </w:r>
            <w:r>
              <w:rPr>
                <w:rFonts w:hint="eastAsia" w:cs="Times New Roman"/>
                <w:color w:val="auto"/>
                <w:sz w:val="24"/>
                <w:szCs w:val="24"/>
                <w:u w:val="none" w:color="auto"/>
                <w:lang w:eastAsia="zh-CN"/>
              </w:rPr>
              <w:t>燃烧</w:t>
            </w:r>
            <w:r>
              <w:rPr>
                <w:rFonts w:hint="default" w:ascii="Times New Roman" w:hAnsi="Times New Roman" w:cs="Times New Roman"/>
                <w:color w:val="auto"/>
                <w:sz w:val="24"/>
                <w:szCs w:val="24"/>
                <w:u w:val="none" w:color="auto"/>
              </w:rPr>
              <w:t>废气</w:t>
            </w:r>
          </w:p>
          <w:p>
            <w:pPr>
              <w:keepNext w:val="0"/>
              <w:keepLines w:val="0"/>
              <w:pageBreakBefore w:val="0"/>
              <w:widowControl w:val="0"/>
              <w:kinsoku/>
              <w:wordWrap/>
              <w:overflowPunct/>
              <w:topLinePunct w:val="0"/>
              <w:autoSpaceDE/>
              <w:autoSpaceDN/>
              <w:bidi w:val="0"/>
              <w:spacing w:line="360" w:lineRule="auto"/>
              <w:ind w:firstLine="462" w:firstLineChars="200"/>
              <w:textAlignment w:val="auto"/>
              <w:rPr>
                <w:rStyle w:val="187"/>
                <w:rFonts w:hint="eastAsia" w:cs="Times New Roman"/>
                <w:color w:val="auto"/>
                <w:sz w:val="24"/>
                <w:szCs w:val="24"/>
                <w:u w:val="none" w:color="auto"/>
                <w:lang w:val="en-US" w:eastAsia="zh-CN"/>
              </w:rPr>
            </w:pPr>
            <w:r>
              <w:rPr>
                <w:rStyle w:val="187"/>
                <w:rFonts w:hint="default" w:ascii="Times New Roman" w:hAnsi="Times New Roman" w:cs="Times New Roman"/>
                <w:color w:val="auto"/>
                <w:sz w:val="24"/>
                <w:szCs w:val="24"/>
                <w:u w:val="none" w:color="auto"/>
              </w:rPr>
              <w:t>拟建项目</w:t>
            </w:r>
            <w:r>
              <w:rPr>
                <w:rStyle w:val="187"/>
                <w:rFonts w:hint="eastAsia" w:cs="Times New Roman"/>
                <w:color w:val="auto"/>
                <w:sz w:val="24"/>
                <w:szCs w:val="24"/>
                <w:u w:val="none" w:color="auto"/>
              </w:rPr>
              <w:t>喷塑后</w:t>
            </w:r>
            <w:r>
              <w:rPr>
                <w:rStyle w:val="187"/>
                <w:rFonts w:hint="default" w:ascii="Times New Roman" w:hAnsi="Times New Roman" w:cs="Times New Roman"/>
                <w:color w:val="auto"/>
                <w:sz w:val="24"/>
                <w:szCs w:val="24"/>
                <w:u w:val="none" w:color="auto"/>
              </w:rPr>
              <w:t>烘干工序采用液化气加热</w:t>
            </w:r>
            <w:r>
              <w:rPr>
                <w:rStyle w:val="187"/>
                <w:rFonts w:hint="eastAsia" w:cs="Times New Roman"/>
                <w:color w:val="auto"/>
                <w:sz w:val="24"/>
                <w:szCs w:val="24"/>
                <w:u w:val="none" w:color="auto"/>
              </w:rPr>
              <w:t>，液化石油气使用量为</w:t>
            </w:r>
            <w:r>
              <w:rPr>
                <w:rStyle w:val="187"/>
                <w:rFonts w:hint="eastAsia" w:cs="Times New Roman"/>
                <w:color w:val="auto"/>
                <w:sz w:val="24"/>
                <w:szCs w:val="24"/>
                <w:u w:val="none" w:color="auto"/>
                <w:lang w:val="en-US"/>
              </w:rPr>
              <w:t>3.2t/a</w:t>
            </w:r>
            <w:r>
              <w:rPr>
                <w:rStyle w:val="187"/>
                <w:rFonts w:hint="default" w:ascii="Times New Roman" w:hAnsi="Times New Roman" w:cs="Times New Roman"/>
                <w:color w:val="auto"/>
                <w:sz w:val="24"/>
                <w:szCs w:val="24"/>
                <w:u w:val="none" w:color="auto"/>
              </w:rPr>
              <w:t>，液化气为清洁能源，燃烧过程中产生少量的废气。</w:t>
            </w:r>
            <w:r>
              <w:rPr>
                <w:rStyle w:val="187"/>
                <w:rFonts w:hint="eastAsia" w:cs="Times New Roman"/>
                <w:color w:val="auto"/>
                <w:sz w:val="24"/>
                <w:szCs w:val="24"/>
                <w:u w:val="none" w:color="auto"/>
                <w:lang w:val="en-US" w:eastAsia="zh-CN"/>
              </w:rPr>
              <w:t>燃烧的废气收集后经15m高排气筒高空排放（</w:t>
            </w:r>
            <w:r>
              <w:rPr>
                <w:rFonts w:hint="eastAsia" w:cs="Times New Roman"/>
                <w:bCs/>
                <w:color w:val="auto"/>
                <w:sz w:val="24"/>
                <w:szCs w:val="24"/>
                <w:u w:val="none" w:color="auto"/>
                <w:lang w:val="en-US" w:eastAsia="zh-CN"/>
              </w:rPr>
              <w:t>G4</w:t>
            </w:r>
            <w:r>
              <w:rPr>
                <w:rStyle w:val="187"/>
                <w:rFonts w:hint="eastAsia" w:cs="Times New Roman"/>
                <w:color w:val="auto"/>
                <w:sz w:val="24"/>
                <w:szCs w:val="24"/>
                <w:u w:val="none" w:color="auto"/>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u w:val="none" w:color="auto"/>
              </w:rPr>
            </w:pPr>
            <w:r>
              <w:rPr>
                <w:rFonts w:hint="default" w:ascii="Times New Roman" w:hAnsi="Times New Roman" w:eastAsia="宋体" w:cs="Times New Roman"/>
                <w:sz w:val="24"/>
                <w:szCs w:val="24"/>
              </w:rPr>
              <w:t>根据企业提供数据，液化石油气用量为</w:t>
            </w:r>
            <w:r>
              <w:rPr>
                <w:rFonts w:hint="eastAsia" w:ascii="Times New Roman" w:hAnsi="Times New Roman" w:eastAsia="宋体" w:cs="Times New Roman"/>
                <w:sz w:val="24"/>
                <w:szCs w:val="24"/>
                <w:lang w:val="en-US" w:eastAsia="zh-CN"/>
              </w:rPr>
              <w:t>3.2</w:t>
            </w:r>
            <w:r>
              <w:rPr>
                <w:rFonts w:hint="default" w:ascii="Times New Roman" w:hAnsi="Times New Roman" w:eastAsia="宋体" w:cs="Times New Roman"/>
                <w:sz w:val="24"/>
                <w:szCs w:val="24"/>
              </w:rPr>
              <w:t>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a (</w:t>
            </w:r>
            <w:r>
              <w:rPr>
                <w:rFonts w:hint="eastAsia" w:ascii="Times New Roman" w:hAnsi="Times New Roman" w:eastAsia="宋体" w:cs="Times New Roman"/>
                <w:sz w:val="24"/>
                <w:szCs w:val="24"/>
                <w:lang w:val="en-US" w:eastAsia="zh-CN"/>
              </w:rPr>
              <w:t>1363.4</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w:t>
            </w:r>
            <w:r>
              <w:rPr>
                <w:rFonts w:hint="eastAsia" w:cs="Times New Roman"/>
                <w:sz w:val="24"/>
                <w:szCs w:val="24"/>
                <w:lang w:val="en-US" w:eastAsia="zh-CN"/>
              </w:rPr>
              <w:t>a</w:t>
            </w:r>
            <w:r>
              <w:rPr>
                <w:rFonts w:hint="default" w:ascii="Times New Roman" w:hAnsi="Times New Roman" w:eastAsia="宋体" w:cs="Times New Roman"/>
                <w:sz w:val="24"/>
                <w:szCs w:val="24"/>
              </w:rPr>
              <w:t>)。</w:t>
            </w:r>
            <w:r>
              <w:rPr>
                <w:rFonts w:hint="default" w:ascii="Times New Roman" w:hAnsi="Times New Roman" w:cs="Times New Roman"/>
                <w:color w:val="auto"/>
                <w:sz w:val="24"/>
                <w:szCs w:val="24"/>
                <w:u w:val="none" w:color="auto"/>
              </w:rPr>
              <w:t>根据《第一次全国污染源普查工业污染源产排污系数手册》</w:t>
            </w:r>
            <w:r>
              <w:rPr>
                <w:rFonts w:hint="default" w:ascii="Times New Roman" w:hAnsi="Times New Roman" w:cs="Times New Roman"/>
                <w:color w:val="auto"/>
                <w:sz w:val="24"/>
                <w:szCs w:val="24"/>
                <w:u w:val="none" w:color="auto"/>
                <w:lang w:eastAsia="zh-CN"/>
              </w:rPr>
              <w:t>燃气</w:t>
            </w:r>
            <w:r>
              <w:rPr>
                <w:rFonts w:hint="default" w:ascii="Times New Roman" w:hAnsi="Times New Roman" w:cs="Times New Roman"/>
                <w:color w:val="auto"/>
                <w:sz w:val="24"/>
                <w:szCs w:val="24"/>
                <w:u w:val="none" w:color="auto"/>
              </w:rPr>
              <w:t>锅炉产排污系数</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sz w:val="24"/>
                <w:szCs w:val="24"/>
                <w:u w:val="none" w:color="auto"/>
              </w:rPr>
              <w:t>烟尘污染物产生量参照《环境统计手册》(四川科学技术出版社) 中液化石油气的烟尘排放系数为0.16g/m</w:t>
            </w:r>
            <w:r>
              <w:rPr>
                <w:rFonts w:hint="default" w:ascii="Times New Roman" w:hAnsi="Times New Roman" w:eastAsia="宋体" w:cs="Times New Roman"/>
                <w:sz w:val="24"/>
                <w:szCs w:val="24"/>
                <w:u w:val="none" w:color="auto"/>
                <w:vertAlign w:val="superscript"/>
              </w:rPr>
              <w:t>3</w:t>
            </w:r>
            <w:r>
              <w:rPr>
                <w:rFonts w:hint="default" w:ascii="Times New Roman" w:hAnsi="Times New Roman" w:eastAsia="宋体" w:cs="Times New Roman"/>
                <w:sz w:val="24"/>
                <w:szCs w:val="24"/>
                <w:u w:val="none" w:color="auto"/>
              </w:rPr>
              <w:t>燃料，即1.6kg</w:t>
            </w:r>
            <w:r>
              <w:rPr>
                <w:rFonts w:hint="default" w:ascii="Times New Roman" w:hAnsi="Times New Roman" w:eastAsia="宋体" w:cs="Times New Roman"/>
                <w:sz w:val="24"/>
                <w:szCs w:val="24"/>
                <w:u w:val="none" w:color="auto"/>
                <w:lang w:val="en-US" w:eastAsia="zh-CN"/>
              </w:rPr>
              <w:t>/</w:t>
            </w:r>
            <w:r>
              <w:rPr>
                <w:rFonts w:hint="default" w:ascii="Times New Roman" w:hAnsi="Times New Roman" w:cs="Times New Roman"/>
                <w:color w:val="auto"/>
                <w:sz w:val="24"/>
                <w:szCs w:val="24"/>
                <w:u w:val="none" w:color="auto"/>
                <w:lang w:val="en-US" w:eastAsia="zh-CN"/>
              </w:rPr>
              <w:t>10</w:t>
            </w:r>
            <w:r>
              <w:rPr>
                <w:rFonts w:hint="default" w:ascii="Times New Roman" w:hAnsi="Times New Roman" w:cs="Times New Roman"/>
                <w:color w:val="auto"/>
                <w:sz w:val="24"/>
                <w:szCs w:val="24"/>
                <w:u w:val="none" w:color="auto"/>
                <w:vertAlign w:val="superscript"/>
                <w:lang w:val="en-US" w:eastAsia="zh-CN"/>
              </w:rPr>
              <w:t>4</w:t>
            </w:r>
            <w:r>
              <w:rPr>
                <w:rFonts w:hint="default" w:ascii="Times New Roman" w:hAnsi="Times New Roman"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-原料。</w:t>
            </w:r>
            <w:r>
              <w:rPr>
                <w:rFonts w:hint="default" w:ascii="Times New Roman" w:hAnsi="Times New Roman" w:eastAsia="宋体" w:cs="Times New Roman"/>
                <w:sz w:val="24"/>
                <w:szCs w:val="24"/>
                <w:u w:val="none" w:color="auto"/>
              </w:rPr>
              <w:t>项目使用的液化石油气需符合《液化石油气》(GB11174-2011) 相关标准(硫含量不大于343mg/m</w:t>
            </w:r>
            <w:r>
              <w:rPr>
                <w:rFonts w:hint="default" w:ascii="Times New Roman" w:hAnsi="Times New Roman" w:eastAsia="宋体" w:cs="Times New Roman"/>
                <w:sz w:val="24"/>
                <w:szCs w:val="24"/>
                <w:u w:val="none" w:color="auto"/>
                <w:vertAlign w:val="superscript"/>
              </w:rPr>
              <w:t>3</w:t>
            </w:r>
            <w:r>
              <w:rPr>
                <w:rFonts w:hint="default" w:ascii="Times New Roman" w:hAnsi="Times New Roman" w:eastAsia="宋体" w:cs="Times New Roman"/>
                <w:sz w:val="24"/>
                <w:szCs w:val="24"/>
                <w:u w:val="none" w:color="auto"/>
              </w:rPr>
              <w:t>)</w:t>
            </w:r>
            <w:r>
              <w:rPr>
                <w:rFonts w:hint="default" w:ascii="Times New Roman" w:hAnsi="Times New Roman" w:cs="Times New Roman"/>
                <w:color w:val="auto"/>
                <w:sz w:val="24"/>
                <w:szCs w:val="24"/>
                <w:u w:val="none" w:color="auto"/>
              </w:rPr>
              <w:t>，详见下表。</w:t>
            </w:r>
          </w:p>
          <w:p>
            <w:pPr>
              <w:keepNext w:val="0"/>
              <w:keepLines w:val="0"/>
              <w:pageBreakBefore w:val="0"/>
              <w:widowControl w:val="0"/>
              <w:kinsoku/>
              <w:wordWrap/>
              <w:overflowPunct/>
              <w:topLinePunct w:val="0"/>
              <w:autoSpaceDE/>
              <w:autoSpaceDN/>
              <w:bidi w:val="0"/>
              <w:spacing w:line="360" w:lineRule="auto"/>
              <w:ind w:firstLine="480"/>
              <w:jc w:val="center"/>
              <w:textAlignment w:val="auto"/>
              <w:rPr>
                <w:rFonts w:hint="default" w:ascii="Times New Roman" w:hAnsi="Times New Roman" w:eastAsia="宋体" w:cs="Times New Roman"/>
                <w:color w:val="auto"/>
                <w:sz w:val="24"/>
                <w:szCs w:val="22"/>
                <w:u w:val="none" w:color="auto"/>
              </w:rPr>
            </w:pPr>
            <w:r>
              <w:rPr>
                <w:rFonts w:hint="default" w:ascii="Times New Roman" w:hAnsi="Times New Roman" w:eastAsia="宋体" w:cs="Times New Roman"/>
                <w:color w:val="auto"/>
                <w:sz w:val="24"/>
                <w:szCs w:val="22"/>
                <w:u w:val="none" w:color="auto"/>
              </w:rPr>
              <w:t>表5-</w:t>
            </w:r>
            <w:r>
              <w:rPr>
                <w:rFonts w:hint="eastAsia" w:cs="Times New Roman"/>
                <w:color w:val="auto"/>
                <w:sz w:val="24"/>
                <w:szCs w:val="22"/>
                <w:u w:val="none" w:color="auto"/>
                <w:lang w:val="en-US" w:eastAsia="zh-CN"/>
              </w:rPr>
              <w:t>8</w:t>
            </w:r>
            <w:r>
              <w:rPr>
                <w:rFonts w:hint="default" w:ascii="Times New Roman" w:hAnsi="Times New Roman" w:eastAsia="宋体" w:cs="Times New Roman"/>
                <w:color w:val="auto"/>
                <w:sz w:val="24"/>
                <w:szCs w:val="22"/>
                <w:u w:val="none" w:color="auto"/>
                <w:lang w:val="en-US" w:eastAsia="zh-CN"/>
              </w:rPr>
              <w:t xml:space="preserve">  </w:t>
            </w:r>
            <w:r>
              <w:rPr>
                <w:rFonts w:hint="default" w:ascii="Times New Roman" w:hAnsi="Times New Roman" w:eastAsia="宋体" w:cs="Times New Roman"/>
                <w:color w:val="auto"/>
                <w:sz w:val="24"/>
                <w:szCs w:val="22"/>
                <w:u w:val="none" w:color="auto"/>
              </w:rPr>
              <w:t>燃烧废气产污一览表</w:t>
            </w:r>
          </w:p>
          <w:tbl>
            <w:tblPr>
              <w:tblStyle w:val="3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75"/>
              <w:gridCol w:w="4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2127"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污染源</w:t>
                  </w: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系数</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产污系数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27" w:type="dxa"/>
                  <w:vMerge w:val="restart"/>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液化石油气</w:t>
                  </w:r>
                  <w:r>
                    <w:rPr>
                      <w:rFonts w:hint="default" w:ascii="Times New Roman" w:hAnsi="Times New Roman" w:cs="Times New Roman"/>
                      <w:color w:val="auto"/>
                      <w:sz w:val="22"/>
                      <w:szCs w:val="22"/>
                      <w:u w:val="none" w:color="auto"/>
                      <w:lang w:val="en-US" w:eastAsia="zh-CN"/>
                    </w:rPr>
                    <w:t>燃烧废气</w:t>
                  </w: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烟气量</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375170.58 Nm</w:t>
                  </w:r>
                  <w:r>
                    <w:rPr>
                      <w:rFonts w:hint="default" w:ascii="Times New Roman" w:hAnsi="Times New Roman"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w:t>
                  </w:r>
                  <w:r>
                    <w:rPr>
                      <w:rFonts w:hint="eastAsia" w:cs="Times New Roman"/>
                      <w:color w:val="auto"/>
                      <w:sz w:val="22"/>
                      <w:szCs w:val="22"/>
                      <w:u w:val="none" w:color="auto"/>
                      <w:lang w:val="en-US" w:eastAsia="zh-CN"/>
                    </w:rPr>
                    <w:t>10</w:t>
                  </w:r>
                  <w:r>
                    <w:rPr>
                      <w:rFonts w:hint="eastAsia" w:cs="Times New Roman"/>
                      <w:color w:val="auto"/>
                      <w:sz w:val="22"/>
                      <w:szCs w:val="22"/>
                      <w:u w:val="none" w:color="auto"/>
                      <w:vertAlign w:val="superscript"/>
                      <w:lang w:val="en-US" w:eastAsia="zh-CN"/>
                    </w:rPr>
                    <w:t>4</w:t>
                  </w:r>
                  <w:r>
                    <w:rPr>
                      <w:rFonts w:hint="eastAsia" w:cs="Times New Roman"/>
                      <w:color w:val="auto"/>
                      <w:sz w:val="22"/>
                      <w:szCs w:val="22"/>
                      <w:u w:val="none" w:color="auto"/>
                      <w:lang w:val="en-US" w:eastAsia="zh-CN"/>
                    </w:rPr>
                    <w:t>m</w:t>
                  </w:r>
                  <w:r>
                    <w:rPr>
                      <w:rFonts w:hint="eastAsia"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7" w:type="dxa"/>
                  <w:vMerge w:val="continue"/>
                  <w:shd w:val="clear" w:color="auto" w:fill="auto"/>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SO</w:t>
                  </w:r>
                  <w:r>
                    <w:rPr>
                      <w:rFonts w:hint="default" w:ascii="Times New Roman" w:hAnsi="Times New Roman" w:cs="Times New Roman"/>
                      <w:color w:val="auto"/>
                      <w:sz w:val="22"/>
                      <w:szCs w:val="22"/>
                      <w:u w:val="none" w:color="auto"/>
                      <w:vertAlign w:val="subscript"/>
                      <w:lang w:val="en-US" w:eastAsia="zh-CN"/>
                    </w:rPr>
                    <w:t>2</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w:t>
                  </w:r>
                  <w:r>
                    <w:rPr>
                      <w:rFonts w:hint="default" w:ascii="Times New Roman" w:hAnsi="Times New Roman" w:cs="Times New Roman"/>
                      <w:color w:val="auto"/>
                      <w:sz w:val="22"/>
                      <w:szCs w:val="22"/>
                      <w:u w:val="none" w:color="auto"/>
                      <w:lang w:val="en-US" w:eastAsia="zh-CN"/>
                    </w:rPr>
                    <w:t>S①千克/</w:t>
                  </w:r>
                  <w:r>
                    <w:rPr>
                      <w:rFonts w:hint="eastAsia" w:cs="Times New Roman"/>
                      <w:color w:val="auto"/>
                      <w:sz w:val="22"/>
                      <w:szCs w:val="22"/>
                      <w:u w:val="none" w:color="auto"/>
                      <w:lang w:val="en-US" w:eastAsia="zh-CN"/>
                    </w:rPr>
                    <w:t>10</w:t>
                  </w:r>
                  <w:r>
                    <w:rPr>
                      <w:rFonts w:hint="eastAsia" w:cs="Times New Roman"/>
                      <w:color w:val="auto"/>
                      <w:sz w:val="22"/>
                      <w:szCs w:val="22"/>
                      <w:u w:val="none" w:color="auto"/>
                      <w:vertAlign w:val="superscript"/>
                      <w:lang w:val="en-US" w:eastAsia="zh-CN"/>
                    </w:rPr>
                    <w:t>4</w:t>
                  </w:r>
                  <w:r>
                    <w:rPr>
                      <w:rFonts w:hint="eastAsia" w:cs="Times New Roman"/>
                      <w:color w:val="auto"/>
                      <w:sz w:val="22"/>
                      <w:szCs w:val="22"/>
                      <w:u w:val="none" w:color="auto"/>
                      <w:lang w:val="en-US" w:eastAsia="zh-CN"/>
                    </w:rPr>
                    <w:t>m</w:t>
                  </w:r>
                  <w:r>
                    <w:rPr>
                      <w:rFonts w:hint="eastAsia"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2127" w:type="dxa"/>
                  <w:vMerge w:val="continue"/>
                  <w:shd w:val="clear" w:color="auto" w:fill="auto"/>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NOx</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59.61</w:t>
                  </w:r>
                  <w:r>
                    <w:rPr>
                      <w:rFonts w:hint="default" w:ascii="Times New Roman" w:hAnsi="Times New Roman" w:cs="Times New Roman"/>
                      <w:color w:val="auto"/>
                      <w:sz w:val="22"/>
                      <w:szCs w:val="22"/>
                      <w:u w:val="none" w:color="auto"/>
                      <w:lang w:val="en-US" w:eastAsia="zh-CN"/>
                    </w:rPr>
                    <w:t>千克/</w:t>
                  </w:r>
                  <w:r>
                    <w:rPr>
                      <w:rFonts w:hint="eastAsia" w:cs="Times New Roman"/>
                      <w:color w:val="auto"/>
                      <w:sz w:val="22"/>
                      <w:szCs w:val="22"/>
                      <w:u w:val="none" w:color="auto"/>
                      <w:lang w:val="en-US" w:eastAsia="zh-CN"/>
                    </w:rPr>
                    <w:t>10</w:t>
                  </w:r>
                  <w:r>
                    <w:rPr>
                      <w:rFonts w:hint="eastAsia" w:cs="Times New Roman"/>
                      <w:color w:val="auto"/>
                      <w:sz w:val="22"/>
                      <w:szCs w:val="22"/>
                      <w:u w:val="none" w:color="auto"/>
                      <w:vertAlign w:val="superscript"/>
                      <w:lang w:val="en-US" w:eastAsia="zh-CN"/>
                    </w:rPr>
                    <w:t>4</w:t>
                  </w:r>
                  <w:r>
                    <w:rPr>
                      <w:rFonts w:hint="eastAsia" w:cs="Times New Roman"/>
                      <w:color w:val="auto"/>
                      <w:sz w:val="22"/>
                      <w:szCs w:val="22"/>
                      <w:u w:val="none" w:color="auto"/>
                      <w:lang w:val="en-US" w:eastAsia="zh-CN"/>
                    </w:rPr>
                    <w:t>m</w:t>
                  </w:r>
                  <w:r>
                    <w:rPr>
                      <w:rFonts w:hint="eastAsia"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2127" w:type="dxa"/>
                  <w:vMerge w:val="continue"/>
                  <w:shd w:val="clear" w:color="auto" w:fill="auto"/>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颗粒物</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1.6</w:t>
                  </w:r>
                  <w:r>
                    <w:rPr>
                      <w:rFonts w:hint="default" w:ascii="Times New Roman" w:hAnsi="Times New Roman" w:cs="Times New Roman"/>
                      <w:color w:val="auto"/>
                      <w:sz w:val="22"/>
                      <w:szCs w:val="22"/>
                      <w:u w:val="none" w:color="auto"/>
                      <w:lang w:val="en-US" w:eastAsia="zh-CN"/>
                    </w:rPr>
                    <w:t>千克/</w:t>
                  </w:r>
                  <w:r>
                    <w:rPr>
                      <w:rFonts w:hint="default" w:ascii="Times New Roman" w:hAnsi="Times New Roman" w:cs="Times New Roman"/>
                      <w:color w:val="auto"/>
                      <w:sz w:val="24"/>
                      <w:szCs w:val="24"/>
                      <w:u w:val="none" w:color="auto"/>
                      <w:lang w:val="en-US" w:eastAsia="zh-CN"/>
                    </w:rPr>
                    <w:t>10</w:t>
                  </w:r>
                  <w:r>
                    <w:rPr>
                      <w:rFonts w:hint="default" w:ascii="Times New Roman" w:hAnsi="Times New Roman" w:cs="Times New Roman"/>
                      <w:color w:val="auto"/>
                      <w:sz w:val="24"/>
                      <w:szCs w:val="24"/>
                      <w:u w:val="none" w:color="auto"/>
                      <w:vertAlign w:val="superscript"/>
                      <w:lang w:val="en-US" w:eastAsia="zh-CN"/>
                    </w:rPr>
                    <w:t>4</w:t>
                  </w:r>
                  <w:r>
                    <w:rPr>
                      <w:rFonts w:hint="default" w:ascii="Times New Roman" w:hAnsi="Times New Roman"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-原料</w:t>
                  </w:r>
                </w:p>
              </w:tc>
            </w:tr>
          </w:tbl>
          <w:p>
            <w:pPr>
              <w:adjustRightInd w:val="0"/>
              <w:snapToGrid w:val="0"/>
              <w:spacing w:after="156" w:afterLines="50"/>
              <w:ind w:firstLine="480"/>
              <w:rPr>
                <w:rStyle w:val="187"/>
                <w:rFonts w:hint="eastAsia" w:cs="Times New Roman"/>
                <w:b/>
                <w:bCs/>
                <w:color w:val="auto"/>
                <w:sz w:val="24"/>
                <w:szCs w:val="24"/>
                <w:u w:val="none" w:color="auto"/>
              </w:rPr>
            </w:pPr>
            <w:r>
              <w:rPr>
                <w:rFonts w:hint="default" w:ascii="Times New Roman" w:hAnsi="Times New Roman" w:eastAsia="宋体" w:cs="Times New Roman"/>
                <w:b w:val="0"/>
                <w:bCs w:val="0"/>
                <w:color w:val="auto"/>
                <w:kern w:val="0"/>
                <w:sz w:val="22"/>
                <w:szCs w:val="20"/>
                <w:u w:val="none" w:color="auto"/>
              </w:rPr>
              <w:t>注：①</w:t>
            </w:r>
            <w:r>
              <w:rPr>
                <w:rFonts w:hint="eastAsia" w:eastAsia="宋体" w:cs="Times New Roman"/>
                <w:b w:val="0"/>
                <w:bCs w:val="0"/>
                <w:color w:val="auto"/>
                <w:kern w:val="0"/>
                <w:sz w:val="22"/>
                <w:szCs w:val="20"/>
                <w:u w:val="none" w:color="auto"/>
                <w:lang w:eastAsia="zh-CN"/>
              </w:rPr>
              <w:t>产排污系数表中二氧化硫的产排污是以含硫量（</w:t>
            </w:r>
            <w:r>
              <w:rPr>
                <w:rFonts w:hint="eastAsia" w:eastAsia="宋体" w:cs="Times New Roman"/>
                <w:b w:val="0"/>
                <w:bCs w:val="0"/>
                <w:color w:val="auto"/>
                <w:kern w:val="0"/>
                <w:sz w:val="22"/>
                <w:szCs w:val="20"/>
                <w:u w:val="none" w:color="auto"/>
                <w:lang w:val="en-US" w:eastAsia="zh-CN"/>
              </w:rPr>
              <w:t>S</w:t>
            </w:r>
            <w:r>
              <w:rPr>
                <w:rFonts w:hint="eastAsia" w:eastAsia="宋体" w:cs="Times New Roman"/>
                <w:b w:val="0"/>
                <w:bCs w:val="0"/>
                <w:color w:val="auto"/>
                <w:kern w:val="0"/>
                <w:sz w:val="22"/>
                <w:szCs w:val="20"/>
                <w:u w:val="none" w:color="auto"/>
                <w:lang w:eastAsia="zh-CN"/>
              </w:rPr>
              <w:t>）的形式表示的</w:t>
            </w:r>
            <w:r>
              <w:rPr>
                <w:rFonts w:hint="default" w:ascii="Times New Roman" w:hAnsi="Times New Roman" w:eastAsia="宋体" w:cs="Times New Roman"/>
                <w:b w:val="0"/>
                <w:bCs w:val="0"/>
                <w:color w:val="auto"/>
                <w:kern w:val="0"/>
                <w:sz w:val="22"/>
                <w:szCs w:val="20"/>
                <w:u w:val="none" w:color="auto"/>
              </w:rPr>
              <w:t>。</w:t>
            </w:r>
          </w:p>
          <w:p>
            <w:pPr>
              <w:spacing w:line="360" w:lineRule="auto"/>
              <w:ind w:firstLine="462" w:firstLineChars="200"/>
              <w:jc w:val="both"/>
              <w:rPr>
                <w:rStyle w:val="187"/>
                <w:rFonts w:hint="default" w:ascii="Times New Roman" w:hAnsi="Times New Roman" w:cs="Times New Roman"/>
                <w:color w:val="auto"/>
                <w:sz w:val="24"/>
                <w:szCs w:val="24"/>
                <w:u w:val="none" w:color="auto"/>
              </w:rPr>
            </w:pPr>
            <w:r>
              <w:rPr>
                <w:rStyle w:val="187"/>
                <w:rFonts w:hint="eastAsia" w:cs="Times New Roman"/>
                <w:b/>
                <w:bCs/>
                <w:color w:val="auto"/>
                <w:sz w:val="24"/>
                <w:szCs w:val="24"/>
                <w:u w:val="none" w:color="auto"/>
              </w:rPr>
              <w:t>燃气燃烧废气：</w:t>
            </w:r>
            <w:r>
              <w:rPr>
                <w:rStyle w:val="187"/>
                <w:rFonts w:hint="default" w:eastAsia="宋体" w:cs="Times New Roman"/>
                <w:color w:val="auto"/>
                <w:sz w:val="24"/>
                <w:szCs w:val="24"/>
                <w:u w:val="none" w:color="auto"/>
                <w:lang w:val="en-US" w:eastAsia="zh-CN"/>
              </w:rPr>
              <w:t>根据</w:t>
            </w:r>
            <w:r>
              <w:rPr>
                <w:rStyle w:val="187"/>
                <w:rFonts w:hint="default" w:ascii="Times New Roman" w:hAnsi="Times New Roman" w:cs="Times New Roman"/>
                <w:color w:val="auto"/>
                <w:sz w:val="24"/>
                <w:szCs w:val="24"/>
                <w:u w:val="none" w:color="auto"/>
              </w:rPr>
              <w:t>排污系数，可算出燃烧</w:t>
            </w:r>
            <w:r>
              <w:rPr>
                <w:rStyle w:val="187"/>
                <w:rFonts w:hint="default" w:ascii="Times New Roman" w:hAnsi="Times New Roman" w:cs="Times New Roman"/>
                <w:color w:val="auto"/>
                <w:sz w:val="24"/>
                <w:szCs w:val="24"/>
                <w:u w:val="none" w:color="auto"/>
                <w:lang w:eastAsia="zh-CN"/>
              </w:rPr>
              <w:t>液化气</w:t>
            </w:r>
            <w:r>
              <w:rPr>
                <w:rStyle w:val="187"/>
                <w:rFonts w:hint="default" w:ascii="Times New Roman" w:hAnsi="Times New Roman" w:cs="Times New Roman"/>
                <w:color w:val="auto"/>
                <w:sz w:val="24"/>
                <w:szCs w:val="24"/>
                <w:u w:val="none" w:color="auto"/>
              </w:rPr>
              <w:t>污染负荷烟气量为</w:t>
            </w:r>
            <w:r>
              <w:rPr>
                <w:rStyle w:val="187"/>
                <w:rFonts w:hint="eastAsia" w:cs="Times New Roman"/>
                <w:color w:val="auto"/>
                <w:sz w:val="24"/>
                <w:szCs w:val="24"/>
                <w:u w:val="none" w:color="auto"/>
                <w:lang w:val="en-US" w:eastAsia="zh-CN"/>
              </w:rPr>
              <w:t>51150.8</w:t>
            </w:r>
            <w:r>
              <w:rPr>
                <w:rStyle w:val="187"/>
                <w:rFonts w:hint="default" w:ascii="Times New Roman" w:hAnsi="Times New Roman" w:cs="Times New Roman"/>
                <w:color w:val="auto"/>
                <w:sz w:val="24"/>
                <w:szCs w:val="24"/>
                <w:u w:val="none" w:color="auto"/>
              </w:rPr>
              <w:t>m</w:t>
            </w:r>
            <w:r>
              <w:rPr>
                <w:rStyle w:val="187"/>
                <w:rFonts w:hint="default" w:ascii="Times New Roman" w:hAnsi="Times New Roman" w:cs="Times New Roman"/>
                <w:color w:val="auto"/>
                <w:sz w:val="24"/>
                <w:szCs w:val="24"/>
                <w:u w:val="none" w:color="auto"/>
                <w:vertAlign w:val="superscript"/>
              </w:rPr>
              <w:t>3</w:t>
            </w:r>
            <w:r>
              <w:rPr>
                <w:rStyle w:val="187"/>
                <w:rFonts w:hint="default" w:ascii="Times New Roman" w:hAnsi="Times New Roman" w:cs="Times New Roman"/>
                <w:color w:val="auto"/>
                <w:sz w:val="24"/>
                <w:szCs w:val="24"/>
                <w:u w:val="none" w:color="auto"/>
              </w:rPr>
              <w:t>/a ，SO</w:t>
            </w:r>
            <w:r>
              <w:rPr>
                <w:rStyle w:val="187"/>
                <w:rFonts w:hint="default" w:ascii="Times New Roman" w:hAnsi="Times New Roman" w:cs="Times New Roman"/>
                <w:color w:val="auto"/>
                <w:sz w:val="24"/>
                <w:szCs w:val="24"/>
                <w:u w:val="none" w:color="auto"/>
                <w:vertAlign w:val="subscript"/>
              </w:rPr>
              <w:t>2</w:t>
            </w:r>
            <w:r>
              <w:rPr>
                <w:rStyle w:val="187"/>
                <w:rFonts w:hint="default" w:ascii="Times New Roman" w:hAnsi="Times New Roman" w:cs="Times New Roman"/>
                <w:color w:val="auto"/>
                <w:sz w:val="24"/>
                <w:szCs w:val="24"/>
                <w:u w:val="none" w:color="auto"/>
              </w:rPr>
              <w:t>、NO</w:t>
            </w:r>
            <w:r>
              <w:rPr>
                <w:rStyle w:val="187"/>
                <w:rFonts w:hint="default" w:ascii="Times New Roman" w:hAnsi="Times New Roman" w:cs="Times New Roman"/>
                <w:color w:val="auto"/>
                <w:sz w:val="24"/>
                <w:szCs w:val="24"/>
                <w:u w:val="none" w:color="auto"/>
                <w:vertAlign w:val="subscript"/>
              </w:rPr>
              <w:t>2</w:t>
            </w:r>
            <w:r>
              <w:rPr>
                <w:rStyle w:val="187"/>
                <w:rFonts w:hint="default" w:ascii="Times New Roman" w:hAnsi="Times New Roman" w:cs="Times New Roman"/>
                <w:color w:val="auto"/>
                <w:sz w:val="24"/>
                <w:szCs w:val="24"/>
                <w:u w:val="none" w:color="auto"/>
              </w:rPr>
              <w:t>和烟尘的排放量及排放浓度分别为：</w:t>
            </w:r>
            <w:r>
              <w:rPr>
                <w:rStyle w:val="187"/>
                <w:rFonts w:hint="eastAsia" w:cs="Times New Roman"/>
                <w:color w:val="auto"/>
                <w:sz w:val="24"/>
                <w:szCs w:val="24"/>
                <w:u w:val="none" w:color="auto"/>
                <w:lang w:val="en-US" w:eastAsia="zh-CN"/>
              </w:rPr>
              <w:t>0.94</w:t>
            </w:r>
            <w:r>
              <w:rPr>
                <w:rStyle w:val="187"/>
                <w:rFonts w:hint="default" w:ascii="Times New Roman" w:hAnsi="Times New Roman" w:cs="Times New Roman"/>
                <w:color w:val="auto"/>
                <w:sz w:val="24"/>
                <w:szCs w:val="24"/>
                <w:u w:val="none" w:color="auto"/>
              </w:rPr>
              <w:t>kg/a、</w:t>
            </w:r>
            <w:r>
              <w:rPr>
                <w:rStyle w:val="187"/>
                <w:rFonts w:hint="eastAsia" w:ascii="Times New Roman" w:hAnsi="Times New Roman" w:cs="Times New Roman"/>
                <w:color w:val="auto"/>
                <w:sz w:val="24"/>
                <w:szCs w:val="24"/>
                <w:u w:val="none" w:color="auto"/>
                <w:lang w:val="en-US"/>
              </w:rPr>
              <w:t>8.13</w:t>
            </w:r>
            <w:r>
              <w:rPr>
                <w:rStyle w:val="187"/>
                <w:rFonts w:hint="default" w:ascii="Times New Roman" w:hAnsi="Times New Roman" w:cs="Times New Roman"/>
                <w:color w:val="auto"/>
                <w:sz w:val="24"/>
                <w:szCs w:val="24"/>
                <w:u w:val="none" w:color="auto"/>
              </w:rPr>
              <w:t>kg/a、</w:t>
            </w:r>
            <w:r>
              <w:rPr>
                <w:rStyle w:val="187"/>
                <w:rFonts w:hint="eastAsia" w:cs="Times New Roman"/>
                <w:color w:val="auto"/>
                <w:sz w:val="24"/>
                <w:szCs w:val="24"/>
                <w:u w:val="none" w:color="auto"/>
                <w:lang w:val="en-US" w:eastAsia="zh-CN"/>
              </w:rPr>
              <w:t>0.218</w:t>
            </w:r>
            <w:r>
              <w:rPr>
                <w:rStyle w:val="187"/>
                <w:rFonts w:hint="default" w:ascii="Times New Roman" w:hAnsi="Times New Roman" w:cs="Times New Roman"/>
                <w:color w:val="auto"/>
                <w:sz w:val="24"/>
                <w:szCs w:val="24"/>
                <w:u w:val="none" w:color="auto"/>
              </w:rPr>
              <w:t>kg/a；</w:t>
            </w:r>
            <w:r>
              <w:rPr>
                <w:rStyle w:val="187"/>
                <w:rFonts w:hint="eastAsia" w:cs="Times New Roman"/>
                <w:color w:val="auto"/>
                <w:sz w:val="24"/>
                <w:szCs w:val="24"/>
                <w:u w:val="none" w:color="auto"/>
                <w:lang w:val="en-US"/>
              </w:rPr>
              <w:t>18.38</w:t>
            </w:r>
            <w:r>
              <w:rPr>
                <w:rStyle w:val="187"/>
                <w:rFonts w:hint="default" w:ascii="Times New Roman" w:hAnsi="Times New Roman" w:cs="Times New Roman"/>
                <w:color w:val="auto"/>
                <w:sz w:val="24"/>
                <w:szCs w:val="24"/>
                <w:u w:val="none" w:color="auto"/>
              </w:rPr>
              <w:t>mg/m</w:t>
            </w:r>
            <w:r>
              <w:rPr>
                <w:rStyle w:val="187"/>
                <w:rFonts w:hint="default" w:ascii="Times New Roman" w:hAnsi="Times New Roman" w:cs="Times New Roman"/>
                <w:color w:val="auto"/>
                <w:sz w:val="24"/>
                <w:szCs w:val="24"/>
                <w:u w:val="none" w:color="auto"/>
                <w:vertAlign w:val="superscript"/>
              </w:rPr>
              <w:t>3</w:t>
            </w:r>
            <w:r>
              <w:rPr>
                <w:rStyle w:val="187"/>
                <w:rFonts w:hint="default" w:ascii="Times New Roman" w:hAnsi="Times New Roman" w:cs="Times New Roman"/>
                <w:color w:val="auto"/>
                <w:sz w:val="24"/>
                <w:szCs w:val="24"/>
                <w:u w:val="none" w:color="auto"/>
              </w:rPr>
              <w:t>、</w:t>
            </w:r>
            <w:r>
              <w:rPr>
                <w:rStyle w:val="187"/>
                <w:rFonts w:hint="eastAsia" w:cs="Times New Roman"/>
                <w:color w:val="auto"/>
                <w:sz w:val="24"/>
                <w:szCs w:val="24"/>
                <w:u w:val="none" w:color="auto"/>
                <w:lang w:val="en-US"/>
              </w:rPr>
              <w:t>158.9</w:t>
            </w:r>
            <w:r>
              <w:rPr>
                <w:rStyle w:val="187"/>
                <w:rFonts w:hint="default" w:ascii="Times New Roman" w:hAnsi="Times New Roman" w:cs="Times New Roman"/>
                <w:color w:val="auto"/>
                <w:sz w:val="24"/>
                <w:szCs w:val="24"/>
                <w:u w:val="none" w:color="auto"/>
              </w:rPr>
              <w:t xml:space="preserve"> mg/m</w:t>
            </w:r>
            <w:r>
              <w:rPr>
                <w:rStyle w:val="187"/>
                <w:rFonts w:hint="default" w:ascii="Times New Roman" w:hAnsi="Times New Roman" w:cs="Times New Roman"/>
                <w:color w:val="auto"/>
                <w:sz w:val="24"/>
                <w:szCs w:val="24"/>
                <w:u w:val="none" w:color="auto"/>
                <w:vertAlign w:val="superscript"/>
              </w:rPr>
              <w:t>3</w:t>
            </w:r>
            <w:r>
              <w:rPr>
                <w:rStyle w:val="187"/>
                <w:rFonts w:hint="default" w:ascii="Times New Roman" w:hAnsi="Times New Roman" w:cs="Times New Roman"/>
                <w:color w:val="auto"/>
                <w:sz w:val="24"/>
                <w:szCs w:val="24"/>
                <w:u w:val="none" w:color="auto"/>
              </w:rPr>
              <w:t>、</w:t>
            </w:r>
            <w:r>
              <w:rPr>
                <w:rStyle w:val="187"/>
                <w:rFonts w:hint="eastAsia" w:cs="Times New Roman"/>
                <w:color w:val="auto"/>
                <w:sz w:val="24"/>
                <w:szCs w:val="24"/>
                <w:u w:val="none" w:color="auto"/>
                <w:lang w:val="en-US"/>
              </w:rPr>
              <w:t>4.26</w:t>
            </w:r>
            <w:r>
              <w:rPr>
                <w:rStyle w:val="187"/>
                <w:rFonts w:hint="default" w:ascii="Times New Roman" w:hAnsi="Times New Roman" w:cs="Times New Roman"/>
                <w:color w:val="auto"/>
                <w:sz w:val="24"/>
                <w:szCs w:val="24"/>
                <w:u w:val="none" w:color="auto"/>
              </w:rPr>
              <w:t>mg/m</w:t>
            </w:r>
            <w:r>
              <w:rPr>
                <w:rStyle w:val="187"/>
                <w:rFonts w:hint="default" w:ascii="Times New Roman" w:hAnsi="Times New Roman" w:cs="Times New Roman"/>
                <w:color w:val="auto"/>
                <w:sz w:val="24"/>
                <w:szCs w:val="24"/>
                <w:u w:val="none" w:color="auto"/>
                <w:vertAlign w:val="superscript"/>
              </w:rPr>
              <w:t>3</w:t>
            </w:r>
            <w:r>
              <w:rPr>
                <w:rStyle w:val="187"/>
                <w:rFonts w:hint="default" w:ascii="Times New Roman" w:hAnsi="Times New Roman" w:cs="Times New Roman"/>
                <w:color w:val="auto"/>
                <w:sz w:val="24"/>
                <w:szCs w:val="24"/>
                <w:u w:val="none" w:color="auto"/>
              </w:rPr>
              <w:t>，</w:t>
            </w:r>
            <w:r>
              <w:rPr>
                <w:rFonts w:hint="eastAsia" w:eastAsia="宋体" w:cs="Times New Roman"/>
                <w:color w:val="auto"/>
                <w:kern w:val="0"/>
                <w:sz w:val="24"/>
                <w:szCs w:val="24"/>
                <w:u w:val="none" w:color="auto"/>
                <w:lang w:val="en-US" w:eastAsia="zh-CN" w:bidi="ar"/>
              </w:rPr>
              <w:t>液化石油气燃烧废气</w:t>
            </w:r>
            <w:r>
              <w:rPr>
                <w:rFonts w:hint="eastAsia" w:cs="Times New Roman"/>
                <w:color w:val="auto"/>
                <w:kern w:val="0"/>
                <w:sz w:val="24"/>
                <w:szCs w:val="24"/>
                <w:u w:val="none" w:color="auto"/>
                <w:lang w:val="en-US" w:eastAsia="zh-CN" w:bidi="ar"/>
              </w:rPr>
              <w:t>可以满足</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工业炉窑大气污染物排放标准</w:t>
            </w:r>
            <w:r>
              <w:rPr>
                <w:rFonts w:hint="default" w:ascii="Times New Roman" w:hAnsi="Times New Roman" w:eastAsia="宋体" w:cs="Times New Roman"/>
                <w:color w:val="auto"/>
                <w:kern w:val="0"/>
                <w:sz w:val="24"/>
                <w:szCs w:val="24"/>
                <w:u w:val="none" w:color="auto"/>
                <w:lang w:val="en-US" w:eastAsia="zh-CN" w:bidi="ar"/>
              </w:rPr>
              <w:t>》（GB</w:t>
            </w:r>
            <w:r>
              <w:rPr>
                <w:rFonts w:hint="eastAsia" w:cs="Times New Roman"/>
                <w:color w:val="auto"/>
                <w:kern w:val="0"/>
                <w:sz w:val="24"/>
                <w:szCs w:val="24"/>
                <w:u w:val="none" w:color="auto"/>
                <w:lang w:val="en-US" w:eastAsia="zh-CN" w:bidi="ar"/>
              </w:rPr>
              <w:t>9078</w:t>
            </w:r>
            <w:r>
              <w:rPr>
                <w:rFonts w:hint="default" w:ascii="Times New Roman" w:hAnsi="Times New Roman" w:eastAsia="宋体" w:cs="Times New Roman"/>
                <w:color w:val="auto"/>
                <w:kern w:val="0"/>
                <w:sz w:val="24"/>
                <w:szCs w:val="24"/>
                <w:u w:val="none" w:color="auto"/>
                <w:lang w:val="en-US" w:eastAsia="zh-CN" w:bidi="ar"/>
              </w:rPr>
              <w:t>-1996）</w:t>
            </w:r>
            <w:r>
              <w:rPr>
                <w:rFonts w:hint="eastAsia" w:cs="Times New Roman"/>
                <w:color w:val="auto"/>
                <w:kern w:val="0"/>
                <w:sz w:val="24"/>
                <w:szCs w:val="24"/>
                <w:u w:val="none" w:color="auto"/>
                <w:lang w:val="en-US" w:eastAsia="zh-CN" w:bidi="ar"/>
              </w:rPr>
              <w:t>中的排放</w:t>
            </w:r>
            <w:r>
              <w:rPr>
                <w:rFonts w:hint="default" w:ascii="Times New Roman" w:hAnsi="Times New Roman" w:eastAsia="宋体" w:cs="Times New Roman"/>
                <w:color w:val="auto"/>
                <w:kern w:val="0"/>
                <w:sz w:val="24"/>
                <w:szCs w:val="24"/>
                <w:u w:val="none" w:color="auto"/>
                <w:lang w:val="en-US" w:eastAsia="zh-CN" w:bidi="ar"/>
              </w:rPr>
              <w:t>标准</w:t>
            </w:r>
            <w:r>
              <w:rPr>
                <w:rFonts w:hint="eastAsia" w:cs="Times New Roman"/>
                <w:color w:val="auto"/>
                <w:kern w:val="0"/>
                <w:sz w:val="24"/>
                <w:szCs w:val="24"/>
                <w:u w:val="none" w:color="auto"/>
                <w:lang w:val="en-US" w:eastAsia="zh-CN" w:bidi="ar"/>
              </w:rPr>
              <w:t>，氮氧化物（参照执行）满足</w:t>
            </w:r>
            <w:r>
              <w:rPr>
                <w:rFonts w:hint="default" w:ascii="Times New Roman" w:hAnsi="Times New Roman" w:eastAsia="宋体" w:cs="Times New Roman"/>
                <w:color w:val="auto"/>
                <w:kern w:val="0"/>
                <w:sz w:val="24"/>
                <w:szCs w:val="24"/>
                <w:u w:val="none" w:color="auto"/>
                <w:lang w:val="en-US" w:eastAsia="zh-CN" w:bidi="ar"/>
              </w:rPr>
              <w:t>《大气污染物综合排放标准》（GB16297-1996）表2的二级标准</w:t>
            </w:r>
            <w:r>
              <w:rPr>
                <w:rStyle w:val="187"/>
                <w:rFonts w:hint="default" w:ascii="Times New Roman" w:hAnsi="Times New Roman" w:cs="Times New Roman"/>
                <w:color w:val="auto"/>
                <w:sz w:val="24"/>
                <w:szCs w:val="24"/>
                <w:u w:val="none" w:color="auto"/>
              </w:rPr>
              <w:t>。</w:t>
            </w:r>
          </w:p>
          <w:p>
            <w:pPr>
              <w:spacing w:line="360" w:lineRule="auto"/>
              <w:ind w:firstLine="462" w:firstLineChars="200"/>
              <w:rPr>
                <w:rFonts w:hint="eastAsia" w:eastAsia="宋体"/>
                <w:color w:val="auto"/>
                <w:sz w:val="24"/>
                <w:szCs w:val="24"/>
                <w:u w:val="none" w:color="auto"/>
                <w:lang w:eastAsia="zh-CN"/>
              </w:rPr>
            </w:pPr>
            <w:r>
              <w:rPr>
                <w:rFonts w:hint="eastAsia"/>
                <w:color w:val="auto"/>
                <w:sz w:val="24"/>
                <w:szCs w:val="24"/>
                <w:u w:val="none" w:color="auto"/>
                <w:lang w:eastAsia="zh-CN"/>
              </w:rPr>
              <w:t>（</w:t>
            </w:r>
            <w:r>
              <w:rPr>
                <w:rFonts w:hint="eastAsia"/>
                <w:color w:val="auto"/>
                <w:sz w:val="24"/>
                <w:szCs w:val="24"/>
                <w:u w:val="none" w:color="auto"/>
                <w:lang w:val="en-US" w:eastAsia="zh-CN"/>
              </w:rPr>
              <w:t>6</w:t>
            </w:r>
            <w:r>
              <w:rPr>
                <w:rFonts w:hint="eastAsia"/>
                <w:color w:val="auto"/>
                <w:sz w:val="24"/>
                <w:szCs w:val="24"/>
                <w:u w:val="none" w:color="auto"/>
                <w:lang w:eastAsia="zh-CN"/>
              </w:rPr>
              <w:t>）抛丸废气</w:t>
            </w:r>
          </w:p>
          <w:p>
            <w:pPr>
              <w:spacing w:line="360" w:lineRule="auto"/>
              <w:ind w:firstLine="462" w:firstLineChars="200"/>
              <w:rPr>
                <w:rFonts w:hint="eastAsia" w:eastAsia="宋体"/>
                <w:color w:val="auto"/>
                <w:sz w:val="24"/>
                <w:szCs w:val="24"/>
                <w:u w:val="none" w:color="auto"/>
                <w:lang w:eastAsia="zh-CN"/>
              </w:rPr>
            </w:pPr>
            <w:r>
              <w:rPr>
                <w:rFonts w:hint="eastAsia" w:ascii="Times New Roman" w:hAnsi="Times New Roman" w:cs="Times New Roman"/>
                <w:bCs/>
                <w:color w:val="auto"/>
                <w:sz w:val="24"/>
                <w:szCs w:val="24"/>
                <w:u w:val="none" w:color="auto"/>
                <w:lang w:eastAsia="zh-CN"/>
              </w:rPr>
              <w:t>建设项目在生产过程中，经机加工后的建材需进行抛丸处理后才能进行喷漆</w:t>
            </w:r>
            <w:r>
              <w:rPr>
                <w:rFonts w:hint="default" w:ascii="Times New Roman" w:hAnsi="Times New Roman" w:cs="Times New Roman"/>
                <w:bCs/>
                <w:color w:val="auto"/>
                <w:sz w:val="24"/>
                <w:szCs w:val="24"/>
                <w:u w:val="none" w:color="auto"/>
              </w:rPr>
              <w:t>，根据相关企业类比数据，</w:t>
            </w:r>
            <w:r>
              <w:rPr>
                <w:rFonts w:hint="eastAsia" w:ascii="Times New Roman" w:hAnsi="Times New Roman" w:cs="Times New Roman"/>
                <w:bCs/>
                <w:color w:val="auto"/>
                <w:sz w:val="24"/>
                <w:szCs w:val="24"/>
                <w:u w:val="none" w:color="auto"/>
                <w:lang w:eastAsia="zh-CN"/>
              </w:rPr>
              <w:t>项目抛丸工件的量为</w:t>
            </w:r>
            <w:r>
              <w:rPr>
                <w:rFonts w:hint="eastAsia" w:cs="Times New Roman"/>
                <w:bCs/>
                <w:color w:val="auto"/>
                <w:sz w:val="24"/>
                <w:szCs w:val="24"/>
                <w:u w:val="none" w:color="auto"/>
                <w:lang w:val="en-US" w:eastAsia="zh-CN"/>
              </w:rPr>
              <w:t>30</w:t>
            </w:r>
            <w:r>
              <w:rPr>
                <w:rFonts w:hint="eastAsia" w:ascii="Times New Roman" w:hAnsi="Times New Roman" w:cs="Times New Roman"/>
                <w:bCs/>
                <w:color w:val="auto"/>
                <w:sz w:val="24"/>
                <w:szCs w:val="24"/>
                <w:u w:val="none" w:color="auto"/>
                <w:lang w:val="en-US" w:eastAsia="zh-CN"/>
              </w:rPr>
              <w:t>t/a，抛丸工序所需要的钢丸为</w:t>
            </w:r>
            <w:r>
              <w:rPr>
                <w:rFonts w:hint="eastAsia" w:cs="Times New Roman"/>
                <w:bCs/>
                <w:color w:val="auto"/>
                <w:sz w:val="24"/>
                <w:szCs w:val="24"/>
                <w:u w:val="none" w:color="auto"/>
                <w:lang w:val="en-US" w:eastAsia="zh-CN"/>
              </w:rPr>
              <w:t>1.5</w:t>
            </w:r>
            <w:r>
              <w:rPr>
                <w:rFonts w:hint="eastAsia" w:ascii="Times New Roman" w:hAnsi="Times New Roman" w:cs="Times New Roman"/>
                <w:bCs/>
                <w:color w:val="auto"/>
                <w:sz w:val="24"/>
                <w:szCs w:val="24"/>
                <w:u w:val="none" w:color="auto"/>
                <w:lang w:val="en-US" w:eastAsia="zh-CN"/>
              </w:rPr>
              <w:t>t/a，抛丸工序产生的粉尘量为所需钢丸的</w:t>
            </w:r>
            <w:r>
              <w:rPr>
                <w:rFonts w:hint="eastAsia" w:cs="Times New Roman"/>
                <w:bCs/>
                <w:color w:val="auto"/>
                <w:sz w:val="24"/>
                <w:szCs w:val="24"/>
                <w:u w:val="none" w:color="auto"/>
                <w:lang w:val="en-US" w:eastAsia="zh-CN"/>
              </w:rPr>
              <w:t>5</w:t>
            </w:r>
            <w:r>
              <w:rPr>
                <w:rFonts w:hint="eastAsia" w:ascii="Times New Roman" w:hAnsi="Times New Roman" w:cs="Times New Roman"/>
                <w:bCs/>
                <w:color w:val="auto"/>
                <w:sz w:val="24"/>
                <w:szCs w:val="24"/>
                <w:u w:val="none" w:color="auto"/>
                <w:lang w:val="en-US" w:eastAsia="zh-CN"/>
              </w:rPr>
              <w:t>%</w:t>
            </w:r>
            <w:r>
              <w:rPr>
                <w:rFonts w:hint="default" w:ascii="Times New Roman" w:hAnsi="Times New Roman" w:cs="Times New Roman"/>
                <w:bCs/>
                <w:color w:val="auto"/>
                <w:sz w:val="24"/>
                <w:szCs w:val="24"/>
                <w:u w:val="none" w:color="auto"/>
              </w:rPr>
              <w:t>，因此粉尘产生量约为</w:t>
            </w:r>
            <w:r>
              <w:rPr>
                <w:rFonts w:hint="eastAsia" w:cs="Times New Roman"/>
                <w:bCs/>
                <w:color w:val="auto"/>
                <w:sz w:val="24"/>
                <w:szCs w:val="24"/>
                <w:u w:val="none" w:color="auto"/>
                <w:lang w:val="en-US" w:eastAsia="zh-CN"/>
              </w:rPr>
              <w:t>0.075</w:t>
            </w:r>
            <w:r>
              <w:rPr>
                <w:rFonts w:hint="default" w:ascii="Times New Roman" w:hAnsi="Times New Roman" w:cs="Times New Roman"/>
                <w:bCs/>
                <w:color w:val="auto"/>
                <w:sz w:val="24"/>
                <w:szCs w:val="24"/>
                <w:u w:val="none" w:color="auto"/>
              </w:rPr>
              <w:t>t/a，每天连续</w:t>
            </w:r>
            <w:r>
              <w:rPr>
                <w:rFonts w:hint="eastAsia" w:ascii="Times New Roman" w:hAnsi="Times New Roman" w:cs="Times New Roman"/>
                <w:bCs/>
                <w:color w:val="auto"/>
                <w:sz w:val="24"/>
                <w:szCs w:val="24"/>
                <w:u w:val="none" w:color="auto"/>
                <w:lang w:eastAsia="zh-CN"/>
              </w:rPr>
              <w:t>抛丸</w:t>
            </w:r>
            <w:r>
              <w:rPr>
                <w:rFonts w:hint="default" w:ascii="Times New Roman" w:hAnsi="Times New Roman" w:cs="Times New Roman"/>
                <w:bCs/>
                <w:color w:val="auto"/>
                <w:sz w:val="24"/>
                <w:szCs w:val="24"/>
                <w:u w:val="none" w:color="auto"/>
              </w:rPr>
              <w:t>约</w:t>
            </w:r>
            <w:r>
              <w:rPr>
                <w:rFonts w:hint="eastAsia" w:cs="Times New Roman"/>
                <w:bCs/>
                <w:color w:val="auto"/>
                <w:sz w:val="24"/>
                <w:szCs w:val="24"/>
                <w:u w:val="none" w:color="auto"/>
                <w:lang w:val="en-US" w:eastAsia="zh-CN"/>
              </w:rPr>
              <w:t>2</w:t>
            </w:r>
            <w:r>
              <w:rPr>
                <w:rFonts w:hint="default" w:ascii="Times New Roman" w:hAnsi="Times New Roman" w:cs="Times New Roman"/>
                <w:bCs/>
                <w:color w:val="auto"/>
                <w:sz w:val="24"/>
                <w:szCs w:val="24"/>
                <w:u w:val="none" w:color="auto"/>
              </w:rPr>
              <w:t>小时，因此粉尘产生速率约为0.</w:t>
            </w:r>
            <w:r>
              <w:rPr>
                <w:rFonts w:hint="eastAsia" w:cs="Times New Roman"/>
                <w:bCs/>
                <w:color w:val="auto"/>
                <w:sz w:val="24"/>
                <w:szCs w:val="24"/>
                <w:u w:val="none" w:color="auto"/>
                <w:lang w:val="en-US" w:eastAsia="zh-CN"/>
              </w:rPr>
              <w:t>125</w:t>
            </w:r>
            <w:r>
              <w:rPr>
                <w:rFonts w:hint="default" w:ascii="Times New Roman" w:hAnsi="Times New Roman" w:cs="Times New Roman"/>
                <w:bCs/>
                <w:color w:val="auto"/>
                <w:sz w:val="24"/>
                <w:szCs w:val="24"/>
                <w:u w:val="none" w:color="auto"/>
              </w:rPr>
              <w:t>kg/h。粉尘通过风机进入</w:t>
            </w:r>
            <w:r>
              <w:rPr>
                <w:rFonts w:hint="eastAsia" w:ascii="Times New Roman" w:hAnsi="Times New Roman" w:cs="Times New Roman"/>
                <w:bCs/>
                <w:color w:val="auto"/>
                <w:sz w:val="24"/>
                <w:szCs w:val="24"/>
                <w:u w:val="none" w:color="auto"/>
                <w:lang w:eastAsia="zh-CN"/>
              </w:rPr>
              <w:t>布袋除尘</w:t>
            </w:r>
            <w:r>
              <w:rPr>
                <w:rFonts w:hint="default" w:ascii="Times New Roman" w:hAnsi="Times New Roman" w:cs="Times New Roman"/>
                <w:bCs/>
                <w:color w:val="auto"/>
                <w:sz w:val="24"/>
                <w:szCs w:val="24"/>
                <w:u w:val="none" w:color="auto"/>
                <w:lang w:eastAsia="zh-CN"/>
              </w:rPr>
              <w:t>装置</w:t>
            </w:r>
            <w:r>
              <w:rPr>
                <w:rFonts w:hint="default" w:ascii="Times New Roman" w:hAnsi="Times New Roman" w:cs="Times New Roman"/>
                <w:bCs/>
                <w:color w:val="auto"/>
                <w:sz w:val="24"/>
                <w:szCs w:val="24"/>
                <w:u w:val="none" w:color="auto"/>
              </w:rPr>
              <w:t>处理后</w:t>
            </w:r>
            <w:r>
              <w:rPr>
                <w:rFonts w:hint="eastAsia" w:ascii="Times New Roman" w:hAnsi="Times New Roman" w:cs="Times New Roman"/>
                <w:bCs/>
                <w:color w:val="auto"/>
                <w:sz w:val="24"/>
                <w:szCs w:val="24"/>
                <w:u w:val="none" w:color="auto"/>
                <w:lang w:eastAsia="zh-CN"/>
              </w:rPr>
              <w:t>无组织</w:t>
            </w:r>
            <w:r>
              <w:rPr>
                <w:rFonts w:hint="default" w:ascii="Times New Roman" w:hAnsi="Times New Roman" w:cs="Times New Roman"/>
                <w:bCs/>
                <w:color w:val="auto"/>
                <w:sz w:val="24"/>
                <w:szCs w:val="24"/>
                <w:u w:val="none" w:color="auto"/>
              </w:rPr>
              <w:t>排放。</w:t>
            </w:r>
            <w:r>
              <w:rPr>
                <w:rFonts w:hint="eastAsia" w:ascii="Times New Roman" w:hAnsi="Times New Roman" w:cs="Times New Roman"/>
                <w:bCs/>
                <w:color w:val="auto"/>
                <w:sz w:val="24"/>
                <w:szCs w:val="24"/>
                <w:u w:val="none" w:color="auto"/>
                <w:lang w:eastAsia="zh-CN"/>
              </w:rPr>
              <w:t>布袋除尘</w:t>
            </w:r>
            <w:r>
              <w:rPr>
                <w:rFonts w:hint="default" w:ascii="Times New Roman" w:hAnsi="Times New Roman" w:cs="Times New Roman"/>
                <w:bCs/>
                <w:color w:val="auto"/>
                <w:sz w:val="24"/>
                <w:szCs w:val="24"/>
                <w:u w:val="none" w:color="auto"/>
                <w:lang w:eastAsia="zh-CN"/>
              </w:rPr>
              <w:t>装置</w:t>
            </w:r>
            <w:r>
              <w:rPr>
                <w:rFonts w:hint="default" w:ascii="Times New Roman" w:hAnsi="Times New Roman" w:cs="Times New Roman"/>
                <w:bCs/>
                <w:color w:val="auto"/>
                <w:sz w:val="24"/>
                <w:szCs w:val="24"/>
                <w:u w:val="none" w:color="auto"/>
              </w:rPr>
              <w:t>除尘效率约为95%，因此粉尘排放量约为</w:t>
            </w:r>
            <w:r>
              <w:rPr>
                <w:rFonts w:hint="eastAsia" w:cs="Times New Roman"/>
                <w:bCs/>
                <w:color w:val="auto"/>
                <w:sz w:val="24"/>
                <w:szCs w:val="24"/>
                <w:u w:val="none" w:color="auto"/>
                <w:lang w:val="en-US" w:eastAsia="zh-CN"/>
              </w:rPr>
              <w:t>0.00375</w:t>
            </w:r>
            <w:r>
              <w:rPr>
                <w:rFonts w:hint="default" w:ascii="Times New Roman" w:hAnsi="Times New Roman" w:cs="Times New Roman"/>
                <w:bCs/>
                <w:color w:val="auto"/>
                <w:sz w:val="24"/>
                <w:szCs w:val="24"/>
                <w:u w:val="none" w:color="auto"/>
              </w:rPr>
              <w:t>t/a</w:t>
            </w:r>
            <w:r>
              <w:rPr>
                <w:rFonts w:hint="eastAsia" w:cs="Times New Roman"/>
                <w:bCs/>
                <w:color w:val="auto"/>
                <w:sz w:val="24"/>
                <w:szCs w:val="24"/>
                <w:u w:val="none" w:color="auto"/>
                <w:lang w:eastAsia="zh-CN"/>
              </w:rPr>
              <w:t>（</w:t>
            </w:r>
            <w:r>
              <w:rPr>
                <w:rFonts w:hint="default" w:ascii="Times New Roman" w:hAnsi="Times New Roman" w:cs="Times New Roman"/>
                <w:bCs/>
                <w:color w:val="auto"/>
                <w:sz w:val="24"/>
                <w:szCs w:val="24"/>
                <w:u w:val="none" w:color="auto"/>
              </w:rPr>
              <w:t>0.</w:t>
            </w:r>
            <w:r>
              <w:rPr>
                <w:rFonts w:hint="eastAsia" w:cs="Times New Roman"/>
                <w:bCs/>
                <w:color w:val="auto"/>
                <w:sz w:val="24"/>
                <w:szCs w:val="24"/>
                <w:u w:val="none" w:color="auto"/>
                <w:lang w:val="en-US" w:eastAsia="zh-CN"/>
              </w:rPr>
              <w:t>00625</w:t>
            </w:r>
            <w:r>
              <w:rPr>
                <w:rFonts w:hint="default" w:ascii="Times New Roman" w:hAnsi="Times New Roman" w:cs="Times New Roman"/>
                <w:bCs/>
                <w:color w:val="auto"/>
                <w:sz w:val="24"/>
                <w:szCs w:val="24"/>
                <w:u w:val="none" w:color="auto"/>
              </w:rPr>
              <w:t>kg/h</w:t>
            </w:r>
            <w:r>
              <w:rPr>
                <w:rFonts w:hint="eastAsia" w:cs="Times New Roman"/>
                <w:bCs/>
                <w:color w:val="auto"/>
                <w:sz w:val="24"/>
                <w:szCs w:val="24"/>
                <w:u w:val="none" w:color="auto"/>
                <w:lang w:eastAsia="zh-CN"/>
              </w:rPr>
              <w:t>）</w:t>
            </w:r>
            <w:r>
              <w:rPr>
                <w:rFonts w:hint="default" w:ascii="Times New Roman" w:hAnsi="Times New Roman" w:cs="Times New Roman"/>
                <w:bCs/>
                <w:color w:val="auto"/>
                <w:sz w:val="24"/>
                <w:szCs w:val="24"/>
                <w:u w:val="none" w:color="auto"/>
              </w:rPr>
              <w:t>，能够满足《大气污染物综合排放标准》（GB16297-1996）表2中</w:t>
            </w:r>
            <w:r>
              <w:rPr>
                <w:rFonts w:hint="eastAsia" w:ascii="Times New Roman" w:hAnsi="Times New Roman" w:cs="Times New Roman"/>
                <w:bCs/>
                <w:color w:val="auto"/>
                <w:sz w:val="24"/>
                <w:szCs w:val="24"/>
                <w:u w:val="none" w:color="auto"/>
                <w:lang w:eastAsia="zh-CN"/>
              </w:rPr>
              <w:t>无组织</w:t>
            </w:r>
            <w:r>
              <w:rPr>
                <w:rFonts w:hint="default" w:ascii="Times New Roman" w:hAnsi="Times New Roman" w:cs="Times New Roman"/>
                <w:bCs/>
                <w:color w:val="auto"/>
                <w:sz w:val="24"/>
                <w:szCs w:val="24"/>
                <w:u w:val="none" w:color="auto"/>
              </w:rPr>
              <w:t>排放标准要求</w:t>
            </w:r>
            <w:r>
              <w:rPr>
                <w:rFonts w:hint="eastAsia" w:ascii="Times New Roman" w:hAnsi="Times New Roman" w:cs="Times New Roman"/>
                <w:bCs/>
                <w:color w:val="auto"/>
                <w:sz w:val="24"/>
                <w:szCs w:val="24"/>
                <w:u w:val="none" w:color="auto"/>
                <w:lang w:eastAsia="zh-CN"/>
              </w:rPr>
              <w:t>。</w:t>
            </w:r>
          </w:p>
          <w:p>
            <w:pPr>
              <w:spacing w:line="360" w:lineRule="auto"/>
              <w:ind w:firstLine="462" w:firstLineChars="200"/>
              <w:rPr>
                <w:rFonts w:hint="eastAsia" w:hAnsi="宋体"/>
                <w:color w:val="auto"/>
                <w:sz w:val="24"/>
                <w:u w:val="none" w:color="auto"/>
              </w:rPr>
            </w:pPr>
            <w:r>
              <w:rPr>
                <w:rFonts w:hint="eastAsia" w:hAnsi="宋体"/>
                <w:color w:val="auto"/>
                <w:sz w:val="24"/>
                <w:u w:val="none" w:color="auto"/>
              </w:rPr>
              <w:t>（</w:t>
            </w:r>
            <w:r>
              <w:rPr>
                <w:rFonts w:hint="eastAsia" w:hAnsi="宋体"/>
                <w:color w:val="auto"/>
                <w:sz w:val="24"/>
                <w:u w:val="none" w:color="auto"/>
                <w:lang w:val="en-US" w:eastAsia="zh-CN"/>
              </w:rPr>
              <w:t>7</w:t>
            </w:r>
            <w:r>
              <w:rPr>
                <w:rFonts w:hint="eastAsia" w:hAnsi="宋体"/>
                <w:color w:val="auto"/>
                <w:sz w:val="24"/>
                <w:u w:val="none" w:color="auto"/>
              </w:rPr>
              <w:t>）食堂油烟废气</w:t>
            </w:r>
          </w:p>
          <w:p>
            <w:pPr>
              <w:spacing w:line="360" w:lineRule="auto"/>
              <w:ind w:firstLine="462" w:firstLineChars="200"/>
              <w:rPr>
                <w:rFonts w:hint="eastAsia" w:eastAsia="宋体"/>
                <w:color w:val="auto"/>
                <w:sz w:val="24"/>
                <w:szCs w:val="24"/>
                <w:u w:val="none" w:color="auto"/>
                <w:lang w:eastAsia="zh-CN"/>
              </w:rPr>
            </w:pPr>
            <w:r>
              <w:rPr>
                <w:color w:val="auto"/>
                <w:sz w:val="24"/>
                <w:szCs w:val="24"/>
                <w:u w:val="none" w:color="auto"/>
              </w:rPr>
              <w:t>本项目</w:t>
            </w:r>
            <w:r>
              <w:rPr>
                <w:rFonts w:hint="eastAsia"/>
                <w:color w:val="auto"/>
                <w:sz w:val="24"/>
                <w:szCs w:val="24"/>
                <w:u w:val="none" w:color="auto"/>
              </w:rPr>
              <w:t>员工</w:t>
            </w:r>
            <w:r>
              <w:rPr>
                <w:rFonts w:hint="eastAsia"/>
                <w:color w:val="auto"/>
                <w:sz w:val="24"/>
                <w:szCs w:val="24"/>
                <w:u w:val="none" w:color="auto"/>
                <w:lang w:eastAsia="zh-CN"/>
              </w:rPr>
              <w:t>均在</w:t>
            </w:r>
            <w:r>
              <w:rPr>
                <w:rFonts w:hint="eastAsia"/>
                <w:color w:val="auto"/>
                <w:sz w:val="24"/>
                <w:u w:val="none" w:color="auto"/>
              </w:rPr>
              <w:t>公司</w:t>
            </w:r>
            <w:r>
              <w:rPr>
                <w:color w:val="auto"/>
                <w:sz w:val="24"/>
                <w:szCs w:val="24"/>
                <w:u w:val="none" w:color="auto"/>
              </w:rPr>
              <w:t>食堂</w:t>
            </w:r>
            <w:r>
              <w:rPr>
                <w:rFonts w:hint="eastAsia"/>
                <w:color w:val="auto"/>
                <w:sz w:val="24"/>
                <w:szCs w:val="24"/>
                <w:u w:val="none" w:color="auto"/>
                <w:lang w:eastAsia="zh-CN"/>
              </w:rPr>
              <w:t>就餐</w:t>
            </w:r>
            <w:r>
              <w:rPr>
                <w:color w:val="auto"/>
                <w:sz w:val="24"/>
                <w:szCs w:val="24"/>
                <w:u w:val="none" w:color="auto"/>
              </w:rPr>
              <w:t>，食堂采用液化石油气等清洁燃料</w:t>
            </w:r>
            <w:r>
              <w:rPr>
                <w:rFonts w:hint="eastAsia"/>
                <w:color w:val="auto"/>
                <w:sz w:val="24"/>
                <w:szCs w:val="24"/>
                <w:u w:val="none" w:color="auto"/>
                <w:lang w:eastAsia="zh-CN"/>
              </w:rPr>
              <w:t>，项目每天运行</w:t>
            </w:r>
            <w:r>
              <w:rPr>
                <w:rFonts w:hint="eastAsia"/>
                <w:color w:val="auto"/>
                <w:sz w:val="24"/>
                <w:szCs w:val="24"/>
                <w:u w:val="none" w:color="auto"/>
                <w:lang w:val="en-US" w:eastAsia="zh-CN"/>
              </w:rPr>
              <w:t>4小时</w:t>
            </w:r>
            <w:r>
              <w:rPr>
                <w:color w:val="auto"/>
                <w:sz w:val="24"/>
                <w:szCs w:val="24"/>
                <w:u w:val="none" w:color="auto"/>
              </w:rPr>
              <w:t>，</w:t>
            </w:r>
            <w:r>
              <w:rPr>
                <w:color w:val="auto"/>
                <w:sz w:val="24"/>
                <w:u w:val="none" w:color="auto"/>
              </w:rPr>
              <w:t>根据类比资料，目前人均日食用油用量约</w:t>
            </w:r>
            <w:r>
              <w:rPr>
                <w:rFonts w:hint="eastAsia"/>
                <w:color w:val="auto"/>
                <w:sz w:val="24"/>
                <w:u w:val="none" w:color="auto"/>
              </w:rPr>
              <w:t>45</w:t>
            </w:r>
            <w:r>
              <w:rPr>
                <w:color w:val="auto"/>
                <w:sz w:val="24"/>
                <w:u w:val="none" w:color="auto"/>
              </w:rPr>
              <w:t>g/</w:t>
            </w:r>
            <w:r>
              <w:rPr>
                <w:rFonts w:hAnsi="宋体"/>
                <w:color w:val="auto"/>
                <w:sz w:val="24"/>
                <w:u w:val="none" w:color="auto"/>
              </w:rPr>
              <w:t>人</w:t>
            </w:r>
            <w:r>
              <w:rPr>
                <w:color w:val="auto"/>
                <w:sz w:val="24"/>
                <w:u w:val="none" w:color="auto"/>
              </w:rPr>
              <w:t>·d</w:t>
            </w:r>
            <w:r>
              <w:rPr>
                <w:rFonts w:hAnsi="宋体"/>
                <w:color w:val="auto"/>
                <w:sz w:val="24"/>
                <w:u w:val="none" w:color="auto"/>
              </w:rPr>
              <w:t>，一般油烟挥发量占总耗油量的</w:t>
            </w:r>
            <w:r>
              <w:rPr>
                <w:color w:val="auto"/>
                <w:sz w:val="24"/>
                <w:u w:val="none" w:color="auto"/>
              </w:rPr>
              <w:t>2~4%</w:t>
            </w:r>
            <w:r>
              <w:rPr>
                <w:rFonts w:hAnsi="宋体"/>
                <w:color w:val="auto"/>
                <w:sz w:val="24"/>
                <w:u w:val="none" w:color="auto"/>
              </w:rPr>
              <w:t>，其挥发量以</w:t>
            </w:r>
            <w:r>
              <w:rPr>
                <w:color w:val="auto"/>
                <w:sz w:val="24"/>
                <w:u w:val="none" w:color="auto"/>
              </w:rPr>
              <w:t>2.5%</w:t>
            </w:r>
            <w:r>
              <w:rPr>
                <w:rFonts w:hAnsi="宋体"/>
                <w:color w:val="auto"/>
                <w:sz w:val="24"/>
                <w:u w:val="none" w:color="auto"/>
              </w:rPr>
              <w:t>计，</w:t>
            </w:r>
            <w:r>
              <w:rPr>
                <w:rFonts w:hint="eastAsia" w:hAnsi="宋体"/>
                <w:color w:val="auto"/>
                <w:sz w:val="24"/>
                <w:u w:val="none" w:color="auto"/>
              </w:rPr>
              <w:t>本项目</w:t>
            </w:r>
            <w:r>
              <w:rPr>
                <w:rFonts w:hAnsi="宋体"/>
                <w:color w:val="auto"/>
                <w:sz w:val="24"/>
                <w:u w:val="none" w:color="auto"/>
              </w:rPr>
              <w:t>员工为</w:t>
            </w:r>
            <w:r>
              <w:rPr>
                <w:rFonts w:hint="eastAsia" w:hAnsi="宋体"/>
                <w:color w:val="auto"/>
                <w:sz w:val="24"/>
                <w:u w:val="none" w:color="auto"/>
                <w:lang w:val="en-US" w:eastAsia="zh-CN"/>
              </w:rPr>
              <w:t>200</w:t>
            </w:r>
            <w:r>
              <w:rPr>
                <w:rFonts w:hint="eastAsia" w:hAnsi="宋体"/>
                <w:color w:val="auto"/>
                <w:sz w:val="24"/>
                <w:u w:val="none" w:color="auto"/>
              </w:rPr>
              <w:t>人，</w:t>
            </w:r>
            <w:r>
              <w:rPr>
                <w:rFonts w:hAnsi="宋体"/>
                <w:color w:val="auto"/>
                <w:sz w:val="24"/>
                <w:u w:val="none" w:color="auto"/>
              </w:rPr>
              <w:t>则油烟产生量为</w:t>
            </w:r>
            <w:r>
              <w:rPr>
                <w:rFonts w:hint="eastAsia" w:hAnsi="宋体"/>
                <w:color w:val="auto"/>
                <w:sz w:val="24"/>
                <w:u w:val="none" w:color="auto"/>
                <w:lang w:val="en-US" w:eastAsia="zh-CN"/>
              </w:rPr>
              <w:t>67.5</w:t>
            </w:r>
            <w:r>
              <w:rPr>
                <w:rFonts w:hint="eastAsia" w:hAnsi="宋体"/>
                <w:color w:val="auto"/>
                <w:sz w:val="24"/>
                <w:u w:val="none" w:color="auto"/>
              </w:rPr>
              <w:t>kg/a</w:t>
            </w:r>
            <w:r>
              <w:rPr>
                <w:rFonts w:hint="eastAsia" w:hAnsi="宋体"/>
                <w:color w:val="auto"/>
                <w:sz w:val="24"/>
                <w:u w:val="none" w:color="auto"/>
                <w:lang w:eastAsia="zh-CN"/>
              </w:rPr>
              <w:t>，项目风量为</w:t>
            </w:r>
            <w:r>
              <w:rPr>
                <w:rFonts w:hint="eastAsia" w:hAnsi="宋体"/>
                <w:color w:val="auto"/>
                <w:sz w:val="24"/>
                <w:u w:val="none" w:color="auto"/>
                <w:lang w:val="en-US" w:eastAsia="zh-CN"/>
              </w:rPr>
              <w:t>2000m</w:t>
            </w:r>
            <w:r>
              <w:rPr>
                <w:rFonts w:hint="eastAsia" w:hAnsi="宋体"/>
                <w:color w:val="auto"/>
                <w:sz w:val="24"/>
                <w:u w:val="none" w:color="auto"/>
                <w:vertAlign w:val="superscript"/>
                <w:lang w:val="en-US" w:eastAsia="zh-CN"/>
              </w:rPr>
              <w:t>3</w:t>
            </w:r>
            <w:r>
              <w:rPr>
                <w:rFonts w:hint="eastAsia" w:hAnsi="宋体"/>
                <w:color w:val="auto"/>
                <w:sz w:val="24"/>
                <w:u w:val="none" w:color="auto"/>
                <w:lang w:val="en-US" w:eastAsia="zh-CN"/>
              </w:rPr>
              <w:t>/h</w:t>
            </w:r>
            <w:r>
              <w:rPr>
                <w:color w:val="auto"/>
                <w:sz w:val="24"/>
                <w:szCs w:val="24"/>
                <w:u w:val="none" w:color="auto"/>
              </w:rPr>
              <w:t>，食堂油烟废气的排放浓度约为</w:t>
            </w:r>
            <w:r>
              <w:rPr>
                <w:rFonts w:hint="eastAsia"/>
                <w:color w:val="auto"/>
                <w:sz w:val="24"/>
                <w:szCs w:val="24"/>
                <w:u w:val="none" w:color="auto"/>
                <w:lang w:val="en-US" w:eastAsia="zh-CN"/>
              </w:rPr>
              <w:t>28.12</w:t>
            </w:r>
            <w:r>
              <w:rPr>
                <w:color w:val="auto"/>
                <w:sz w:val="24"/>
                <w:szCs w:val="24"/>
                <w:u w:val="none" w:color="auto"/>
              </w:rPr>
              <w:t>mg/m</w:t>
            </w:r>
            <w:r>
              <w:rPr>
                <w:color w:val="auto"/>
                <w:sz w:val="24"/>
                <w:szCs w:val="24"/>
                <w:u w:val="none" w:color="auto"/>
                <w:vertAlign w:val="superscript"/>
              </w:rPr>
              <w:t>3</w:t>
            </w:r>
            <w:r>
              <w:rPr>
                <w:color w:val="auto"/>
                <w:sz w:val="24"/>
                <w:szCs w:val="24"/>
                <w:u w:val="none" w:color="auto"/>
              </w:rPr>
              <w:t>，食堂</w:t>
            </w:r>
            <w:r>
              <w:rPr>
                <w:rFonts w:hint="eastAsia"/>
                <w:color w:val="auto"/>
                <w:sz w:val="24"/>
                <w:szCs w:val="24"/>
                <w:u w:val="none" w:color="auto"/>
                <w:lang w:eastAsia="zh-CN"/>
              </w:rPr>
              <w:t>油烟</w:t>
            </w:r>
            <w:r>
              <w:rPr>
                <w:color w:val="auto"/>
                <w:sz w:val="24"/>
                <w:szCs w:val="24"/>
                <w:u w:val="none" w:color="auto"/>
              </w:rPr>
              <w:t>必须经油烟净化装置处理达到《饮食业油烟排放标准》后排放，油烟</w:t>
            </w:r>
            <w:r>
              <w:rPr>
                <w:rFonts w:hint="eastAsia"/>
                <w:color w:val="auto"/>
                <w:sz w:val="24"/>
                <w:szCs w:val="24"/>
                <w:u w:val="none" w:color="auto"/>
                <w:lang w:eastAsia="zh-CN"/>
              </w:rPr>
              <w:t>净化器</w:t>
            </w:r>
            <w:r>
              <w:rPr>
                <w:color w:val="auto"/>
                <w:sz w:val="24"/>
                <w:szCs w:val="24"/>
                <w:u w:val="none" w:color="auto"/>
              </w:rPr>
              <w:t>去除效率按</w:t>
            </w:r>
            <w:r>
              <w:rPr>
                <w:rFonts w:hint="eastAsia"/>
                <w:color w:val="auto"/>
                <w:sz w:val="24"/>
                <w:szCs w:val="24"/>
                <w:u w:val="none" w:color="auto"/>
              </w:rPr>
              <w:t>85%计，则</w:t>
            </w:r>
            <w:r>
              <w:rPr>
                <w:color w:val="auto"/>
                <w:sz w:val="24"/>
                <w:szCs w:val="24"/>
                <w:u w:val="none" w:color="auto"/>
              </w:rPr>
              <w:t>经处理后，排放量为</w:t>
            </w:r>
            <w:r>
              <w:rPr>
                <w:rFonts w:hint="eastAsia"/>
                <w:color w:val="auto"/>
                <w:sz w:val="24"/>
                <w:szCs w:val="24"/>
                <w:u w:val="none" w:color="auto"/>
                <w:lang w:val="en-US" w:eastAsia="zh-CN"/>
              </w:rPr>
              <w:t>10.12</w:t>
            </w:r>
            <w:r>
              <w:rPr>
                <w:rFonts w:hint="eastAsia"/>
                <w:color w:val="auto"/>
                <w:sz w:val="24"/>
                <w:szCs w:val="24"/>
                <w:u w:val="none" w:color="auto"/>
              </w:rPr>
              <w:t>kg/a，</w:t>
            </w:r>
            <w:r>
              <w:rPr>
                <w:color w:val="auto"/>
                <w:sz w:val="24"/>
                <w:szCs w:val="24"/>
                <w:u w:val="none" w:color="auto"/>
              </w:rPr>
              <w:t>浓排放度</w:t>
            </w:r>
            <w:r>
              <w:rPr>
                <w:rFonts w:hint="eastAsia"/>
                <w:color w:val="auto"/>
                <w:sz w:val="24"/>
                <w:szCs w:val="24"/>
                <w:u w:val="none" w:color="auto"/>
                <w:lang w:val="en-US" w:eastAsia="zh-CN"/>
              </w:rPr>
              <w:t>4.22</w:t>
            </w:r>
            <w:r>
              <w:rPr>
                <w:color w:val="auto"/>
                <w:sz w:val="24"/>
                <w:szCs w:val="24"/>
                <w:u w:val="none" w:color="auto"/>
              </w:rPr>
              <w:t>mg/m</w:t>
            </w:r>
            <w:r>
              <w:rPr>
                <w:color w:val="auto"/>
                <w:sz w:val="24"/>
                <w:szCs w:val="24"/>
                <w:u w:val="none" w:color="auto"/>
                <w:vertAlign w:val="superscript"/>
              </w:rPr>
              <w:t>3</w:t>
            </w:r>
            <w:r>
              <w:rPr>
                <w:rFonts w:hint="eastAsia"/>
                <w:color w:val="auto"/>
                <w:sz w:val="24"/>
                <w:szCs w:val="24"/>
                <w:u w:val="none" w:color="auto"/>
                <w:vertAlign w:val="baseline"/>
                <w:lang w:eastAsia="zh-CN"/>
              </w:rPr>
              <w:t>，符合</w:t>
            </w:r>
            <w:r>
              <w:rPr>
                <w:rFonts w:hint="eastAsia" w:cs="Times New Roman"/>
                <w:color w:val="auto"/>
                <w:kern w:val="0"/>
                <w:sz w:val="24"/>
                <w:szCs w:val="24"/>
                <w:u w:val="none" w:color="auto"/>
                <w:lang w:val="en-US" w:eastAsia="zh-CN" w:bidi="ar"/>
              </w:rPr>
              <w:t>《饮食业油烟排放标准（试行）》（GB18483-2001）中排放标准要求（浓度小于2.0mg/m</w:t>
            </w:r>
            <w:r>
              <w:rPr>
                <w:rFonts w:hint="eastAsia" w:cs="Times New Roman"/>
                <w:color w:val="auto"/>
                <w:kern w:val="0"/>
                <w:sz w:val="24"/>
                <w:szCs w:val="24"/>
                <w:u w:val="none" w:color="auto"/>
                <w:vertAlign w:val="superscript"/>
                <w:lang w:val="en-US" w:eastAsia="zh-CN" w:bidi="ar"/>
              </w:rPr>
              <w:t>3</w:t>
            </w:r>
            <w:r>
              <w:rPr>
                <w:rFonts w:hint="eastAsia" w:cs="Times New Roman"/>
                <w:color w:val="auto"/>
                <w:kern w:val="0"/>
                <w:sz w:val="24"/>
                <w:szCs w:val="24"/>
                <w:u w:val="none" w:color="auto"/>
                <w:lang w:val="en-US" w:eastAsia="zh-CN" w:bidi="ar"/>
              </w:rPr>
              <w:t>）。</w:t>
            </w:r>
          </w:p>
          <w:p>
            <w:pPr>
              <w:pStyle w:val="172"/>
              <w:spacing w:line="360" w:lineRule="auto"/>
              <w:ind w:firstLine="480"/>
              <w:rPr>
                <w:rFonts w:hint="default" w:ascii="Times New Roman" w:hAnsi="Times New Roman" w:cs="Times New Roman"/>
                <w:color w:val="auto"/>
                <w:sz w:val="24"/>
                <w:szCs w:val="24"/>
                <w:u w:val="none" w:color="auto"/>
              </w:rPr>
            </w:pPr>
            <w:r>
              <w:rPr>
                <w:rFonts w:hint="eastAsia"/>
                <w:color w:val="auto"/>
                <w:sz w:val="24"/>
                <w:szCs w:val="24"/>
                <w:u w:val="none" w:color="auto"/>
                <w:lang w:eastAsia="zh-CN"/>
              </w:rPr>
              <w:t>（</w:t>
            </w:r>
            <w:r>
              <w:rPr>
                <w:rFonts w:hint="eastAsia"/>
                <w:color w:val="auto"/>
                <w:sz w:val="24"/>
                <w:szCs w:val="24"/>
                <w:u w:val="none" w:color="auto"/>
                <w:lang w:val="en-US" w:eastAsia="zh-CN"/>
              </w:rPr>
              <w:t>8</w:t>
            </w:r>
            <w:r>
              <w:rPr>
                <w:rFonts w:hint="eastAsia"/>
                <w:color w:val="auto"/>
                <w:sz w:val="24"/>
                <w:szCs w:val="24"/>
                <w:u w:val="none" w:color="auto"/>
                <w:lang w:eastAsia="zh-CN"/>
              </w:rPr>
              <w:t>）耐高温检测</w:t>
            </w:r>
            <w:r>
              <w:rPr>
                <w:rFonts w:hint="default" w:ascii="Times New Roman" w:hAnsi="Times New Roman" w:cs="Times New Roman"/>
                <w:color w:val="auto"/>
                <w:sz w:val="24"/>
                <w:szCs w:val="24"/>
                <w:u w:val="none" w:color="auto"/>
              </w:rPr>
              <w:t>废气</w:t>
            </w:r>
          </w:p>
          <w:p>
            <w:pPr>
              <w:keepNext w:val="0"/>
              <w:keepLines w:val="0"/>
              <w:pageBreakBefore w:val="0"/>
              <w:widowControl w:val="0"/>
              <w:kinsoku/>
              <w:wordWrap/>
              <w:overflowPunct/>
              <w:topLinePunct w:val="0"/>
              <w:autoSpaceDE/>
              <w:autoSpaceDN/>
              <w:bidi w:val="0"/>
              <w:spacing w:line="360" w:lineRule="auto"/>
              <w:ind w:firstLine="462" w:firstLineChars="200"/>
              <w:textAlignment w:val="auto"/>
              <w:rPr>
                <w:rStyle w:val="187"/>
                <w:rFonts w:hint="eastAsia" w:cs="Times New Roman"/>
                <w:color w:val="auto"/>
                <w:sz w:val="24"/>
                <w:szCs w:val="24"/>
                <w:u w:val="none" w:color="auto"/>
                <w:lang w:val="en-US" w:eastAsia="zh-CN"/>
              </w:rPr>
            </w:pPr>
            <w:r>
              <w:rPr>
                <w:rStyle w:val="187"/>
                <w:rFonts w:hint="default" w:ascii="Times New Roman" w:hAnsi="Times New Roman" w:cs="Times New Roman"/>
                <w:color w:val="auto"/>
                <w:sz w:val="24"/>
                <w:szCs w:val="24"/>
                <w:u w:val="none" w:color="auto"/>
              </w:rPr>
              <w:t>拟建项目</w:t>
            </w:r>
            <w:r>
              <w:rPr>
                <w:rStyle w:val="187"/>
                <w:rFonts w:hint="eastAsia" w:ascii="Times New Roman" w:hAnsi="Times New Roman" w:cs="Times New Roman"/>
                <w:color w:val="auto"/>
                <w:sz w:val="24"/>
                <w:szCs w:val="24"/>
                <w:u w:val="none" w:color="auto"/>
              </w:rPr>
              <w:t>成品需要进行</w:t>
            </w:r>
            <w:r>
              <w:rPr>
                <w:rStyle w:val="187"/>
                <w:rFonts w:hint="eastAsia" w:cs="Times New Roman"/>
                <w:color w:val="auto"/>
                <w:sz w:val="24"/>
                <w:szCs w:val="24"/>
                <w:u w:val="none" w:color="auto"/>
              </w:rPr>
              <w:t>耐</w:t>
            </w:r>
            <w:r>
              <w:rPr>
                <w:rStyle w:val="187"/>
                <w:rFonts w:hint="eastAsia" w:ascii="Times New Roman" w:hAnsi="Times New Roman" w:cs="Times New Roman"/>
                <w:color w:val="auto"/>
                <w:sz w:val="24"/>
                <w:szCs w:val="24"/>
                <w:u w:val="none" w:color="auto"/>
              </w:rPr>
              <w:t>高温实验，</w:t>
            </w:r>
            <w:r>
              <w:rPr>
                <w:rStyle w:val="187"/>
                <w:rFonts w:hint="default" w:ascii="Times New Roman" w:hAnsi="Times New Roman" w:cs="Times New Roman"/>
                <w:color w:val="auto"/>
                <w:sz w:val="24"/>
                <w:szCs w:val="24"/>
                <w:u w:val="none" w:color="auto"/>
              </w:rPr>
              <w:t>采用液化气</w:t>
            </w:r>
            <w:r>
              <w:rPr>
                <w:rStyle w:val="187"/>
                <w:rFonts w:hint="eastAsia" w:cs="Times New Roman"/>
                <w:color w:val="auto"/>
                <w:sz w:val="24"/>
                <w:szCs w:val="24"/>
                <w:u w:val="none" w:color="auto"/>
              </w:rPr>
              <w:t>燃烧</w:t>
            </w:r>
            <w:r>
              <w:rPr>
                <w:rStyle w:val="187"/>
                <w:rFonts w:hint="default" w:ascii="Times New Roman" w:hAnsi="Times New Roman" w:cs="Times New Roman"/>
                <w:color w:val="auto"/>
                <w:sz w:val="24"/>
                <w:szCs w:val="24"/>
                <w:u w:val="none" w:color="auto"/>
              </w:rPr>
              <w:t>加热</w:t>
            </w:r>
            <w:r>
              <w:rPr>
                <w:rStyle w:val="187"/>
                <w:rFonts w:hint="eastAsia" w:cs="Times New Roman"/>
                <w:color w:val="auto"/>
                <w:sz w:val="24"/>
                <w:szCs w:val="24"/>
                <w:u w:val="none" w:color="auto"/>
              </w:rPr>
              <w:t>（每次检测试验约</w:t>
            </w:r>
            <w:r>
              <w:rPr>
                <w:rStyle w:val="187"/>
                <w:rFonts w:hint="eastAsia" w:cs="Times New Roman"/>
                <w:color w:val="auto"/>
                <w:sz w:val="24"/>
                <w:szCs w:val="24"/>
                <w:u w:val="none" w:color="auto"/>
                <w:lang w:val="en-US"/>
              </w:rPr>
              <w:t>30分钟，一年约200次</w:t>
            </w:r>
            <w:r>
              <w:rPr>
                <w:rStyle w:val="187"/>
                <w:rFonts w:hint="eastAsia" w:cs="Times New Roman"/>
                <w:color w:val="auto"/>
                <w:sz w:val="24"/>
                <w:szCs w:val="24"/>
                <w:u w:val="none" w:color="auto"/>
              </w:rPr>
              <w:t>），液化石油气使用量为</w:t>
            </w:r>
            <w:r>
              <w:rPr>
                <w:rStyle w:val="187"/>
                <w:rFonts w:hint="eastAsia" w:cs="Times New Roman"/>
                <w:color w:val="auto"/>
                <w:sz w:val="24"/>
                <w:szCs w:val="24"/>
                <w:u w:val="none" w:color="auto"/>
                <w:lang w:val="en-US"/>
              </w:rPr>
              <w:t>1t/a</w:t>
            </w:r>
            <w:r>
              <w:rPr>
                <w:rStyle w:val="187"/>
                <w:rFonts w:hint="default" w:ascii="Times New Roman" w:hAnsi="Times New Roman" w:cs="Times New Roman"/>
                <w:color w:val="auto"/>
                <w:sz w:val="24"/>
                <w:szCs w:val="24"/>
                <w:u w:val="none" w:color="auto"/>
              </w:rPr>
              <w:t>，液化气为清洁能源，燃烧过程中产生少量的废气。</w:t>
            </w:r>
            <w:r>
              <w:rPr>
                <w:rStyle w:val="187"/>
                <w:rFonts w:hint="eastAsia" w:cs="Times New Roman"/>
                <w:color w:val="auto"/>
                <w:sz w:val="24"/>
                <w:szCs w:val="24"/>
                <w:u w:val="none" w:color="auto"/>
                <w:lang w:val="en-US" w:eastAsia="zh-CN"/>
              </w:rPr>
              <w:t>燃烧的废气收集后经15m高排气筒高空排放（</w:t>
            </w:r>
            <w:r>
              <w:rPr>
                <w:rFonts w:hint="eastAsia" w:cs="Times New Roman"/>
                <w:bCs/>
                <w:color w:val="auto"/>
                <w:sz w:val="24"/>
                <w:szCs w:val="24"/>
                <w:u w:val="none" w:color="auto"/>
                <w:lang w:val="en-US" w:eastAsia="zh-CN"/>
              </w:rPr>
              <w:t>G6</w:t>
            </w:r>
            <w:r>
              <w:rPr>
                <w:rStyle w:val="187"/>
                <w:rFonts w:hint="eastAsia" w:cs="Times New Roman"/>
                <w:color w:val="auto"/>
                <w:sz w:val="24"/>
                <w:szCs w:val="24"/>
                <w:u w:val="none" w:color="auto"/>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u w:val="none" w:color="auto"/>
              </w:rPr>
            </w:pPr>
            <w:r>
              <w:rPr>
                <w:rFonts w:hint="default" w:ascii="Times New Roman" w:hAnsi="Times New Roman" w:eastAsia="宋体" w:cs="Times New Roman"/>
                <w:sz w:val="24"/>
                <w:szCs w:val="24"/>
              </w:rPr>
              <w:t>根据企业提供数据，液化石油气用量为</w:t>
            </w:r>
            <w:r>
              <w:rPr>
                <w:rFonts w:hint="eastAsia" w:ascii="Times New Roman" w:hAnsi="Times New Roman" w:cs="Times New Roman"/>
                <w:sz w:val="24"/>
                <w:szCs w:val="24"/>
                <w:lang w:val="en-US" w:eastAsia="zh-CN"/>
              </w:rPr>
              <w:t>1</w:t>
            </w:r>
            <w:r>
              <w:rPr>
                <w:rFonts w:hint="default" w:ascii="Times New Roman" w:hAnsi="Times New Roman" w:eastAsia="宋体" w:cs="Times New Roman"/>
                <w:sz w:val="24"/>
                <w:szCs w:val="24"/>
              </w:rPr>
              <w:t>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a (</w:t>
            </w:r>
            <w:r>
              <w:rPr>
                <w:rFonts w:hint="eastAsia" w:ascii="Times New Roman" w:hAnsi="Times New Roman" w:cs="Times New Roman"/>
                <w:sz w:val="24"/>
                <w:szCs w:val="24"/>
                <w:lang w:val="en-US" w:eastAsia="zh-CN"/>
              </w:rPr>
              <w:t>425.9</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w:t>
            </w:r>
            <w:r>
              <w:rPr>
                <w:rFonts w:hint="eastAsia" w:cs="Times New Roman"/>
                <w:sz w:val="24"/>
                <w:szCs w:val="24"/>
                <w:lang w:val="en-US" w:eastAsia="zh-CN"/>
              </w:rPr>
              <w:t>a</w:t>
            </w:r>
            <w:r>
              <w:rPr>
                <w:rFonts w:hint="default" w:ascii="Times New Roman" w:hAnsi="Times New Roman" w:eastAsia="宋体" w:cs="Times New Roman"/>
                <w:sz w:val="24"/>
                <w:szCs w:val="24"/>
              </w:rPr>
              <w:t>)。</w:t>
            </w:r>
            <w:r>
              <w:rPr>
                <w:rFonts w:hint="default" w:ascii="Times New Roman" w:hAnsi="Times New Roman" w:cs="Times New Roman"/>
                <w:color w:val="auto"/>
                <w:sz w:val="24"/>
                <w:szCs w:val="24"/>
                <w:u w:val="none" w:color="auto"/>
              </w:rPr>
              <w:t>根据《第一次全国污染源普查工业污染源产排污系数手册》</w:t>
            </w:r>
            <w:r>
              <w:rPr>
                <w:rFonts w:hint="default" w:ascii="Times New Roman" w:hAnsi="Times New Roman" w:cs="Times New Roman"/>
                <w:color w:val="auto"/>
                <w:sz w:val="24"/>
                <w:szCs w:val="24"/>
                <w:u w:val="none" w:color="auto"/>
                <w:lang w:eastAsia="zh-CN"/>
              </w:rPr>
              <w:t>燃气</w:t>
            </w:r>
            <w:r>
              <w:rPr>
                <w:rFonts w:hint="default" w:ascii="Times New Roman" w:hAnsi="Times New Roman" w:cs="Times New Roman"/>
                <w:color w:val="auto"/>
                <w:sz w:val="24"/>
                <w:szCs w:val="24"/>
                <w:u w:val="none" w:color="auto"/>
              </w:rPr>
              <w:t>锅炉产排污系数</w:t>
            </w:r>
            <w:r>
              <w:rPr>
                <w:rFonts w:hint="default" w:ascii="Times New Roman" w:hAnsi="Times New Roman" w:cs="Times New Roman"/>
                <w:color w:val="auto"/>
                <w:sz w:val="24"/>
                <w:szCs w:val="24"/>
                <w:u w:val="none" w:color="auto"/>
                <w:lang w:eastAsia="zh-CN"/>
              </w:rPr>
              <w:t>，</w:t>
            </w:r>
            <w:r>
              <w:rPr>
                <w:rFonts w:hint="default" w:ascii="Times New Roman" w:hAnsi="Times New Roman" w:eastAsia="宋体" w:cs="Times New Roman"/>
                <w:sz w:val="24"/>
                <w:szCs w:val="24"/>
                <w:u w:val="none" w:color="auto"/>
              </w:rPr>
              <w:t>烟尘污染物产生量参照《环境统计手册》(四川科学技术出版社) 中液化石油气的烟尘排放系数为0.16g/m</w:t>
            </w:r>
            <w:r>
              <w:rPr>
                <w:rFonts w:hint="default" w:ascii="Times New Roman" w:hAnsi="Times New Roman" w:eastAsia="宋体" w:cs="Times New Roman"/>
                <w:sz w:val="24"/>
                <w:szCs w:val="24"/>
                <w:u w:val="none" w:color="auto"/>
                <w:vertAlign w:val="superscript"/>
              </w:rPr>
              <w:t>3</w:t>
            </w:r>
            <w:r>
              <w:rPr>
                <w:rFonts w:hint="default" w:ascii="Times New Roman" w:hAnsi="Times New Roman" w:eastAsia="宋体" w:cs="Times New Roman"/>
                <w:sz w:val="24"/>
                <w:szCs w:val="24"/>
                <w:u w:val="none" w:color="auto"/>
              </w:rPr>
              <w:t>燃料，即1.6kg</w:t>
            </w:r>
            <w:r>
              <w:rPr>
                <w:rFonts w:hint="default" w:ascii="Times New Roman" w:hAnsi="Times New Roman" w:eastAsia="宋体" w:cs="Times New Roman"/>
                <w:sz w:val="24"/>
                <w:szCs w:val="24"/>
                <w:u w:val="none" w:color="auto"/>
                <w:lang w:val="en-US" w:eastAsia="zh-CN"/>
              </w:rPr>
              <w:t>/</w:t>
            </w:r>
            <w:r>
              <w:rPr>
                <w:rFonts w:hint="default" w:ascii="Times New Roman" w:hAnsi="Times New Roman" w:cs="Times New Roman"/>
                <w:color w:val="auto"/>
                <w:sz w:val="24"/>
                <w:szCs w:val="24"/>
                <w:u w:val="none" w:color="auto"/>
                <w:lang w:val="en-US" w:eastAsia="zh-CN"/>
              </w:rPr>
              <w:t>10</w:t>
            </w:r>
            <w:r>
              <w:rPr>
                <w:rFonts w:hint="default" w:ascii="Times New Roman" w:hAnsi="Times New Roman" w:cs="Times New Roman"/>
                <w:color w:val="auto"/>
                <w:sz w:val="24"/>
                <w:szCs w:val="24"/>
                <w:u w:val="none" w:color="auto"/>
                <w:vertAlign w:val="superscript"/>
                <w:lang w:val="en-US" w:eastAsia="zh-CN"/>
              </w:rPr>
              <w:t>4</w:t>
            </w:r>
            <w:r>
              <w:rPr>
                <w:rFonts w:hint="default" w:ascii="Times New Roman" w:hAnsi="Times New Roman"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-原料。</w:t>
            </w:r>
            <w:r>
              <w:rPr>
                <w:rFonts w:hint="default" w:ascii="Times New Roman" w:hAnsi="Times New Roman" w:eastAsia="宋体" w:cs="Times New Roman"/>
                <w:sz w:val="24"/>
                <w:szCs w:val="24"/>
                <w:u w:val="none" w:color="auto"/>
              </w:rPr>
              <w:t>项目使用的液化石油气需符合《液化石油气》(GB11174-2011) 相关标准(硫含量不大于343mg/m</w:t>
            </w:r>
            <w:r>
              <w:rPr>
                <w:rFonts w:hint="default" w:ascii="Times New Roman" w:hAnsi="Times New Roman" w:eastAsia="宋体" w:cs="Times New Roman"/>
                <w:sz w:val="24"/>
                <w:szCs w:val="24"/>
                <w:u w:val="none" w:color="auto"/>
                <w:vertAlign w:val="superscript"/>
              </w:rPr>
              <w:t>3</w:t>
            </w:r>
            <w:r>
              <w:rPr>
                <w:rFonts w:hint="default" w:ascii="Times New Roman" w:hAnsi="Times New Roman" w:eastAsia="宋体" w:cs="Times New Roman"/>
                <w:sz w:val="24"/>
                <w:szCs w:val="24"/>
                <w:u w:val="none" w:color="auto"/>
              </w:rPr>
              <w:t>)</w:t>
            </w:r>
            <w:r>
              <w:rPr>
                <w:rFonts w:hint="default" w:ascii="Times New Roman" w:hAnsi="Times New Roman" w:cs="Times New Roman"/>
                <w:color w:val="auto"/>
                <w:sz w:val="24"/>
                <w:szCs w:val="24"/>
                <w:u w:val="none" w:color="auto"/>
              </w:rPr>
              <w:t>，详见下表。</w:t>
            </w:r>
          </w:p>
          <w:p>
            <w:pPr>
              <w:keepNext w:val="0"/>
              <w:keepLines w:val="0"/>
              <w:pageBreakBefore w:val="0"/>
              <w:widowControl w:val="0"/>
              <w:kinsoku/>
              <w:wordWrap/>
              <w:overflowPunct/>
              <w:topLinePunct w:val="0"/>
              <w:autoSpaceDE/>
              <w:autoSpaceDN/>
              <w:bidi w:val="0"/>
              <w:spacing w:line="360" w:lineRule="auto"/>
              <w:ind w:firstLine="480"/>
              <w:jc w:val="center"/>
              <w:textAlignment w:val="auto"/>
              <w:rPr>
                <w:rFonts w:hint="default" w:ascii="Times New Roman" w:hAnsi="Times New Roman" w:eastAsia="宋体" w:cs="Times New Roman"/>
                <w:color w:val="auto"/>
                <w:sz w:val="24"/>
                <w:szCs w:val="22"/>
                <w:u w:val="none" w:color="auto"/>
              </w:rPr>
            </w:pPr>
            <w:r>
              <w:rPr>
                <w:rFonts w:hint="default" w:ascii="Times New Roman" w:hAnsi="Times New Roman" w:eastAsia="宋体" w:cs="Times New Roman"/>
                <w:color w:val="auto"/>
                <w:sz w:val="24"/>
                <w:szCs w:val="22"/>
                <w:u w:val="none" w:color="auto"/>
              </w:rPr>
              <w:t>表5-</w:t>
            </w:r>
            <w:r>
              <w:rPr>
                <w:rFonts w:hint="eastAsia" w:cs="Times New Roman"/>
                <w:color w:val="auto"/>
                <w:sz w:val="24"/>
                <w:szCs w:val="22"/>
                <w:u w:val="none" w:color="auto"/>
                <w:lang w:val="en-US" w:eastAsia="zh-CN"/>
              </w:rPr>
              <w:t>9</w:t>
            </w:r>
            <w:r>
              <w:rPr>
                <w:rFonts w:hint="default" w:ascii="Times New Roman" w:hAnsi="Times New Roman" w:eastAsia="宋体" w:cs="Times New Roman"/>
                <w:color w:val="auto"/>
                <w:sz w:val="24"/>
                <w:szCs w:val="22"/>
                <w:u w:val="none" w:color="auto"/>
                <w:lang w:val="en-US" w:eastAsia="zh-CN"/>
              </w:rPr>
              <w:t xml:space="preserve">  </w:t>
            </w:r>
            <w:r>
              <w:rPr>
                <w:rFonts w:hint="default" w:ascii="Times New Roman" w:hAnsi="Times New Roman" w:eastAsia="宋体" w:cs="Times New Roman"/>
                <w:color w:val="auto"/>
                <w:sz w:val="24"/>
                <w:szCs w:val="22"/>
                <w:u w:val="none" w:color="auto"/>
              </w:rPr>
              <w:t>燃烧废气产污一览表</w:t>
            </w:r>
          </w:p>
          <w:tbl>
            <w:tblPr>
              <w:tblStyle w:val="3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2175"/>
              <w:gridCol w:w="4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2127"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污染源</w:t>
                  </w: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系数</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产污系数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27" w:type="dxa"/>
                  <w:vMerge w:val="restart"/>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液化石油气</w:t>
                  </w:r>
                  <w:r>
                    <w:rPr>
                      <w:rFonts w:hint="default" w:ascii="Times New Roman" w:hAnsi="Times New Roman" w:cs="Times New Roman"/>
                      <w:color w:val="auto"/>
                      <w:sz w:val="22"/>
                      <w:szCs w:val="22"/>
                      <w:u w:val="none" w:color="auto"/>
                      <w:lang w:val="en-US" w:eastAsia="zh-CN"/>
                    </w:rPr>
                    <w:t>燃烧废气</w:t>
                  </w: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烟气量</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375170.58 Nm</w:t>
                  </w:r>
                  <w:r>
                    <w:rPr>
                      <w:rFonts w:hint="default" w:ascii="Times New Roman" w:hAnsi="Times New Roman"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w:t>
                  </w:r>
                  <w:r>
                    <w:rPr>
                      <w:rFonts w:hint="eastAsia" w:cs="Times New Roman"/>
                      <w:color w:val="auto"/>
                      <w:sz w:val="22"/>
                      <w:szCs w:val="22"/>
                      <w:u w:val="none" w:color="auto"/>
                      <w:lang w:val="en-US" w:eastAsia="zh-CN"/>
                    </w:rPr>
                    <w:t>10</w:t>
                  </w:r>
                  <w:r>
                    <w:rPr>
                      <w:rFonts w:hint="eastAsia" w:cs="Times New Roman"/>
                      <w:color w:val="auto"/>
                      <w:sz w:val="22"/>
                      <w:szCs w:val="22"/>
                      <w:u w:val="none" w:color="auto"/>
                      <w:vertAlign w:val="superscript"/>
                      <w:lang w:val="en-US" w:eastAsia="zh-CN"/>
                    </w:rPr>
                    <w:t>4</w:t>
                  </w:r>
                  <w:r>
                    <w:rPr>
                      <w:rFonts w:hint="eastAsia" w:cs="Times New Roman"/>
                      <w:color w:val="auto"/>
                      <w:sz w:val="22"/>
                      <w:szCs w:val="22"/>
                      <w:u w:val="none" w:color="auto"/>
                      <w:lang w:val="en-US" w:eastAsia="zh-CN"/>
                    </w:rPr>
                    <w:t>m</w:t>
                  </w:r>
                  <w:r>
                    <w:rPr>
                      <w:rFonts w:hint="eastAsia"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7" w:type="dxa"/>
                  <w:vMerge w:val="continue"/>
                  <w:shd w:val="clear" w:color="auto" w:fill="auto"/>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SO</w:t>
                  </w:r>
                  <w:r>
                    <w:rPr>
                      <w:rFonts w:hint="default" w:ascii="Times New Roman" w:hAnsi="Times New Roman" w:cs="Times New Roman"/>
                      <w:color w:val="auto"/>
                      <w:sz w:val="22"/>
                      <w:szCs w:val="22"/>
                      <w:u w:val="none" w:color="auto"/>
                      <w:vertAlign w:val="subscript"/>
                      <w:lang w:val="en-US" w:eastAsia="zh-CN"/>
                    </w:rPr>
                    <w:t>2</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w:t>
                  </w:r>
                  <w:r>
                    <w:rPr>
                      <w:rFonts w:hint="default" w:ascii="Times New Roman" w:hAnsi="Times New Roman" w:cs="Times New Roman"/>
                      <w:color w:val="auto"/>
                      <w:sz w:val="22"/>
                      <w:szCs w:val="22"/>
                      <w:u w:val="none" w:color="auto"/>
                      <w:lang w:val="en-US" w:eastAsia="zh-CN"/>
                    </w:rPr>
                    <w:t>S①千克/</w:t>
                  </w:r>
                  <w:r>
                    <w:rPr>
                      <w:rFonts w:hint="eastAsia" w:cs="Times New Roman"/>
                      <w:color w:val="auto"/>
                      <w:sz w:val="22"/>
                      <w:szCs w:val="22"/>
                      <w:u w:val="none" w:color="auto"/>
                      <w:lang w:val="en-US" w:eastAsia="zh-CN"/>
                    </w:rPr>
                    <w:t>10</w:t>
                  </w:r>
                  <w:r>
                    <w:rPr>
                      <w:rFonts w:hint="eastAsia" w:cs="Times New Roman"/>
                      <w:color w:val="auto"/>
                      <w:sz w:val="22"/>
                      <w:szCs w:val="22"/>
                      <w:u w:val="none" w:color="auto"/>
                      <w:vertAlign w:val="superscript"/>
                      <w:lang w:val="en-US" w:eastAsia="zh-CN"/>
                    </w:rPr>
                    <w:t>4</w:t>
                  </w:r>
                  <w:r>
                    <w:rPr>
                      <w:rFonts w:hint="eastAsia" w:cs="Times New Roman"/>
                      <w:color w:val="auto"/>
                      <w:sz w:val="22"/>
                      <w:szCs w:val="22"/>
                      <w:u w:val="none" w:color="auto"/>
                      <w:lang w:val="en-US" w:eastAsia="zh-CN"/>
                    </w:rPr>
                    <w:t>m</w:t>
                  </w:r>
                  <w:r>
                    <w:rPr>
                      <w:rFonts w:hint="eastAsia"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2127" w:type="dxa"/>
                  <w:vMerge w:val="continue"/>
                  <w:shd w:val="clear" w:color="auto" w:fill="auto"/>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NOx</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59.61</w:t>
                  </w:r>
                  <w:r>
                    <w:rPr>
                      <w:rFonts w:hint="default" w:ascii="Times New Roman" w:hAnsi="Times New Roman" w:cs="Times New Roman"/>
                      <w:color w:val="auto"/>
                      <w:sz w:val="22"/>
                      <w:szCs w:val="22"/>
                      <w:u w:val="none" w:color="auto"/>
                      <w:lang w:val="en-US" w:eastAsia="zh-CN"/>
                    </w:rPr>
                    <w:t>千克/</w:t>
                  </w:r>
                  <w:r>
                    <w:rPr>
                      <w:rFonts w:hint="eastAsia" w:cs="Times New Roman"/>
                      <w:color w:val="auto"/>
                      <w:sz w:val="22"/>
                      <w:szCs w:val="22"/>
                      <w:u w:val="none" w:color="auto"/>
                      <w:lang w:val="en-US" w:eastAsia="zh-CN"/>
                    </w:rPr>
                    <w:t>10</w:t>
                  </w:r>
                  <w:r>
                    <w:rPr>
                      <w:rFonts w:hint="eastAsia" w:cs="Times New Roman"/>
                      <w:color w:val="auto"/>
                      <w:sz w:val="22"/>
                      <w:szCs w:val="22"/>
                      <w:u w:val="none" w:color="auto"/>
                      <w:vertAlign w:val="superscript"/>
                      <w:lang w:val="en-US" w:eastAsia="zh-CN"/>
                    </w:rPr>
                    <w:t>4</w:t>
                  </w:r>
                  <w:r>
                    <w:rPr>
                      <w:rFonts w:hint="eastAsia" w:cs="Times New Roman"/>
                      <w:color w:val="auto"/>
                      <w:sz w:val="22"/>
                      <w:szCs w:val="22"/>
                      <w:u w:val="none" w:color="auto"/>
                      <w:lang w:val="en-US" w:eastAsia="zh-CN"/>
                    </w:rPr>
                    <w:t>m</w:t>
                  </w:r>
                  <w:r>
                    <w:rPr>
                      <w:rFonts w:hint="eastAsia"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2127" w:type="dxa"/>
                  <w:vMerge w:val="continue"/>
                  <w:shd w:val="clear" w:color="auto" w:fill="auto"/>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p>
              </w:tc>
              <w:tc>
                <w:tcPr>
                  <w:tcW w:w="2175"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颗粒物</w:t>
                  </w:r>
                </w:p>
              </w:tc>
              <w:tc>
                <w:tcPr>
                  <w:tcW w:w="4762" w:type="dxa"/>
                  <w:shd w:val="clear" w:color="000000" w:fill="FFFFFF"/>
                  <w:noWrap w:val="0"/>
                  <w:vAlign w:val="center"/>
                </w:tcPr>
                <w:p>
                  <w:pPr>
                    <w:pStyle w:val="19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1.6</w:t>
                  </w:r>
                  <w:r>
                    <w:rPr>
                      <w:rFonts w:hint="default" w:ascii="Times New Roman" w:hAnsi="Times New Roman" w:cs="Times New Roman"/>
                      <w:color w:val="auto"/>
                      <w:sz w:val="22"/>
                      <w:szCs w:val="22"/>
                      <w:u w:val="none" w:color="auto"/>
                      <w:lang w:val="en-US" w:eastAsia="zh-CN"/>
                    </w:rPr>
                    <w:t>千克/</w:t>
                  </w:r>
                  <w:r>
                    <w:rPr>
                      <w:rFonts w:hint="default" w:ascii="Times New Roman" w:hAnsi="Times New Roman" w:cs="Times New Roman"/>
                      <w:color w:val="auto"/>
                      <w:sz w:val="24"/>
                      <w:szCs w:val="24"/>
                      <w:u w:val="none" w:color="auto"/>
                      <w:lang w:val="en-US" w:eastAsia="zh-CN"/>
                    </w:rPr>
                    <w:t>10</w:t>
                  </w:r>
                  <w:r>
                    <w:rPr>
                      <w:rFonts w:hint="default" w:ascii="Times New Roman" w:hAnsi="Times New Roman" w:cs="Times New Roman"/>
                      <w:color w:val="auto"/>
                      <w:sz w:val="24"/>
                      <w:szCs w:val="24"/>
                      <w:u w:val="none" w:color="auto"/>
                      <w:vertAlign w:val="superscript"/>
                      <w:lang w:val="en-US" w:eastAsia="zh-CN"/>
                    </w:rPr>
                    <w:t>4</w:t>
                  </w:r>
                  <w:r>
                    <w:rPr>
                      <w:rFonts w:hint="default" w:ascii="Times New Roman" w:hAnsi="Times New Roman" w:cs="Times New Roman"/>
                      <w:color w:val="auto"/>
                      <w:sz w:val="24"/>
                      <w:szCs w:val="24"/>
                      <w:u w:val="none" w:color="auto"/>
                      <w:lang w:val="en-US" w:eastAsia="zh-CN"/>
                    </w:rPr>
                    <w:t>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-原料</w:t>
                  </w:r>
                </w:p>
              </w:tc>
            </w:tr>
          </w:tbl>
          <w:p>
            <w:pPr>
              <w:adjustRightInd w:val="0"/>
              <w:snapToGrid w:val="0"/>
              <w:spacing w:after="156" w:afterLines="50"/>
              <w:ind w:firstLine="480"/>
              <w:rPr>
                <w:rStyle w:val="187"/>
                <w:rFonts w:hint="eastAsia" w:cs="Times New Roman"/>
                <w:b/>
                <w:bCs/>
                <w:color w:val="auto"/>
                <w:sz w:val="24"/>
                <w:szCs w:val="24"/>
                <w:u w:val="none" w:color="auto"/>
              </w:rPr>
            </w:pPr>
            <w:r>
              <w:rPr>
                <w:rFonts w:hint="default" w:ascii="Times New Roman" w:hAnsi="Times New Roman" w:eastAsia="宋体" w:cs="Times New Roman"/>
                <w:b w:val="0"/>
                <w:bCs w:val="0"/>
                <w:color w:val="auto"/>
                <w:kern w:val="0"/>
                <w:sz w:val="22"/>
                <w:szCs w:val="20"/>
                <w:u w:val="none" w:color="auto"/>
              </w:rPr>
              <w:t>注：①</w:t>
            </w:r>
            <w:r>
              <w:rPr>
                <w:rFonts w:hint="eastAsia" w:eastAsia="宋体" w:cs="Times New Roman"/>
                <w:b w:val="0"/>
                <w:bCs w:val="0"/>
                <w:color w:val="auto"/>
                <w:kern w:val="0"/>
                <w:sz w:val="22"/>
                <w:szCs w:val="20"/>
                <w:u w:val="none" w:color="auto"/>
                <w:lang w:eastAsia="zh-CN"/>
              </w:rPr>
              <w:t>产排污系数表中二氧化硫的产排污是以含硫量（</w:t>
            </w:r>
            <w:r>
              <w:rPr>
                <w:rFonts w:hint="eastAsia" w:eastAsia="宋体" w:cs="Times New Roman"/>
                <w:b w:val="0"/>
                <w:bCs w:val="0"/>
                <w:color w:val="auto"/>
                <w:kern w:val="0"/>
                <w:sz w:val="22"/>
                <w:szCs w:val="20"/>
                <w:u w:val="none" w:color="auto"/>
                <w:lang w:val="en-US" w:eastAsia="zh-CN"/>
              </w:rPr>
              <w:t>S</w:t>
            </w:r>
            <w:r>
              <w:rPr>
                <w:rFonts w:hint="eastAsia" w:eastAsia="宋体" w:cs="Times New Roman"/>
                <w:b w:val="0"/>
                <w:bCs w:val="0"/>
                <w:color w:val="auto"/>
                <w:kern w:val="0"/>
                <w:sz w:val="22"/>
                <w:szCs w:val="20"/>
                <w:u w:val="none" w:color="auto"/>
                <w:lang w:eastAsia="zh-CN"/>
              </w:rPr>
              <w:t>）的形式表示的</w:t>
            </w:r>
            <w:r>
              <w:rPr>
                <w:rFonts w:hint="default" w:ascii="Times New Roman" w:hAnsi="Times New Roman" w:eastAsia="宋体" w:cs="Times New Roman"/>
                <w:b w:val="0"/>
                <w:bCs w:val="0"/>
                <w:color w:val="auto"/>
                <w:kern w:val="0"/>
                <w:sz w:val="22"/>
                <w:szCs w:val="20"/>
                <w:u w:val="none" w:color="auto"/>
              </w:rPr>
              <w:t>。</w:t>
            </w:r>
          </w:p>
          <w:p>
            <w:pPr>
              <w:spacing w:line="360" w:lineRule="auto"/>
              <w:ind w:firstLine="462" w:firstLineChars="200"/>
              <w:rPr>
                <w:rFonts w:hint="eastAsia" w:eastAsia="宋体"/>
                <w:color w:val="auto"/>
                <w:sz w:val="24"/>
                <w:szCs w:val="24"/>
                <w:u w:val="none" w:color="auto"/>
                <w:lang w:eastAsia="zh-CN"/>
              </w:rPr>
            </w:pPr>
            <w:r>
              <w:rPr>
                <w:rStyle w:val="187"/>
                <w:rFonts w:hint="default" w:eastAsia="宋体" w:cs="Times New Roman"/>
                <w:color w:val="auto"/>
                <w:sz w:val="24"/>
                <w:szCs w:val="24"/>
                <w:u w:val="none" w:color="auto"/>
                <w:lang w:val="en-US" w:eastAsia="zh-CN"/>
              </w:rPr>
              <w:t>根据</w:t>
            </w:r>
            <w:r>
              <w:rPr>
                <w:rStyle w:val="187"/>
                <w:rFonts w:hint="default" w:ascii="Times New Roman" w:hAnsi="Times New Roman" w:cs="Times New Roman"/>
                <w:color w:val="auto"/>
                <w:sz w:val="24"/>
                <w:szCs w:val="24"/>
                <w:u w:val="none" w:color="auto"/>
              </w:rPr>
              <w:t>排污系数，可算出燃烧</w:t>
            </w:r>
            <w:r>
              <w:rPr>
                <w:rStyle w:val="187"/>
                <w:rFonts w:hint="default" w:ascii="Times New Roman" w:hAnsi="Times New Roman" w:cs="Times New Roman"/>
                <w:color w:val="auto"/>
                <w:sz w:val="24"/>
                <w:szCs w:val="24"/>
                <w:u w:val="none" w:color="auto"/>
                <w:lang w:eastAsia="zh-CN"/>
              </w:rPr>
              <w:t>液化气</w:t>
            </w:r>
            <w:r>
              <w:rPr>
                <w:rStyle w:val="187"/>
                <w:rFonts w:hint="default" w:ascii="Times New Roman" w:hAnsi="Times New Roman" w:cs="Times New Roman"/>
                <w:color w:val="auto"/>
                <w:sz w:val="24"/>
                <w:szCs w:val="24"/>
                <w:u w:val="none" w:color="auto"/>
              </w:rPr>
              <w:t>污染负荷烟气量为</w:t>
            </w:r>
            <w:r>
              <w:rPr>
                <w:rStyle w:val="187"/>
                <w:rFonts w:hint="eastAsia" w:cs="Times New Roman"/>
                <w:color w:val="auto"/>
                <w:sz w:val="24"/>
                <w:szCs w:val="24"/>
                <w:u w:val="none" w:color="auto"/>
                <w:lang w:val="en-US" w:eastAsia="zh-CN"/>
              </w:rPr>
              <w:t>15978.5</w:t>
            </w:r>
            <w:r>
              <w:rPr>
                <w:rStyle w:val="187"/>
                <w:rFonts w:hint="default" w:ascii="Times New Roman" w:hAnsi="Times New Roman" w:cs="Times New Roman"/>
                <w:color w:val="auto"/>
                <w:sz w:val="24"/>
                <w:szCs w:val="24"/>
                <w:u w:val="none" w:color="auto"/>
              </w:rPr>
              <w:t>m</w:t>
            </w:r>
            <w:r>
              <w:rPr>
                <w:rStyle w:val="187"/>
                <w:rFonts w:hint="default" w:ascii="Times New Roman" w:hAnsi="Times New Roman" w:cs="Times New Roman"/>
                <w:color w:val="auto"/>
                <w:sz w:val="24"/>
                <w:szCs w:val="24"/>
                <w:u w:val="none" w:color="auto"/>
                <w:vertAlign w:val="superscript"/>
              </w:rPr>
              <w:t>3</w:t>
            </w:r>
            <w:r>
              <w:rPr>
                <w:rStyle w:val="187"/>
                <w:rFonts w:hint="default" w:ascii="Times New Roman" w:hAnsi="Times New Roman" w:cs="Times New Roman"/>
                <w:color w:val="auto"/>
                <w:sz w:val="24"/>
                <w:szCs w:val="24"/>
                <w:u w:val="none" w:color="auto"/>
              </w:rPr>
              <w:t>/a ，SO</w:t>
            </w:r>
            <w:r>
              <w:rPr>
                <w:rStyle w:val="187"/>
                <w:rFonts w:hint="default" w:ascii="Times New Roman" w:hAnsi="Times New Roman" w:cs="Times New Roman"/>
                <w:color w:val="auto"/>
                <w:sz w:val="24"/>
                <w:szCs w:val="24"/>
                <w:u w:val="none" w:color="auto"/>
                <w:vertAlign w:val="subscript"/>
              </w:rPr>
              <w:t>2</w:t>
            </w:r>
            <w:r>
              <w:rPr>
                <w:rStyle w:val="187"/>
                <w:rFonts w:hint="default" w:ascii="Times New Roman" w:hAnsi="Times New Roman" w:cs="Times New Roman"/>
                <w:color w:val="auto"/>
                <w:sz w:val="24"/>
                <w:szCs w:val="24"/>
                <w:u w:val="none" w:color="auto"/>
              </w:rPr>
              <w:t>、NO</w:t>
            </w:r>
            <w:r>
              <w:rPr>
                <w:rStyle w:val="187"/>
                <w:rFonts w:hint="default" w:ascii="Times New Roman" w:hAnsi="Times New Roman" w:cs="Times New Roman"/>
                <w:color w:val="auto"/>
                <w:sz w:val="24"/>
                <w:szCs w:val="24"/>
                <w:u w:val="none" w:color="auto"/>
                <w:vertAlign w:val="subscript"/>
              </w:rPr>
              <w:t>2</w:t>
            </w:r>
            <w:r>
              <w:rPr>
                <w:rStyle w:val="187"/>
                <w:rFonts w:hint="default" w:ascii="Times New Roman" w:hAnsi="Times New Roman" w:cs="Times New Roman"/>
                <w:color w:val="auto"/>
                <w:sz w:val="24"/>
                <w:szCs w:val="24"/>
                <w:u w:val="none" w:color="auto"/>
              </w:rPr>
              <w:t>和烟尘的排放量及排放浓度分别为</w:t>
            </w:r>
            <w:r>
              <w:rPr>
                <w:rStyle w:val="187"/>
                <w:rFonts w:hint="eastAsia" w:ascii="Times New Roman" w:hAnsi="Times New Roman" w:cs="Times New Roman"/>
                <w:color w:val="auto"/>
                <w:sz w:val="24"/>
                <w:szCs w:val="24"/>
                <w:u w:val="none" w:color="auto"/>
                <w:lang w:val="en-US"/>
              </w:rPr>
              <w:t>0.29</w:t>
            </w:r>
            <w:r>
              <w:rPr>
                <w:rStyle w:val="187"/>
                <w:rFonts w:hint="default" w:ascii="Times New Roman" w:hAnsi="Times New Roman" w:cs="Times New Roman"/>
                <w:color w:val="auto"/>
                <w:sz w:val="24"/>
                <w:szCs w:val="24"/>
                <w:u w:val="none" w:color="auto"/>
              </w:rPr>
              <w:t>kg/a、</w:t>
            </w:r>
            <w:r>
              <w:rPr>
                <w:rStyle w:val="187"/>
                <w:rFonts w:hint="eastAsia" w:ascii="Times New Roman" w:hAnsi="Times New Roman" w:cs="Times New Roman"/>
                <w:color w:val="auto"/>
                <w:sz w:val="24"/>
                <w:szCs w:val="24"/>
                <w:u w:val="none" w:color="auto"/>
                <w:lang w:val="en-US"/>
              </w:rPr>
              <w:t>2.54</w:t>
            </w:r>
            <w:r>
              <w:rPr>
                <w:rStyle w:val="187"/>
                <w:rFonts w:hint="default" w:ascii="Times New Roman" w:hAnsi="Times New Roman" w:cs="Times New Roman"/>
                <w:color w:val="auto"/>
                <w:sz w:val="24"/>
                <w:szCs w:val="24"/>
                <w:u w:val="none" w:color="auto"/>
              </w:rPr>
              <w:t>kg/a、</w:t>
            </w:r>
            <w:r>
              <w:rPr>
                <w:rStyle w:val="187"/>
                <w:rFonts w:hint="eastAsia" w:cs="Times New Roman"/>
                <w:color w:val="auto"/>
                <w:sz w:val="24"/>
                <w:szCs w:val="24"/>
                <w:u w:val="none" w:color="auto"/>
                <w:lang w:val="en-US" w:eastAsia="zh-CN"/>
              </w:rPr>
              <w:t>0.068</w:t>
            </w:r>
            <w:r>
              <w:rPr>
                <w:rStyle w:val="187"/>
                <w:rFonts w:hint="default" w:ascii="Times New Roman" w:hAnsi="Times New Roman" w:cs="Times New Roman"/>
                <w:color w:val="auto"/>
                <w:sz w:val="24"/>
                <w:szCs w:val="24"/>
                <w:u w:val="none" w:color="auto"/>
              </w:rPr>
              <w:t>kg/a；</w:t>
            </w:r>
            <w:r>
              <w:rPr>
                <w:rStyle w:val="187"/>
                <w:rFonts w:hint="eastAsia" w:cs="Times New Roman"/>
                <w:color w:val="auto"/>
                <w:sz w:val="24"/>
                <w:szCs w:val="24"/>
                <w:u w:val="none" w:color="auto"/>
                <w:lang w:val="en-US"/>
              </w:rPr>
              <w:t>18.38</w:t>
            </w:r>
            <w:r>
              <w:rPr>
                <w:rStyle w:val="187"/>
                <w:rFonts w:hint="default" w:ascii="Times New Roman" w:hAnsi="Times New Roman" w:cs="Times New Roman"/>
                <w:color w:val="auto"/>
                <w:sz w:val="24"/>
                <w:szCs w:val="24"/>
                <w:u w:val="none" w:color="auto"/>
              </w:rPr>
              <w:t>mg/m</w:t>
            </w:r>
            <w:r>
              <w:rPr>
                <w:rStyle w:val="187"/>
                <w:rFonts w:hint="default" w:ascii="Times New Roman" w:hAnsi="Times New Roman" w:cs="Times New Roman"/>
                <w:color w:val="auto"/>
                <w:sz w:val="24"/>
                <w:szCs w:val="24"/>
                <w:u w:val="none" w:color="auto"/>
                <w:vertAlign w:val="superscript"/>
              </w:rPr>
              <w:t>3</w:t>
            </w:r>
            <w:r>
              <w:rPr>
                <w:rStyle w:val="187"/>
                <w:rFonts w:hint="default" w:ascii="Times New Roman" w:hAnsi="Times New Roman" w:cs="Times New Roman"/>
                <w:color w:val="auto"/>
                <w:sz w:val="24"/>
                <w:szCs w:val="24"/>
                <w:u w:val="none" w:color="auto"/>
              </w:rPr>
              <w:t>、</w:t>
            </w:r>
            <w:r>
              <w:rPr>
                <w:rStyle w:val="187"/>
                <w:rFonts w:hint="eastAsia" w:cs="Times New Roman"/>
                <w:color w:val="auto"/>
                <w:sz w:val="24"/>
                <w:szCs w:val="24"/>
                <w:u w:val="none" w:color="auto"/>
                <w:lang w:val="en-US"/>
              </w:rPr>
              <w:t>158.9</w:t>
            </w:r>
            <w:r>
              <w:rPr>
                <w:rStyle w:val="187"/>
                <w:rFonts w:hint="default" w:ascii="Times New Roman" w:hAnsi="Times New Roman" w:cs="Times New Roman"/>
                <w:color w:val="auto"/>
                <w:sz w:val="24"/>
                <w:szCs w:val="24"/>
                <w:u w:val="none" w:color="auto"/>
              </w:rPr>
              <w:t xml:space="preserve"> mg/m</w:t>
            </w:r>
            <w:r>
              <w:rPr>
                <w:rStyle w:val="187"/>
                <w:rFonts w:hint="default" w:ascii="Times New Roman" w:hAnsi="Times New Roman" w:cs="Times New Roman"/>
                <w:color w:val="auto"/>
                <w:sz w:val="24"/>
                <w:szCs w:val="24"/>
                <w:u w:val="none" w:color="auto"/>
                <w:vertAlign w:val="superscript"/>
              </w:rPr>
              <w:t>3</w:t>
            </w:r>
            <w:r>
              <w:rPr>
                <w:rStyle w:val="187"/>
                <w:rFonts w:hint="default" w:ascii="Times New Roman" w:hAnsi="Times New Roman" w:cs="Times New Roman"/>
                <w:color w:val="auto"/>
                <w:sz w:val="24"/>
                <w:szCs w:val="24"/>
                <w:u w:val="none" w:color="auto"/>
              </w:rPr>
              <w:t>、</w:t>
            </w:r>
            <w:r>
              <w:rPr>
                <w:rStyle w:val="187"/>
                <w:rFonts w:hint="eastAsia" w:cs="Times New Roman"/>
                <w:color w:val="auto"/>
                <w:sz w:val="24"/>
                <w:szCs w:val="24"/>
                <w:u w:val="none" w:color="auto"/>
                <w:lang w:val="en-US"/>
              </w:rPr>
              <w:t>4.26</w:t>
            </w:r>
            <w:r>
              <w:rPr>
                <w:rStyle w:val="187"/>
                <w:rFonts w:hint="default" w:ascii="Times New Roman" w:hAnsi="Times New Roman" w:cs="Times New Roman"/>
                <w:color w:val="auto"/>
                <w:sz w:val="24"/>
                <w:szCs w:val="24"/>
                <w:u w:val="none" w:color="auto"/>
              </w:rPr>
              <w:t>mg/m</w:t>
            </w:r>
            <w:r>
              <w:rPr>
                <w:rStyle w:val="187"/>
                <w:rFonts w:hint="default" w:ascii="Times New Roman" w:hAnsi="Times New Roman" w:cs="Times New Roman"/>
                <w:color w:val="auto"/>
                <w:sz w:val="24"/>
                <w:szCs w:val="24"/>
                <w:u w:val="none" w:color="auto"/>
                <w:vertAlign w:val="superscript"/>
              </w:rPr>
              <w:t>3</w:t>
            </w:r>
            <w:r>
              <w:rPr>
                <w:rStyle w:val="187"/>
                <w:rFonts w:hint="default" w:ascii="Times New Roman" w:hAnsi="Times New Roman" w:cs="Times New Roman"/>
                <w:color w:val="auto"/>
                <w:sz w:val="24"/>
                <w:szCs w:val="24"/>
                <w:u w:val="none" w:color="auto"/>
              </w:rPr>
              <w:t>，</w:t>
            </w:r>
            <w:r>
              <w:rPr>
                <w:rFonts w:hint="eastAsia" w:eastAsia="宋体" w:cs="Times New Roman"/>
                <w:color w:val="auto"/>
                <w:kern w:val="0"/>
                <w:sz w:val="24"/>
                <w:szCs w:val="24"/>
                <w:u w:val="none" w:color="auto"/>
                <w:lang w:val="en-US" w:eastAsia="zh-CN" w:bidi="ar"/>
              </w:rPr>
              <w:t>液化石油气燃烧废气</w:t>
            </w:r>
            <w:r>
              <w:rPr>
                <w:rFonts w:hint="eastAsia" w:cs="Times New Roman"/>
                <w:color w:val="auto"/>
                <w:kern w:val="0"/>
                <w:sz w:val="24"/>
                <w:szCs w:val="24"/>
                <w:u w:val="none" w:color="auto"/>
                <w:lang w:val="en-US" w:eastAsia="zh-CN" w:bidi="ar"/>
              </w:rPr>
              <w:t>可以满足</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工业炉窑大气污染物排放标准</w:t>
            </w:r>
            <w:r>
              <w:rPr>
                <w:rFonts w:hint="default" w:ascii="Times New Roman" w:hAnsi="Times New Roman" w:eastAsia="宋体" w:cs="Times New Roman"/>
                <w:color w:val="auto"/>
                <w:kern w:val="0"/>
                <w:sz w:val="24"/>
                <w:szCs w:val="24"/>
                <w:u w:val="none" w:color="auto"/>
                <w:lang w:val="en-US" w:eastAsia="zh-CN" w:bidi="ar"/>
              </w:rPr>
              <w:t>》（GB</w:t>
            </w:r>
            <w:r>
              <w:rPr>
                <w:rFonts w:hint="eastAsia" w:cs="Times New Roman"/>
                <w:color w:val="auto"/>
                <w:kern w:val="0"/>
                <w:sz w:val="24"/>
                <w:szCs w:val="24"/>
                <w:u w:val="none" w:color="auto"/>
                <w:lang w:val="en-US" w:eastAsia="zh-CN" w:bidi="ar"/>
              </w:rPr>
              <w:t>9078</w:t>
            </w:r>
            <w:r>
              <w:rPr>
                <w:rFonts w:hint="default" w:ascii="Times New Roman" w:hAnsi="Times New Roman" w:eastAsia="宋体" w:cs="Times New Roman"/>
                <w:color w:val="auto"/>
                <w:kern w:val="0"/>
                <w:sz w:val="24"/>
                <w:szCs w:val="24"/>
                <w:u w:val="none" w:color="auto"/>
                <w:lang w:val="en-US" w:eastAsia="zh-CN" w:bidi="ar"/>
              </w:rPr>
              <w:t>-1996）</w:t>
            </w:r>
            <w:r>
              <w:rPr>
                <w:rFonts w:hint="eastAsia" w:cs="Times New Roman"/>
                <w:color w:val="auto"/>
                <w:kern w:val="0"/>
                <w:sz w:val="24"/>
                <w:szCs w:val="24"/>
                <w:u w:val="none" w:color="auto"/>
                <w:lang w:val="en-US" w:eastAsia="zh-CN" w:bidi="ar"/>
              </w:rPr>
              <w:t>中的排放</w:t>
            </w:r>
            <w:r>
              <w:rPr>
                <w:rFonts w:hint="default" w:ascii="Times New Roman" w:hAnsi="Times New Roman" w:eastAsia="宋体" w:cs="Times New Roman"/>
                <w:color w:val="auto"/>
                <w:kern w:val="0"/>
                <w:sz w:val="24"/>
                <w:szCs w:val="24"/>
                <w:u w:val="none" w:color="auto"/>
                <w:lang w:val="en-US" w:eastAsia="zh-CN" w:bidi="ar"/>
              </w:rPr>
              <w:t>标准</w:t>
            </w:r>
            <w:r>
              <w:rPr>
                <w:rFonts w:hint="eastAsia" w:cs="Times New Roman"/>
                <w:color w:val="auto"/>
                <w:kern w:val="0"/>
                <w:sz w:val="24"/>
                <w:szCs w:val="24"/>
                <w:u w:val="none" w:color="auto"/>
                <w:lang w:val="en-US" w:eastAsia="zh-CN" w:bidi="ar"/>
              </w:rPr>
              <w:t>，氮氧化物满足</w:t>
            </w:r>
            <w:r>
              <w:rPr>
                <w:rFonts w:hint="default" w:ascii="Times New Roman" w:hAnsi="Times New Roman" w:eastAsia="宋体" w:cs="Times New Roman"/>
                <w:color w:val="auto"/>
                <w:kern w:val="0"/>
                <w:sz w:val="24"/>
                <w:szCs w:val="24"/>
                <w:u w:val="none" w:color="auto"/>
                <w:lang w:val="en-US" w:eastAsia="zh-CN" w:bidi="ar"/>
              </w:rPr>
              <w:t>《大气污染物综合排放标准》（GB16297-1996）表2的二级标准</w:t>
            </w:r>
          </w:p>
          <w:p>
            <w:pPr>
              <w:spacing w:line="360" w:lineRule="auto"/>
              <w:ind w:firstLine="462" w:firstLineChars="200"/>
              <w:rPr>
                <w:rFonts w:hint="eastAsia" w:eastAsia="宋体"/>
                <w:color w:val="auto"/>
                <w:sz w:val="24"/>
                <w:szCs w:val="24"/>
                <w:u w:val="none" w:color="auto"/>
                <w:lang w:eastAsia="zh-CN"/>
              </w:rPr>
            </w:pPr>
            <w:r>
              <w:rPr>
                <w:rFonts w:hint="eastAsia"/>
                <w:color w:val="auto"/>
                <w:sz w:val="24"/>
                <w:szCs w:val="24"/>
                <w:u w:val="none" w:color="auto"/>
                <w:lang w:eastAsia="zh-CN"/>
              </w:rPr>
              <w:t>（</w:t>
            </w:r>
            <w:r>
              <w:rPr>
                <w:rFonts w:hint="eastAsia"/>
                <w:color w:val="auto"/>
                <w:sz w:val="24"/>
                <w:szCs w:val="24"/>
                <w:u w:val="none" w:color="auto"/>
                <w:lang w:val="en-US" w:eastAsia="zh-CN"/>
              </w:rPr>
              <w:t>9</w:t>
            </w:r>
            <w:r>
              <w:rPr>
                <w:rFonts w:hint="eastAsia"/>
                <w:color w:val="auto"/>
                <w:sz w:val="24"/>
                <w:szCs w:val="24"/>
                <w:u w:val="none" w:color="auto"/>
                <w:lang w:eastAsia="zh-CN"/>
              </w:rPr>
              <w:t>）激光切割废气（位于生产车间</w:t>
            </w:r>
            <w:r>
              <w:rPr>
                <w:rFonts w:hint="eastAsia"/>
                <w:color w:val="auto"/>
                <w:sz w:val="24"/>
                <w:szCs w:val="24"/>
                <w:u w:val="none" w:color="auto"/>
                <w:lang w:val="en-US" w:eastAsia="zh-CN"/>
              </w:rPr>
              <w:t>3#</w:t>
            </w:r>
            <w:r>
              <w:rPr>
                <w:rFonts w:hint="eastAsia"/>
                <w:color w:val="auto"/>
                <w:sz w:val="24"/>
                <w:szCs w:val="24"/>
                <w:u w:val="none" w:color="auto"/>
                <w:lang w:eastAsia="zh-CN"/>
              </w:rPr>
              <w:t>）</w:t>
            </w:r>
          </w:p>
          <w:p>
            <w:pPr>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eastAsia"/>
                <w:color w:val="auto"/>
                <w:sz w:val="24"/>
                <w:szCs w:val="24"/>
                <w:u w:val="none" w:color="auto"/>
                <w:lang w:eastAsia="zh-CN"/>
              </w:rPr>
              <w:t>项目在生产过程中需要对入场的钢材进行切割，根据业主提供的资料，项目激光切割的板材为</w:t>
            </w:r>
            <w:r>
              <w:rPr>
                <w:rFonts w:hint="eastAsia"/>
                <w:color w:val="auto"/>
                <w:sz w:val="24"/>
                <w:szCs w:val="24"/>
                <w:u w:val="none" w:color="auto"/>
                <w:lang w:val="en-US" w:eastAsia="zh-CN"/>
              </w:rPr>
              <w:t>710t/a。</w:t>
            </w:r>
            <w:r>
              <w:rPr>
                <w:rFonts w:hint="eastAsia" w:ascii="Times New Roman" w:hAnsi="Times New Roman" w:cs="Times New Roman"/>
                <w:color w:val="auto"/>
                <w:sz w:val="24"/>
                <w:szCs w:val="24"/>
                <w:u w:val="none" w:color="auto"/>
                <w:lang w:val="en-US" w:eastAsia="zh-CN"/>
              </w:rPr>
              <w:t>根据《机加工行业环境影响评价中常见污染物源强估算及污染治理》-切割粉尘为原料用量的1%。故项目激光切割废气产生量为7.1t/a，项目拟使用脉冲式除尘器处理后经15m高排气筒高空排放（</w:t>
            </w:r>
            <w:r>
              <w:rPr>
                <w:rFonts w:hint="eastAsia" w:cs="Times New Roman"/>
                <w:bCs/>
                <w:color w:val="auto"/>
                <w:sz w:val="24"/>
                <w:szCs w:val="24"/>
                <w:u w:val="none" w:color="auto"/>
                <w:lang w:val="en-US" w:eastAsia="zh-CN"/>
              </w:rPr>
              <w:t>G6</w:t>
            </w:r>
            <w:r>
              <w:rPr>
                <w:rFonts w:hint="eastAsia" w:ascii="Times New Roman" w:hAnsi="Times New Roman" w:cs="Times New Roman"/>
                <w:color w:val="auto"/>
                <w:sz w:val="24"/>
                <w:szCs w:val="24"/>
                <w:u w:val="none" w:color="auto"/>
                <w:lang w:val="en-US" w:eastAsia="zh-CN"/>
              </w:rPr>
              <w:t>），其处理效率为95%，故有组织排放量为0.655t/a，排放速率为0.273kg/h，风机风量为4000m</w:t>
            </w:r>
            <w:r>
              <w:rPr>
                <w:rFonts w:hint="eastAsia" w:ascii="Times New Roman" w:hAnsi="Times New Roman" w:cs="Times New Roman"/>
                <w:color w:val="auto"/>
                <w:sz w:val="24"/>
                <w:szCs w:val="24"/>
                <w:u w:val="none" w:color="auto"/>
                <w:vertAlign w:val="superscript"/>
                <w:lang w:val="en-US" w:eastAsia="zh-CN"/>
              </w:rPr>
              <w:t>3</w:t>
            </w:r>
            <w:r>
              <w:rPr>
                <w:rFonts w:hint="eastAsia" w:ascii="Times New Roman" w:hAnsi="Times New Roman" w:cs="Times New Roman"/>
                <w:color w:val="auto"/>
                <w:sz w:val="24"/>
                <w:szCs w:val="24"/>
                <w:u w:val="none" w:color="auto"/>
                <w:lang w:val="en-US" w:eastAsia="zh-CN"/>
              </w:rPr>
              <w:t>/h，因此本项目激光切割废气排放浓度为68.25mg/m</w:t>
            </w:r>
            <w:r>
              <w:rPr>
                <w:rFonts w:hint="eastAsia" w:ascii="Times New Roman" w:hAnsi="Times New Roman" w:cs="Times New Roman"/>
                <w:color w:val="auto"/>
                <w:sz w:val="24"/>
                <w:szCs w:val="24"/>
                <w:u w:val="none" w:color="auto"/>
                <w:vertAlign w:val="superscript"/>
                <w:lang w:val="en-US" w:eastAsia="zh-CN"/>
              </w:rPr>
              <w:t>3</w:t>
            </w:r>
            <w:r>
              <w:rPr>
                <w:rFonts w:hint="eastAsia" w:ascii="Times New Roman" w:hAnsi="Times New Roman" w:cs="Times New Roman"/>
                <w:color w:val="auto"/>
                <w:sz w:val="24"/>
                <w:szCs w:val="24"/>
                <w:u w:val="none" w:color="auto"/>
                <w:lang w:val="en-US" w:eastAsia="zh-CN"/>
              </w:rPr>
              <w:t>。其排放的颗粒物</w:t>
            </w:r>
            <w:r>
              <w:rPr>
                <w:rFonts w:hint="eastAsia" w:cs="Times New Roman"/>
                <w:color w:val="auto"/>
                <w:kern w:val="0"/>
                <w:sz w:val="24"/>
                <w:szCs w:val="24"/>
                <w:u w:val="none" w:color="auto"/>
                <w:lang w:val="en-US" w:eastAsia="zh-CN" w:bidi="ar"/>
              </w:rPr>
              <w:t>满足</w:t>
            </w:r>
            <w:r>
              <w:rPr>
                <w:rFonts w:hint="default" w:ascii="Times New Roman" w:hAnsi="Times New Roman" w:eastAsia="宋体" w:cs="Times New Roman"/>
                <w:color w:val="auto"/>
                <w:kern w:val="0"/>
                <w:sz w:val="24"/>
                <w:szCs w:val="24"/>
                <w:u w:val="none" w:color="auto"/>
                <w:lang w:val="en-US" w:eastAsia="zh-CN" w:bidi="ar"/>
              </w:rPr>
              <w:t>《大气污染物综合排放标准》（GB16297-1996）表2的二级标准</w:t>
            </w:r>
            <w:r>
              <w:rPr>
                <w:rFonts w:hint="eastAsia" w:ascii="Times New Roman" w:hAnsi="Times New Roman" w:cs="Times New Roman"/>
                <w:color w:val="auto"/>
                <w:kern w:val="0"/>
                <w:sz w:val="24"/>
                <w:szCs w:val="24"/>
                <w:u w:val="none" w:color="auto"/>
                <w:lang w:val="en-US" w:eastAsia="zh-CN" w:bidi="ar"/>
              </w:rPr>
              <w:t>要求。</w:t>
            </w:r>
          </w:p>
          <w:p>
            <w:pPr>
              <w:spacing w:line="360" w:lineRule="auto"/>
              <w:ind w:firstLine="462" w:firstLineChars="200"/>
              <w:rPr>
                <w:rFonts w:hint="eastAsia" w:eastAsia="宋体"/>
                <w:color w:val="auto"/>
                <w:sz w:val="24"/>
                <w:szCs w:val="24"/>
                <w:u w:val="none" w:color="auto"/>
                <w:lang w:eastAsia="zh-CN"/>
              </w:rPr>
            </w:pPr>
            <w:r>
              <w:rPr>
                <w:rFonts w:hint="eastAsia"/>
                <w:color w:val="auto"/>
                <w:sz w:val="24"/>
                <w:szCs w:val="24"/>
                <w:u w:val="none" w:color="auto"/>
                <w:lang w:eastAsia="zh-CN"/>
              </w:rPr>
              <w:t>（</w:t>
            </w:r>
            <w:r>
              <w:rPr>
                <w:rFonts w:hint="eastAsia"/>
                <w:color w:val="auto"/>
                <w:sz w:val="24"/>
                <w:szCs w:val="24"/>
                <w:u w:val="none" w:color="auto"/>
                <w:lang w:val="en-US" w:eastAsia="zh-CN"/>
              </w:rPr>
              <w:t>10</w:t>
            </w:r>
            <w:r>
              <w:rPr>
                <w:rFonts w:hint="eastAsia"/>
                <w:color w:val="auto"/>
                <w:sz w:val="24"/>
                <w:szCs w:val="24"/>
                <w:u w:val="none" w:color="auto"/>
                <w:lang w:eastAsia="zh-CN"/>
              </w:rPr>
              <w:t>）等离子切割废气（位于生产车间</w:t>
            </w:r>
            <w:r>
              <w:rPr>
                <w:rFonts w:hint="eastAsia"/>
                <w:color w:val="auto"/>
                <w:sz w:val="24"/>
                <w:szCs w:val="24"/>
                <w:u w:val="none" w:color="auto"/>
                <w:lang w:val="en-US" w:eastAsia="zh-CN"/>
              </w:rPr>
              <w:t>3#</w:t>
            </w:r>
            <w:r>
              <w:rPr>
                <w:rFonts w:hint="eastAsia"/>
                <w:color w:val="auto"/>
                <w:sz w:val="24"/>
                <w:szCs w:val="24"/>
                <w:u w:val="none" w:color="auto"/>
                <w:lang w:eastAsia="zh-CN"/>
              </w:rPr>
              <w:t>）</w:t>
            </w:r>
          </w:p>
          <w:p>
            <w:pPr>
              <w:spacing w:line="360" w:lineRule="auto"/>
              <w:ind w:firstLine="462" w:firstLineChars="200"/>
              <w:rPr>
                <w:rFonts w:hint="eastAsia"/>
                <w:color w:val="auto"/>
                <w:sz w:val="24"/>
                <w:szCs w:val="24"/>
                <w:u w:val="none" w:color="auto"/>
              </w:rPr>
            </w:pPr>
            <w:r>
              <w:rPr>
                <w:rFonts w:hint="eastAsia"/>
                <w:color w:val="auto"/>
                <w:sz w:val="24"/>
                <w:szCs w:val="24"/>
                <w:u w:val="none" w:color="auto"/>
                <w:lang w:eastAsia="zh-CN"/>
              </w:rPr>
              <w:t>项目在生产过程中需要对入场的钢材进行切割，根据业主提供的资料，项目等离子切割的板材为</w:t>
            </w:r>
            <w:r>
              <w:rPr>
                <w:rFonts w:hint="eastAsia"/>
                <w:color w:val="auto"/>
                <w:sz w:val="24"/>
                <w:szCs w:val="24"/>
                <w:u w:val="none" w:color="auto"/>
                <w:lang w:val="en-US" w:eastAsia="zh-CN"/>
              </w:rPr>
              <w:t>710t/a。</w:t>
            </w:r>
            <w:r>
              <w:rPr>
                <w:rFonts w:hint="eastAsia" w:ascii="Times New Roman" w:hAnsi="Times New Roman" w:cs="Times New Roman"/>
                <w:color w:val="auto"/>
                <w:sz w:val="24"/>
                <w:szCs w:val="24"/>
                <w:u w:val="none" w:color="auto"/>
                <w:lang w:val="en-US" w:eastAsia="zh-CN"/>
              </w:rPr>
              <w:t>根据《机加工行业环境影响评价中常见污染物源强估算及污染治理》-切割粉尘为原料用量的1%。故项目等离子切割废气产生量为7.1t/a，项目拟使用脉冲式除尘器处理后经15m高排气筒高空排放（</w:t>
            </w:r>
            <w:r>
              <w:rPr>
                <w:rFonts w:hint="eastAsia" w:cs="Times New Roman"/>
                <w:bCs/>
                <w:color w:val="auto"/>
                <w:sz w:val="24"/>
                <w:szCs w:val="24"/>
                <w:u w:val="none" w:color="auto"/>
                <w:lang w:val="en-US" w:eastAsia="zh-CN"/>
              </w:rPr>
              <w:t>G7</w:t>
            </w:r>
            <w:r>
              <w:rPr>
                <w:rFonts w:hint="eastAsia" w:ascii="Times New Roman" w:hAnsi="Times New Roman" w:cs="Times New Roman"/>
                <w:color w:val="auto"/>
                <w:sz w:val="24"/>
                <w:szCs w:val="24"/>
                <w:u w:val="none" w:color="auto"/>
                <w:lang w:val="en-US" w:eastAsia="zh-CN"/>
              </w:rPr>
              <w:t>），其处理效率为95%，故有组织排放量为0.655t/a，排放速率为0.273kg/h，风机风量为4000m</w:t>
            </w:r>
            <w:r>
              <w:rPr>
                <w:rFonts w:hint="eastAsia" w:ascii="Times New Roman" w:hAnsi="Times New Roman" w:cs="Times New Roman"/>
                <w:color w:val="auto"/>
                <w:sz w:val="24"/>
                <w:szCs w:val="24"/>
                <w:u w:val="none" w:color="auto"/>
                <w:vertAlign w:val="superscript"/>
                <w:lang w:val="en-US" w:eastAsia="zh-CN"/>
              </w:rPr>
              <w:t>3</w:t>
            </w:r>
            <w:r>
              <w:rPr>
                <w:rFonts w:hint="eastAsia" w:ascii="Times New Roman" w:hAnsi="Times New Roman" w:cs="Times New Roman"/>
                <w:color w:val="auto"/>
                <w:sz w:val="24"/>
                <w:szCs w:val="24"/>
                <w:u w:val="none" w:color="auto"/>
                <w:lang w:val="en-US" w:eastAsia="zh-CN"/>
              </w:rPr>
              <w:t>/h，因此本项目等离子切割废气排放浓度为68.25mg/m</w:t>
            </w:r>
            <w:r>
              <w:rPr>
                <w:rFonts w:hint="eastAsia" w:ascii="Times New Roman" w:hAnsi="Times New Roman" w:cs="Times New Roman"/>
                <w:color w:val="auto"/>
                <w:sz w:val="24"/>
                <w:szCs w:val="24"/>
                <w:u w:val="none" w:color="auto"/>
                <w:vertAlign w:val="superscript"/>
                <w:lang w:val="en-US" w:eastAsia="zh-CN"/>
              </w:rPr>
              <w:t>3</w:t>
            </w:r>
            <w:r>
              <w:rPr>
                <w:rFonts w:hint="eastAsia" w:ascii="Times New Roman" w:hAnsi="Times New Roman" w:cs="Times New Roman"/>
                <w:color w:val="auto"/>
                <w:sz w:val="24"/>
                <w:szCs w:val="24"/>
                <w:u w:val="none" w:color="auto"/>
                <w:lang w:val="en-US" w:eastAsia="zh-CN"/>
              </w:rPr>
              <w:t>。其排放的颗粒物</w:t>
            </w:r>
            <w:r>
              <w:rPr>
                <w:rFonts w:hint="eastAsia" w:cs="Times New Roman"/>
                <w:color w:val="auto"/>
                <w:kern w:val="0"/>
                <w:sz w:val="24"/>
                <w:szCs w:val="24"/>
                <w:u w:val="none" w:color="auto"/>
                <w:lang w:val="en-US" w:eastAsia="zh-CN" w:bidi="ar"/>
              </w:rPr>
              <w:t>满足</w:t>
            </w:r>
            <w:r>
              <w:rPr>
                <w:rFonts w:hint="default" w:ascii="Times New Roman" w:hAnsi="Times New Roman" w:eastAsia="宋体" w:cs="Times New Roman"/>
                <w:color w:val="auto"/>
                <w:kern w:val="0"/>
                <w:sz w:val="24"/>
                <w:szCs w:val="24"/>
                <w:u w:val="none" w:color="auto"/>
                <w:lang w:val="en-US" w:eastAsia="zh-CN" w:bidi="ar"/>
              </w:rPr>
              <w:t>《大气污染物综合排放标准》（GB16297-1996）表2的二级标准</w:t>
            </w:r>
            <w:r>
              <w:rPr>
                <w:rFonts w:hint="eastAsia" w:ascii="Times New Roman" w:hAnsi="Times New Roman" w:cs="Times New Roman"/>
                <w:color w:val="auto"/>
                <w:kern w:val="0"/>
                <w:sz w:val="24"/>
                <w:szCs w:val="24"/>
                <w:u w:val="none" w:color="auto"/>
                <w:lang w:val="en-US" w:eastAsia="zh-CN" w:bidi="ar"/>
              </w:rPr>
              <w:t>要求。</w:t>
            </w:r>
          </w:p>
          <w:p>
            <w:pPr>
              <w:spacing w:line="360" w:lineRule="auto"/>
              <w:ind w:firstLine="462" w:firstLineChars="200"/>
              <w:rPr>
                <w:rFonts w:hint="eastAsia" w:eastAsia="宋体"/>
                <w:color w:val="auto"/>
                <w:sz w:val="24"/>
                <w:szCs w:val="24"/>
                <w:u w:val="none" w:color="auto"/>
                <w:lang w:eastAsia="zh-CN"/>
              </w:rPr>
            </w:pPr>
            <w:r>
              <w:rPr>
                <w:rFonts w:hint="eastAsia"/>
                <w:color w:val="auto"/>
                <w:sz w:val="24"/>
                <w:szCs w:val="24"/>
                <w:u w:val="none" w:color="auto"/>
                <w:lang w:eastAsia="zh-CN"/>
              </w:rPr>
              <w:t>（</w:t>
            </w:r>
            <w:r>
              <w:rPr>
                <w:rFonts w:hint="eastAsia"/>
                <w:color w:val="auto"/>
                <w:sz w:val="24"/>
                <w:szCs w:val="24"/>
                <w:u w:val="none" w:color="auto"/>
                <w:lang w:val="en-US" w:eastAsia="zh-CN"/>
              </w:rPr>
              <w:t>11</w:t>
            </w:r>
            <w:r>
              <w:rPr>
                <w:rFonts w:hint="eastAsia"/>
                <w:color w:val="auto"/>
                <w:sz w:val="24"/>
                <w:szCs w:val="24"/>
                <w:u w:val="none" w:color="auto"/>
                <w:lang w:eastAsia="zh-CN"/>
              </w:rPr>
              <w:t>）激光、等离子切割废气（位于生产车间</w:t>
            </w:r>
            <w:r>
              <w:rPr>
                <w:rFonts w:hint="eastAsia"/>
                <w:color w:val="auto"/>
                <w:sz w:val="24"/>
                <w:szCs w:val="24"/>
                <w:u w:val="none" w:color="auto"/>
                <w:lang w:val="en-US" w:eastAsia="zh-CN"/>
              </w:rPr>
              <w:t>4#</w:t>
            </w:r>
            <w:r>
              <w:rPr>
                <w:rFonts w:hint="eastAsia"/>
                <w:color w:val="auto"/>
                <w:sz w:val="24"/>
                <w:szCs w:val="24"/>
                <w:u w:val="none" w:color="auto"/>
                <w:lang w:eastAsia="zh-CN"/>
              </w:rPr>
              <w:t>）</w:t>
            </w:r>
          </w:p>
          <w:p>
            <w:pPr>
              <w:spacing w:line="360" w:lineRule="auto"/>
              <w:ind w:firstLine="462" w:firstLineChars="200"/>
              <w:rPr>
                <w:rFonts w:hint="eastAsia"/>
                <w:color w:val="auto"/>
                <w:sz w:val="24"/>
                <w:szCs w:val="24"/>
                <w:u w:val="none" w:color="auto"/>
              </w:rPr>
            </w:pPr>
            <w:r>
              <w:rPr>
                <w:rFonts w:hint="eastAsia"/>
                <w:color w:val="auto"/>
                <w:sz w:val="24"/>
                <w:szCs w:val="24"/>
                <w:u w:val="none" w:color="auto"/>
                <w:lang w:eastAsia="zh-CN"/>
              </w:rPr>
              <w:t>项目在生产过程中需要对入场的钢材进行切割，根据业主提供的资料，项目激光、等离子切割的板材为</w:t>
            </w:r>
            <w:r>
              <w:rPr>
                <w:rFonts w:hint="eastAsia"/>
                <w:color w:val="auto"/>
                <w:sz w:val="24"/>
                <w:szCs w:val="24"/>
                <w:u w:val="none" w:color="auto"/>
                <w:lang w:val="en-US" w:eastAsia="zh-CN"/>
              </w:rPr>
              <w:t>710t/a。</w:t>
            </w:r>
            <w:r>
              <w:rPr>
                <w:rFonts w:hint="eastAsia" w:ascii="Times New Roman" w:hAnsi="Times New Roman" w:cs="Times New Roman"/>
                <w:color w:val="auto"/>
                <w:sz w:val="24"/>
                <w:szCs w:val="24"/>
                <w:u w:val="none" w:color="auto"/>
                <w:lang w:val="en-US" w:eastAsia="zh-CN"/>
              </w:rPr>
              <w:t>根据《机加工行业环境影响评价中常见污染物源强估算及污染治理》-切割粉尘为原料用量的1%。故项目激光、等离子切割废气产生量为7.1t/a，项目拟使用脉冲式除尘器处理后经15m高排气筒高空排放（</w:t>
            </w:r>
            <w:r>
              <w:rPr>
                <w:rFonts w:hint="eastAsia" w:cs="Times New Roman"/>
                <w:bCs/>
                <w:color w:val="auto"/>
                <w:sz w:val="24"/>
                <w:szCs w:val="24"/>
                <w:u w:val="none" w:color="auto"/>
                <w:lang w:val="en-US" w:eastAsia="zh-CN"/>
              </w:rPr>
              <w:t>G8</w:t>
            </w:r>
            <w:r>
              <w:rPr>
                <w:rFonts w:hint="eastAsia" w:ascii="Times New Roman" w:hAnsi="Times New Roman" w:cs="Times New Roman"/>
                <w:color w:val="auto"/>
                <w:sz w:val="24"/>
                <w:szCs w:val="24"/>
                <w:u w:val="none" w:color="auto"/>
                <w:lang w:val="en-US" w:eastAsia="zh-CN"/>
              </w:rPr>
              <w:t>），其处理效率为95%，故有组织排放量为0.655t/a，排放速率为0.273kg/h，风机风量为4000m</w:t>
            </w:r>
            <w:r>
              <w:rPr>
                <w:rFonts w:hint="eastAsia" w:ascii="Times New Roman" w:hAnsi="Times New Roman" w:cs="Times New Roman"/>
                <w:color w:val="auto"/>
                <w:sz w:val="24"/>
                <w:szCs w:val="24"/>
                <w:u w:val="none" w:color="auto"/>
                <w:vertAlign w:val="superscript"/>
                <w:lang w:val="en-US" w:eastAsia="zh-CN"/>
              </w:rPr>
              <w:t>3</w:t>
            </w:r>
            <w:r>
              <w:rPr>
                <w:rFonts w:hint="eastAsia" w:ascii="Times New Roman" w:hAnsi="Times New Roman" w:cs="Times New Roman"/>
                <w:color w:val="auto"/>
                <w:sz w:val="24"/>
                <w:szCs w:val="24"/>
                <w:u w:val="none" w:color="auto"/>
                <w:lang w:val="en-US" w:eastAsia="zh-CN"/>
              </w:rPr>
              <w:t>/h，因此本项目激光、等离子切割废气排放浓度为68.25mg/m</w:t>
            </w:r>
            <w:r>
              <w:rPr>
                <w:rFonts w:hint="eastAsia" w:ascii="Times New Roman" w:hAnsi="Times New Roman" w:cs="Times New Roman"/>
                <w:color w:val="auto"/>
                <w:sz w:val="24"/>
                <w:szCs w:val="24"/>
                <w:u w:val="none" w:color="auto"/>
                <w:vertAlign w:val="superscript"/>
                <w:lang w:val="en-US" w:eastAsia="zh-CN"/>
              </w:rPr>
              <w:t>3</w:t>
            </w:r>
            <w:r>
              <w:rPr>
                <w:rFonts w:hint="eastAsia" w:ascii="Times New Roman" w:hAnsi="Times New Roman" w:cs="Times New Roman"/>
                <w:color w:val="auto"/>
                <w:sz w:val="24"/>
                <w:szCs w:val="24"/>
                <w:u w:val="none" w:color="auto"/>
                <w:lang w:val="en-US" w:eastAsia="zh-CN"/>
              </w:rPr>
              <w:t>。其排放的颗粒物</w:t>
            </w:r>
            <w:r>
              <w:rPr>
                <w:rFonts w:hint="eastAsia" w:cs="Times New Roman"/>
                <w:color w:val="auto"/>
                <w:kern w:val="0"/>
                <w:sz w:val="24"/>
                <w:szCs w:val="24"/>
                <w:u w:val="none" w:color="auto"/>
                <w:lang w:val="en-US" w:eastAsia="zh-CN" w:bidi="ar"/>
              </w:rPr>
              <w:t>满足</w:t>
            </w:r>
            <w:r>
              <w:rPr>
                <w:rFonts w:hint="default" w:ascii="Times New Roman" w:hAnsi="Times New Roman" w:eastAsia="宋体" w:cs="Times New Roman"/>
                <w:color w:val="auto"/>
                <w:kern w:val="0"/>
                <w:sz w:val="24"/>
                <w:szCs w:val="24"/>
                <w:u w:val="none" w:color="auto"/>
                <w:lang w:val="en-US" w:eastAsia="zh-CN" w:bidi="ar"/>
              </w:rPr>
              <w:t>《大气污染物综合排放标准》（GB16297-1996）表2的二级标准</w:t>
            </w:r>
            <w:r>
              <w:rPr>
                <w:rFonts w:hint="eastAsia" w:ascii="Times New Roman" w:hAnsi="Times New Roman" w:cs="Times New Roman"/>
                <w:color w:val="auto"/>
                <w:kern w:val="0"/>
                <w:sz w:val="24"/>
                <w:szCs w:val="24"/>
                <w:u w:val="none" w:color="auto"/>
                <w:lang w:val="en-US" w:eastAsia="zh-CN" w:bidi="ar"/>
              </w:rPr>
              <w:t>要求。</w:t>
            </w:r>
          </w:p>
          <w:p>
            <w:pPr>
              <w:snapToGrid w:val="0"/>
              <w:spacing w:line="360" w:lineRule="auto"/>
              <w:ind w:firstLine="462" w:firstLineChars="200"/>
              <w:rPr>
                <w:color w:val="auto"/>
                <w:sz w:val="24"/>
                <w:u w:val="none" w:color="auto"/>
              </w:rPr>
            </w:pPr>
          </w:p>
          <w:p>
            <w:pPr>
              <w:snapToGrid w:val="0"/>
              <w:spacing w:line="360" w:lineRule="auto"/>
              <w:ind w:firstLine="462" w:firstLineChars="200"/>
              <w:rPr>
                <w:color w:val="auto"/>
                <w:sz w:val="24"/>
                <w:u w:val="none" w:color="auto"/>
              </w:rPr>
            </w:pPr>
          </w:p>
          <w:p>
            <w:pPr>
              <w:snapToGrid w:val="0"/>
              <w:spacing w:line="360" w:lineRule="auto"/>
              <w:ind w:firstLine="462" w:firstLineChars="200"/>
              <w:rPr>
                <w:color w:val="auto"/>
                <w:sz w:val="24"/>
                <w:u w:val="none" w:color="auto"/>
              </w:rPr>
            </w:pPr>
          </w:p>
          <w:p>
            <w:pPr>
              <w:snapToGrid w:val="0"/>
              <w:spacing w:line="360" w:lineRule="auto"/>
              <w:ind w:firstLine="462" w:firstLineChars="200"/>
              <w:rPr>
                <w:color w:val="auto"/>
                <w:sz w:val="24"/>
                <w:u w:val="none" w:color="auto"/>
              </w:rPr>
            </w:pPr>
            <w:r>
              <w:rPr>
                <w:color w:val="auto"/>
                <w:sz w:val="24"/>
                <w:u w:val="none" w:color="auto"/>
              </w:rPr>
              <w:t>3、噪声</w:t>
            </w:r>
            <w:r>
              <w:rPr>
                <w:rFonts w:hint="eastAsia"/>
                <w:color w:val="auto"/>
                <w:sz w:val="24"/>
                <w:u w:val="none" w:color="auto"/>
              </w:rPr>
              <w:t xml:space="preserve"> </w:t>
            </w:r>
          </w:p>
          <w:p>
            <w:pPr>
              <w:snapToGrid w:val="0"/>
              <w:spacing w:line="360" w:lineRule="auto"/>
              <w:ind w:firstLine="470"/>
              <w:rPr>
                <w:color w:val="auto"/>
                <w:sz w:val="24"/>
                <w:u w:val="none" w:color="auto"/>
              </w:rPr>
            </w:pPr>
            <w:r>
              <w:rPr>
                <w:color w:val="auto"/>
                <w:sz w:val="24"/>
                <w:u w:val="none" w:color="auto"/>
              </w:rPr>
              <w:t>本项目营运期主要噪声源为车间中的生产设备，主要为</w:t>
            </w:r>
            <w:r>
              <w:rPr>
                <w:rFonts w:hint="eastAsia"/>
                <w:color w:val="auto"/>
                <w:sz w:val="24"/>
                <w:u w:val="none" w:color="auto"/>
                <w:lang w:eastAsia="zh-CN"/>
              </w:rPr>
              <w:t>空压机、焊接机、钻孔机</w:t>
            </w:r>
            <w:r>
              <w:rPr>
                <w:color w:val="auto"/>
                <w:sz w:val="24"/>
                <w:u w:val="none" w:color="auto"/>
              </w:rPr>
              <w:t>等运行过程所产生的噪声，根据类比分析，噪声值为</w:t>
            </w:r>
            <w:r>
              <w:rPr>
                <w:rFonts w:hint="eastAsia"/>
                <w:color w:val="auto"/>
                <w:sz w:val="24"/>
                <w:u w:val="none" w:color="auto"/>
                <w:lang w:val="en-US" w:eastAsia="zh-CN"/>
              </w:rPr>
              <w:t>80-90</w:t>
            </w:r>
            <w:r>
              <w:rPr>
                <w:b/>
                <w:color w:val="auto"/>
                <w:szCs w:val="21"/>
                <w:u w:val="none" w:color="auto"/>
              </w:rPr>
              <w:t xml:space="preserve"> </w:t>
            </w:r>
            <w:r>
              <w:rPr>
                <w:color w:val="auto"/>
                <w:szCs w:val="21"/>
                <w:u w:val="none" w:color="auto"/>
              </w:rPr>
              <w:t>dB(A)。</w:t>
            </w:r>
          </w:p>
          <w:p>
            <w:pPr>
              <w:snapToGrid w:val="0"/>
              <w:spacing w:line="360" w:lineRule="auto"/>
              <w:ind w:firstLine="470"/>
              <w:rPr>
                <w:b/>
                <w:color w:val="auto"/>
                <w:sz w:val="24"/>
                <w:szCs w:val="24"/>
                <w:u w:val="none" w:color="auto"/>
              </w:rPr>
            </w:pPr>
            <w:r>
              <w:rPr>
                <w:color w:val="auto"/>
                <w:sz w:val="24"/>
                <w:u w:val="none" w:color="auto"/>
              </w:rPr>
              <w:t>本项目营运期噪声源及其噪声值见表5-</w:t>
            </w:r>
            <w:r>
              <w:rPr>
                <w:rFonts w:hint="eastAsia"/>
                <w:color w:val="auto"/>
                <w:sz w:val="24"/>
                <w:u w:val="none" w:color="auto"/>
                <w:lang w:val="en-US" w:eastAsia="zh-CN"/>
              </w:rPr>
              <w:t>10</w:t>
            </w:r>
            <w:r>
              <w:rPr>
                <w:color w:val="auto"/>
                <w:sz w:val="24"/>
                <w:u w:val="none" w:color="auto"/>
              </w:rPr>
              <w:t>示</w:t>
            </w:r>
            <w:r>
              <w:rPr>
                <w:rFonts w:hint="eastAsia"/>
                <w:color w:val="auto"/>
                <w:sz w:val="24"/>
                <w:u w:val="none" w:color="auto"/>
              </w:rPr>
              <w:t>：</w:t>
            </w:r>
          </w:p>
          <w:p>
            <w:pPr>
              <w:adjustRightInd w:val="0"/>
              <w:snapToGrid w:val="0"/>
              <w:jc w:val="center"/>
              <w:rPr>
                <w:b/>
                <w:color w:val="auto"/>
                <w:szCs w:val="21"/>
                <w:u w:val="none" w:color="auto"/>
              </w:rPr>
            </w:pPr>
            <w:r>
              <w:rPr>
                <w:b/>
                <w:color w:val="auto"/>
                <w:sz w:val="24"/>
                <w:szCs w:val="24"/>
                <w:u w:val="none" w:color="auto"/>
              </w:rPr>
              <w:t>表5-</w:t>
            </w:r>
            <w:r>
              <w:rPr>
                <w:rFonts w:hint="eastAsia"/>
                <w:b/>
                <w:color w:val="auto"/>
                <w:sz w:val="24"/>
                <w:szCs w:val="24"/>
                <w:u w:val="none" w:color="auto"/>
                <w:lang w:val="en-US" w:eastAsia="zh-CN"/>
              </w:rPr>
              <w:t>10</w:t>
            </w:r>
            <w:r>
              <w:rPr>
                <w:b/>
                <w:color w:val="auto"/>
                <w:sz w:val="24"/>
                <w:szCs w:val="24"/>
                <w:u w:val="none" w:color="auto"/>
              </w:rPr>
              <w:t xml:space="preserve">  本项目营运期噪声源及噪声声级值一览表  </w:t>
            </w:r>
            <w:r>
              <w:rPr>
                <w:b/>
                <w:color w:val="auto"/>
                <w:szCs w:val="21"/>
                <w:u w:val="none" w:color="auto"/>
              </w:rPr>
              <w:t>单位：dB(A)</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022"/>
              <w:gridCol w:w="3023"/>
              <w:gridCol w:w="30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3022" w:type="dxa"/>
                  <w:noWrap w:val="0"/>
                  <w:vAlign w:val="center"/>
                </w:tcPr>
                <w:p>
                  <w:pPr>
                    <w:pStyle w:val="184"/>
                    <w:rPr>
                      <w:color w:val="auto"/>
                      <w:u w:val="none" w:color="auto"/>
                    </w:rPr>
                  </w:pPr>
                  <w:r>
                    <w:rPr>
                      <w:color w:val="auto"/>
                      <w:u w:val="none" w:color="auto"/>
                    </w:rPr>
                    <w:t>序号</w:t>
                  </w:r>
                </w:p>
              </w:tc>
              <w:tc>
                <w:tcPr>
                  <w:tcW w:w="3023" w:type="dxa"/>
                  <w:noWrap w:val="0"/>
                  <w:vAlign w:val="center"/>
                </w:tcPr>
                <w:p>
                  <w:pPr>
                    <w:pStyle w:val="184"/>
                    <w:rPr>
                      <w:color w:val="auto"/>
                      <w:u w:val="none" w:color="auto"/>
                    </w:rPr>
                  </w:pPr>
                  <w:r>
                    <w:rPr>
                      <w:color w:val="auto"/>
                      <w:u w:val="none" w:color="auto"/>
                    </w:rPr>
                    <w:t>名称</w:t>
                  </w:r>
                </w:p>
              </w:tc>
              <w:tc>
                <w:tcPr>
                  <w:tcW w:w="3023" w:type="dxa"/>
                  <w:noWrap w:val="0"/>
                  <w:vAlign w:val="center"/>
                </w:tcPr>
                <w:p>
                  <w:pPr>
                    <w:pStyle w:val="184"/>
                    <w:rPr>
                      <w:color w:val="auto"/>
                      <w:u w:val="none" w:color="auto"/>
                    </w:rPr>
                  </w:pPr>
                  <w:r>
                    <w:rPr>
                      <w:color w:val="auto"/>
                      <w:u w:val="none" w:color="auto"/>
                    </w:rPr>
                    <w:t>源强dB(A)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3022" w:type="dxa"/>
                  <w:noWrap w:val="0"/>
                  <w:vAlign w:val="center"/>
                </w:tcPr>
                <w:p>
                  <w:pPr>
                    <w:pStyle w:val="184"/>
                    <w:rPr>
                      <w:color w:val="auto"/>
                      <w:u w:val="none" w:color="auto"/>
                    </w:rPr>
                  </w:pPr>
                  <w:r>
                    <w:rPr>
                      <w:color w:val="auto"/>
                      <w:u w:val="none" w:color="auto"/>
                    </w:rPr>
                    <w:t>1</w:t>
                  </w:r>
                </w:p>
              </w:tc>
              <w:tc>
                <w:tcPr>
                  <w:tcW w:w="3023" w:type="dxa"/>
                  <w:noWrap w:val="0"/>
                  <w:vAlign w:val="top"/>
                </w:tcPr>
                <w:p>
                  <w:pPr>
                    <w:pStyle w:val="184"/>
                    <w:rPr>
                      <w:rFonts w:hint="eastAsia" w:eastAsia="宋体"/>
                      <w:color w:val="auto"/>
                      <w:u w:val="none" w:color="auto"/>
                      <w:lang w:eastAsia="zh-CN"/>
                    </w:rPr>
                  </w:pPr>
                  <w:r>
                    <w:rPr>
                      <w:rFonts w:hint="eastAsia"/>
                      <w:color w:val="auto"/>
                      <w:u w:val="none" w:color="auto"/>
                      <w:lang w:eastAsia="zh-CN"/>
                    </w:rPr>
                    <w:t>焊接机</w:t>
                  </w:r>
                </w:p>
              </w:tc>
              <w:tc>
                <w:tcPr>
                  <w:tcW w:w="3023" w:type="dxa"/>
                  <w:noWrap w:val="0"/>
                  <w:vAlign w:val="top"/>
                </w:tcPr>
                <w:p>
                  <w:pPr>
                    <w:pStyle w:val="184"/>
                    <w:rPr>
                      <w:color w:val="auto"/>
                      <w:u w:val="none" w:color="auto"/>
                    </w:rPr>
                  </w:pPr>
                  <w:r>
                    <w:rPr>
                      <w:color w:val="auto"/>
                      <w:u w:val="none" w:color="auto"/>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3022" w:type="dxa"/>
                  <w:noWrap w:val="0"/>
                  <w:vAlign w:val="center"/>
                </w:tcPr>
                <w:p>
                  <w:pPr>
                    <w:pStyle w:val="184"/>
                    <w:rPr>
                      <w:color w:val="auto"/>
                      <w:u w:val="none" w:color="auto"/>
                    </w:rPr>
                  </w:pPr>
                  <w:r>
                    <w:rPr>
                      <w:color w:val="auto"/>
                      <w:u w:val="none" w:color="auto"/>
                    </w:rPr>
                    <w:t>2</w:t>
                  </w:r>
                </w:p>
              </w:tc>
              <w:tc>
                <w:tcPr>
                  <w:tcW w:w="3023" w:type="dxa"/>
                  <w:noWrap w:val="0"/>
                  <w:vAlign w:val="top"/>
                </w:tcPr>
                <w:p>
                  <w:pPr>
                    <w:pStyle w:val="184"/>
                    <w:rPr>
                      <w:rFonts w:hint="eastAsia" w:eastAsia="宋体"/>
                      <w:color w:val="auto"/>
                      <w:u w:val="none" w:color="auto"/>
                      <w:lang w:eastAsia="zh-CN"/>
                    </w:rPr>
                  </w:pPr>
                  <w:r>
                    <w:rPr>
                      <w:rFonts w:hint="eastAsia"/>
                      <w:color w:val="auto"/>
                      <w:u w:val="none" w:color="auto"/>
                      <w:lang w:eastAsia="zh-CN"/>
                    </w:rPr>
                    <w:t>钻孔机</w:t>
                  </w:r>
                </w:p>
              </w:tc>
              <w:tc>
                <w:tcPr>
                  <w:tcW w:w="3023" w:type="dxa"/>
                  <w:noWrap w:val="0"/>
                  <w:vAlign w:val="top"/>
                </w:tcPr>
                <w:p>
                  <w:pPr>
                    <w:pStyle w:val="184"/>
                    <w:rPr>
                      <w:color w:val="auto"/>
                      <w:u w:val="none" w:color="auto"/>
                    </w:rPr>
                  </w:pPr>
                  <w:r>
                    <w:rPr>
                      <w:color w:val="auto"/>
                      <w:u w:val="none" w:color="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3022" w:type="dxa"/>
                  <w:noWrap w:val="0"/>
                  <w:vAlign w:val="center"/>
                </w:tcPr>
                <w:p>
                  <w:pPr>
                    <w:pStyle w:val="184"/>
                    <w:rPr>
                      <w:color w:val="auto"/>
                      <w:u w:val="none" w:color="auto"/>
                    </w:rPr>
                  </w:pPr>
                  <w:r>
                    <w:rPr>
                      <w:color w:val="auto"/>
                      <w:u w:val="none" w:color="auto"/>
                    </w:rPr>
                    <w:t>3</w:t>
                  </w:r>
                </w:p>
              </w:tc>
              <w:tc>
                <w:tcPr>
                  <w:tcW w:w="3023" w:type="dxa"/>
                  <w:noWrap w:val="0"/>
                  <w:vAlign w:val="top"/>
                </w:tcPr>
                <w:p>
                  <w:pPr>
                    <w:pStyle w:val="184"/>
                    <w:rPr>
                      <w:rFonts w:hint="eastAsia"/>
                      <w:color w:val="auto"/>
                      <w:u w:val="none" w:color="auto"/>
                    </w:rPr>
                  </w:pPr>
                  <w:r>
                    <w:rPr>
                      <w:color w:val="auto"/>
                      <w:u w:val="none" w:color="auto"/>
                    </w:rPr>
                    <w:t>风机</w:t>
                  </w:r>
                </w:p>
              </w:tc>
              <w:tc>
                <w:tcPr>
                  <w:tcW w:w="3023" w:type="dxa"/>
                  <w:noWrap w:val="0"/>
                  <w:vAlign w:val="top"/>
                </w:tcPr>
                <w:p>
                  <w:pPr>
                    <w:pStyle w:val="184"/>
                    <w:rPr>
                      <w:color w:val="auto"/>
                      <w:u w:val="none" w:color="auto"/>
                    </w:rPr>
                  </w:pPr>
                  <w:r>
                    <w:rPr>
                      <w:color w:val="auto"/>
                      <w:u w:val="none" w:color="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3022" w:type="dxa"/>
                  <w:noWrap w:val="0"/>
                  <w:vAlign w:val="center"/>
                </w:tcPr>
                <w:p>
                  <w:pPr>
                    <w:pStyle w:val="184"/>
                    <w:rPr>
                      <w:color w:val="auto"/>
                      <w:u w:val="none" w:color="auto"/>
                    </w:rPr>
                  </w:pPr>
                  <w:r>
                    <w:rPr>
                      <w:color w:val="auto"/>
                      <w:u w:val="none" w:color="auto"/>
                    </w:rPr>
                    <w:t>4</w:t>
                  </w:r>
                </w:p>
              </w:tc>
              <w:tc>
                <w:tcPr>
                  <w:tcW w:w="3023" w:type="dxa"/>
                  <w:noWrap w:val="0"/>
                  <w:vAlign w:val="top"/>
                </w:tcPr>
                <w:p>
                  <w:pPr>
                    <w:pStyle w:val="184"/>
                    <w:rPr>
                      <w:color w:val="auto"/>
                      <w:u w:val="none" w:color="auto"/>
                    </w:rPr>
                  </w:pPr>
                  <w:r>
                    <w:rPr>
                      <w:color w:val="auto"/>
                      <w:u w:val="none" w:color="auto"/>
                    </w:rPr>
                    <w:t>空压机</w:t>
                  </w:r>
                </w:p>
              </w:tc>
              <w:tc>
                <w:tcPr>
                  <w:tcW w:w="3023" w:type="dxa"/>
                  <w:noWrap w:val="0"/>
                  <w:vAlign w:val="top"/>
                </w:tcPr>
                <w:p>
                  <w:pPr>
                    <w:pStyle w:val="184"/>
                    <w:rPr>
                      <w:rFonts w:hint="eastAsia" w:eastAsia="宋体"/>
                      <w:color w:val="auto"/>
                      <w:u w:val="none" w:color="auto"/>
                      <w:lang w:eastAsia="zh-CN"/>
                    </w:rPr>
                  </w:pPr>
                  <w:r>
                    <w:rPr>
                      <w:color w:val="auto"/>
                      <w:u w:val="none" w:color="auto"/>
                    </w:rPr>
                    <w:t>9</w:t>
                  </w:r>
                  <w:r>
                    <w:rPr>
                      <w:rFonts w:hint="eastAsia"/>
                      <w:color w:val="auto"/>
                      <w:u w:val="none" w:color="auto"/>
                      <w:lang w:val="en-US" w:eastAsia="zh-CN"/>
                    </w:rPr>
                    <w:t>0</w:t>
                  </w:r>
                </w:p>
              </w:tc>
            </w:tr>
          </w:tbl>
          <w:p>
            <w:pPr>
              <w:rPr>
                <w:color w:val="auto"/>
                <w:sz w:val="24"/>
                <w:szCs w:val="24"/>
                <w:u w:val="none" w:color="auto"/>
              </w:rPr>
            </w:pPr>
            <w:r>
              <w:rPr>
                <w:rFonts w:hint="eastAsia"/>
                <w:color w:val="auto"/>
                <w:u w:val="none" w:color="auto"/>
              </w:rPr>
              <w:t xml:space="preserve"> </w:t>
            </w:r>
            <w:r>
              <w:rPr>
                <w:color w:val="auto"/>
                <w:u w:val="none" w:color="auto"/>
              </w:rPr>
              <w:t xml:space="preserve">   </w:t>
            </w:r>
            <w:r>
              <w:rPr>
                <w:color w:val="auto"/>
                <w:sz w:val="24"/>
                <w:szCs w:val="24"/>
                <w:u w:val="none" w:color="auto"/>
              </w:rPr>
              <w:t xml:space="preserve"> 4、固废</w:t>
            </w:r>
          </w:p>
          <w:p>
            <w:pPr>
              <w:pStyle w:val="33"/>
              <w:spacing w:line="360" w:lineRule="auto"/>
              <w:ind w:left="0" w:leftChars="0" w:firstLine="462" w:firstLineChars="200"/>
              <w:rPr>
                <w:rFonts w:ascii="宋体" w:hAnsi="宋体"/>
                <w:color w:val="auto"/>
                <w:sz w:val="24"/>
                <w:szCs w:val="32"/>
                <w:u w:val="none" w:color="auto"/>
              </w:rPr>
            </w:pPr>
            <w:r>
              <w:rPr>
                <w:rFonts w:hint="eastAsia" w:ascii="宋体" w:hAnsi="宋体"/>
                <w:color w:val="auto"/>
                <w:sz w:val="24"/>
                <w:szCs w:val="32"/>
                <w:u w:val="none" w:color="auto"/>
              </w:rPr>
              <w:t>本项目产生的固体废物有</w:t>
            </w:r>
            <w:r>
              <w:rPr>
                <w:rFonts w:hint="eastAsia" w:ascii="宋体" w:hAnsi="宋体"/>
                <w:color w:val="auto"/>
                <w:sz w:val="24"/>
                <w:szCs w:val="32"/>
                <w:u w:val="none" w:color="auto"/>
                <w:lang w:eastAsia="zh-CN"/>
              </w:rPr>
              <w:t>废金属边角料</w:t>
            </w:r>
            <w:r>
              <w:rPr>
                <w:rFonts w:hint="eastAsia" w:ascii="宋体" w:hAnsi="宋体"/>
                <w:color w:val="auto"/>
                <w:sz w:val="24"/>
                <w:szCs w:val="32"/>
                <w:u w:val="none" w:color="auto"/>
              </w:rPr>
              <w:t>、废</w:t>
            </w:r>
            <w:r>
              <w:rPr>
                <w:rFonts w:hint="eastAsia" w:ascii="宋体" w:hAnsi="宋体"/>
                <w:color w:val="auto"/>
                <w:sz w:val="24"/>
                <w:szCs w:val="32"/>
                <w:u w:val="none" w:color="auto"/>
                <w:lang w:eastAsia="zh-CN"/>
              </w:rPr>
              <w:t>水性</w:t>
            </w:r>
            <w:r>
              <w:rPr>
                <w:rFonts w:hint="eastAsia" w:ascii="宋体" w:hAnsi="宋体"/>
                <w:color w:val="auto"/>
                <w:sz w:val="24"/>
                <w:szCs w:val="32"/>
                <w:u w:val="none" w:color="auto"/>
              </w:rPr>
              <w:t>漆</w:t>
            </w:r>
            <w:r>
              <w:rPr>
                <w:rFonts w:hint="eastAsia" w:ascii="宋体" w:hAnsi="宋体"/>
                <w:color w:val="auto"/>
                <w:sz w:val="24"/>
                <w:szCs w:val="32"/>
                <w:u w:val="none" w:color="auto"/>
                <w:lang w:eastAsia="zh-CN"/>
              </w:rPr>
              <w:t>包装物</w:t>
            </w:r>
            <w:r>
              <w:rPr>
                <w:rFonts w:hint="eastAsia" w:ascii="宋体" w:hAnsi="宋体"/>
                <w:color w:val="auto"/>
                <w:sz w:val="24"/>
                <w:szCs w:val="32"/>
                <w:u w:val="none" w:color="auto"/>
              </w:rPr>
              <w:t>、漆渣、生活垃圾</w:t>
            </w:r>
            <w:r>
              <w:rPr>
                <w:rFonts w:hint="eastAsia" w:ascii="宋体" w:hAnsi="宋体"/>
                <w:color w:val="auto"/>
                <w:sz w:val="24"/>
                <w:szCs w:val="32"/>
                <w:u w:val="none" w:color="auto"/>
                <w:lang w:eastAsia="zh-CN"/>
              </w:rPr>
              <w:t>、水帘废水池沉渣、喷塑过程中收集的粉尘、废润滑油、含油抹布、除尘器收集的粉尘、废液压油、废活性炭、废稀释剂桶、废绝缘漆桶、废油桶、废灯管</w:t>
            </w:r>
            <w:r>
              <w:rPr>
                <w:rFonts w:hint="eastAsia" w:ascii="宋体" w:hAnsi="宋体"/>
                <w:color w:val="auto"/>
                <w:sz w:val="24"/>
                <w:szCs w:val="32"/>
                <w:u w:val="none" w:color="auto"/>
              </w:rPr>
              <w:t>。</w:t>
            </w:r>
          </w:p>
          <w:p>
            <w:pPr>
              <w:pStyle w:val="33"/>
              <w:spacing w:line="360" w:lineRule="auto"/>
              <w:ind w:left="400"/>
              <w:rPr>
                <w:rFonts w:hint="eastAsia" w:ascii="Times New Roman" w:hAnsi="Times New Roman" w:eastAsia="宋体" w:cs="Times New Roman"/>
                <w:color w:val="auto"/>
                <w:sz w:val="24"/>
                <w:szCs w:val="32"/>
                <w:u w:val="none" w:color="auto"/>
                <w:lang w:eastAsia="zh-CN"/>
              </w:rPr>
            </w:pPr>
            <w:r>
              <w:rPr>
                <w:rFonts w:hint="eastAsia" w:ascii="宋体" w:hAnsi="宋体"/>
                <w:color w:val="auto"/>
                <w:sz w:val="24"/>
                <w:szCs w:val="32"/>
                <w:u w:val="none" w:color="auto"/>
              </w:rPr>
              <w:t>（1）</w:t>
            </w:r>
            <w:r>
              <w:rPr>
                <w:rFonts w:hint="eastAsia" w:ascii="宋体" w:hAnsi="宋体"/>
                <w:color w:val="auto"/>
                <w:sz w:val="24"/>
                <w:szCs w:val="32"/>
                <w:u w:val="none" w:color="auto"/>
                <w:lang w:eastAsia="zh-CN"/>
              </w:rPr>
              <w:t>废金属边角料</w:t>
            </w:r>
          </w:p>
          <w:p>
            <w:pPr>
              <w:pStyle w:val="33"/>
              <w:spacing w:line="360" w:lineRule="auto"/>
              <w:ind w:left="0" w:leftChars="0" w:firstLine="462" w:firstLineChars="200"/>
              <w:jc w:val="left"/>
              <w:rPr>
                <w:rFonts w:hint="default" w:ascii="Times New Roman" w:hAnsi="Times New Roman" w:cs="Times New Roman"/>
                <w:color w:val="auto"/>
                <w:sz w:val="24"/>
                <w:szCs w:val="32"/>
                <w:u w:val="none" w:color="auto"/>
              </w:rPr>
            </w:pPr>
            <w:r>
              <w:rPr>
                <w:rFonts w:hint="eastAsia" w:cs="Times New Roman"/>
                <w:color w:val="auto"/>
                <w:sz w:val="24"/>
                <w:szCs w:val="32"/>
                <w:u w:val="none" w:color="auto"/>
                <w:lang w:eastAsia="zh-CN"/>
              </w:rPr>
              <w:t>本项目在生产加工过程中会产生少量边角料</w:t>
            </w:r>
            <w:r>
              <w:rPr>
                <w:rFonts w:hint="default" w:ascii="Times New Roman" w:hAnsi="Times New Roman" w:cs="Times New Roman"/>
                <w:color w:val="auto"/>
                <w:sz w:val="24"/>
                <w:szCs w:val="32"/>
                <w:u w:val="none" w:color="auto"/>
              </w:rPr>
              <w:t>，根据</w:t>
            </w:r>
            <w:r>
              <w:rPr>
                <w:rFonts w:hint="eastAsia" w:cs="Times New Roman"/>
                <w:color w:val="auto"/>
                <w:sz w:val="24"/>
                <w:szCs w:val="32"/>
                <w:u w:val="none" w:color="auto"/>
                <w:lang w:eastAsia="zh-CN"/>
              </w:rPr>
              <w:t>同类项目</w:t>
            </w:r>
            <w:r>
              <w:rPr>
                <w:rFonts w:hint="default" w:ascii="Times New Roman" w:hAnsi="Times New Roman" w:cs="Times New Roman"/>
                <w:color w:val="auto"/>
                <w:sz w:val="24"/>
                <w:szCs w:val="32"/>
                <w:u w:val="none" w:color="auto"/>
              </w:rPr>
              <w:t>分析，</w:t>
            </w:r>
            <w:r>
              <w:rPr>
                <w:rFonts w:hint="eastAsia" w:cs="Times New Roman"/>
                <w:color w:val="auto"/>
                <w:sz w:val="24"/>
                <w:szCs w:val="32"/>
                <w:u w:val="none" w:color="auto"/>
                <w:lang w:eastAsia="zh-CN"/>
              </w:rPr>
              <w:t>废边角料产生量为原材料的</w:t>
            </w:r>
            <w:r>
              <w:rPr>
                <w:rFonts w:hint="eastAsia" w:cs="Times New Roman"/>
                <w:color w:val="auto"/>
                <w:sz w:val="24"/>
                <w:szCs w:val="32"/>
                <w:u w:val="none" w:color="auto"/>
                <w:lang w:val="en-US" w:eastAsia="zh-CN"/>
              </w:rPr>
              <w:t>0.3%</w:t>
            </w:r>
            <w:r>
              <w:rPr>
                <w:rFonts w:hint="eastAsia" w:cs="Times New Roman"/>
                <w:color w:val="auto"/>
                <w:sz w:val="24"/>
                <w:szCs w:val="32"/>
                <w:u w:val="none" w:color="auto"/>
                <w:lang w:eastAsia="zh-CN"/>
              </w:rPr>
              <w:t>，故</w:t>
            </w:r>
            <w:r>
              <w:rPr>
                <w:rFonts w:hint="default" w:ascii="Times New Roman" w:hAnsi="Times New Roman" w:cs="Times New Roman"/>
                <w:color w:val="auto"/>
                <w:sz w:val="24"/>
                <w:szCs w:val="32"/>
                <w:u w:val="none" w:color="auto"/>
              </w:rPr>
              <w:t>其产生量约为</w:t>
            </w:r>
            <w:r>
              <w:rPr>
                <w:rFonts w:hint="eastAsia" w:cs="Times New Roman"/>
                <w:color w:val="auto"/>
                <w:sz w:val="24"/>
                <w:szCs w:val="32"/>
                <w:u w:val="none" w:color="auto"/>
                <w:lang w:val="en-US" w:eastAsia="zh-CN"/>
              </w:rPr>
              <w:t>6.39</w:t>
            </w:r>
            <w:r>
              <w:rPr>
                <w:rFonts w:hint="default" w:ascii="Times New Roman" w:hAnsi="Times New Roman" w:cs="Times New Roman"/>
                <w:color w:val="auto"/>
                <w:sz w:val="24"/>
                <w:u w:val="none" w:color="auto"/>
              </w:rPr>
              <w:t>t/a</w:t>
            </w:r>
            <w:r>
              <w:rPr>
                <w:rFonts w:hint="default" w:ascii="Times New Roman" w:hAnsi="Times New Roman" w:cs="Times New Roman"/>
                <w:color w:val="auto"/>
                <w:sz w:val="24"/>
                <w:szCs w:val="32"/>
                <w:u w:val="none" w:color="auto"/>
              </w:rPr>
              <w:t>，</w:t>
            </w:r>
            <w:r>
              <w:rPr>
                <w:rFonts w:hint="default" w:ascii="Times New Roman" w:hAnsi="Times New Roman" w:cs="Times New Roman"/>
                <w:color w:val="auto"/>
                <w:sz w:val="24"/>
                <w:u w:val="none" w:color="auto"/>
              </w:rPr>
              <w:t>收集后均外售</w:t>
            </w:r>
            <w:r>
              <w:rPr>
                <w:rFonts w:hint="eastAsia" w:cs="Times New Roman"/>
                <w:color w:val="auto"/>
                <w:sz w:val="24"/>
                <w:u w:val="none" w:color="auto"/>
                <w:lang w:eastAsia="zh-CN"/>
              </w:rPr>
              <w:t>物资回收公司回收利用</w:t>
            </w:r>
            <w:r>
              <w:rPr>
                <w:rFonts w:hint="default" w:ascii="Times New Roman" w:hAnsi="Times New Roman" w:cs="Times New Roman"/>
                <w:color w:val="auto"/>
                <w:sz w:val="24"/>
                <w:u w:val="none" w:color="auto"/>
              </w:rPr>
              <w:t>。</w:t>
            </w:r>
          </w:p>
          <w:p>
            <w:pPr>
              <w:pStyle w:val="33"/>
              <w:spacing w:line="360" w:lineRule="auto"/>
              <w:ind w:left="0" w:leftChars="0" w:firstLine="462" w:firstLineChars="200"/>
              <w:jc w:val="left"/>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（2）生活垃圾</w:t>
            </w:r>
          </w:p>
          <w:p>
            <w:pPr>
              <w:spacing w:line="360" w:lineRule="auto"/>
              <w:ind w:firstLine="462" w:firstLineChars="200"/>
              <w:jc w:val="left"/>
              <w:rPr>
                <w:rFonts w:hint="default" w:ascii="Times New Roman" w:hAnsi="Times New Roman" w:cs="Times New Roman"/>
                <w:color w:val="auto"/>
                <w:sz w:val="24"/>
                <w:szCs w:val="24"/>
                <w:u w:val="none" w:color="auto"/>
              </w:rPr>
            </w:pPr>
            <w:r>
              <w:rPr>
                <w:color w:val="auto"/>
                <w:sz w:val="24"/>
                <w:szCs w:val="24"/>
                <w:u w:val="none" w:color="auto"/>
              </w:rPr>
              <w:t>本项目生活垃圾按</w:t>
            </w:r>
            <w:r>
              <w:rPr>
                <w:rFonts w:hint="default" w:ascii="Times New Roman" w:hAnsi="Times New Roman" w:cs="Times New Roman"/>
                <w:color w:val="auto"/>
                <w:sz w:val="24"/>
                <w:szCs w:val="24"/>
                <w:u w:val="none" w:color="auto"/>
              </w:rPr>
              <w:t>0.5kg/d计算，该项目工作人员</w:t>
            </w:r>
            <w:r>
              <w:rPr>
                <w:rFonts w:hint="eastAsia" w:cs="Times New Roman"/>
                <w:color w:val="auto"/>
                <w:sz w:val="24"/>
                <w:szCs w:val="24"/>
                <w:u w:val="none" w:color="auto"/>
                <w:lang w:val="en-US" w:eastAsia="zh-CN"/>
              </w:rPr>
              <w:t>200</w:t>
            </w:r>
            <w:r>
              <w:rPr>
                <w:rFonts w:hint="default" w:ascii="Times New Roman" w:hAnsi="Times New Roman" w:cs="Times New Roman"/>
                <w:color w:val="auto"/>
                <w:sz w:val="24"/>
                <w:szCs w:val="24"/>
                <w:u w:val="none" w:color="auto"/>
              </w:rPr>
              <w:t>人，年工作300天，生活垃圾产生量为</w:t>
            </w:r>
            <w:r>
              <w:rPr>
                <w:rFonts w:hint="eastAsia" w:cs="Times New Roman"/>
                <w:color w:val="auto"/>
                <w:sz w:val="24"/>
                <w:szCs w:val="24"/>
                <w:u w:val="none" w:color="auto"/>
                <w:lang w:val="en-US" w:eastAsia="zh-CN"/>
              </w:rPr>
              <w:t>0.1</w:t>
            </w:r>
            <w:r>
              <w:rPr>
                <w:rFonts w:hint="default" w:ascii="Times New Roman" w:hAnsi="Times New Roman" w:cs="Times New Roman"/>
                <w:color w:val="auto"/>
                <w:sz w:val="24"/>
                <w:szCs w:val="24"/>
                <w:u w:val="none" w:color="auto"/>
              </w:rPr>
              <w:t>t/d（</w:t>
            </w:r>
            <w:r>
              <w:rPr>
                <w:rFonts w:hint="eastAsia" w:cs="Times New Roman"/>
                <w:color w:val="auto"/>
                <w:sz w:val="24"/>
                <w:szCs w:val="24"/>
                <w:u w:val="none" w:color="auto"/>
                <w:lang w:val="en-US" w:eastAsia="zh-CN"/>
              </w:rPr>
              <w:t>30</w:t>
            </w:r>
            <w:r>
              <w:rPr>
                <w:rFonts w:hint="default" w:ascii="Times New Roman" w:hAnsi="Times New Roman" w:cs="Times New Roman"/>
                <w:color w:val="auto"/>
                <w:sz w:val="24"/>
                <w:szCs w:val="24"/>
                <w:u w:val="none" w:color="auto"/>
              </w:rPr>
              <w:t>t/a），生活垃圾集中收集后交环卫部门统一清运处理。</w:t>
            </w:r>
          </w:p>
          <w:p>
            <w:pPr>
              <w:pStyle w:val="33"/>
              <w:spacing w:line="360" w:lineRule="auto"/>
              <w:ind w:leftChars="0"/>
              <w:rPr>
                <w:rFonts w:hint="default" w:ascii="Times New Roman" w:hAnsi="Times New Roman" w:eastAsia="宋体" w:cs="Times New Roman"/>
                <w:color w:val="auto"/>
                <w:sz w:val="24"/>
                <w:u w:val="none" w:color="auto"/>
                <w:lang w:eastAsia="zh-CN"/>
              </w:rPr>
            </w:pP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lang w:val="en-US" w:eastAsia="zh-CN"/>
              </w:rPr>
              <w:t>3</w:t>
            </w:r>
            <w:r>
              <w:rPr>
                <w:rFonts w:hint="default" w:ascii="Times New Roman" w:hAnsi="Times New Roman" w:cs="Times New Roman"/>
                <w:color w:val="auto"/>
                <w:sz w:val="24"/>
                <w:u w:val="none" w:color="auto"/>
                <w:lang w:eastAsia="zh-CN"/>
              </w:rPr>
              <w:t>）</w:t>
            </w:r>
            <w:r>
              <w:rPr>
                <w:rFonts w:hint="eastAsia" w:ascii="宋体" w:hAnsi="宋体"/>
                <w:color w:val="auto"/>
                <w:sz w:val="24"/>
                <w:szCs w:val="32"/>
                <w:u w:val="none" w:color="auto"/>
                <w:lang w:eastAsia="zh-CN"/>
              </w:rPr>
              <w:t>喷塑过程中收集的粉尘</w:t>
            </w:r>
          </w:p>
          <w:p>
            <w:pPr>
              <w:pStyle w:val="33"/>
              <w:spacing w:line="360" w:lineRule="auto"/>
              <w:ind w:left="0" w:leftChars="0" w:firstLine="462"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cs="Times New Roman"/>
                <w:color w:val="auto"/>
                <w:sz w:val="24"/>
                <w:u w:val="none" w:color="auto"/>
                <w:lang w:eastAsia="zh-CN"/>
              </w:rPr>
              <w:t>本项目</w:t>
            </w:r>
            <w:r>
              <w:rPr>
                <w:rFonts w:hint="eastAsia" w:cs="Times New Roman"/>
                <w:color w:val="auto"/>
                <w:sz w:val="24"/>
                <w:u w:val="none" w:color="auto"/>
                <w:lang w:eastAsia="zh-CN"/>
              </w:rPr>
              <w:t>在喷塑过程中产生的粉尘经自带的粉末回收系统处理后外排，根据工程分析，项目收集的粉尘量为</w:t>
            </w:r>
            <w:r>
              <w:rPr>
                <w:rFonts w:hint="eastAsia" w:cs="Times New Roman"/>
                <w:color w:val="auto"/>
                <w:sz w:val="24"/>
                <w:u w:val="none" w:color="auto"/>
                <w:lang w:val="en-US" w:eastAsia="zh-CN"/>
              </w:rPr>
              <w:t>0.57t/a</w:t>
            </w:r>
            <w:r>
              <w:rPr>
                <w:rFonts w:hint="default" w:ascii="Times New Roman" w:hAnsi="Times New Roman" w:cs="Times New Roman"/>
                <w:color w:val="auto"/>
                <w:sz w:val="24"/>
                <w:u w:val="none" w:color="auto"/>
                <w:lang w:val="en-US" w:eastAsia="zh-CN"/>
              </w:rPr>
              <w:t>，收集后</w:t>
            </w:r>
            <w:r>
              <w:rPr>
                <w:rFonts w:hint="eastAsia" w:cs="Times New Roman"/>
                <w:color w:val="auto"/>
                <w:sz w:val="24"/>
                <w:u w:val="none" w:color="auto"/>
                <w:lang w:val="en-US" w:eastAsia="zh-CN"/>
              </w:rPr>
              <w:t>回用于生产</w:t>
            </w:r>
            <w:r>
              <w:rPr>
                <w:rFonts w:hint="default" w:ascii="Times New Roman" w:hAnsi="Times New Roman" w:cs="Times New Roman"/>
                <w:color w:val="auto"/>
                <w:sz w:val="24"/>
                <w:u w:val="none" w:color="auto"/>
                <w:lang w:val="en-US" w:eastAsia="zh-CN"/>
              </w:rPr>
              <w:t>。</w:t>
            </w:r>
          </w:p>
          <w:p>
            <w:pPr>
              <w:pStyle w:val="33"/>
              <w:spacing w:line="360" w:lineRule="auto"/>
              <w:ind w:leftChars="0"/>
              <w:rPr>
                <w:rFonts w:hint="eastAsia" w:ascii="Times New Roman" w:hAnsi="Times New Roman" w:eastAsia="宋体" w:cs="Times New Roman"/>
                <w:color w:val="auto"/>
                <w:sz w:val="24"/>
                <w:u w:val="none" w:color="auto"/>
                <w:lang w:eastAsia="zh-CN"/>
              </w:rPr>
            </w:pPr>
            <w:r>
              <w:rPr>
                <w:rFonts w:hint="default" w:ascii="Times New Roman" w:hAnsi="Times New Roman" w:cs="Times New Roman"/>
                <w:color w:val="auto"/>
                <w:sz w:val="24"/>
                <w:szCs w:val="32"/>
                <w:u w:val="none" w:color="auto"/>
                <w:lang w:eastAsia="zh-CN"/>
              </w:rPr>
              <w:t>（</w:t>
            </w:r>
            <w:r>
              <w:rPr>
                <w:rFonts w:hint="default" w:ascii="Times New Roman" w:hAnsi="Times New Roman" w:cs="Times New Roman"/>
                <w:color w:val="auto"/>
                <w:sz w:val="24"/>
                <w:szCs w:val="32"/>
                <w:u w:val="none" w:color="auto"/>
                <w:lang w:val="en-US" w:eastAsia="zh-CN"/>
              </w:rPr>
              <w:t>4</w:t>
            </w:r>
            <w:r>
              <w:rPr>
                <w:rFonts w:hint="default" w:ascii="Times New Roman" w:hAnsi="Times New Roman" w:cs="Times New Roman"/>
                <w:color w:val="auto"/>
                <w:sz w:val="24"/>
                <w:szCs w:val="32"/>
                <w:u w:val="none" w:color="auto"/>
                <w:lang w:eastAsia="zh-CN"/>
              </w:rPr>
              <w:t>）</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w:t>
            </w:r>
          </w:p>
          <w:p>
            <w:pPr>
              <w:pStyle w:val="33"/>
              <w:spacing w:line="360" w:lineRule="auto"/>
              <w:ind w:left="0" w:leftChars="0" w:firstLine="462" w:firstLineChars="200"/>
              <w:rPr>
                <w:rFonts w:hint="eastAsia"/>
                <w:color w:val="auto"/>
                <w:sz w:val="24"/>
                <w:szCs w:val="24"/>
                <w:u w:val="none" w:color="auto"/>
                <w:lang w:eastAsia="zh-CN"/>
              </w:rPr>
            </w:pPr>
            <w:r>
              <w:rPr>
                <w:rFonts w:hint="default" w:ascii="Times New Roman" w:hAnsi="Times New Roman" w:cs="Times New Roman"/>
                <w:color w:val="auto"/>
                <w:sz w:val="24"/>
                <w:szCs w:val="24"/>
                <w:u w:val="none" w:color="auto"/>
                <w:lang w:eastAsia="zh-CN"/>
              </w:rPr>
              <w:t>根据《国家危险废物名录》中判定</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包装物不属于危险废物，为一般固废，其中</w:t>
            </w:r>
            <w:r>
              <w:rPr>
                <w:rFonts w:hint="default" w:ascii="Times New Roman" w:hAnsi="Times New Roman" w:cs="Times New Roman"/>
                <w:color w:val="auto"/>
                <w:sz w:val="24"/>
                <w:szCs w:val="24"/>
                <w:u w:val="none" w:color="auto"/>
              </w:rPr>
              <w:t>根据</w:t>
            </w:r>
            <w:r>
              <w:rPr>
                <w:rFonts w:hint="default" w:ascii="Times New Roman" w:hAnsi="Times New Roman" w:cs="Times New Roman"/>
                <w:color w:val="auto"/>
                <w:sz w:val="24"/>
                <w:szCs w:val="24"/>
                <w:u w:val="none" w:color="auto"/>
                <w:lang w:eastAsia="zh-CN"/>
              </w:rPr>
              <w:t>水性漆</w:t>
            </w:r>
            <w:r>
              <w:rPr>
                <w:rFonts w:hint="default" w:ascii="Times New Roman" w:hAnsi="Times New Roman" w:cs="Times New Roman"/>
                <w:color w:val="auto"/>
                <w:sz w:val="24"/>
                <w:szCs w:val="24"/>
                <w:u w:val="none" w:color="auto"/>
              </w:rPr>
              <w:t>的用量估算，本项目</w:t>
            </w:r>
            <w:r>
              <w:rPr>
                <w:rFonts w:hint="default" w:ascii="Times New Roman" w:hAnsi="Times New Roman" w:cs="Times New Roman"/>
                <w:color w:val="auto"/>
                <w:sz w:val="24"/>
                <w:szCs w:val="24"/>
                <w:u w:val="none" w:color="auto"/>
                <w:lang w:eastAsia="zh-CN"/>
              </w:rPr>
              <w:t>废水性漆包装物</w:t>
            </w:r>
            <w:r>
              <w:rPr>
                <w:rFonts w:hint="default" w:ascii="Times New Roman" w:hAnsi="Times New Roman" w:cs="Times New Roman"/>
                <w:color w:val="auto"/>
                <w:sz w:val="24"/>
                <w:szCs w:val="24"/>
                <w:u w:val="none" w:color="auto"/>
              </w:rPr>
              <w:t>产生量约0.</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t/a</w:t>
            </w:r>
            <w:r>
              <w:rPr>
                <w:rFonts w:hint="default" w:ascii="Times New Roman" w:hAnsi="Times New Roman" w:cs="Times New Roman"/>
                <w:color w:val="auto"/>
                <w:sz w:val="24"/>
                <w:szCs w:val="24"/>
                <w:u w:val="none" w:color="auto"/>
                <w:lang w:eastAsia="zh-CN"/>
              </w:rPr>
              <w:t>；</w:t>
            </w:r>
            <w:r>
              <w:rPr>
                <w:rFonts w:hint="eastAsia"/>
                <w:color w:val="auto"/>
                <w:sz w:val="24"/>
                <w:szCs w:val="24"/>
                <w:u w:val="none" w:color="auto"/>
                <w:lang w:val="en-US" w:eastAsia="zh-CN"/>
              </w:rPr>
              <w:t>均收集后交由环卫部门进行处理</w:t>
            </w:r>
            <w:r>
              <w:rPr>
                <w:rFonts w:hint="eastAsia"/>
                <w:color w:val="auto"/>
                <w:sz w:val="24"/>
                <w:szCs w:val="24"/>
                <w:u w:val="none" w:color="auto"/>
              </w:rPr>
              <w:t>。</w:t>
            </w:r>
          </w:p>
          <w:p>
            <w:pPr>
              <w:spacing w:line="360" w:lineRule="auto"/>
              <w:ind w:firstLine="462" w:firstLineChars="200"/>
              <w:jc w:val="left"/>
              <w:rPr>
                <w:rFonts w:hint="eastAsia" w:ascii="Times New Roman" w:hAnsi="Times New Roman" w:eastAsia="宋体"/>
                <w:color w:val="auto"/>
                <w:sz w:val="24"/>
                <w:highlight w:val="none"/>
                <w:u w:val="none" w:color="auto"/>
                <w:lang w:eastAsia="zh-CN"/>
              </w:rPr>
            </w:pPr>
            <w:r>
              <w:rPr>
                <w:rFonts w:hint="eastAsia"/>
                <w:color w:val="auto"/>
                <w:sz w:val="24"/>
                <w:szCs w:val="24"/>
                <w:u w:val="none" w:color="auto"/>
                <w:lang w:eastAsia="zh-CN"/>
              </w:rPr>
              <w:t>（</w:t>
            </w:r>
            <w:r>
              <w:rPr>
                <w:rFonts w:hint="eastAsia"/>
                <w:color w:val="auto"/>
                <w:sz w:val="24"/>
                <w:szCs w:val="24"/>
                <w:u w:val="none" w:color="auto"/>
                <w:lang w:val="en-US" w:eastAsia="zh-CN"/>
              </w:rPr>
              <w:t>5</w:t>
            </w:r>
            <w:r>
              <w:rPr>
                <w:rFonts w:hint="eastAsia"/>
                <w:color w:val="auto"/>
                <w:sz w:val="24"/>
                <w:szCs w:val="24"/>
                <w:u w:val="none" w:color="auto"/>
                <w:lang w:eastAsia="zh-CN"/>
              </w:rPr>
              <w:t>）</w:t>
            </w:r>
            <w:r>
              <w:rPr>
                <w:rFonts w:hint="eastAsia"/>
                <w:color w:val="auto"/>
                <w:sz w:val="24"/>
                <w:highlight w:val="none"/>
                <w:u w:val="none" w:color="auto"/>
                <w:lang w:eastAsia="zh-CN"/>
              </w:rPr>
              <w:t>水帘废水池沉渣、漆渣</w:t>
            </w:r>
          </w:p>
          <w:p>
            <w:pPr>
              <w:spacing w:line="360" w:lineRule="auto"/>
              <w:ind w:firstLine="462" w:firstLineChars="200"/>
              <w:jc w:val="left"/>
              <w:rPr>
                <w:rFonts w:hint="eastAsia"/>
                <w:color w:val="auto"/>
                <w:sz w:val="24"/>
                <w:szCs w:val="24"/>
                <w:u w:val="none" w:color="auto"/>
                <w:lang w:eastAsia="zh-CN"/>
              </w:rPr>
            </w:pPr>
            <w:r>
              <w:rPr>
                <w:rFonts w:ascii="Times New Roman" w:hAnsi="Times New Roman"/>
                <w:color w:val="auto"/>
                <w:sz w:val="24"/>
                <w:highlight w:val="none"/>
                <w:u w:val="none" w:color="auto"/>
              </w:rPr>
              <w:t>项目用</w:t>
            </w:r>
            <w:r>
              <w:rPr>
                <w:rFonts w:hint="eastAsia"/>
                <w:color w:val="auto"/>
                <w:sz w:val="24"/>
                <w:highlight w:val="none"/>
                <w:u w:val="none" w:color="auto"/>
                <w:lang w:eastAsia="zh-CN"/>
              </w:rPr>
              <w:t>水帘</w:t>
            </w:r>
            <w:r>
              <w:rPr>
                <w:rFonts w:ascii="Times New Roman" w:hAnsi="Times New Roman"/>
                <w:color w:val="auto"/>
                <w:sz w:val="24"/>
                <w:highlight w:val="none"/>
                <w:u w:val="none" w:color="auto"/>
              </w:rPr>
              <w:t>过滤漆雾，</w:t>
            </w:r>
            <w:r>
              <w:rPr>
                <w:rFonts w:hint="eastAsia"/>
                <w:color w:val="auto"/>
                <w:sz w:val="24"/>
                <w:highlight w:val="none"/>
                <w:u w:val="none" w:color="auto"/>
                <w:lang w:eastAsia="zh-CN"/>
              </w:rPr>
              <w:t>建议</w:t>
            </w:r>
            <w:r>
              <w:rPr>
                <w:rFonts w:ascii="Times New Roman" w:hAnsi="Times New Roman"/>
                <w:color w:val="auto"/>
                <w:sz w:val="24"/>
                <w:highlight w:val="none"/>
                <w:u w:val="none" w:color="auto"/>
              </w:rPr>
              <w:t>每</w:t>
            </w:r>
            <w:r>
              <w:rPr>
                <w:rFonts w:hint="eastAsia"/>
                <w:color w:val="auto"/>
                <w:sz w:val="24"/>
                <w:highlight w:val="none"/>
                <w:u w:val="none" w:color="auto"/>
                <w:lang w:eastAsia="zh-CN"/>
              </w:rPr>
              <w:t>一个</w:t>
            </w:r>
            <w:r>
              <w:rPr>
                <w:rFonts w:ascii="Times New Roman" w:hAnsi="Times New Roman"/>
                <w:color w:val="auto"/>
                <w:sz w:val="24"/>
                <w:highlight w:val="none"/>
                <w:u w:val="none" w:color="auto"/>
              </w:rPr>
              <w:t>月</w:t>
            </w:r>
            <w:r>
              <w:rPr>
                <w:rFonts w:hint="eastAsia"/>
                <w:color w:val="auto"/>
                <w:sz w:val="24"/>
                <w:highlight w:val="none"/>
                <w:u w:val="none" w:color="auto"/>
                <w:lang w:eastAsia="zh-CN"/>
              </w:rPr>
              <w:t>清理一次沉渣，沉渣</w:t>
            </w:r>
            <w:r>
              <w:rPr>
                <w:rFonts w:ascii="Times New Roman" w:hAnsi="Times New Roman"/>
                <w:color w:val="auto"/>
                <w:sz w:val="24"/>
                <w:highlight w:val="none"/>
                <w:u w:val="none" w:color="auto"/>
              </w:rPr>
              <w:t>的产生量约为</w:t>
            </w:r>
            <w:r>
              <w:rPr>
                <w:rFonts w:hint="eastAsia" w:ascii="Times New Roman" w:hAnsi="Times New Roman"/>
                <w:color w:val="auto"/>
                <w:sz w:val="24"/>
                <w:highlight w:val="none"/>
                <w:u w:val="none" w:color="auto"/>
              </w:rPr>
              <w:t>0.24t/a</w:t>
            </w:r>
            <w:r>
              <w:rPr>
                <w:rFonts w:hint="eastAsia" w:ascii="Times New Roman" w:hAnsi="Times New Roman"/>
                <w:color w:val="auto"/>
                <w:sz w:val="24"/>
                <w:highlight w:val="none"/>
                <w:u w:val="none" w:color="auto"/>
                <w:lang w:eastAsia="zh-CN"/>
              </w:rPr>
              <w:t>。</w:t>
            </w:r>
            <w:r>
              <w:rPr>
                <w:rFonts w:hint="default" w:ascii="Times New Roman" w:hAnsi="Times New Roman" w:cs="Times New Roman"/>
                <w:color w:val="auto"/>
                <w:sz w:val="24"/>
                <w:szCs w:val="24"/>
                <w:u w:val="none" w:color="auto"/>
                <w:lang w:eastAsia="zh-CN"/>
              </w:rPr>
              <w:t>漆渣主要是在喷漆过程中产生的固体颗粒物，项目漆渣产生量为</w:t>
            </w:r>
            <w:r>
              <w:rPr>
                <w:rFonts w:hint="default" w:ascii="Times New Roman" w:hAnsi="Times New Roman" w:cs="Times New Roman"/>
                <w:color w:val="auto"/>
                <w:sz w:val="24"/>
                <w:szCs w:val="24"/>
                <w:u w:val="none" w:color="auto"/>
                <w:lang w:val="en-US" w:eastAsia="zh-CN"/>
              </w:rPr>
              <w:t>0.04t/a</w:t>
            </w:r>
            <w:r>
              <w:rPr>
                <w:rFonts w:hint="eastAsia"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highlight w:val="none"/>
                <w:u w:val="none" w:color="auto"/>
              </w:rPr>
              <w:t>按《国家危险废物名录》</w:t>
            </w:r>
            <w:r>
              <w:rPr>
                <w:rFonts w:hint="eastAsia" w:ascii="Times New Roman" w:hAnsi="Times New Roman" w:cs="Times New Roman"/>
                <w:color w:val="auto"/>
                <w:sz w:val="24"/>
                <w:highlight w:val="none"/>
                <w:u w:val="none" w:color="auto"/>
                <w:lang w:eastAsia="zh-CN"/>
              </w:rPr>
              <w:t>（</w:t>
            </w:r>
            <w:r>
              <w:rPr>
                <w:rFonts w:hint="eastAsia" w:ascii="Times New Roman" w:hAnsi="Times New Roman" w:cs="Times New Roman"/>
                <w:color w:val="auto"/>
                <w:sz w:val="24"/>
                <w:highlight w:val="none"/>
                <w:u w:val="none" w:color="auto"/>
                <w:lang w:val="en-US" w:eastAsia="zh-CN"/>
              </w:rPr>
              <w:t>2016年</w:t>
            </w:r>
            <w:r>
              <w:rPr>
                <w:rFonts w:hint="eastAsia" w:ascii="Times New Roman" w:hAnsi="Times New Roman" w:cs="Times New Roman"/>
                <w:color w:val="auto"/>
                <w:sz w:val="24"/>
                <w:highlight w:val="none"/>
                <w:u w:val="none" w:color="auto"/>
                <w:lang w:eastAsia="zh-CN"/>
              </w:rPr>
              <w:t>）可知</w:t>
            </w:r>
            <w:r>
              <w:rPr>
                <w:rFonts w:hint="eastAsia" w:cs="Times New Roman"/>
                <w:color w:val="auto"/>
                <w:sz w:val="24"/>
                <w:highlight w:val="none"/>
                <w:u w:val="none" w:color="auto"/>
                <w:lang w:eastAsia="zh-CN"/>
              </w:rPr>
              <w:t>水帘废水池沉渣和漆渣</w:t>
            </w:r>
            <w:r>
              <w:rPr>
                <w:rFonts w:hint="eastAsia" w:ascii="Times New Roman" w:hAnsi="Times New Roman" w:cs="Times New Roman"/>
                <w:color w:val="auto"/>
                <w:sz w:val="24"/>
                <w:highlight w:val="none"/>
                <w:u w:val="none" w:color="auto"/>
                <w:lang w:eastAsia="zh-CN"/>
              </w:rPr>
              <w:t>，属于危险废物</w:t>
            </w:r>
            <w:r>
              <w:rPr>
                <w:rFonts w:hint="eastAsia" w:cs="Times New Roman"/>
                <w:color w:val="auto"/>
                <w:sz w:val="24"/>
                <w:highlight w:val="none"/>
                <w:u w:val="none" w:color="auto"/>
                <w:lang w:eastAsia="zh-CN"/>
              </w:rPr>
              <w:t>，收集于危险废物储存间内，再交由有资质单位进行处理。</w:t>
            </w:r>
          </w:p>
          <w:p>
            <w:pPr>
              <w:spacing w:line="360" w:lineRule="auto"/>
              <w:ind w:firstLine="462" w:firstLineChars="200"/>
              <w:jc w:val="left"/>
              <w:rPr>
                <w:color w:val="auto"/>
                <w:sz w:val="24"/>
                <w:szCs w:val="24"/>
                <w:u w:val="none" w:color="auto"/>
              </w:rPr>
            </w:pPr>
            <w:r>
              <w:rPr>
                <w:rFonts w:hint="eastAsia"/>
                <w:color w:val="auto"/>
                <w:sz w:val="24"/>
                <w:szCs w:val="24"/>
                <w:u w:val="none" w:color="auto"/>
                <w:lang w:eastAsia="zh-CN"/>
              </w:rPr>
              <w:t>（</w:t>
            </w:r>
            <w:r>
              <w:rPr>
                <w:rFonts w:hint="eastAsia"/>
                <w:color w:val="auto"/>
                <w:sz w:val="24"/>
                <w:szCs w:val="24"/>
                <w:u w:val="none" w:color="auto"/>
                <w:lang w:val="en-US" w:eastAsia="zh-CN"/>
              </w:rPr>
              <w:t>6</w:t>
            </w:r>
            <w:r>
              <w:rPr>
                <w:rFonts w:hint="eastAsia"/>
                <w:color w:val="auto"/>
                <w:sz w:val="24"/>
                <w:szCs w:val="24"/>
                <w:u w:val="none" w:color="auto"/>
                <w:lang w:eastAsia="zh-CN"/>
              </w:rPr>
              <w:t>）含油抹布</w:t>
            </w:r>
          </w:p>
          <w:p>
            <w:pPr>
              <w:snapToGrid w:val="0"/>
              <w:spacing w:line="360" w:lineRule="auto"/>
              <w:ind w:firstLine="462" w:firstLineChars="200"/>
              <w:rPr>
                <w:rFonts w:hint="default" w:hAnsi="宋体" w:eastAsia="宋体"/>
                <w:color w:val="auto"/>
                <w:sz w:val="24"/>
                <w:u w:val="none" w:color="auto"/>
                <w:lang w:val="en-US" w:eastAsia="zh-CN"/>
              </w:rPr>
            </w:pPr>
            <w:r>
              <w:rPr>
                <w:rFonts w:hint="eastAsia" w:hAnsi="宋体"/>
                <w:color w:val="auto"/>
                <w:sz w:val="24"/>
                <w:u w:val="none" w:color="auto"/>
                <w:lang w:eastAsia="zh-CN"/>
              </w:rPr>
              <w:t>项目生产过程中主要有机加工，故生产过程中会产生含油抹布手套，根据相关资料可知，含油抹布手套产生量约为</w:t>
            </w:r>
            <w:r>
              <w:rPr>
                <w:rFonts w:hint="eastAsia" w:hAnsi="宋体"/>
                <w:color w:val="auto"/>
                <w:sz w:val="24"/>
                <w:u w:val="none" w:color="auto"/>
                <w:lang w:val="en-US" w:eastAsia="zh-CN"/>
              </w:rPr>
              <w:t>0.04t/a，根据《国家危险废物名录》可知，项目</w:t>
            </w:r>
            <w:r>
              <w:rPr>
                <w:rFonts w:hint="eastAsia" w:hAnsi="宋体"/>
                <w:color w:val="auto"/>
                <w:sz w:val="24"/>
                <w:u w:val="none" w:color="auto"/>
                <w:lang w:eastAsia="zh-CN"/>
              </w:rPr>
              <w:t>含油抹布、手套</w:t>
            </w:r>
            <w:r>
              <w:rPr>
                <w:rFonts w:hint="eastAsia" w:hAnsi="宋体"/>
                <w:color w:val="auto"/>
                <w:sz w:val="24"/>
                <w:u w:val="none" w:color="auto"/>
                <w:lang w:val="en-US" w:eastAsia="zh-CN"/>
              </w:rPr>
              <w:t>属于危险废物，需收集于危险废物储存间，再交由有资质单位进行处理。</w:t>
            </w:r>
          </w:p>
          <w:p>
            <w:pPr>
              <w:snapToGrid w:val="0"/>
              <w:spacing w:line="360" w:lineRule="auto"/>
              <w:ind w:firstLine="462" w:firstLineChars="200"/>
              <w:rPr>
                <w:rFonts w:hint="eastAsia" w:hAnsi="宋体" w:eastAsia="宋体"/>
                <w:color w:val="auto"/>
                <w:sz w:val="24"/>
                <w:u w:val="none" w:color="auto"/>
                <w:lang w:eastAsia="zh-CN"/>
              </w:rPr>
            </w:pPr>
            <w:r>
              <w:rPr>
                <w:rFonts w:hint="eastAsia" w:hAnsi="宋体"/>
                <w:color w:val="auto"/>
                <w:sz w:val="24"/>
                <w:u w:val="none" w:color="auto"/>
                <w:lang w:eastAsia="zh-CN"/>
              </w:rPr>
              <w:t>（</w:t>
            </w:r>
            <w:r>
              <w:rPr>
                <w:rFonts w:hint="eastAsia" w:hAnsi="宋体"/>
                <w:color w:val="auto"/>
                <w:sz w:val="24"/>
                <w:u w:val="none" w:color="auto"/>
                <w:lang w:val="en-US" w:eastAsia="zh-CN"/>
              </w:rPr>
              <w:t>7</w:t>
            </w:r>
            <w:r>
              <w:rPr>
                <w:rFonts w:hint="eastAsia" w:hAnsi="宋体"/>
                <w:color w:val="auto"/>
                <w:sz w:val="24"/>
                <w:u w:val="none" w:color="auto"/>
                <w:lang w:eastAsia="zh-CN"/>
              </w:rPr>
              <w:t>）废润滑油、废液压油</w:t>
            </w:r>
          </w:p>
          <w:p>
            <w:pPr>
              <w:pStyle w:val="172"/>
              <w:keepNext w:val="0"/>
              <w:keepLines w:val="0"/>
              <w:pageBreakBefore w:val="0"/>
              <w:kinsoku/>
              <w:wordWrap/>
              <w:overflowPunct/>
              <w:topLinePunct w:val="0"/>
              <w:autoSpaceDE/>
              <w:autoSpaceDN/>
              <w:bidi w:val="0"/>
              <w:adjustRightInd/>
              <w:spacing w:line="360" w:lineRule="auto"/>
              <w:textAlignment w:val="auto"/>
              <w:rPr>
                <w:rFonts w:hint="default" w:ascii="Times New Roman" w:hAnsi="宋体" w:eastAsia="宋体" w:cs="Times New Roman"/>
                <w:color w:val="auto"/>
                <w:kern w:val="2"/>
                <w:sz w:val="24"/>
                <w:szCs w:val="22"/>
                <w:u w:val="none" w:color="auto"/>
                <w:lang w:val="en-US" w:eastAsia="zh-CN" w:bidi="ar-SA"/>
              </w:rPr>
            </w:pPr>
            <w:r>
              <w:rPr>
                <w:rFonts w:hint="eastAsia" w:hAnsi="宋体" w:eastAsia="宋体" w:cs="Times New Roman"/>
                <w:color w:val="auto"/>
                <w:kern w:val="2"/>
                <w:sz w:val="24"/>
                <w:szCs w:val="22"/>
                <w:u w:val="none" w:color="auto"/>
                <w:lang w:val="en-US" w:eastAsia="zh-CN" w:bidi="ar-SA"/>
              </w:rPr>
              <w:t xml:space="preserve">    </w:t>
            </w:r>
            <w:r>
              <w:rPr>
                <w:rFonts w:hint="default" w:ascii="Times New Roman" w:hAnsi="宋体" w:eastAsia="宋体" w:cs="Times New Roman"/>
                <w:color w:val="auto"/>
                <w:kern w:val="2"/>
                <w:sz w:val="24"/>
                <w:szCs w:val="22"/>
                <w:u w:val="none" w:color="auto"/>
                <w:lang w:val="en-US" w:eastAsia="zh-CN" w:bidi="ar-SA"/>
              </w:rPr>
              <w:t>对生产设备进行维护保养过程中，会产生一定量的废矿物油，这部分废物属于危险固废的范围，按《国家危险废物名录》（2016年），分类编号为HW08，代码为900-201-08。根据建设方提供的资料数据，废矿物油产生量为0.</w:t>
            </w:r>
            <w:r>
              <w:rPr>
                <w:rFonts w:hint="eastAsia" w:hAnsi="宋体" w:cs="Times New Roman"/>
                <w:color w:val="auto"/>
                <w:kern w:val="2"/>
                <w:sz w:val="24"/>
                <w:szCs w:val="22"/>
                <w:u w:val="none" w:color="auto"/>
                <w:lang w:val="en-US" w:eastAsia="zh-CN" w:bidi="ar-SA"/>
              </w:rPr>
              <w:t>1</w:t>
            </w:r>
            <w:r>
              <w:rPr>
                <w:rFonts w:hint="default" w:ascii="Times New Roman" w:hAnsi="宋体" w:eastAsia="宋体" w:cs="Times New Roman"/>
                <w:color w:val="auto"/>
                <w:kern w:val="2"/>
                <w:sz w:val="24"/>
                <w:szCs w:val="22"/>
                <w:u w:val="none" w:color="auto"/>
                <w:lang w:val="en-US" w:eastAsia="zh-CN" w:bidi="ar-SA"/>
              </w:rPr>
              <w:t>t/a。这部分危废由建设方委托有</w:t>
            </w:r>
            <w:r>
              <w:rPr>
                <w:rFonts w:hint="eastAsia" w:hAnsi="宋体" w:eastAsia="宋体" w:cs="Times New Roman"/>
                <w:color w:val="auto"/>
                <w:kern w:val="2"/>
                <w:sz w:val="24"/>
                <w:szCs w:val="22"/>
                <w:u w:val="none" w:color="auto"/>
                <w:lang w:val="en-US" w:eastAsia="zh-CN" w:bidi="ar-SA"/>
              </w:rPr>
              <w:t>资质的</w:t>
            </w:r>
            <w:r>
              <w:rPr>
                <w:rFonts w:hint="default" w:ascii="Times New Roman" w:hAnsi="宋体" w:eastAsia="宋体" w:cs="Times New Roman"/>
                <w:color w:val="auto"/>
                <w:kern w:val="2"/>
                <w:sz w:val="24"/>
                <w:szCs w:val="22"/>
                <w:u w:val="none" w:color="auto"/>
                <w:lang w:val="en-US" w:eastAsia="zh-CN" w:bidi="ar-SA"/>
              </w:rPr>
              <w:t>单位进行处理。</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none" w:color="auto"/>
                <w:lang w:val="en-US" w:eastAsia="zh-CN" w:bidi="ar-SA"/>
              </w:rPr>
            </w:pPr>
            <w:r>
              <w:rPr>
                <w:rFonts w:hint="eastAsia" w:hAnsi="宋体" w:eastAsia="宋体" w:cs="Times New Roman"/>
                <w:color w:val="auto"/>
                <w:kern w:val="2"/>
                <w:sz w:val="24"/>
                <w:szCs w:val="22"/>
                <w:u w:val="none" w:color="auto"/>
                <w:lang w:val="en-US" w:eastAsia="zh-CN" w:bidi="ar-SA"/>
              </w:rPr>
              <w:t>（8）</w:t>
            </w:r>
            <w:r>
              <w:rPr>
                <w:rFonts w:hint="eastAsia" w:ascii="Times New Roman" w:hAnsi="宋体" w:eastAsia="宋体" w:cs="Times New Roman"/>
                <w:color w:val="auto"/>
                <w:kern w:val="2"/>
                <w:sz w:val="24"/>
                <w:szCs w:val="22"/>
                <w:u w:val="none" w:color="auto"/>
                <w:lang w:val="en-US" w:eastAsia="zh-CN" w:bidi="ar-SA"/>
              </w:rPr>
              <w:t>废活性炭</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none" w:color="auto"/>
                <w:lang w:val="en-US" w:eastAsia="zh-CN" w:bidi="ar-SA"/>
              </w:rPr>
            </w:pPr>
            <w:r>
              <w:rPr>
                <w:rFonts w:hint="eastAsia" w:ascii="Times New Roman" w:hAnsi="宋体" w:eastAsia="宋体" w:cs="Times New Roman"/>
                <w:color w:val="auto"/>
                <w:kern w:val="2"/>
                <w:sz w:val="24"/>
                <w:szCs w:val="22"/>
                <w:u w:val="none" w:color="auto"/>
                <w:lang w:val="en-US" w:eastAsia="zh-CN" w:bidi="ar-SA"/>
              </w:rPr>
              <w:t>项目用活性炭吸附有机废气，活性炭每1个月更换一次（具体可根据生产中实际废气处理饱和度情况及时更换，以免影响处理效率）。</w:t>
            </w:r>
            <w:r>
              <w:rPr>
                <w:rFonts w:hint="eastAsia" w:hAnsi="宋体" w:cs="Times New Roman"/>
                <w:color w:val="auto"/>
                <w:kern w:val="2"/>
                <w:sz w:val="24"/>
                <w:szCs w:val="22"/>
                <w:u w:val="none" w:color="auto"/>
                <w:lang w:val="en-US" w:eastAsia="zh-CN" w:bidi="ar-SA"/>
              </w:rPr>
              <w:t>每次更换产生的废活性炭为0.2t</w:t>
            </w:r>
            <w:r>
              <w:rPr>
                <w:rFonts w:hint="eastAsia" w:ascii="Times New Roman" w:hAnsi="宋体" w:eastAsia="宋体" w:cs="Times New Roman"/>
                <w:color w:val="auto"/>
                <w:kern w:val="2"/>
                <w:sz w:val="24"/>
                <w:szCs w:val="22"/>
                <w:u w:val="none" w:color="auto"/>
                <w:lang w:val="en-US" w:eastAsia="zh-CN" w:bidi="ar-SA"/>
              </w:rPr>
              <w:t>，因此，废活性碳的产生量为</w:t>
            </w:r>
            <w:r>
              <w:rPr>
                <w:rFonts w:hint="eastAsia" w:hAnsi="宋体" w:cs="Times New Roman"/>
                <w:color w:val="auto"/>
                <w:kern w:val="2"/>
                <w:sz w:val="24"/>
                <w:szCs w:val="22"/>
                <w:u w:val="none" w:color="auto"/>
                <w:lang w:val="en-US" w:eastAsia="zh-CN" w:bidi="ar-SA"/>
              </w:rPr>
              <w:t>2.4</w:t>
            </w:r>
            <w:r>
              <w:rPr>
                <w:rFonts w:hint="eastAsia" w:ascii="Times New Roman" w:hAnsi="宋体" w:eastAsia="宋体" w:cs="Times New Roman"/>
                <w:color w:val="auto"/>
                <w:kern w:val="2"/>
                <w:sz w:val="24"/>
                <w:szCs w:val="22"/>
                <w:u w:val="none" w:color="auto"/>
                <w:lang w:val="en-US" w:eastAsia="zh-CN" w:bidi="ar-SA"/>
              </w:rPr>
              <w:t>t/a，这部分废物属于危险固废的范围，按《国家危险废物名录》，分类编号为HW49，</w:t>
            </w:r>
            <w:r>
              <w:rPr>
                <w:rFonts w:hint="default" w:ascii="Times New Roman" w:hAnsi="宋体" w:eastAsia="宋体" w:cs="Times New Roman"/>
                <w:color w:val="auto"/>
                <w:kern w:val="2"/>
                <w:sz w:val="24"/>
                <w:szCs w:val="22"/>
                <w:u w:val="none" w:color="auto"/>
                <w:lang w:val="en-US" w:eastAsia="zh-CN" w:bidi="ar-SA"/>
              </w:rPr>
              <w:t>代码为900-</w:t>
            </w:r>
            <w:r>
              <w:rPr>
                <w:rFonts w:hint="eastAsia" w:ascii="Times New Roman" w:hAnsi="宋体" w:eastAsia="宋体" w:cs="Times New Roman"/>
                <w:color w:val="auto"/>
                <w:kern w:val="2"/>
                <w:sz w:val="24"/>
                <w:szCs w:val="22"/>
                <w:u w:val="none" w:color="auto"/>
                <w:lang w:val="en-US" w:eastAsia="zh-CN" w:bidi="ar-SA"/>
              </w:rPr>
              <w:t>039</w:t>
            </w:r>
            <w:r>
              <w:rPr>
                <w:rFonts w:hint="default" w:ascii="Times New Roman" w:hAnsi="宋体" w:eastAsia="宋体" w:cs="Times New Roman"/>
                <w:color w:val="auto"/>
                <w:kern w:val="2"/>
                <w:sz w:val="24"/>
                <w:szCs w:val="22"/>
                <w:u w:val="none" w:color="auto"/>
                <w:lang w:val="en-US" w:eastAsia="zh-CN" w:bidi="ar-SA"/>
              </w:rPr>
              <w:t>-</w:t>
            </w:r>
            <w:r>
              <w:rPr>
                <w:rFonts w:hint="eastAsia" w:ascii="Times New Roman" w:hAnsi="宋体" w:eastAsia="宋体" w:cs="Times New Roman"/>
                <w:color w:val="auto"/>
                <w:kern w:val="2"/>
                <w:sz w:val="24"/>
                <w:szCs w:val="22"/>
                <w:u w:val="none" w:color="auto"/>
                <w:lang w:val="en-US" w:eastAsia="zh-CN" w:bidi="ar-SA"/>
              </w:rPr>
              <w:t>49。</w:t>
            </w:r>
            <w:r>
              <w:rPr>
                <w:rFonts w:hint="default" w:ascii="Times New Roman" w:hAnsi="宋体" w:eastAsia="宋体" w:cs="Times New Roman"/>
                <w:color w:val="auto"/>
                <w:kern w:val="2"/>
                <w:sz w:val="24"/>
                <w:szCs w:val="22"/>
                <w:u w:val="none" w:color="auto"/>
                <w:lang w:val="en-US" w:eastAsia="zh-CN" w:bidi="ar-SA"/>
              </w:rPr>
              <w:t>这部分危废由建设方委托有</w:t>
            </w:r>
            <w:r>
              <w:rPr>
                <w:rFonts w:hint="eastAsia" w:ascii="Times New Roman" w:hAnsi="宋体" w:eastAsia="宋体" w:cs="Times New Roman"/>
                <w:color w:val="auto"/>
                <w:kern w:val="2"/>
                <w:sz w:val="24"/>
                <w:szCs w:val="22"/>
                <w:u w:val="none" w:color="auto"/>
                <w:lang w:val="en-US" w:eastAsia="zh-CN" w:bidi="ar-SA"/>
              </w:rPr>
              <w:t>资质</w:t>
            </w:r>
            <w:r>
              <w:rPr>
                <w:rFonts w:hint="default" w:ascii="Times New Roman" w:hAnsi="宋体" w:eastAsia="宋体" w:cs="Times New Roman"/>
                <w:color w:val="auto"/>
                <w:kern w:val="2"/>
                <w:sz w:val="24"/>
                <w:szCs w:val="22"/>
                <w:u w:val="none" w:color="auto"/>
                <w:lang w:val="en-US" w:eastAsia="zh-CN" w:bidi="ar-SA"/>
              </w:rPr>
              <w:t>的单位进行处理</w:t>
            </w:r>
            <w:r>
              <w:rPr>
                <w:rFonts w:hint="eastAsia" w:ascii="Times New Roman" w:hAnsi="宋体" w:eastAsia="宋体" w:cs="Times New Roman"/>
                <w:color w:val="auto"/>
                <w:kern w:val="2"/>
                <w:sz w:val="24"/>
                <w:szCs w:val="22"/>
                <w:u w:val="none" w:color="auto"/>
                <w:lang w:val="en-US" w:eastAsia="zh-CN" w:bidi="ar-SA"/>
              </w:rPr>
              <w:t>。</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none" w:color="auto"/>
                <w:lang w:val="en-US" w:eastAsia="zh-CN" w:bidi="ar-SA"/>
              </w:rPr>
            </w:pPr>
            <w:r>
              <w:rPr>
                <w:rFonts w:hint="eastAsia" w:hAnsi="宋体" w:eastAsia="宋体" w:cs="Times New Roman"/>
                <w:color w:val="auto"/>
                <w:kern w:val="2"/>
                <w:sz w:val="24"/>
                <w:szCs w:val="22"/>
                <w:u w:val="none" w:color="auto"/>
                <w:lang w:val="en-US" w:eastAsia="zh-CN" w:bidi="ar-SA"/>
              </w:rPr>
              <w:t>（9）</w:t>
            </w:r>
            <w:r>
              <w:rPr>
                <w:rFonts w:hint="eastAsia" w:hAnsi="宋体" w:cs="Times New Roman"/>
                <w:color w:val="auto"/>
                <w:kern w:val="2"/>
                <w:sz w:val="24"/>
                <w:szCs w:val="22"/>
                <w:u w:val="none" w:color="auto"/>
                <w:lang w:val="en-US" w:eastAsia="zh-CN" w:bidi="ar-SA"/>
              </w:rPr>
              <w:t>除尘器</w:t>
            </w:r>
            <w:r>
              <w:rPr>
                <w:rFonts w:hint="eastAsia" w:ascii="Times New Roman" w:hAnsi="宋体" w:eastAsia="宋体" w:cs="Times New Roman"/>
                <w:color w:val="auto"/>
                <w:kern w:val="2"/>
                <w:sz w:val="24"/>
                <w:szCs w:val="22"/>
                <w:u w:val="none" w:color="auto"/>
                <w:lang w:val="en-US" w:eastAsia="zh-CN" w:bidi="ar-SA"/>
              </w:rPr>
              <w:t>收集的粉尘</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none" w:color="auto"/>
                <w:lang w:val="en-US" w:eastAsia="zh-CN" w:bidi="ar-SA"/>
              </w:rPr>
            </w:pPr>
            <w:r>
              <w:rPr>
                <w:rFonts w:hint="eastAsia" w:hAnsi="宋体" w:eastAsia="宋体" w:cs="Times New Roman"/>
                <w:color w:val="auto"/>
                <w:kern w:val="2"/>
                <w:sz w:val="24"/>
                <w:szCs w:val="22"/>
                <w:u w:val="none" w:color="auto"/>
                <w:lang w:val="en-US" w:eastAsia="zh-CN" w:bidi="ar-SA"/>
              </w:rPr>
              <w:t>项目生产过程中经布袋除尘器及移动式烟尘净化器收集的粉尘</w:t>
            </w:r>
            <w:r>
              <w:rPr>
                <w:rFonts w:hint="eastAsia" w:ascii="Times New Roman" w:hAnsi="宋体" w:eastAsia="宋体" w:cs="Times New Roman"/>
                <w:color w:val="auto"/>
                <w:kern w:val="2"/>
                <w:sz w:val="24"/>
                <w:szCs w:val="22"/>
                <w:u w:val="none" w:color="auto"/>
                <w:lang w:val="en-US" w:eastAsia="zh-CN" w:bidi="ar-SA"/>
              </w:rPr>
              <w:t>，其产生量约为</w:t>
            </w:r>
            <w:r>
              <w:rPr>
                <w:rFonts w:hint="eastAsia" w:hAnsi="宋体" w:cs="Times New Roman"/>
                <w:color w:val="auto"/>
                <w:kern w:val="2"/>
                <w:sz w:val="24"/>
                <w:szCs w:val="22"/>
                <w:u w:val="none" w:color="auto"/>
                <w:lang w:val="en-US" w:eastAsia="zh-CN" w:bidi="ar-SA"/>
              </w:rPr>
              <w:t>19.4</w:t>
            </w:r>
            <w:r>
              <w:rPr>
                <w:rFonts w:hint="eastAsia" w:ascii="Times New Roman" w:hAnsi="宋体" w:eastAsia="宋体" w:cs="Times New Roman"/>
                <w:color w:val="auto"/>
                <w:kern w:val="2"/>
                <w:sz w:val="24"/>
                <w:szCs w:val="22"/>
                <w:u w:val="none" w:color="auto"/>
                <w:lang w:val="en-US" w:eastAsia="zh-CN" w:bidi="ar-SA"/>
              </w:rPr>
              <w:t>t/a。属于一般固废。根据建设方提供资料，该部分固废收集后外售</w:t>
            </w:r>
            <w:r>
              <w:rPr>
                <w:rFonts w:hint="eastAsia" w:hAnsi="宋体" w:eastAsia="宋体" w:cs="Times New Roman"/>
                <w:color w:val="auto"/>
                <w:kern w:val="2"/>
                <w:sz w:val="24"/>
                <w:szCs w:val="22"/>
                <w:u w:val="none" w:color="auto"/>
                <w:lang w:val="en-US" w:eastAsia="zh-CN" w:bidi="ar-SA"/>
              </w:rPr>
              <w:t>综合利用</w:t>
            </w:r>
            <w:r>
              <w:rPr>
                <w:rFonts w:hint="eastAsia" w:ascii="Times New Roman" w:hAnsi="宋体" w:eastAsia="宋体" w:cs="Times New Roman"/>
                <w:color w:val="auto"/>
                <w:kern w:val="2"/>
                <w:sz w:val="24"/>
                <w:szCs w:val="22"/>
                <w:u w:val="none" w:color="auto"/>
                <w:lang w:val="en-US" w:eastAsia="zh-CN" w:bidi="ar-SA"/>
              </w:rPr>
              <w:t>。</w:t>
            </w:r>
          </w:p>
          <w:p>
            <w:pPr>
              <w:pStyle w:val="33"/>
              <w:spacing w:line="360" w:lineRule="auto"/>
              <w:ind w:leftChars="0"/>
              <w:rPr>
                <w:rFonts w:hint="eastAsia" w:ascii="Times New Roman" w:hAnsi="Times New Roman" w:eastAsia="宋体" w:cs="Times New Roman"/>
                <w:color w:val="auto"/>
                <w:sz w:val="24"/>
                <w:u w:val="none" w:color="auto"/>
                <w:lang w:eastAsia="zh-CN"/>
              </w:rPr>
            </w:pPr>
            <w:r>
              <w:rPr>
                <w:rFonts w:hint="eastAsia" w:cs="Times New Roman"/>
                <w:color w:val="auto"/>
                <w:sz w:val="24"/>
                <w:szCs w:val="32"/>
                <w:u w:val="none" w:color="auto"/>
                <w:lang w:eastAsia="zh-CN"/>
              </w:rPr>
              <w:t>（</w:t>
            </w:r>
            <w:r>
              <w:rPr>
                <w:rFonts w:hint="eastAsia" w:cs="Times New Roman"/>
                <w:color w:val="auto"/>
                <w:sz w:val="24"/>
                <w:szCs w:val="32"/>
                <w:u w:val="none" w:color="auto"/>
                <w:lang w:val="en-US" w:eastAsia="zh-CN"/>
              </w:rPr>
              <w:t>10</w:t>
            </w:r>
            <w:r>
              <w:rPr>
                <w:rFonts w:hint="eastAsia" w:cs="Times New Roman"/>
                <w:color w:val="auto"/>
                <w:sz w:val="24"/>
                <w:szCs w:val="32"/>
                <w:u w:val="none" w:color="auto"/>
                <w:lang w:eastAsia="zh-CN"/>
              </w:rPr>
              <w:t>）</w:t>
            </w:r>
            <w:r>
              <w:rPr>
                <w:rFonts w:hint="default" w:ascii="Times New Roman" w:hAnsi="Times New Roman" w:cs="Times New Roman"/>
                <w:color w:val="auto"/>
                <w:sz w:val="24"/>
                <w:szCs w:val="32"/>
                <w:u w:val="none" w:color="auto"/>
              </w:rPr>
              <w:t>废</w:t>
            </w:r>
            <w:r>
              <w:rPr>
                <w:rFonts w:hint="eastAsia" w:cs="Times New Roman"/>
                <w:color w:val="auto"/>
                <w:sz w:val="24"/>
                <w:szCs w:val="32"/>
                <w:u w:val="none" w:color="auto"/>
                <w:lang w:eastAsia="zh-CN"/>
              </w:rPr>
              <w:t>稀释剂桶、废绝缘漆桶、废油桶</w:t>
            </w:r>
          </w:p>
          <w:p>
            <w:pPr>
              <w:keepNext w:val="0"/>
              <w:keepLines w:val="0"/>
              <w:pageBreakBefore w:val="0"/>
              <w:numPr>
                <w:ilvl w:val="0"/>
                <w:numId w:val="0"/>
              </w:numPr>
              <w:kinsoku/>
              <w:wordWrap/>
              <w:overflowPunct/>
              <w:topLinePunct w:val="0"/>
              <w:autoSpaceDE/>
              <w:autoSpaceDN/>
              <w:bidi w:val="0"/>
              <w:adjustRightInd/>
              <w:snapToGrid w:val="0"/>
              <w:spacing w:line="360" w:lineRule="auto"/>
              <w:ind w:firstLine="462" w:firstLineChars="200"/>
              <w:textAlignment w:val="auto"/>
              <w:rPr>
                <w:rFonts w:hint="eastAsia" w:hAnsi="宋体" w:cs="Times New Roman"/>
                <w:color w:val="auto"/>
                <w:kern w:val="2"/>
                <w:sz w:val="24"/>
                <w:szCs w:val="22"/>
                <w:u w:val="none" w:color="auto"/>
                <w:lang w:val="en-US" w:eastAsia="zh-CN" w:bidi="ar-SA"/>
              </w:rPr>
            </w:pPr>
            <w:r>
              <w:rPr>
                <w:rFonts w:hint="default" w:ascii="Times New Roman" w:hAnsi="Times New Roman" w:cs="Times New Roman"/>
                <w:color w:val="auto"/>
                <w:sz w:val="24"/>
                <w:szCs w:val="24"/>
                <w:u w:val="none" w:color="auto"/>
                <w:lang w:eastAsia="zh-CN"/>
              </w:rPr>
              <w:t>根据《国家危险废物名录》中判定</w:t>
            </w:r>
            <w:r>
              <w:rPr>
                <w:rFonts w:hint="default" w:ascii="Times New Roman" w:hAnsi="Times New Roman" w:cs="Times New Roman"/>
                <w:color w:val="auto"/>
                <w:sz w:val="24"/>
                <w:szCs w:val="32"/>
                <w:u w:val="none" w:color="auto"/>
              </w:rPr>
              <w:t>废</w:t>
            </w:r>
            <w:r>
              <w:rPr>
                <w:rFonts w:hint="eastAsia" w:cs="Times New Roman"/>
                <w:color w:val="auto"/>
                <w:sz w:val="24"/>
                <w:szCs w:val="32"/>
                <w:u w:val="none" w:color="auto"/>
                <w:lang w:eastAsia="zh-CN"/>
              </w:rPr>
              <w:t>稀释剂桶、废绝缘漆桶、废油桶</w:t>
            </w:r>
            <w:r>
              <w:rPr>
                <w:rFonts w:hint="default" w:ascii="Times New Roman" w:hAnsi="Times New Roman" w:cs="Times New Roman"/>
                <w:color w:val="auto"/>
                <w:sz w:val="24"/>
                <w:szCs w:val="32"/>
                <w:u w:val="none" w:color="auto"/>
                <w:lang w:eastAsia="zh-CN"/>
              </w:rPr>
              <w:t>属于危险废物，其中</w:t>
            </w:r>
            <w:r>
              <w:rPr>
                <w:rFonts w:hint="default" w:ascii="Times New Roman" w:hAnsi="Times New Roman" w:cs="Times New Roman"/>
                <w:color w:val="auto"/>
                <w:sz w:val="24"/>
                <w:szCs w:val="24"/>
                <w:u w:val="none" w:color="auto"/>
              </w:rPr>
              <w:t>根据用量估算，本项目</w:t>
            </w:r>
            <w:r>
              <w:rPr>
                <w:rFonts w:hint="default" w:ascii="Times New Roman" w:hAnsi="Times New Roman" w:cs="Times New Roman"/>
                <w:color w:val="auto"/>
                <w:sz w:val="24"/>
                <w:szCs w:val="24"/>
                <w:u w:val="none" w:color="auto"/>
                <w:lang w:eastAsia="zh-CN"/>
              </w:rPr>
              <w:t>废</w:t>
            </w:r>
            <w:r>
              <w:rPr>
                <w:rFonts w:hint="eastAsia" w:cs="Times New Roman"/>
                <w:color w:val="auto"/>
                <w:sz w:val="24"/>
                <w:szCs w:val="24"/>
                <w:u w:val="none" w:color="auto"/>
                <w:lang w:eastAsia="zh-CN"/>
              </w:rPr>
              <w:t>稀释剂桶、废绝缘漆桶、废油桶</w:t>
            </w:r>
            <w:r>
              <w:rPr>
                <w:rFonts w:hint="default" w:ascii="Times New Roman" w:hAnsi="Times New Roman" w:cs="Times New Roman"/>
                <w:color w:val="auto"/>
                <w:sz w:val="24"/>
                <w:szCs w:val="24"/>
                <w:u w:val="none" w:color="auto"/>
              </w:rPr>
              <w:t>产生量约0.</w:t>
            </w:r>
            <w:r>
              <w:rPr>
                <w:rFonts w:hint="eastAsia"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rPr>
              <w:t>t/a</w:t>
            </w:r>
            <w:r>
              <w:rPr>
                <w:rFonts w:hint="eastAsia" w:cs="Times New Roman"/>
                <w:color w:val="auto"/>
                <w:sz w:val="24"/>
                <w:szCs w:val="24"/>
                <w:u w:val="none" w:color="auto"/>
                <w:lang w:val="en-US" w:eastAsia="zh-CN"/>
              </w:rPr>
              <w:t>，</w:t>
            </w:r>
            <w:r>
              <w:rPr>
                <w:rFonts w:hint="eastAsia"/>
                <w:color w:val="auto"/>
                <w:sz w:val="24"/>
                <w:szCs w:val="24"/>
                <w:u w:val="none" w:color="auto"/>
                <w:lang w:val="en-US" w:eastAsia="zh-CN"/>
              </w:rPr>
              <w:t>均收集后交由有资质单位进行处理</w:t>
            </w:r>
            <w:r>
              <w:rPr>
                <w:rFonts w:hint="eastAsia" w:ascii="Times New Roman" w:hAnsi="宋体" w:eastAsia="宋体" w:cs="Times New Roman"/>
                <w:color w:val="auto"/>
                <w:kern w:val="2"/>
                <w:sz w:val="24"/>
                <w:szCs w:val="22"/>
                <w:u w:val="none" w:color="auto"/>
                <w:lang w:val="en-US" w:eastAsia="zh-CN" w:bidi="ar-SA"/>
              </w:rPr>
              <w:t>。</w:t>
            </w:r>
          </w:p>
          <w:p>
            <w:pPr>
              <w:keepNext w:val="0"/>
              <w:keepLines w:val="0"/>
              <w:pageBreakBefore w:val="0"/>
              <w:numPr>
                <w:ilvl w:val="0"/>
                <w:numId w:val="0"/>
              </w:numPr>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none" w:color="auto"/>
                <w:lang w:val="en-US" w:eastAsia="zh-CN" w:bidi="ar-SA"/>
              </w:rPr>
            </w:pPr>
            <w:r>
              <w:rPr>
                <w:rFonts w:hint="eastAsia" w:hAnsi="宋体" w:cs="Times New Roman"/>
                <w:color w:val="auto"/>
                <w:kern w:val="2"/>
                <w:sz w:val="24"/>
                <w:szCs w:val="22"/>
                <w:u w:val="none" w:color="auto"/>
                <w:lang w:val="en-US" w:eastAsia="zh-CN" w:bidi="ar-SA"/>
              </w:rPr>
              <w:t>（11）废灯管</w:t>
            </w:r>
          </w:p>
          <w:p>
            <w:pPr>
              <w:keepNext w:val="0"/>
              <w:keepLines w:val="0"/>
              <w:pageBreakBefore w:val="0"/>
              <w:numPr>
                <w:ilvl w:val="0"/>
                <w:numId w:val="0"/>
              </w:numPr>
              <w:kinsoku/>
              <w:wordWrap/>
              <w:overflowPunct/>
              <w:topLinePunct w:val="0"/>
              <w:autoSpaceDE/>
              <w:autoSpaceDN/>
              <w:bidi w:val="0"/>
              <w:adjustRightInd/>
              <w:snapToGrid w:val="0"/>
              <w:spacing w:line="360" w:lineRule="auto"/>
              <w:ind w:firstLine="462" w:firstLineChars="200"/>
              <w:textAlignment w:val="auto"/>
              <w:rPr>
                <w:rFonts w:hint="eastAsia" w:eastAsia="宋体"/>
                <w:color w:val="auto"/>
                <w:u w:val="none" w:color="auto"/>
                <w:lang w:eastAsia="zh-CN"/>
              </w:rPr>
            </w:pPr>
            <w:r>
              <w:rPr>
                <w:rFonts w:hint="eastAsia"/>
                <w:sz w:val="24"/>
                <w:szCs w:val="24"/>
                <w:u w:val="none" w:color="auto"/>
                <w:lang w:eastAsia="zh-CN"/>
              </w:rPr>
              <w:t>项目在处理有机废气过程中需要使用</w:t>
            </w:r>
            <w:r>
              <w:rPr>
                <w:rFonts w:hint="eastAsia"/>
                <w:sz w:val="24"/>
                <w:szCs w:val="24"/>
                <w:u w:val="none" w:color="auto"/>
                <w:lang w:val="en-US" w:eastAsia="zh-CN"/>
              </w:rPr>
              <w:t>UV光解设备进行进一步处理有机废气，保证有机废气达标排放，根据业主提供的相关资料，灯管使用寿命为1000h，每次更换下来的灯管约0.01t/a，</w:t>
            </w:r>
            <w:r>
              <w:rPr>
                <w:rFonts w:hint="eastAsia" w:hAnsi="宋体"/>
                <w:sz w:val="24"/>
                <w:u w:val="none" w:color="auto"/>
                <w:lang w:val="en-US" w:eastAsia="zh-CN"/>
              </w:rPr>
              <w:t>根据《国家危险废物名录》可知，项目废灯管属于危险废物，需</w:t>
            </w:r>
            <w:r>
              <w:rPr>
                <w:rFonts w:hint="eastAsia" w:hAnsi="宋体"/>
                <w:sz w:val="24"/>
                <w:u w:val="none" w:color="auto"/>
                <w:lang w:eastAsia="zh-CN"/>
              </w:rPr>
              <w:t>收集于危险废物储存间内，再交由有资质单位进行处理。</w:t>
            </w:r>
          </w:p>
        </w:tc>
      </w:tr>
    </w:tbl>
    <w:p>
      <w:pPr>
        <w:snapToGrid w:val="0"/>
        <w:outlineLvl w:val="0"/>
        <w:rPr>
          <w:rFonts w:ascii="黑体" w:hAnsi="黑体" w:eastAsia="黑体"/>
          <w:color w:val="auto"/>
          <w:sz w:val="32"/>
          <w:szCs w:val="32"/>
          <w:u w:val="none" w:color="auto"/>
        </w:rPr>
      </w:pPr>
      <w:r>
        <w:rPr>
          <w:color w:val="auto"/>
          <w:u w:val="none" w:color="auto"/>
        </w:rPr>
        <w:br w:type="page"/>
      </w:r>
      <w:bookmarkStart w:id="6" w:name="_Toc19880"/>
      <w:r>
        <w:rPr>
          <w:rFonts w:hint="eastAsia" w:ascii="黑体" w:hAnsi="黑体" w:eastAsia="黑体"/>
          <w:color w:val="auto"/>
          <w:sz w:val="32"/>
          <w:szCs w:val="32"/>
          <w:u w:val="none" w:color="auto"/>
        </w:rPr>
        <w:t>六、</w:t>
      </w:r>
      <w:r>
        <w:rPr>
          <w:rFonts w:ascii="黑体" w:hAnsi="黑体" w:eastAsia="黑体"/>
          <w:color w:val="auto"/>
          <w:sz w:val="32"/>
          <w:szCs w:val="32"/>
          <w:u w:val="none" w:color="auto"/>
        </w:rPr>
        <w:t>项目主要污染物产生及预计排放情况</w:t>
      </w:r>
      <w:bookmarkEnd w:id="6"/>
    </w:p>
    <w:tbl>
      <w:tblPr>
        <w:tblStyle w:val="39"/>
        <w:tblW w:w="92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0"/>
        <w:gridCol w:w="477"/>
        <w:gridCol w:w="1482"/>
        <w:gridCol w:w="1755"/>
        <w:gridCol w:w="2028"/>
        <w:gridCol w:w="30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480" w:type="dxa"/>
            <w:tcBorders>
              <w:tl2br w:val="nil"/>
              <w:tr2bl w:val="nil"/>
            </w:tcBorders>
          </w:tcPr>
          <w:p>
            <w:pPr>
              <w:spacing w:line="360" w:lineRule="auto"/>
              <w:rPr>
                <w:b/>
                <w:bCs/>
                <w:color w:val="auto"/>
                <w:szCs w:val="21"/>
                <w:u w:val="none" w:color="auto"/>
              </w:rPr>
            </w:pPr>
          </w:p>
        </w:tc>
        <w:tc>
          <w:tcPr>
            <w:tcW w:w="1959" w:type="dxa"/>
            <w:gridSpan w:val="2"/>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排放源</w:t>
            </w:r>
          </w:p>
          <w:p>
            <w:pPr>
              <w:spacing w:line="360" w:lineRule="auto"/>
              <w:ind w:firstLine="402" w:firstLineChars="200"/>
              <w:jc w:val="center"/>
              <w:rPr>
                <w:b/>
                <w:bCs/>
                <w:color w:val="auto"/>
                <w:szCs w:val="21"/>
                <w:u w:val="none" w:color="auto"/>
              </w:rPr>
            </w:pPr>
            <w:r>
              <w:rPr>
                <w:b/>
                <w:bCs/>
                <w:color w:val="auto"/>
                <w:szCs w:val="21"/>
                <w:u w:val="none" w:color="auto"/>
              </w:rPr>
              <w:t>（编号）</w:t>
            </w:r>
          </w:p>
        </w:tc>
        <w:tc>
          <w:tcPr>
            <w:tcW w:w="1755"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污染物</w:t>
            </w:r>
          </w:p>
          <w:p>
            <w:pPr>
              <w:spacing w:line="360" w:lineRule="auto"/>
              <w:jc w:val="center"/>
              <w:rPr>
                <w:b/>
                <w:bCs/>
                <w:color w:val="auto"/>
                <w:szCs w:val="21"/>
                <w:u w:val="none" w:color="auto"/>
              </w:rPr>
            </w:pPr>
            <w:r>
              <w:rPr>
                <w:b/>
                <w:bCs/>
                <w:color w:val="auto"/>
                <w:szCs w:val="21"/>
                <w:u w:val="none" w:color="auto"/>
              </w:rPr>
              <w:t>名称</w:t>
            </w:r>
          </w:p>
        </w:tc>
        <w:tc>
          <w:tcPr>
            <w:tcW w:w="2028"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处理前产生浓度及产生量（单位）</w:t>
            </w:r>
          </w:p>
        </w:tc>
        <w:tc>
          <w:tcPr>
            <w:tcW w:w="3075" w:type="dxa"/>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排放浓度</w:t>
            </w:r>
          </w:p>
          <w:p>
            <w:pPr>
              <w:spacing w:line="360" w:lineRule="auto"/>
              <w:ind w:firstLine="402" w:firstLineChars="200"/>
              <w:jc w:val="center"/>
              <w:rPr>
                <w:b/>
                <w:bCs/>
                <w:color w:val="auto"/>
                <w:szCs w:val="21"/>
                <w:u w:val="none" w:color="auto"/>
              </w:rPr>
            </w:pPr>
            <w:r>
              <w:rPr>
                <w:b/>
                <w:bCs/>
                <w:color w:val="auto"/>
                <w:szCs w:val="21"/>
                <w:u w:val="none" w:color="auto"/>
              </w:rPr>
              <w:t>及排放量（单位）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rFonts w:hint="eastAsia"/>
                <w:b/>
                <w:bCs/>
                <w:color w:val="auto"/>
                <w:szCs w:val="21"/>
                <w:u w:val="none" w:color="auto"/>
              </w:rPr>
              <w:t>大气污染物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运营期</w:t>
            </w:r>
          </w:p>
        </w:tc>
        <w:tc>
          <w:tcPr>
            <w:tcW w:w="1482"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焊接烟尘</w:t>
            </w:r>
          </w:p>
        </w:tc>
        <w:tc>
          <w:tcPr>
            <w:tcW w:w="175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颗粒物</w:t>
            </w:r>
          </w:p>
        </w:tc>
        <w:tc>
          <w:tcPr>
            <w:tcW w:w="2028" w:type="dxa"/>
            <w:tcBorders>
              <w:tl2br w:val="nil"/>
              <w:tr2bl w:val="nil"/>
            </w:tcBorders>
            <w:vAlign w:val="center"/>
          </w:tcPr>
          <w:p>
            <w:pPr>
              <w:spacing w:line="360" w:lineRule="auto"/>
              <w:jc w:val="center"/>
              <w:rPr>
                <w:color w:val="auto"/>
                <w:szCs w:val="21"/>
                <w:u w:val="none" w:color="auto"/>
              </w:rPr>
            </w:pPr>
            <w:r>
              <w:rPr>
                <w:color w:val="auto"/>
                <w:szCs w:val="21"/>
                <w:u w:val="none" w:color="auto"/>
              </w:rPr>
              <w:t>0.</w:t>
            </w:r>
            <w:r>
              <w:rPr>
                <w:rFonts w:hint="eastAsia"/>
                <w:color w:val="auto"/>
                <w:szCs w:val="21"/>
                <w:u w:val="none" w:color="auto"/>
                <w:lang w:val="en-US" w:eastAsia="zh-CN"/>
              </w:rPr>
              <w:t>004</w:t>
            </w:r>
            <w:r>
              <w:rPr>
                <w:color w:val="auto"/>
                <w:szCs w:val="21"/>
                <w:u w:val="none" w:color="auto"/>
              </w:rPr>
              <w:t>t/a</w:t>
            </w:r>
            <w:r>
              <w:rPr>
                <w:rFonts w:hint="eastAsia"/>
                <w:color w:val="auto"/>
                <w:szCs w:val="21"/>
                <w:u w:val="none" w:color="auto"/>
              </w:rPr>
              <w:t>，</w:t>
            </w:r>
            <w:r>
              <w:rPr>
                <w:color w:val="auto"/>
                <w:szCs w:val="21"/>
                <w:u w:val="none" w:color="auto"/>
              </w:rPr>
              <w:t>0.</w:t>
            </w:r>
            <w:r>
              <w:rPr>
                <w:rFonts w:hint="eastAsia"/>
                <w:color w:val="auto"/>
                <w:szCs w:val="21"/>
                <w:u w:val="none" w:color="auto"/>
                <w:lang w:val="en-US" w:eastAsia="zh-CN"/>
              </w:rPr>
              <w:t>0033</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color w:val="auto"/>
                <w:szCs w:val="21"/>
                <w:u w:val="none" w:color="auto"/>
              </w:rPr>
              <w:t>0.0</w:t>
            </w:r>
            <w:r>
              <w:rPr>
                <w:rFonts w:hint="eastAsia"/>
                <w:color w:val="auto"/>
                <w:szCs w:val="21"/>
                <w:u w:val="none" w:color="auto"/>
                <w:lang w:val="en-US" w:eastAsia="zh-CN"/>
              </w:rPr>
              <w:t>0076</w:t>
            </w:r>
            <w:r>
              <w:rPr>
                <w:color w:val="auto"/>
                <w:szCs w:val="21"/>
                <w:u w:val="none" w:color="auto"/>
              </w:rPr>
              <w:t>t/a</w:t>
            </w:r>
            <w:r>
              <w:rPr>
                <w:rFonts w:hint="eastAsia"/>
                <w:color w:val="auto"/>
                <w:szCs w:val="21"/>
                <w:u w:val="none" w:color="auto"/>
              </w:rPr>
              <w:t>，</w:t>
            </w:r>
            <w:r>
              <w:rPr>
                <w:color w:val="auto"/>
                <w:szCs w:val="21"/>
                <w:u w:val="none" w:color="auto"/>
              </w:rPr>
              <w:t>0.00</w:t>
            </w:r>
            <w:r>
              <w:rPr>
                <w:rFonts w:hint="eastAsia"/>
                <w:color w:val="auto"/>
                <w:szCs w:val="21"/>
                <w:u w:val="none" w:color="auto"/>
                <w:lang w:val="en-US" w:eastAsia="zh-CN"/>
              </w:rPr>
              <w:t>063</w:t>
            </w:r>
            <w:r>
              <w:rPr>
                <w:color w:val="auto"/>
                <w:szCs w:val="21"/>
                <w:u w:val="none" w:color="auto"/>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82" w:type="dxa"/>
            <w:tcBorders>
              <w:tl2br w:val="nil"/>
              <w:tr2bl w:val="nil"/>
            </w:tcBorders>
            <w:vAlign w:val="center"/>
          </w:tcPr>
          <w:p>
            <w:pPr>
              <w:spacing w:line="360" w:lineRule="auto"/>
              <w:jc w:val="center"/>
              <w:rPr>
                <w:rFonts w:hint="default" w:eastAsia="宋体"/>
                <w:color w:val="auto"/>
                <w:szCs w:val="21"/>
                <w:u w:val="none" w:color="auto"/>
                <w:lang w:val="en-US" w:eastAsia="zh-CN"/>
              </w:rPr>
            </w:pPr>
            <w:r>
              <w:rPr>
                <w:rFonts w:hint="eastAsia"/>
                <w:color w:val="auto"/>
                <w:szCs w:val="21"/>
                <w:u w:val="none" w:color="auto"/>
                <w:lang w:eastAsia="zh-CN"/>
              </w:rPr>
              <w:t>喷塑粉尘</w:t>
            </w:r>
          </w:p>
        </w:tc>
        <w:tc>
          <w:tcPr>
            <w:tcW w:w="1755" w:type="dxa"/>
            <w:tcBorders>
              <w:tl2br w:val="nil"/>
              <w:tr2bl w:val="nil"/>
            </w:tcBorders>
            <w:vAlign w:val="center"/>
          </w:tcPr>
          <w:p>
            <w:pPr>
              <w:spacing w:line="360" w:lineRule="auto"/>
              <w:jc w:val="center"/>
              <w:rPr>
                <w:rFonts w:hint="eastAsia"/>
                <w:color w:val="auto"/>
                <w:szCs w:val="21"/>
                <w:u w:val="none" w:color="auto"/>
              </w:rPr>
            </w:pPr>
            <w:r>
              <w:rPr>
                <w:rFonts w:hint="eastAsia"/>
                <w:color w:val="auto"/>
                <w:szCs w:val="21"/>
                <w:u w:val="none" w:color="auto"/>
              </w:rPr>
              <w:t>颗粒物</w:t>
            </w:r>
          </w:p>
        </w:tc>
        <w:tc>
          <w:tcPr>
            <w:tcW w:w="2028" w:type="dxa"/>
            <w:tcBorders>
              <w:tl2br w:val="nil"/>
              <w:tr2bl w:val="nil"/>
            </w:tcBorders>
            <w:vAlign w:val="center"/>
          </w:tcPr>
          <w:p>
            <w:pPr>
              <w:spacing w:line="360" w:lineRule="auto"/>
              <w:jc w:val="center"/>
              <w:rPr>
                <w:color w:val="auto"/>
                <w:szCs w:val="21"/>
                <w:u w:val="none" w:color="auto"/>
              </w:rPr>
            </w:pPr>
            <w:r>
              <w:rPr>
                <w:color w:val="auto"/>
                <w:szCs w:val="21"/>
                <w:u w:val="none" w:color="auto"/>
              </w:rPr>
              <w:t>0.</w:t>
            </w:r>
            <w:r>
              <w:rPr>
                <w:rFonts w:hint="eastAsia"/>
                <w:color w:val="auto"/>
                <w:szCs w:val="21"/>
                <w:u w:val="none" w:color="auto"/>
                <w:lang w:val="en-US" w:eastAsia="zh-CN"/>
              </w:rPr>
              <w:t>6</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0.5</w:t>
            </w:r>
            <w:r>
              <w:rPr>
                <w:color w:val="auto"/>
                <w:szCs w:val="21"/>
                <w:u w:val="none" w:color="auto"/>
              </w:rPr>
              <w:t>kg/h</w:t>
            </w:r>
          </w:p>
        </w:tc>
        <w:tc>
          <w:tcPr>
            <w:tcW w:w="3075" w:type="dxa"/>
            <w:tcBorders>
              <w:tl2br w:val="nil"/>
              <w:tr2bl w:val="nil"/>
            </w:tcBorders>
            <w:vAlign w:val="center"/>
          </w:tcPr>
          <w:p>
            <w:pPr>
              <w:bidi w:val="0"/>
              <w:spacing w:line="360" w:lineRule="auto"/>
              <w:rPr>
                <w:color w:val="auto"/>
                <w:u w:val="none" w:color="auto"/>
              </w:rPr>
            </w:pPr>
            <w:r>
              <w:rPr>
                <w:rFonts w:hint="eastAsia"/>
                <w:color w:val="auto"/>
                <w:szCs w:val="21"/>
                <w:u w:val="none" w:color="auto"/>
                <w:lang w:val="en-US" w:eastAsia="zh-CN"/>
              </w:rPr>
              <w:t>0.03</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10</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82" w:type="dxa"/>
            <w:vMerge w:val="restart"/>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eastAsia="zh-CN"/>
              </w:rPr>
              <w:t>液化石油气燃烧废气</w:t>
            </w:r>
          </w:p>
        </w:tc>
        <w:tc>
          <w:tcPr>
            <w:tcW w:w="175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颗粒物</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0.000218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4.26</w:t>
            </w:r>
            <w:r>
              <w:rPr>
                <w:color w:val="auto"/>
                <w:szCs w:val="21"/>
                <w:u w:val="none" w:color="auto"/>
              </w:rPr>
              <w:t>mg/m</w:t>
            </w:r>
            <w:r>
              <w:rPr>
                <w:color w:val="auto"/>
                <w:szCs w:val="21"/>
                <w:u w:val="none" w:color="auto"/>
                <w:vertAlign w:val="superscript"/>
              </w:rPr>
              <w:t>3</w:t>
            </w:r>
          </w:p>
        </w:tc>
        <w:tc>
          <w:tcPr>
            <w:tcW w:w="3075" w:type="dxa"/>
            <w:tcBorders>
              <w:tl2br w:val="nil"/>
              <w:tr2bl w:val="nil"/>
            </w:tcBorders>
            <w:vAlign w:val="center"/>
          </w:tcPr>
          <w:p>
            <w:pPr>
              <w:bidi w:val="0"/>
              <w:spacing w:line="360" w:lineRule="auto"/>
              <w:rPr>
                <w:color w:val="auto"/>
                <w:szCs w:val="21"/>
                <w:u w:val="none" w:color="auto"/>
              </w:rPr>
            </w:pPr>
            <w:r>
              <w:rPr>
                <w:rFonts w:hint="eastAsia"/>
                <w:color w:val="auto"/>
                <w:szCs w:val="21"/>
                <w:u w:val="none" w:color="auto"/>
                <w:lang w:val="en-US" w:eastAsia="zh-CN"/>
              </w:rPr>
              <w:t>0.000218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4.26</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82" w:type="dxa"/>
            <w:vMerge w:val="continue"/>
            <w:tcBorders>
              <w:tl2br w:val="nil"/>
              <w:tr2bl w:val="nil"/>
            </w:tcBorders>
            <w:vAlign w:val="center"/>
          </w:tcPr>
          <w:p>
            <w:pPr>
              <w:spacing w:line="360" w:lineRule="auto"/>
              <w:jc w:val="center"/>
              <w:rPr>
                <w:rFonts w:hint="eastAsia"/>
                <w:color w:val="auto"/>
                <w:szCs w:val="21"/>
                <w:u w:val="none" w:color="auto"/>
                <w:lang w:eastAsia="zh-CN"/>
              </w:rPr>
            </w:pPr>
          </w:p>
        </w:tc>
        <w:tc>
          <w:tcPr>
            <w:tcW w:w="175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二氧化硫</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0.00094</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18.38</w:t>
            </w:r>
            <w:r>
              <w:rPr>
                <w:color w:val="auto"/>
                <w:szCs w:val="21"/>
                <w:u w:val="none" w:color="auto"/>
              </w:rPr>
              <w:t>mg/m</w:t>
            </w:r>
            <w:r>
              <w:rPr>
                <w:color w:val="auto"/>
                <w:szCs w:val="21"/>
                <w:u w:val="none" w:color="auto"/>
                <w:vertAlign w:val="superscript"/>
              </w:rPr>
              <w:t>3</w:t>
            </w:r>
          </w:p>
        </w:tc>
        <w:tc>
          <w:tcPr>
            <w:tcW w:w="3075" w:type="dxa"/>
            <w:tcBorders>
              <w:tl2br w:val="nil"/>
              <w:tr2bl w:val="nil"/>
            </w:tcBorders>
            <w:vAlign w:val="center"/>
          </w:tcPr>
          <w:p>
            <w:pPr>
              <w:bidi w:val="0"/>
              <w:spacing w:line="360" w:lineRule="auto"/>
              <w:rPr>
                <w:color w:val="auto"/>
                <w:szCs w:val="21"/>
                <w:u w:val="none" w:color="auto"/>
              </w:rPr>
            </w:pPr>
            <w:r>
              <w:rPr>
                <w:rFonts w:hint="eastAsia"/>
                <w:color w:val="auto"/>
                <w:szCs w:val="21"/>
                <w:u w:val="none" w:color="auto"/>
                <w:lang w:val="en-US" w:eastAsia="zh-CN"/>
              </w:rPr>
              <w:t>0.00094</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18.38</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82" w:type="dxa"/>
            <w:vMerge w:val="continue"/>
            <w:tcBorders>
              <w:tl2br w:val="nil"/>
              <w:tr2bl w:val="nil"/>
            </w:tcBorders>
            <w:vAlign w:val="center"/>
          </w:tcPr>
          <w:p>
            <w:pPr>
              <w:spacing w:line="360" w:lineRule="auto"/>
              <w:jc w:val="center"/>
              <w:rPr>
                <w:rFonts w:hint="eastAsia"/>
                <w:color w:val="auto"/>
                <w:szCs w:val="21"/>
                <w:u w:val="none" w:color="auto"/>
                <w:lang w:eastAsia="zh-CN"/>
              </w:rPr>
            </w:pPr>
          </w:p>
        </w:tc>
        <w:tc>
          <w:tcPr>
            <w:tcW w:w="175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氮氧化物</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0.00813</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158.9</w:t>
            </w:r>
            <w:r>
              <w:rPr>
                <w:color w:val="auto"/>
                <w:szCs w:val="21"/>
                <w:u w:val="none" w:color="auto"/>
              </w:rPr>
              <w:t>mg/m</w:t>
            </w:r>
            <w:r>
              <w:rPr>
                <w:color w:val="auto"/>
                <w:szCs w:val="21"/>
                <w:u w:val="none" w:color="auto"/>
                <w:vertAlign w:val="superscript"/>
              </w:rPr>
              <w:t>3</w:t>
            </w:r>
          </w:p>
        </w:tc>
        <w:tc>
          <w:tcPr>
            <w:tcW w:w="3075" w:type="dxa"/>
            <w:tcBorders>
              <w:tl2br w:val="nil"/>
              <w:tr2bl w:val="nil"/>
            </w:tcBorders>
            <w:vAlign w:val="center"/>
          </w:tcPr>
          <w:p>
            <w:pPr>
              <w:bidi w:val="0"/>
              <w:spacing w:line="360" w:lineRule="auto"/>
              <w:rPr>
                <w:color w:val="auto"/>
                <w:szCs w:val="21"/>
                <w:u w:val="none" w:color="auto"/>
              </w:rPr>
            </w:pPr>
            <w:r>
              <w:rPr>
                <w:rFonts w:hint="eastAsia"/>
                <w:color w:val="auto"/>
                <w:szCs w:val="21"/>
                <w:u w:val="none" w:color="auto"/>
                <w:lang w:val="en-US" w:eastAsia="zh-CN"/>
              </w:rPr>
              <w:t>0.00813</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158.9</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82"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烘干固化废气</w:t>
            </w:r>
          </w:p>
        </w:tc>
        <w:tc>
          <w:tcPr>
            <w:tcW w:w="1755" w:type="dxa"/>
            <w:tcBorders>
              <w:tl2br w:val="nil"/>
              <w:tr2bl w:val="nil"/>
            </w:tcBorders>
            <w:vAlign w:val="center"/>
          </w:tcPr>
          <w:p>
            <w:pPr>
              <w:spacing w:line="360" w:lineRule="auto"/>
              <w:jc w:val="center"/>
              <w:rPr>
                <w:rFonts w:hint="eastAsia"/>
                <w:color w:val="auto"/>
                <w:szCs w:val="21"/>
                <w:u w:val="none" w:color="auto"/>
              </w:rPr>
            </w:pPr>
            <w:r>
              <w:rPr>
                <w:rFonts w:hint="eastAsia"/>
                <w:color w:val="auto"/>
                <w:szCs w:val="21"/>
                <w:u w:val="none" w:color="auto"/>
              </w:rPr>
              <w:t>V</w:t>
            </w:r>
            <w:r>
              <w:rPr>
                <w:color w:val="auto"/>
                <w:szCs w:val="21"/>
                <w:u w:val="none" w:color="auto"/>
              </w:rPr>
              <w:t>OCs</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0.6</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0.5</w:t>
            </w:r>
            <w:r>
              <w:rPr>
                <w:color w:val="auto"/>
                <w:szCs w:val="21"/>
                <w:u w:val="none" w:color="auto"/>
              </w:rPr>
              <w:t>kg/h</w:t>
            </w:r>
          </w:p>
        </w:tc>
        <w:tc>
          <w:tcPr>
            <w:tcW w:w="3075" w:type="dxa"/>
            <w:tcBorders>
              <w:tl2br w:val="nil"/>
              <w:tr2bl w:val="nil"/>
            </w:tcBorders>
            <w:vAlign w:val="center"/>
          </w:tcPr>
          <w:p>
            <w:pPr>
              <w:bidi w:val="0"/>
              <w:spacing w:line="360" w:lineRule="auto"/>
              <w:rPr>
                <w:color w:val="auto"/>
                <w:szCs w:val="21"/>
                <w:u w:val="none" w:color="auto"/>
              </w:rPr>
            </w:pPr>
            <w:r>
              <w:rPr>
                <w:rFonts w:hint="eastAsia"/>
                <w:color w:val="auto"/>
                <w:szCs w:val="21"/>
                <w:u w:val="none" w:color="auto"/>
                <w:lang w:val="en-US" w:eastAsia="zh-CN"/>
              </w:rPr>
              <w:t>0.18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36</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82" w:type="dxa"/>
            <w:vMerge w:val="restart"/>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耐高温实验</w:t>
            </w:r>
          </w:p>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废气</w:t>
            </w:r>
          </w:p>
        </w:tc>
        <w:tc>
          <w:tcPr>
            <w:tcW w:w="1755" w:type="dxa"/>
            <w:tcBorders>
              <w:tl2br w:val="nil"/>
              <w:tr2bl w:val="nil"/>
            </w:tcBorders>
            <w:vAlign w:val="center"/>
          </w:tcPr>
          <w:p>
            <w:pPr>
              <w:spacing w:line="360" w:lineRule="auto"/>
              <w:jc w:val="center"/>
              <w:rPr>
                <w:rFonts w:hint="eastAsia"/>
                <w:color w:val="auto"/>
                <w:szCs w:val="21"/>
                <w:u w:val="none" w:color="auto"/>
              </w:rPr>
            </w:pPr>
            <w:r>
              <w:rPr>
                <w:rFonts w:hint="eastAsia"/>
                <w:color w:val="auto"/>
                <w:szCs w:val="21"/>
                <w:u w:val="none" w:color="auto"/>
                <w:lang w:eastAsia="zh-CN"/>
              </w:rPr>
              <w:t>颗粒物</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0.000068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4.26</w:t>
            </w:r>
            <w:r>
              <w:rPr>
                <w:color w:val="auto"/>
                <w:szCs w:val="21"/>
                <w:u w:val="none" w:color="auto"/>
              </w:rPr>
              <w:t>mg/m</w:t>
            </w:r>
            <w:r>
              <w:rPr>
                <w:color w:val="auto"/>
                <w:szCs w:val="21"/>
                <w:u w:val="none" w:color="auto"/>
                <w:vertAlign w:val="superscript"/>
              </w:rPr>
              <w:t>3</w:t>
            </w:r>
          </w:p>
        </w:tc>
        <w:tc>
          <w:tcPr>
            <w:tcW w:w="3075" w:type="dxa"/>
            <w:tcBorders>
              <w:tl2br w:val="nil"/>
              <w:tr2bl w:val="nil"/>
            </w:tcBorders>
            <w:vAlign w:val="center"/>
          </w:tcPr>
          <w:p>
            <w:pPr>
              <w:bidi w:val="0"/>
              <w:spacing w:line="360" w:lineRule="auto"/>
              <w:rPr>
                <w:color w:val="auto"/>
                <w:szCs w:val="21"/>
                <w:u w:val="none" w:color="auto"/>
              </w:rPr>
            </w:pPr>
            <w:r>
              <w:rPr>
                <w:rFonts w:hint="eastAsia"/>
                <w:color w:val="auto"/>
                <w:szCs w:val="21"/>
                <w:u w:val="none" w:color="auto"/>
                <w:lang w:val="en-US" w:eastAsia="zh-CN"/>
              </w:rPr>
              <w:t>0.000068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4.26</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7"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82" w:type="dxa"/>
            <w:vMerge w:val="continue"/>
            <w:tcBorders>
              <w:tl2br w:val="nil"/>
              <w:tr2bl w:val="nil"/>
            </w:tcBorders>
            <w:vAlign w:val="center"/>
          </w:tcPr>
          <w:p>
            <w:pPr>
              <w:spacing w:line="360" w:lineRule="auto"/>
              <w:jc w:val="center"/>
              <w:rPr>
                <w:rFonts w:hint="eastAsia"/>
                <w:color w:val="auto"/>
                <w:szCs w:val="21"/>
                <w:u w:val="none" w:color="auto"/>
                <w:lang w:eastAsia="zh-CN"/>
              </w:rPr>
            </w:pPr>
          </w:p>
        </w:tc>
        <w:tc>
          <w:tcPr>
            <w:tcW w:w="1755" w:type="dxa"/>
            <w:tcBorders>
              <w:tl2br w:val="nil"/>
              <w:tr2bl w:val="nil"/>
            </w:tcBorders>
            <w:vAlign w:val="center"/>
          </w:tcPr>
          <w:p>
            <w:pPr>
              <w:spacing w:line="360" w:lineRule="auto"/>
              <w:jc w:val="center"/>
              <w:rPr>
                <w:rFonts w:hint="eastAsia"/>
                <w:color w:val="auto"/>
                <w:szCs w:val="21"/>
                <w:u w:val="none" w:color="auto"/>
              </w:rPr>
            </w:pPr>
            <w:r>
              <w:rPr>
                <w:rFonts w:hint="eastAsia"/>
                <w:color w:val="auto"/>
                <w:szCs w:val="21"/>
                <w:u w:val="none" w:color="auto"/>
                <w:lang w:eastAsia="zh-CN"/>
              </w:rPr>
              <w:t>二氧化硫</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0.00029</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18.38</w:t>
            </w:r>
            <w:r>
              <w:rPr>
                <w:color w:val="auto"/>
                <w:szCs w:val="21"/>
                <w:u w:val="none" w:color="auto"/>
              </w:rPr>
              <w:t>mg/m</w:t>
            </w:r>
            <w:r>
              <w:rPr>
                <w:color w:val="auto"/>
                <w:szCs w:val="21"/>
                <w:u w:val="none" w:color="auto"/>
                <w:vertAlign w:val="superscript"/>
              </w:rPr>
              <w:t>3</w:t>
            </w:r>
          </w:p>
        </w:tc>
        <w:tc>
          <w:tcPr>
            <w:tcW w:w="3075" w:type="dxa"/>
            <w:tcBorders>
              <w:tl2br w:val="nil"/>
              <w:tr2bl w:val="nil"/>
            </w:tcBorders>
            <w:vAlign w:val="center"/>
          </w:tcPr>
          <w:p>
            <w:pPr>
              <w:bidi w:val="0"/>
              <w:spacing w:line="360" w:lineRule="auto"/>
              <w:rPr>
                <w:color w:val="auto"/>
                <w:szCs w:val="21"/>
                <w:u w:val="none" w:color="auto"/>
              </w:rPr>
            </w:pPr>
            <w:r>
              <w:rPr>
                <w:rFonts w:hint="eastAsia"/>
                <w:color w:val="auto"/>
                <w:szCs w:val="21"/>
                <w:u w:val="none" w:color="auto"/>
                <w:lang w:val="en-US" w:eastAsia="zh-CN"/>
              </w:rPr>
              <w:t>0.00029</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18.38</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7"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82" w:type="dxa"/>
            <w:vMerge w:val="continue"/>
            <w:tcBorders>
              <w:tl2br w:val="nil"/>
              <w:tr2bl w:val="nil"/>
            </w:tcBorders>
            <w:vAlign w:val="center"/>
          </w:tcPr>
          <w:p>
            <w:pPr>
              <w:spacing w:line="360" w:lineRule="auto"/>
              <w:jc w:val="center"/>
              <w:rPr>
                <w:rFonts w:hint="eastAsia"/>
                <w:color w:val="auto"/>
                <w:szCs w:val="21"/>
                <w:u w:val="none" w:color="auto"/>
                <w:lang w:eastAsia="zh-CN"/>
              </w:rPr>
            </w:pPr>
          </w:p>
        </w:tc>
        <w:tc>
          <w:tcPr>
            <w:tcW w:w="1755" w:type="dxa"/>
            <w:tcBorders>
              <w:tl2br w:val="nil"/>
              <w:tr2bl w:val="nil"/>
            </w:tcBorders>
            <w:vAlign w:val="center"/>
          </w:tcPr>
          <w:p>
            <w:pPr>
              <w:spacing w:line="360" w:lineRule="auto"/>
              <w:jc w:val="center"/>
              <w:rPr>
                <w:rFonts w:hint="eastAsia"/>
                <w:color w:val="auto"/>
                <w:szCs w:val="21"/>
                <w:u w:val="none" w:color="auto"/>
              </w:rPr>
            </w:pPr>
            <w:r>
              <w:rPr>
                <w:rFonts w:hint="eastAsia"/>
                <w:color w:val="auto"/>
                <w:szCs w:val="21"/>
                <w:u w:val="none" w:color="auto"/>
                <w:lang w:eastAsia="zh-CN"/>
              </w:rPr>
              <w:t>氮氧化物</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0.00254</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158.9</w:t>
            </w:r>
            <w:r>
              <w:rPr>
                <w:color w:val="auto"/>
                <w:szCs w:val="21"/>
                <w:u w:val="none" w:color="auto"/>
              </w:rPr>
              <w:t>mg/m</w:t>
            </w:r>
            <w:r>
              <w:rPr>
                <w:color w:val="auto"/>
                <w:szCs w:val="21"/>
                <w:u w:val="none" w:color="auto"/>
                <w:vertAlign w:val="superscript"/>
              </w:rPr>
              <w:t>3</w:t>
            </w:r>
          </w:p>
        </w:tc>
        <w:tc>
          <w:tcPr>
            <w:tcW w:w="3075" w:type="dxa"/>
            <w:tcBorders>
              <w:tl2br w:val="nil"/>
              <w:tr2bl w:val="nil"/>
            </w:tcBorders>
            <w:vAlign w:val="center"/>
          </w:tcPr>
          <w:p>
            <w:pPr>
              <w:bidi w:val="0"/>
              <w:spacing w:line="360" w:lineRule="auto"/>
              <w:rPr>
                <w:color w:val="auto"/>
                <w:szCs w:val="21"/>
                <w:u w:val="none" w:color="auto"/>
              </w:rPr>
            </w:pPr>
            <w:r>
              <w:rPr>
                <w:rFonts w:hint="eastAsia"/>
                <w:color w:val="auto"/>
                <w:szCs w:val="21"/>
                <w:u w:val="none" w:color="auto"/>
                <w:lang w:val="en-US" w:eastAsia="zh-CN"/>
              </w:rPr>
              <w:t>0.00254</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158.9</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restart"/>
            <w:tcBorders>
              <w:tl2br w:val="nil"/>
              <w:tr2bl w:val="nil"/>
            </w:tcBorders>
            <w:vAlign w:val="center"/>
          </w:tcPr>
          <w:p>
            <w:pPr>
              <w:spacing w:line="360" w:lineRule="auto"/>
              <w:jc w:val="center"/>
              <w:rPr>
                <w:rFonts w:hint="default" w:eastAsia="宋体"/>
                <w:color w:val="auto"/>
                <w:szCs w:val="21"/>
                <w:u w:val="none" w:color="auto"/>
                <w:lang w:val="en-US" w:eastAsia="zh-CN"/>
              </w:rPr>
            </w:pPr>
            <w:r>
              <w:rPr>
                <w:rFonts w:hint="eastAsia"/>
                <w:color w:val="auto"/>
                <w:szCs w:val="21"/>
                <w:u w:val="none" w:color="auto"/>
                <w:lang w:eastAsia="zh-CN"/>
              </w:rPr>
              <w:t>喷漆房、喷涂线</w:t>
            </w:r>
          </w:p>
        </w:tc>
        <w:tc>
          <w:tcPr>
            <w:tcW w:w="1755"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rPr>
              <w:t>喷漆漆雾</w:t>
            </w:r>
          </w:p>
        </w:tc>
        <w:tc>
          <w:tcPr>
            <w:tcW w:w="2028"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0.667</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0.076</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6.3</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vMerge w:val="continue"/>
            <w:tcBorders>
              <w:tl2br w:val="nil"/>
              <w:tr2bl w:val="nil"/>
            </w:tcBorders>
            <w:vAlign w:val="center"/>
          </w:tcPr>
          <w:p>
            <w:pPr>
              <w:spacing w:line="360" w:lineRule="auto"/>
              <w:jc w:val="center"/>
              <w:rPr>
                <w:color w:val="auto"/>
                <w:szCs w:val="21"/>
                <w:u w:val="none" w:color="auto"/>
              </w:rPr>
            </w:pPr>
          </w:p>
        </w:tc>
        <w:tc>
          <w:tcPr>
            <w:tcW w:w="2028"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0.04</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0.033</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rPr>
              <w:t>V</w:t>
            </w:r>
            <w:r>
              <w:rPr>
                <w:color w:val="auto"/>
                <w:szCs w:val="21"/>
                <w:u w:val="none" w:color="auto"/>
              </w:rPr>
              <w:t>OCs</w:t>
            </w:r>
          </w:p>
        </w:tc>
        <w:tc>
          <w:tcPr>
            <w:tcW w:w="2028"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2.75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2.29</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0.523</w:t>
            </w:r>
            <w:r>
              <w:rPr>
                <w:color w:val="auto"/>
                <w:szCs w:val="21"/>
                <w:u w:val="none" w:color="auto"/>
              </w:rPr>
              <w:t xml:space="preserve"> t/a</w:t>
            </w:r>
            <w:r>
              <w:rPr>
                <w:rFonts w:hint="eastAsia"/>
                <w:color w:val="auto"/>
                <w:szCs w:val="21"/>
                <w:u w:val="none" w:color="auto"/>
              </w:rPr>
              <w:t>，</w:t>
            </w:r>
            <w:r>
              <w:rPr>
                <w:rFonts w:hint="eastAsia"/>
                <w:color w:val="auto"/>
                <w:szCs w:val="21"/>
                <w:u w:val="none" w:color="auto"/>
                <w:lang w:val="en-US" w:eastAsia="zh-CN"/>
              </w:rPr>
              <w:t>43.6</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vMerge w:val="continue"/>
            <w:tcBorders>
              <w:tl2br w:val="nil"/>
              <w:tr2bl w:val="nil"/>
            </w:tcBorders>
            <w:vAlign w:val="center"/>
          </w:tcPr>
          <w:p>
            <w:pPr>
              <w:spacing w:line="360" w:lineRule="auto"/>
              <w:jc w:val="center"/>
              <w:rPr>
                <w:color w:val="auto"/>
                <w:szCs w:val="21"/>
                <w:u w:val="none" w:color="auto"/>
              </w:rPr>
            </w:pPr>
          </w:p>
        </w:tc>
        <w:tc>
          <w:tcPr>
            <w:tcW w:w="2028"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0.138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0.115</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72"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tcBorders>
              <w:tl2br w:val="nil"/>
              <w:tr2bl w:val="nil"/>
            </w:tcBorders>
            <w:vAlign w:val="center"/>
          </w:tcPr>
          <w:p>
            <w:pPr>
              <w:spacing w:line="360" w:lineRule="auto"/>
              <w:jc w:val="center"/>
              <w:rPr>
                <w:rFonts w:hint="eastAsia" w:eastAsia="宋体"/>
                <w:color w:val="auto"/>
                <w:szCs w:val="21"/>
                <w:u w:val="none" w:color="auto"/>
                <w:lang w:val="en-US" w:eastAsia="zh-CN"/>
              </w:rPr>
            </w:pPr>
            <w:r>
              <w:rPr>
                <w:rFonts w:hint="eastAsia"/>
                <w:color w:val="auto"/>
                <w:szCs w:val="21"/>
                <w:u w:val="none" w:color="auto"/>
                <w:lang w:val="en-US" w:eastAsia="zh-CN"/>
              </w:rPr>
              <w:t>激光切割废气</w:t>
            </w:r>
          </w:p>
        </w:tc>
        <w:tc>
          <w:tcPr>
            <w:tcW w:w="175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颗粒物</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7.1</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2.96</w:t>
            </w:r>
            <w:r>
              <w:rPr>
                <w:color w:val="auto"/>
                <w:szCs w:val="21"/>
                <w:u w:val="none" w:color="auto"/>
              </w:rPr>
              <w:t>kg/h</w:t>
            </w: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0.655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68.25</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97"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等离子切割废气</w:t>
            </w:r>
          </w:p>
        </w:tc>
        <w:tc>
          <w:tcPr>
            <w:tcW w:w="175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eastAsia="zh-CN"/>
              </w:rPr>
              <w:t>颗粒物</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7.1</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2.96</w:t>
            </w:r>
            <w:r>
              <w:rPr>
                <w:color w:val="auto"/>
                <w:szCs w:val="21"/>
                <w:u w:val="none" w:color="auto"/>
              </w:rPr>
              <w:t>kg/h</w:t>
            </w: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0.655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68.25</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激光、等离子切割废气</w:t>
            </w:r>
          </w:p>
        </w:tc>
        <w:tc>
          <w:tcPr>
            <w:tcW w:w="175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eastAsia="zh-CN"/>
              </w:rPr>
              <w:t>颗粒物</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7.1</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2.96</w:t>
            </w:r>
            <w:r>
              <w:rPr>
                <w:color w:val="auto"/>
                <w:szCs w:val="21"/>
                <w:u w:val="none" w:color="auto"/>
              </w:rPr>
              <w:t>kg/h</w:t>
            </w: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0.655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68.25</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抛丸废气</w:t>
            </w:r>
          </w:p>
        </w:tc>
        <w:tc>
          <w:tcPr>
            <w:tcW w:w="175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颗粒物</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0.075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0.125</w:t>
            </w:r>
            <w:r>
              <w:rPr>
                <w:color w:val="auto"/>
                <w:szCs w:val="21"/>
                <w:u w:val="none" w:color="auto"/>
              </w:rPr>
              <w:t>kg/h</w:t>
            </w: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0.00375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0.00625</w:t>
            </w:r>
            <w:r>
              <w:rPr>
                <w:color w:val="auto"/>
                <w:szCs w:val="21"/>
                <w:u w:val="none" w:color="auto"/>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食堂</w:t>
            </w:r>
          </w:p>
        </w:tc>
        <w:tc>
          <w:tcPr>
            <w:tcW w:w="175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食堂油烟</w:t>
            </w:r>
          </w:p>
        </w:tc>
        <w:tc>
          <w:tcPr>
            <w:tcW w:w="2028" w:type="dxa"/>
            <w:tcBorders>
              <w:tl2br w:val="nil"/>
              <w:tr2bl w:val="nil"/>
            </w:tcBorders>
            <w:vAlign w:val="center"/>
          </w:tcPr>
          <w:p>
            <w:pPr>
              <w:spacing w:line="360" w:lineRule="auto"/>
              <w:jc w:val="center"/>
              <w:rPr>
                <w:rFonts w:hint="default" w:eastAsia="宋体"/>
                <w:color w:val="auto"/>
                <w:szCs w:val="21"/>
                <w:u w:val="none" w:color="auto"/>
                <w:lang w:val="en-US" w:eastAsia="zh-CN"/>
              </w:rPr>
            </w:pPr>
            <w:r>
              <w:rPr>
                <w:rFonts w:hint="eastAsia"/>
                <w:color w:val="auto"/>
                <w:szCs w:val="21"/>
                <w:u w:val="none" w:color="auto"/>
                <w:lang w:val="en-US" w:eastAsia="zh-CN"/>
              </w:rPr>
              <w:t>67.5kg/a，28.12</w:t>
            </w:r>
            <w:r>
              <w:rPr>
                <w:color w:val="auto"/>
                <w:szCs w:val="21"/>
                <w:u w:val="none" w:color="auto"/>
              </w:rPr>
              <w:t>mg/m</w:t>
            </w:r>
            <w:r>
              <w:rPr>
                <w:color w:val="auto"/>
                <w:szCs w:val="21"/>
                <w:u w:val="none" w:color="auto"/>
                <w:vertAlign w:val="superscript"/>
              </w:rPr>
              <w:t>3</w:t>
            </w:r>
          </w:p>
        </w:tc>
        <w:tc>
          <w:tcPr>
            <w:tcW w:w="307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10.12kg/a，4.22</w:t>
            </w:r>
            <w:r>
              <w:rPr>
                <w:color w:val="auto"/>
                <w:szCs w:val="21"/>
                <w:u w:val="none" w:color="auto"/>
              </w:rPr>
              <w:t>mg/m</w:t>
            </w:r>
            <w:r>
              <w:rPr>
                <w:color w:val="auto"/>
                <w:szCs w:val="21"/>
                <w:u w:val="none" w:color="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水污</w:t>
            </w:r>
          </w:p>
          <w:p>
            <w:pPr>
              <w:spacing w:line="360" w:lineRule="auto"/>
              <w:jc w:val="center"/>
              <w:rPr>
                <w:b/>
                <w:bCs/>
                <w:color w:val="auto"/>
                <w:szCs w:val="21"/>
                <w:u w:val="none" w:color="auto"/>
              </w:rPr>
            </w:pPr>
            <w:r>
              <w:rPr>
                <w:b/>
                <w:bCs/>
                <w:color w:val="auto"/>
                <w:szCs w:val="21"/>
                <w:u w:val="none" w:color="auto"/>
              </w:rPr>
              <w:t>染物</w:t>
            </w:r>
          </w:p>
        </w:tc>
        <w:tc>
          <w:tcPr>
            <w:tcW w:w="477"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营</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运</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期</w:t>
            </w:r>
          </w:p>
        </w:tc>
        <w:tc>
          <w:tcPr>
            <w:tcW w:w="1482"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生活污</w:t>
            </w:r>
            <w:r>
              <w:rPr>
                <w:rFonts w:hint="eastAsia"/>
                <w:color w:val="auto"/>
                <w:szCs w:val="21"/>
                <w:u w:val="none" w:color="auto"/>
              </w:rPr>
              <w:t>水</w:t>
            </w:r>
            <w:r>
              <w:rPr>
                <w:rFonts w:hint="eastAsia"/>
                <w:color w:val="auto"/>
                <w:szCs w:val="21"/>
                <w:u w:val="none" w:color="auto"/>
                <w:lang w:val="en-US" w:eastAsia="zh-CN"/>
              </w:rPr>
              <w:t>6000</w:t>
            </w:r>
            <w:r>
              <w:rPr>
                <w:color w:val="auto"/>
                <w:szCs w:val="21"/>
                <w:u w:val="none" w:color="auto"/>
              </w:rPr>
              <w:t>m</w:t>
            </w:r>
            <w:r>
              <w:rPr>
                <w:color w:val="auto"/>
                <w:szCs w:val="21"/>
                <w:u w:val="none" w:color="auto"/>
                <w:vertAlign w:val="superscript"/>
              </w:rPr>
              <w:t>3</w:t>
            </w:r>
            <w:r>
              <w:rPr>
                <w:color w:val="auto"/>
                <w:szCs w:val="21"/>
                <w:u w:val="none" w:color="auto"/>
              </w:rPr>
              <w:t>/a</w:t>
            </w:r>
          </w:p>
          <w:p>
            <w:pPr>
              <w:spacing w:line="360" w:lineRule="auto"/>
              <w:jc w:val="center"/>
              <w:rPr>
                <w:color w:val="auto"/>
                <w:szCs w:val="21"/>
                <w:u w:val="none" w:color="auto"/>
              </w:rPr>
            </w:pPr>
          </w:p>
        </w:tc>
        <w:tc>
          <w:tcPr>
            <w:tcW w:w="1755"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COD</w:t>
            </w:r>
          </w:p>
        </w:tc>
        <w:tc>
          <w:tcPr>
            <w:tcW w:w="2028"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300mg/L，</w:t>
            </w:r>
            <w:r>
              <w:rPr>
                <w:rFonts w:hint="eastAsia"/>
                <w:color w:val="auto"/>
                <w:szCs w:val="21"/>
                <w:u w:val="none" w:color="auto"/>
                <w:lang w:val="en-US" w:eastAsia="zh-CN"/>
              </w:rPr>
              <w:t>1.8</w:t>
            </w:r>
            <w:r>
              <w:rPr>
                <w:color w:val="auto"/>
                <w:szCs w:val="21"/>
                <w:u w:val="none" w:color="auto"/>
              </w:rPr>
              <w:t>t/a</w:t>
            </w:r>
          </w:p>
        </w:tc>
        <w:tc>
          <w:tcPr>
            <w:tcW w:w="3075" w:type="dxa"/>
            <w:tcBorders>
              <w:tl2br w:val="nil"/>
              <w:tr2bl w:val="nil"/>
            </w:tcBorders>
            <w:vAlign w:val="center"/>
          </w:tcPr>
          <w:p>
            <w:pPr>
              <w:adjustRightInd w:val="0"/>
              <w:snapToGrid w:val="0"/>
              <w:spacing w:line="360" w:lineRule="auto"/>
              <w:jc w:val="center"/>
              <w:rPr>
                <w:color w:val="auto"/>
                <w:szCs w:val="21"/>
                <w:u w:val="none" w:color="auto"/>
              </w:rPr>
            </w:pPr>
            <w:r>
              <w:rPr>
                <w:rFonts w:hint="eastAsia"/>
                <w:color w:val="auto"/>
                <w:szCs w:val="21"/>
                <w:u w:val="none" w:color="auto"/>
                <w:lang w:val="en-US" w:eastAsia="zh-CN"/>
              </w:rPr>
              <w:t>80</w:t>
            </w:r>
            <w:r>
              <w:rPr>
                <w:color w:val="auto"/>
                <w:szCs w:val="21"/>
                <w:u w:val="none" w:color="auto"/>
              </w:rPr>
              <w:t>mg/L，</w:t>
            </w:r>
            <w:r>
              <w:rPr>
                <w:rFonts w:hint="eastAsia"/>
                <w:color w:val="auto"/>
                <w:szCs w:val="21"/>
                <w:u w:val="none" w:color="auto"/>
                <w:lang w:val="en-US" w:eastAsia="zh-CN"/>
              </w:rPr>
              <w:t>0.48</w:t>
            </w:r>
            <w:r>
              <w:rPr>
                <w:color w:val="auto"/>
                <w:szCs w:val="21"/>
                <w:u w:val="none" w:color="auto"/>
              </w:rPr>
              <w:t xml:space="preserve"> 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BOD</w:t>
            </w:r>
            <w:r>
              <w:rPr>
                <w:color w:val="auto"/>
                <w:szCs w:val="21"/>
                <w:u w:val="none" w:color="auto"/>
                <w:vertAlign w:val="subscript"/>
              </w:rPr>
              <w:t>5</w:t>
            </w:r>
          </w:p>
        </w:tc>
        <w:tc>
          <w:tcPr>
            <w:tcW w:w="2028"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200mg/L，</w:t>
            </w:r>
            <w:r>
              <w:rPr>
                <w:rFonts w:hint="eastAsia"/>
                <w:color w:val="auto"/>
                <w:szCs w:val="21"/>
                <w:u w:val="none" w:color="auto"/>
                <w:lang w:val="en-US" w:eastAsia="zh-CN"/>
              </w:rPr>
              <w:t>1.2</w:t>
            </w:r>
            <w:r>
              <w:rPr>
                <w:color w:val="auto"/>
                <w:szCs w:val="21"/>
                <w:u w:val="none" w:color="auto"/>
              </w:rPr>
              <w:t xml:space="preserve"> t/a</w:t>
            </w:r>
          </w:p>
        </w:tc>
        <w:tc>
          <w:tcPr>
            <w:tcW w:w="3075" w:type="dxa"/>
            <w:tcBorders>
              <w:tl2br w:val="nil"/>
              <w:tr2bl w:val="nil"/>
            </w:tcBorders>
            <w:vAlign w:val="center"/>
          </w:tcPr>
          <w:p>
            <w:pPr>
              <w:adjustRightInd w:val="0"/>
              <w:snapToGrid w:val="0"/>
              <w:spacing w:line="360" w:lineRule="auto"/>
              <w:jc w:val="center"/>
              <w:rPr>
                <w:color w:val="auto"/>
                <w:szCs w:val="21"/>
                <w:u w:val="none" w:color="auto"/>
              </w:rPr>
            </w:pPr>
            <w:r>
              <w:rPr>
                <w:rFonts w:hint="eastAsia"/>
                <w:color w:val="auto"/>
                <w:szCs w:val="21"/>
                <w:u w:val="none" w:color="auto"/>
                <w:lang w:val="en-US" w:eastAsia="zh-CN"/>
              </w:rPr>
              <w:t>15</w:t>
            </w:r>
            <w:r>
              <w:rPr>
                <w:color w:val="auto"/>
                <w:szCs w:val="21"/>
                <w:u w:val="none" w:color="auto"/>
              </w:rPr>
              <w:t>mg/L，</w:t>
            </w:r>
            <w:r>
              <w:rPr>
                <w:rFonts w:hint="eastAsia"/>
                <w:color w:val="auto"/>
                <w:szCs w:val="21"/>
                <w:u w:val="none" w:color="auto"/>
                <w:lang w:val="en-US" w:eastAsia="zh-CN"/>
              </w:rPr>
              <w:t>0.09</w:t>
            </w:r>
            <w:r>
              <w:rPr>
                <w:color w:val="auto"/>
                <w:szCs w:val="21"/>
                <w:u w:val="none" w:color="auto"/>
              </w:rPr>
              <w:t xml:space="preserve"> 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SS</w:t>
            </w:r>
          </w:p>
        </w:tc>
        <w:tc>
          <w:tcPr>
            <w:tcW w:w="2028"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250mg/L，</w:t>
            </w:r>
            <w:r>
              <w:rPr>
                <w:rFonts w:hint="eastAsia"/>
                <w:color w:val="auto"/>
                <w:szCs w:val="21"/>
                <w:u w:val="none" w:color="auto"/>
                <w:lang w:val="en-US" w:eastAsia="zh-CN"/>
              </w:rPr>
              <w:t>1.5</w:t>
            </w:r>
            <w:r>
              <w:rPr>
                <w:color w:val="auto"/>
                <w:szCs w:val="21"/>
                <w:u w:val="none" w:color="auto"/>
              </w:rPr>
              <w:t xml:space="preserve"> t/a</w:t>
            </w:r>
          </w:p>
        </w:tc>
        <w:tc>
          <w:tcPr>
            <w:tcW w:w="3075" w:type="dxa"/>
            <w:tcBorders>
              <w:tl2br w:val="nil"/>
              <w:tr2bl w:val="nil"/>
            </w:tcBorders>
            <w:vAlign w:val="center"/>
          </w:tcPr>
          <w:p>
            <w:pPr>
              <w:adjustRightInd w:val="0"/>
              <w:snapToGrid w:val="0"/>
              <w:spacing w:line="360" w:lineRule="auto"/>
              <w:jc w:val="center"/>
              <w:rPr>
                <w:color w:val="auto"/>
                <w:szCs w:val="21"/>
                <w:u w:val="none" w:color="auto"/>
              </w:rPr>
            </w:pPr>
            <w:r>
              <w:rPr>
                <w:rFonts w:hint="eastAsia"/>
                <w:color w:val="auto"/>
                <w:szCs w:val="21"/>
                <w:u w:val="none" w:color="auto"/>
                <w:lang w:val="en-US" w:eastAsia="zh-CN"/>
              </w:rPr>
              <w:t>20</w:t>
            </w:r>
            <w:r>
              <w:rPr>
                <w:color w:val="auto"/>
                <w:szCs w:val="21"/>
                <w:u w:val="none" w:color="auto"/>
              </w:rPr>
              <w:t>mg/L，</w:t>
            </w:r>
            <w:r>
              <w:rPr>
                <w:rFonts w:hint="eastAsia"/>
                <w:color w:val="auto"/>
                <w:szCs w:val="21"/>
                <w:u w:val="none" w:color="auto"/>
                <w:lang w:val="en-US" w:eastAsia="zh-CN"/>
              </w:rPr>
              <w:t>0.12</w:t>
            </w:r>
            <w:r>
              <w:rPr>
                <w:color w:val="auto"/>
                <w:szCs w:val="21"/>
                <w:u w:val="none" w:color="auto"/>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NH</w:t>
            </w:r>
            <w:r>
              <w:rPr>
                <w:color w:val="auto"/>
                <w:szCs w:val="21"/>
                <w:u w:val="none" w:color="auto"/>
                <w:vertAlign w:val="subscript"/>
              </w:rPr>
              <w:t>3</w:t>
            </w:r>
            <w:r>
              <w:rPr>
                <w:color w:val="auto"/>
                <w:szCs w:val="21"/>
                <w:u w:val="none" w:color="auto"/>
              </w:rPr>
              <w:t>-N</w:t>
            </w:r>
          </w:p>
        </w:tc>
        <w:tc>
          <w:tcPr>
            <w:tcW w:w="2028" w:type="dxa"/>
            <w:tcBorders>
              <w:tl2br w:val="nil"/>
              <w:tr2bl w:val="nil"/>
            </w:tcBorders>
            <w:vAlign w:val="center"/>
          </w:tcPr>
          <w:p>
            <w:pPr>
              <w:spacing w:line="360" w:lineRule="auto"/>
              <w:jc w:val="center"/>
              <w:rPr>
                <w:color w:val="auto"/>
                <w:szCs w:val="21"/>
                <w:u w:val="none" w:color="auto"/>
              </w:rPr>
            </w:pPr>
            <w:r>
              <w:rPr>
                <w:color w:val="auto"/>
                <w:szCs w:val="21"/>
                <w:u w:val="none" w:color="auto"/>
              </w:rPr>
              <w:t>30mg/L，</w:t>
            </w:r>
            <w:r>
              <w:rPr>
                <w:rFonts w:hint="eastAsia"/>
                <w:color w:val="auto"/>
                <w:szCs w:val="21"/>
                <w:u w:val="none" w:color="auto"/>
                <w:lang w:val="en-US" w:eastAsia="zh-CN"/>
              </w:rPr>
              <w:t>0.180</w:t>
            </w:r>
            <w:r>
              <w:rPr>
                <w:color w:val="auto"/>
                <w:szCs w:val="21"/>
                <w:u w:val="none" w:color="auto"/>
              </w:rPr>
              <w:t>t/a</w:t>
            </w:r>
          </w:p>
        </w:tc>
        <w:tc>
          <w:tcPr>
            <w:tcW w:w="307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5mg/L，</w:t>
            </w:r>
            <w:r>
              <w:rPr>
                <w:rFonts w:hint="eastAsia"/>
                <w:color w:val="auto"/>
                <w:szCs w:val="21"/>
                <w:u w:val="none" w:color="auto"/>
                <w:lang w:val="en-US" w:eastAsia="zh-CN"/>
              </w:rPr>
              <w:t>0.03</w:t>
            </w:r>
            <w:r>
              <w:rPr>
                <w:color w:val="auto"/>
                <w:szCs w:val="21"/>
                <w:u w:val="none" w:color="auto"/>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固体</w:t>
            </w:r>
          </w:p>
          <w:p>
            <w:pPr>
              <w:spacing w:line="360" w:lineRule="auto"/>
              <w:jc w:val="center"/>
              <w:rPr>
                <w:b/>
                <w:bCs/>
                <w:color w:val="auto"/>
                <w:szCs w:val="21"/>
                <w:u w:val="none" w:color="auto"/>
              </w:rPr>
            </w:pPr>
            <w:r>
              <w:rPr>
                <w:b/>
                <w:bCs/>
                <w:color w:val="auto"/>
                <w:szCs w:val="21"/>
                <w:u w:val="none" w:color="auto"/>
              </w:rPr>
              <w:t>废物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82" w:type="dxa"/>
            <w:vMerge w:val="restart"/>
            <w:tcBorders>
              <w:tl2br w:val="nil"/>
              <w:tr2bl w:val="nil"/>
            </w:tcBorders>
            <w:vAlign w:val="center"/>
          </w:tcPr>
          <w:p>
            <w:pPr>
              <w:spacing w:line="360" w:lineRule="auto"/>
              <w:ind w:firstLine="201" w:firstLineChars="100"/>
              <w:rPr>
                <w:rFonts w:hint="eastAsia" w:eastAsia="宋体"/>
                <w:color w:val="auto"/>
                <w:szCs w:val="21"/>
                <w:u w:val="none" w:color="auto"/>
                <w:lang w:eastAsia="zh-CN"/>
              </w:rPr>
            </w:pPr>
            <w:r>
              <w:rPr>
                <w:rFonts w:hint="eastAsia"/>
                <w:color w:val="auto"/>
                <w:szCs w:val="21"/>
                <w:u w:val="none" w:color="auto"/>
                <w:lang w:eastAsia="zh-CN"/>
              </w:rPr>
              <w:t>生产过程</w:t>
            </w:r>
          </w:p>
        </w:tc>
        <w:tc>
          <w:tcPr>
            <w:tcW w:w="175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废金属边角料</w:t>
            </w:r>
          </w:p>
        </w:tc>
        <w:tc>
          <w:tcPr>
            <w:tcW w:w="2028"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6.39</w:t>
            </w:r>
            <w:r>
              <w:rPr>
                <w:rFonts w:hint="eastAsia"/>
                <w:color w:val="auto"/>
                <w:szCs w:val="21"/>
                <w:u w:val="none" w:color="auto"/>
                <w:lang w:eastAsia="zh-CN"/>
              </w:rPr>
              <w:t xml:space="preserve"> t /a</w:t>
            </w: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收集后外售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喷塑过程中收集的粉尘</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0.57</w:t>
            </w:r>
            <w:r>
              <w:rPr>
                <w:color w:val="auto"/>
                <w:szCs w:val="21"/>
                <w:u w:val="none" w:color="auto"/>
              </w:rPr>
              <w:t>t/a</w:t>
            </w: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回用于生产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除尘器收集的粉尘</w:t>
            </w:r>
          </w:p>
        </w:tc>
        <w:tc>
          <w:tcPr>
            <w:tcW w:w="2028"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19.4</w:t>
            </w:r>
            <w:r>
              <w:rPr>
                <w:color w:val="auto"/>
                <w:szCs w:val="21"/>
                <w:u w:val="none" w:color="auto"/>
              </w:rPr>
              <w:t>t/a</w:t>
            </w:r>
          </w:p>
        </w:tc>
        <w:tc>
          <w:tcPr>
            <w:tcW w:w="307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废液压油</w:t>
            </w:r>
          </w:p>
        </w:tc>
        <w:tc>
          <w:tcPr>
            <w:tcW w:w="2028" w:type="dxa"/>
            <w:vMerge w:val="restart"/>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0.1</w:t>
            </w:r>
            <w:r>
              <w:rPr>
                <w:color w:val="auto"/>
                <w:szCs w:val="21"/>
                <w:u w:val="none" w:color="auto"/>
              </w:rPr>
              <w:t>t/a</w:t>
            </w:r>
          </w:p>
        </w:tc>
        <w:tc>
          <w:tcPr>
            <w:tcW w:w="3075" w:type="dxa"/>
            <w:vMerge w:val="restart"/>
            <w:tcBorders>
              <w:tl2br w:val="nil"/>
              <w:tr2bl w:val="nil"/>
            </w:tcBorders>
            <w:vAlign w:val="center"/>
          </w:tcPr>
          <w:p>
            <w:pPr>
              <w:spacing w:line="360" w:lineRule="auto"/>
              <w:jc w:val="center"/>
              <w:rPr>
                <w:color w:val="auto"/>
                <w:szCs w:val="21"/>
                <w:u w:val="none" w:color="auto"/>
              </w:rPr>
            </w:pPr>
            <w:r>
              <w:rPr>
                <w:color w:val="auto"/>
                <w:szCs w:val="21"/>
                <w:u w:val="none" w:color="auto"/>
              </w:rPr>
              <w:t>暂存危废暂存间，定期交由</w:t>
            </w:r>
            <w:r>
              <w:rPr>
                <w:rFonts w:hint="eastAsia"/>
                <w:color w:val="auto"/>
                <w:szCs w:val="21"/>
                <w:u w:val="none" w:color="auto"/>
                <w:lang w:eastAsia="zh-CN"/>
              </w:rPr>
              <w:t>有资质单位回收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废润滑油</w:t>
            </w:r>
          </w:p>
        </w:tc>
        <w:tc>
          <w:tcPr>
            <w:tcW w:w="2028" w:type="dxa"/>
            <w:vMerge w:val="continue"/>
            <w:tcBorders>
              <w:tl2br w:val="nil"/>
              <w:tr2bl w:val="nil"/>
            </w:tcBorders>
            <w:vAlign w:val="center"/>
          </w:tcPr>
          <w:p>
            <w:pPr>
              <w:spacing w:line="360" w:lineRule="auto"/>
              <w:jc w:val="center"/>
              <w:rPr>
                <w:rFonts w:hint="eastAsia"/>
                <w:color w:val="auto"/>
                <w:szCs w:val="21"/>
                <w:u w:val="none" w:color="auto"/>
                <w:lang w:val="en-US" w:eastAsia="zh-CN"/>
              </w:rPr>
            </w:pP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废活性炭</w:t>
            </w:r>
          </w:p>
        </w:tc>
        <w:tc>
          <w:tcPr>
            <w:tcW w:w="2028"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2.4</w:t>
            </w:r>
            <w:r>
              <w:rPr>
                <w:color w:val="auto"/>
                <w:szCs w:val="21"/>
                <w:u w:val="none" w:color="auto"/>
              </w:rPr>
              <w:t>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含油抹布</w:t>
            </w:r>
          </w:p>
        </w:tc>
        <w:tc>
          <w:tcPr>
            <w:tcW w:w="2028"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0.04t/a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废稀释剂桶、废绝缘漆桶、废油桶</w:t>
            </w:r>
          </w:p>
        </w:tc>
        <w:tc>
          <w:tcPr>
            <w:tcW w:w="2028"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0.9t/a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水帘废水池沉渣</w:t>
            </w:r>
          </w:p>
        </w:tc>
        <w:tc>
          <w:tcPr>
            <w:tcW w:w="2028"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0.24</w:t>
            </w:r>
            <w:r>
              <w:rPr>
                <w:color w:val="auto"/>
                <w:szCs w:val="21"/>
                <w:u w:val="none" w:color="auto"/>
              </w:rPr>
              <w:t>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rPr>
              <w:t>漆渣</w:t>
            </w:r>
          </w:p>
        </w:tc>
        <w:tc>
          <w:tcPr>
            <w:tcW w:w="2028"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0.04</w:t>
            </w:r>
            <w:r>
              <w:rPr>
                <w:color w:val="auto"/>
                <w:szCs w:val="21"/>
                <w:u w:val="none" w:color="auto"/>
              </w:rPr>
              <w:t>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废灯管</w:t>
            </w:r>
          </w:p>
        </w:tc>
        <w:tc>
          <w:tcPr>
            <w:tcW w:w="2028"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0.01t/a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vMerge w:val="continue"/>
            <w:tcBorders>
              <w:tl2br w:val="nil"/>
              <w:tr2bl w:val="nil"/>
            </w:tcBorders>
            <w:vAlign w:val="center"/>
          </w:tcPr>
          <w:p>
            <w:pPr>
              <w:spacing w:line="360" w:lineRule="auto"/>
              <w:jc w:val="center"/>
              <w:rPr>
                <w:color w:val="auto"/>
                <w:szCs w:val="21"/>
                <w:u w:val="none" w:color="auto"/>
              </w:rPr>
            </w:pPr>
          </w:p>
        </w:tc>
        <w:tc>
          <w:tcPr>
            <w:tcW w:w="175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废水性漆包装物</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0.1</w:t>
            </w:r>
            <w:r>
              <w:rPr>
                <w:color w:val="auto"/>
                <w:szCs w:val="21"/>
                <w:u w:val="none" w:color="auto"/>
              </w:rPr>
              <w:t>t/a</w:t>
            </w: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收集后交由环卫部门进行处理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82"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职工</w:t>
            </w:r>
          </w:p>
        </w:tc>
        <w:tc>
          <w:tcPr>
            <w:tcW w:w="1755" w:type="dxa"/>
            <w:tcBorders>
              <w:tl2br w:val="nil"/>
              <w:tr2bl w:val="nil"/>
            </w:tcBorders>
            <w:vAlign w:val="center"/>
          </w:tcPr>
          <w:p>
            <w:pPr>
              <w:spacing w:line="360" w:lineRule="auto"/>
              <w:jc w:val="center"/>
              <w:rPr>
                <w:color w:val="auto"/>
                <w:szCs w:val="21"/>
                <w:u w:val="none" w:color="auto"/>
              </w:rPr>
            </w:pPr>
            <w:r>
              <w:rPr>
                <w:color w:val="auto"/>
                <w:szCs w:val="21"/>
                <w:u w:val="none" w:color="auto"/>
              </w:rPr>
              <w:t>生活垃圾</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30</w:t>
            </w:r>
            <w:r>
              <w:rPr>
                <w:color w:val="auto"/>
                <w:szCs w:val="21"/>
                <w:u w:val="none" w:color="auto"/>
              </w:rPr>
              <w:t>t/a</w:t>
            </w:r>
          </w:p>
        </w:tc>
        <w:tc>
          <w:tcPr>
            <w:tcW w:w="3075" w:type="dxa"/>
            <w:tcBorders>
              <w:tl2br w:val="nil"/>
              <w:tr2bl w:val="nil"/>
            </w:tcBorders>
            <w:vAlign w:val="center"/>
          </w:tcPr>
          <w:p>
            <w:pPr>
              <w:spacing w:line="360" w:lineRule="auto"/>
              <w:jc w:val="center"/>
              <w:rPr>
                <w:color w:val="auto"/>
                <w:szCs w:val="21"/>
                <w:u w:val="none" w:color="auto"/>
              </w:rPr>
            </w:pPr>
            <w:r>
              <w:rPr>
                <w:color w:val="auto"/>
                <w:szCs w:val="21"/>
                <w:u w:val="none" w:color="auto"/>
              </w:rPr>
              <w:t>收集后交环卫部门统一清运处理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43" w:hRule="atLeast"/>
          <w:jc w:val="center"/>
        </w:trPr>
        <w:tc>
          <w:tcPr>
            <w:tcW w:w="480"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噪声</w:t>
            </w:r>
          </w:p>
        </w:tc>
        <w:tc>
          <w:tcPr>
            <w:tcW w:w="477"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82"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运营噪声</w:t>
            </w:r>
          </w:p>
        </w:tc>
        <w:tc>
          <w:tcPr>
            <w:tcW w:w="1755" w:type="dxa"/>
            <w:tcBorders>
              <w:tl2br w:val="nil"/>
              <w:tr2bl w:val="nil"/>
            </w:tcBorders>
            <w:vAlign w:val="center"/>
          </w:tcPr>
          <w:p>
            <w:pPr>
              <w:spacing w:line="360" w:lineRule="auto"/>
              <w:ind w:firstLine="402" w:firstLineChars="200"/>
              <w:rPr>
                <w:color w:val="auto"/>
                <w:szCs w:val="21"/>
                <w:u w:val="none" w:color="auto"/>
              </w:rPr>
            </w:pPr>
            <w:r>
              <w:rPr>
                <w:color w:val="auto"/>
                <w:szCs w:val="21"/>
                <w:u w:val="none" w:color="auto"/>
              </w:rPr>
              <w:t>设备噪声</w:t>
            </w:r>
          </w:p>
        </w:tc>
        <w:tc>
          <w:tcPr>
            <w:tcW w:w="2028"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80</w:t>
            </w:r>
            <w:r>
              <w:rPr>
                <w:color w:val="auto"/>
                <w:szCs w:val="21"/>
                <w:u w:val="none" w:color="auto"/>
              </w:rPr>
              <w:t>-</w:t>
            </w:r>
            <w:r>
              <w:rPr>
                <w:rFonts w:hint="eastAsia"/>
                <w:color w:val="auto"/>
                <w:szCs w:val="21"/>
                <w:u w:val="none" w:color="auto"/>
                <w:lang w:val="en-US" w:eastAsia="zh-CN"/>
              </w:rPr>
              <w:t>90</w:t>
            </w:r>
            <w:r>
              <w:rPr>
                <w:color w:val="auto"/>
                <w:szCs w:val="21"/>
                <w:u w:val="none" w:color="auto"/>
              </w:rPr>
              <w:t>dB(A)</w:t>
            </w:r>
          </w:p>
        </w:tc>
        <w:tc>
          <w:tcPr>
            <w:tcW w:w="3075" w:type="dxa"/>
            <w:tcBorders>
              <w:tl2br w:val="nil"/>
              <w:tr2bl w:val="nil"/>
            </w:tcBorders>
            <w:vAlign w:val="center"/>
          </w:tcPr>
          <w:p>
            <w:pPr>
              <w:spacing w:line="360" w:lineRule="auto"/>
              <w:ind w:firstLine="402" w:firstLineChars="200"/>
              <w:jc w:val="center"/>
              <w:rPr>
                <w:color w:val="auto"/>
                <w:szCs w:val="21"/>
                <w:u w:val="none" w:color="auto"/>
              </w:rPr>
            </w:pPr>
            <w:r>
              <w:rPr>
                <w:color w:val="auto"/>
                <w:szCs w:val="21"/>
                <w:u w:val="none" w:color="auto"/>
              </w:rPr>
              <w:t>昼间≤6</w:t>
            </w:r>
            <w:r>
              <w:rPr>
                <w:rFonts w:hint="eastAsia"/>
                <w:color w:val="auto"/>
                <w:szCs w:val="21"/>
                <w:u w:val="none" w:color="auto"/>
                <w:lang w:val="en-US" w:eastAsia="zh-CN"/>
              </w:rPr>
              <w:t>5</w:t>
            </w:r>
            <w:r>
              <w:rPr>
                <w:color w:val="auto"/>
                <w:szCs w:val="21"/>
                <w:u w:val="none" w:color="auto"/>
              </w:rPr>
              <w:t>dB(A)</w:t>
            </w:r>
          </w:p>
          <w:p>
            <w:pPr>
              <w:spacing w:line="360" w:lineRule="auto"/>
              <w:ind w:firstLine="402" w:firstLineChars="200"/>
              <w:jc w:val="center"/>
              <w:rPr>
                <w:color w:val="auto"/>
                <w:szCs w:val="21"/>
                <w:u w:val="none" w:color="auto"/>
              </w:rPr>
            </w:pPr>
            <w:r>
              <w:rPr>
                <w:color w:val="auto"/>
                <w:szCs w:val="21"/>
                <w:u w:val="none" w:color="auto"/>
              </w:rPr>
              <w:t>夜间≤5</w:t>
            </w:r>
            <w:r>
              <w:rPr>
                <w:rFonts w:hint="eastAsia"/>
                <w:color w:val="auto"/>
                <w:szCs w:val="21"/>
                <w:u w:val="none" w:color="auto"/>
                <w:lang w:val="en-US" w:eastAsia="zh-CN"/>
              </w:rPr>
              <w:t>5</w:t>
            </w:r>
            <w:r>
              <w:rPr>
                <w:color w:val="auto"/>
                <w:szCs w:val="21"/>
                <w:u w:val="none" w:color="auto"/>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97" w:type="dxa"/>
            <w:gridSpan w:val="6"/>
            <w:tcBorders>
              <w:tl2br w:val="nil"/>
              <w:tr2bl w:val="nil"/>
            </w:tcBorders>
          </w:tcPr>
          <w:p>
            <w:pPr>
              <w:spacing w:line="360" w:lineRule="auto"/>
              <w:ind w:firstLine="494" w:firstLineChars="200"/>
              <w:rPr>
                <w:b/>
                <w:bCs/>
                <w:color w:val="auto"/>
                <w:spacing w:val="8"/>
                <w:sz w:val="24"/>
                <w:szCs w:val="24"/>
                <w:u w:val="none" w:color="auto"/>
              </w:rPr>
            </w:pPr>
            <w:r>
              <w:rPr>
                <w:b/>
                <w:bCs/>
                <w:color w:val="auto"/>
                <w:spacing w:val="8"/>
                <w:sz w:val="24"/>
                <w:szCs w:val="24"/>
                <w:u w:val="none" w:color="auto"/>
              </w:rPr>
              <w:t>主要生态影响</w:t>
            </w:r>
          </w:p>
          <w:p>
            <w:pPr>
              <w:adjustRightInd w:val="0"/>
              <w:snapToGrid w:val="0"/>
              <w:spacing w:line="360" w:lineRule="auto"/>
              <w:ind w:firstLine="462" w:firstLineChars="200"/>
              <w:rPr>
                <w:color w:val="auto"/>
                <w:szCs w:val="21"/>
                <w:u w:val="none" w:color="auto"/>
              </w:rPr>
            </w:pPr>
            <w:r>
              <w:rPr>
                <w:rFonts w:hint="eastAsia"/>
                <w:color w:val="auto"/>
                <w:sz w:val="24"/>
                <w:szCs w:val="24"/>
                <w:u w:val="none" w:color="auto"/>
              </w:rPr>
              <w:t>本项目所在地周边均为企业，周围无大面积自然植被群落及珍稀动植物资源等，营运期产生的“三废”经适当治理后，对周边生态环境影响较小。</w:t>
            </w:r>
          </w:p>
          <w:p>
            <w:pPr>
              <w:adjustRightInd w:val="0"/>
              <w:snapToGrid w:val="0"/>
              <w:spacing w:line="360" w:lineRule="auto"/>
              <w:ind w:firstLine="402" w:firstLineChars="200"/>
              <w:rPr>
                <w:color w:val="auto"/>
                <w:szCs w:val="21"/>
                <w:u w:val="none" w:color="auto"/>
              </w:rPr>
            </w:pPr>
          </w:p>
          <w:p>
            <w:pPr>
              <w:adjustRightInd w:val="0"/>
              <w:snapToGrid w:val="0"/>
              <w:spacing w:line="360" w:lineRule="auto"/>
              <w:rPr>
                <w:color w:val="auto"/>
                <w:szCs w:val="21"/>
                <w:u w:val="none" w:color="auto"/>
              </w:rPr>
            </w:pPr>
          </w:p>
        </w:tc>
      </w:tr>
    </w:tbl>
    <w:p>
      <w:pPr>
        <w:snapToGrid w:val="0"/>
        <w:outlineLvl w:val="0"/>
        <w:rPr>
          <w:rFonts w:eastAsia="黑体"/>
          <w:color w:val="auto"/>
          <w:sz w:val="32"/>
          <w:u w:val="none" w:color="auto"/>
        </w:rPr>
      </w:pPr>
      <w:r>
        <w:rPr>
          <w:rFonts w:ascii="宋体" w:hAnsi="宋体"/>
          <w:color w:val="auto"/>
          <w:sz w:val="24"/>
          <w:szCs w:val="24"/>
          <w:u w:val="none" w:color="auto"/>
        </w:rPr>
        <w:br w:type="page"/>
      </w:r>
      <w:bookmarkStart w:id="7" w:name="_Toc9170"/>
      <w:r>
        <w:rPr>
          <w:rFonts w:hint="eastAsia" w:ascii="黑体" w:hAnsi="黑体" w:eastAsia="黑体"/>
          <w:color w:val="auto"/>
          <w:sz w:val="32"/>
          <w:szCs w:val="32"/>
          <w:u w:val="none" w:color="auto"/>
        </w:rPr>
        <w:t>七、环</w:t>
      </w:r>
      <w:r>
        <w:rPr>
          <w:rFonts w:ascii="黑体" w:hAnsi="黑体" w:eastAsia="黑体"/>
          <w:color w:val="auto"/>
          <w:sz w:val="32"/>
          <w:szCs w:val="32"/>
          <w:u w:val="none" w:color="auto"/>
        </w:rPr>
        <w:t>境影响分析</w:t>
      </w:r>
      <w:bookmarkEnd w:id="7"/>
    </w:p>
    <w:tbl>
      <w:tblPr>
        <w:tblStyle w:val="39"/>
        <w:tblW w:w="926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931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176" w:hRule="atLeast"/>
          <w:jc w:val="center"/>
        </w:trPr>
        <w:tc>
          <w:tcPr>
            <w:tcW w:w="9268" w:type="dxa"/>
          </w:tcPr>
          <w:p>
            <w:pPr>
              <w:adjustRightInd w:val="0"/>
              <w:snapToGrid w:val="0"/>
              <w:spacing w:line="360" w:lineRule="auto"/>
              <w:jc w:val="left"/>
              <w:rPr>
                <w:b/>
                <w:color w:val="auto"/>
                <w:sz w:val="24"/>
                <w:u w:val="none" w:color="auto"/>
              </w:rPr>
            </w:pPr>
            <w:r>
              <w:rPr>
                <w:b/>
                <w:color w:val="auto"/>
                <w:sz w:val="24"/>
                <w:u w:val="none" w:color="auto"/>
              </w:rPr>
              <w:t>一：施工期的环境影响分析：</w:t>
            </w:r>
          </w:p>
          <w:p>
            <w:pPr>
              <w:spacing w:line="360" w:lineRule="auto"/>
              <w:ind w:firstLine="462" w:firstLineChars="200"/>
              <w:rPr>
                <w:color w:val="auto"/>
                <w:sz w:val="24"/>
                <w:u w:val="none" w:color="auto"/>
              </w:rPr>
            </w:pPr>
            <w:r>
              <w:rPr>
                <w:color w:val="auto"/>
                <w:sz w:val="24"/>
                <w:u w:val="none" w:color="auto"/>
              </w:rPr>
              <w:t>本项目为新建项目，建设施工期的主要污染因素有施工扬尘、冲洗废水、水土流失、机械施工噪声、建筑垃圾、生活垃圾及生态破坏等。</w:t>
            </w:r>
          </w:p>
          <w:p>
            <w:pPr>
              <w:spacing w:line="360" w:lineRule="auto"/>
              <w:rPr>
                <w:b/>
                <w:color w:val="auto"/>
                <w:sz w:val="24"/>
                <w:u w:val="none" w:color="auto"/>
              </w:rPr>
            </w:pPr>
            <w:r>
              <w:rPr>
                <w:b/>
                <w:color w:val="auto"/>
                <w:sz w:val="24"/>
                <w:u w:val="none" w:color="auto"/>
              </w:rPr>
              <w:t>1、施工期对环境空气的影响及防治措施</w:t>
            </w:r>
          </w:p>
          <w:p>
            <w:pPr>
              <w:spacing w:line="360" w:lineRule="auto"/>
              <w:ind w:firstLine="462" w:firstLineChars="200"/>
              <w:rPr>
                <w:color w:val="auto"/>
                <w:sz w:val="24"/>
                <w:u w:val="none" w:color="auto"/>
              </w:rPr>
            </w:pPr>
            <w:r>
              <w:rPr>
                <w:color w:val="auto"/>
                <w:sz w:val="24"/>
                <w:u w:val="none" w:color="auto"/>
              </w:rPr>
              <w:t>（1）扬尘对周围环境的影响</w:t>
            </w:r>
          </w:p>
          <w:p>
            <w:pPr>
              <w:spacing w:line="360" w:lineRule="auto"/>
              <w:ind w:firstLine="462" w:firstLineChars="200"/>
              <w:rPr>
                <w:color w:val="auto"/>
                <w:sz w:val="24"/>
                <w:u w:val="none" w:color="auto"/>
              </w:rPr>
            </w:pPr>
            <w:r>
              <w:rPr>
                <w:color w:val="auto"/>
                <w:sz w:val="24"/>
                <w:u w:val="none" w:color="auto"/>
              </w:rPr>
              <w:t>施工过程中，由于土地开挖与平整、基建材料的运输等将产生大量扬尘，从而使局部环境空气受到不利影响，特别是干燥大风天气更为突出。因此在基建施工过程中应注意文明施工，材料运输严格管理，防止洒、漏而污染环境。对施工场地较大的扬尘源，可通过洒水或喷雾减少扬尘，并对场地中主要的扬尘源适时覆盖，对运输渣土车辆进行统一管理，出场必须清洗轮胎，并确保渣土不外泄。通过采取以上措施，加强施工管理，可使地面扬尘减少50%左右，建筑物高空扬尘减少70%左右，大大减少施工扬尘的产生。随着施工的结束，该影响也会自行消失。</w:t>
            </w:r>
          </w:p>
          <w:p>
            <w:pPr>
              <w:spacing w:line="360" w:lineRule="auto"/>
              <w:ind w:firstLine="462" w:firstLineChars="200"/>
              <w:rPr>
                <w:color w:val="auto"/>
                <w:kern w:val="0"/>
                <w:sz w:val="24"/>
                <w:u w:val="none" w:color="auto"/>
              </w:rPr>
            </w:pPr>
            <w:r>
              <w:rPr>
                <w:color w:val="auto"/>
                <w:kern w:val="0"/>
                <w:sz w:val="24"/>
                <w:u w:val="none" w:color="auto"/>
              </w:rPr>
              <w:t>（2）运输车辆及作业机械尾气对周围环境的影响</w:t>
            </w:r>
          </w:p>
          <w:p>
            <w:pPr>
              <w:spacing w:line="360" w:lineRule="auto"/>
              <w:ind w:firstLine="462" w:firstLineChars="200"/>
              <w:rPr>
                <w:color w:val="auto"/>
                <w:kern w:val="0"/>
                <w:sz w:val="24"/>
                <w:u w:val="none" w:color="auto"/>
              </w:rPr>
            </w:pPr>
            <w:r>
              <w:rPr>
                <w:color w:val="auto"/>
                <w:kern w:val="0"/>
                <w:sz w:val="24"/>
                <w:u w:val="none" w:color="auto"/>
              </w:rPr>
              <w:t>施工场地内的施工机械主要包括挖掘机、装载机等，施工机械运行时将产生燃油尾气。施工机械和汽车运输时所排放的尾气，主要对场区周围和运输路线两侧局部范围产生一定影响。燃油施工机械设备使用的油料主要为柴油，燃油机械尾气排放属于低点源无组织排放，在进行施工建设时，由于工程施工高峰期污染物排放强度较低且排放量不大，因此，工程施工建设时对施工区及沿线周围居民区的空气环境影响较小，不会对当地环境空气质量造成不良影响。</w:t>
            </w:r>
          </w:p>
          <w:p>
            <w:pPr>
              <w:spacing w:line="360" w:lineRule="auto"/>
              <w:ind w:left="96" w:leftChars="48" w:right="-14" w:rightChars="-7" w:firstLine="462" w:firstLineChars="200"/>
              <w:textAlignment w:val="baseline"/>
              <w:rPr>
                <w:color w:val="auto"/>
                <w:sz w:val="24"/>
                <w:u w:val="none" w:color="auto"/>
              </w:rPr>
            </w:pPr>
            <w:r>
              <w:rPr>
                <w:color w:val="auto"/>
                <w:sz w:val="24"/>
                <w:u w:val="none" w:color="auto"/>
              </w:rPr>
              <w:t>（3）污染防治措施</w:t>
            </w:r>
          </w:p>
          <w:p>
            <w:pPr>
              <w:spacing w:line="360" w:lineRule="auto"/>
              <w:ind w:left="96" w:leftChars="48" w:right="-14" w:rightChars="-7" w:firstLine="462" w:firstLineChars="200"/>
              <w:textAlignment w:val="baseline"/>
              <w:rPr>
                <w:color w:val="auto"/>
                <w:sz w:val="24"/>
                <w:u w:val="none" w:color="auto"/>
              </w:rPr>
            </w:pPr>
            <w:r>
              <w:rPr>
                <w:color w:val="auto"/>
                <w:sz w:val="24"/>
                <w:u w:val="none" w:color="auto"/>
              </w:rPr>
              <w:t>在施工、基建材料运输的过程中产生大量扬尘，这些扬尘使得项目范围的环境空气受到较大污染，特别是干燥大风天气时这种现象更为突出。项目地处城市繁华地带，周围敏感目标较多，建议采取以下措施：</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①</w:t>
            </w:r>
            <w:r>
              <w:rPr>
                <w:bCs/>
                <w:color w:val="auto"/>
                <w:sz w:val="24"/>
                <w:u w:val="none" w:color="auto"/>
              </w:rPr>
              <w:t>文明施工，严格管理。按岳阳市及</w:t>
            </w:r>
            <w:r>
              <w:rPr>
                <w:rFonts w:hint="eastAsia"/>
                <w:bCs/>
                <w:color w:val="auto"/>
                <w:sz w:val="24"/>
                <w:u w:val="none" w:color="auto"/>
              </w:rPr>
              <w:t>湘阴县</w:t>
            </w:r>
            <w:r>
              <w:rPr>
                <w:bCs/>
                <w:color w:val="auto"/>
                <w:sz w:val="24"/>
                <w:u w:val="none" w:color="auto"/>
              </w:rPr>
              <w:t>渣土管理相关规定，使用封闭式渣土运输车。渣土车要严格限制装载量，尽量避免沿途撒漏。渣土车及其它车辆均要搞好外部清洁，应及时清洗车辆。</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②</w:t>
            </w:r>
            <w:r>
              <w:rPr>
                <w:bCs/>
                <w:color w:val="auto"/>
                <w:sz w:val="24"/>
                <w:u w:val="none" w:color="auto"/>
              </w:rPr>
              <w:t>定时喷洒水，对重点扬尘点（例如：卸灰、拌和、化灰等）进行局部降尘，</w:t>
            </w:r>
          </w:p>
          <w:p>
            <w:pPr>
              <w:spacing w:line="360" w:lineRule="auto"/>
              <w:rPr>
                <w:bCs/>
                <w:color w:val="auto"/>
                <w:sz w:val="24"/>
                <w:u w:val="none" w:color="auto"/>
              </w:rPr>
            </w:pPr>
            <w:r>
              <w:rPr>
                <w:bCs/>
                <w:color w:val="auto"/>
                <w:sz w:val="24"/>
                <w:u w:val="none" w:color="auto"/>
              </w:rPr>
              <w:t>尤其是敏感目标附近要加大洒水抑尘力度。</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③</w:t>
            </w:r>
            <w:r>
              <w:rPr>
                <w:bCs/>
                <w:color w:val="auto"/>
                <w:sz w:val="24"/>
                <w:u w:val="none" w:color="auto"/>
              </w:rPr>
              <w:t>要围档作业，及时压实填方，干燥多风季节施工时，对水泥、石灰等容易飞散的物料可采取加盖彩条膜等方法，控制扬尘污染。</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④</w:t>
            </w:r>
            <w:r>
              <w:rPr>
                <w:bCs/>
                <w:color w:val="auto"/>
                <w:sz w:val="24"/>
                <w:u w:val="none" w:color="auto"/>
              </w:rPr>
              <w:t>大风天气下停止施工。</w:t>
            </w:r>
          </w:p>
          <w:p>
            <w:pPr>
              <w:spacing w:line="360" w:lineRule="auto"/>
              <w:ind w:firstLine="462" w:firstLineChars="200"/>
              <w:rPr>
                <w:bCs/>
                <w:color w:val="auto"/>
                <w:sz w:val="24"/>
                <w:u w:val="none" w:color="auto"/>
              </w:rPr>
            </w:pPr>
            <w:r>
              <w:rPr>
                <w:bCs/>
                <w:color w:val="auto"/>
                <w:sz w:val="24"/>
                <w:u w:val="none" w:color="auto"/>
              </w:rPr>
              <w:t>通过采取以上措施，加强施工管理，可大大减少施工扬尘的产生</w:t>
            </w:r>
            <w:r>
              <w:rPr>
                <w:color w:val="auto"/>
                <w:sz w:val="24"/>
                <w:u w:val="none" w:color="auto"/>
              </w:rPr>
              <w:t>，不会对周围环境空气敏感点（周边居民点）造成较大的污染影响。</w:t>
            </w:r>
          </w:p>
          <w:p>
            <w:pPr>
              <w:spacing w:line="360" w:lineRule="auto"/>
              <w:rPr>
                <w:b/>
                <w:color w:val="auto"/>
                <w:sz w:val="24"/>
                <w:u w:val="none" w:color="auto"/>
              </w:rPr>
            </w:pPr>
            <w:r>
              <w:rPr>
                <w:b/>
                <w:color w:val="auto"/>
                <w:sz w:val="24"/>
                <w:u w:val="none" w:color="auto"/>
              </w:rPr>
              <w:t>2、施工期对水环境的影响及防治措施</w:t>
            </w:r>
          </w:p>
          <w:p>
            <w:pPr>
              <w:spacing w:line="360" w:lineRule="auto"/>
              <w:ind w:firstLine="462" w:firstLineChars="200"/>
              <w:rPr>
                <w:color w:val="auto"/>
                <w:sz w:val="24"/>
                <w:u w:val="none" w:color="auto"/>
              </w:rPr>
            </w:pPr>
            <w:r>
              <w:rPr>
                <w:color w:val="auto"/>
                <w:sz w:val="24"/>
                <w:u w:val="none" w:color="auto"/>
              </w:rPr>
              <w:t>施工期废水主要有施工人员的生活污水和施工废水。施工人员产生的生活污水主要污染因子为COD</w:t>
            </w:r>
            <w:r>
              <w:rPr>
                <w:color w:val="auto"/>
                <w:sz w:val="24"/>
                <w:u w:val="none" w:color="auto"/>
                <w:vertAlign w:val="subscript"/>
              </w:rPr>
              <w:t>Cr</w:t>
            </w:r>
            <w:r>
              <w:rPr>
                <w:color w:val="auto"/>
                <w:sz w:val="24"/>
                <w:u w:val="none" w:color="auto"/>
              </w:rPr>
              <w:t>、BOD</w:t>
            </w:r>
            <w:r>
              <w:rPr>
                <w:color w:val="auto"/>
                <w:sz w:val="24"/>
                <w:u w:val="none" w:color="auto"/>
                <w:vertAlign w:val="subscript"/>
              </w:rPr>
              <w:t>5</w:t>
            </w:r>
            <w:r>
              <w:rPr>
                <w:color w:val="auto"/>
                <w:sz w:val="24"/>
                <w:u w:val="none" w:color="auto"/>
              </w:rPr>
              <w:t>和SS等；施工砼浇筑废水、基坑废水主要污染物为悬浮物；施工车辆冲洗废水主要污染因子为COD、石油类、SS。此外，施工期场地植被破坏，造成土壤的裸露，在降雨时可能造成水土流失，特别是暴雨径流时水土流失更明显，可能造成地表水中悬浮物的增加，应引起重视。</w:t>
            </w:r>
          </w:p>
          <w:p>
            <w:pPr>
              <w:spacing w:line="360" w:lineRule="auto"/>
              <w:ind w:firstLine="462" w:firstLineChars="200"/>
              <w:rPr>
                <w:color w:val="auto"/>
                <w:sz w:val="24"/>
                <w:u w:val="none" w:color="auto"/>
              </w:rPr>
            </w:pPr>
            <w:r>
              <w:rPr>
                <w:color w:val="auto"/>
                <w:sz w:val="24"/>
                <w:u w:val="none" w:color="auto"/>
              </w:rPr>
              <w:t>为减小施工废水对区域地表水体的影响，应采取如下措施：</w:t>
            </w:r>
          </w:p>
          <w:p>
            <w:pPr>
              <w:numPr>
                <w:ilvl w:val="0"/>
                <w:numId w:val="8"/>
              </w:numPr>
              <w:spacing w:line="360" w:lineRule="auto"/>
              <w:ind w:firstLine="231" w:firstLineChars="100"/>
              <w:rPr>
                <w:color w:val="auto"/>
                <w:sz w:val="24"/>
                <w:u w:val="none" w:color="auto"/>
              </w:rPr>
            </w:pPr>
            <w:r>
              <w:rPr>
                <w:color w:val="auto"/>
                <w:sz w:val="24"/>
                <w:u w:val="none" w:color="auto"/>
              </w:rPr>
              <w:t>施工人员生活污水利用临时化粪池处理后，</w:t>
            </w:r>
            <w:r>
              <w:rPr>
                <w:rFonts w:hint="eastAsia"/>
                <w:color w:val="auto"/>
                <w:sz w:val="24"/>
                <w:u w:val="none" w:color="auto"/>
                <w:lang w:eastAsia="zh-CN"/>
              </w:rPr>
              <w:t>回用于周边绿化施肥</w:t>
            </w:r>
            <w:r>
              <w:rPr>
                <w:color w:val="auto"/>
                <w:sz w:val="24"/>
                <w:u w:val="none" w:color="auto"/>
              </w:rPr>
              <w:t>；</w:t>
            </w:r>
          </w:p>
          <w:p>
            <w:pPr>
              <w:spacing w:line="360" w:lineRule="auto"/>
              <w:ind w:left="345" w:leftChars="114" w:hanging="116" w:hangingChars="50"/>
              <w:rPr>
                <w:rFonts w:hint="eastAsia" w:eastAsia="宋体"/>
                <w:color w:val="auto"/>
                <w:sz w:val="24"/>
                <w:u w:val="none" w:color="auto"/>
                <w:lang w:eastAsia="zh-CN"/>
              </w:rPr>
            </w:pPr>
            <w:r>
              <w:rPr>
                <w:color w:val="auto"/>
                <w:sz w:val="24"/>
                <w:u w:val="none" w:color="auto"/>
              </w:rPr>
              <w:t>（2）施工场地修建临时隔油沉淀池，车辆冲洗废水经隔油沉淀处理后可回用</w:t>
            </w:r>
            <w:r>
              <w:rPr>
                <w:rFonts w:hint="eastAsia"/>
                <w:color w:val="auto"/>
                <w:sz w:val="24"/>
                <w:u w:val="none" w:color="auto"/>
                <w:lang w:eastAsia="zh-CN"/>
              </w:rPr>
              <w:t>；</w:t>
            </w:r>
          </w:p>
          <w:p>
            <w:pPr>
              <w:spacing w:line="360" w:lineRule="auto"/>
              <w:ind w:left="345" w:leftChars="114" w:hanging="116" w:hangingChars="50"/>
              <w:rPr>
                <w:rFonts w:hint="eastAsia" w:eastAsia="宋体"/>
                <w:color w:val="auto"/>
                <w:sz w:val="24"/>
                <w:u w:val="none" w:color="auto"/>
                <w:lang w:eastAsia="zh-CN"/>
              </w:rPr>
            </w:pPr>
            <w:r>
              <w:rPr>
                <w:color w:val="auto"/>
                <w:sz w:val="24"/>
                <w:u w:val="none" w:color="auto"/>
              </w:rPr>
              <w:t>（3）项目基坑废水、砼浇筑废水应设置三级沉淀池充分沉淀后回用</w:t>
            </w:r>
            <w:r>
              <w:rPr>
                <w:rFonts w:hint="eastAsia"/>
                <w:color w:val="auto"/>
                <w:sz w:val="24"/>
                <w:u w:val="none" w:color="auto"/>
                <w:lang w:eastAsia="zh-CN"/>
              </w:rPr>
              <w:t>；</w:t>
            </w:r>
          </w:p>
          <w:p>
            <w:pPr>
              <w:spacing w:line="360" w:lineRule="auto"/>
              <w:ind w:firstLine="231" w:firstLineChars="100"/>
              <w:rPr>
                <w:rFonts w:hint="eastAsia" w:eastAsia="宋体"/>
                <w:color w:val="auto"/>
                <w:sz w:val="24"/>
                <w:u w:val="none" w:color="auto"/>
                <w:lang w:eastAsia="zh-CN"/>
              </w:rPr>
            </w:pPr>
            <w:r>
              <w:rPr>
                <w:color w:val="auto"/>
                <w:sz w:val="24"/>
                <w:u w:val="none" w:color="auto"/>
              </w:rPr>
              <w:t>（4）施工场地局部应进行硬化处理，避免施工期水土流失造成区域水环境污染</w:t>
            </w:r>
            <w:r>
              <w:rPr>
                <w:rFonts w:hint="eastAsia"/>
                <w:color w:val="auto"/>
                <w:sz w:val="24"/>
                <w:u w:val="none" w:color="auto"/>
                <w:lang w:eastAsia="zh-CN"/>
              </w:rPr>
              <w:t>；</w:t>
            </w:r>
          </w:p>
          <w:p>
            <w:pPr>
              <w:spacing w:line="360" w:lineRule="auto"/>
              <w:ind w:firstLine="231" w:firstLineChars="100"/>
              <w:rPr>
                <w:color w:val="auto"/>
                <w:sz w:val="24"/>
                <w:u w:val="none" w:color="auto"/>
              </w:rPr>
            </w:pPr>
            <w:r>
              <w:rPr>
                <w:color w:val="auto"/>
                <w:sz w:val="24"/>
                <w:u w:val="none" w:color="auto"/>
              </w:rPr>
              <w:t>（5）基建完工后，及时恢复区域绿化和场地硬化，杜绝土壤裸露和水土流失。</w:t>
            </w:r>
          </w:p>
          <w:p>
            <w:pPr>
              <w:spacing w:line="360" w:lineRule="auto"/>
              <w:ind w:firstLine="462" w:firstLineChars="200"/>
              <w:rPr>
                <w:color w:val="auto"/>
                <w:sz w:val="24"/>
                <w:u w:val="none" w:color="auto"/>
              </w:rPr>
            </w:pPr>
            <w:r>
              <w:rPr>
                <w:color w:val="auto"/>
                <w:sz w:val="24"/>
                <w:u w:val="none" w:color="auto"/>
              </w:rPr>
              <w:t>采取上述措施后，项目施工期废水对周围地表水环境基本无影响小。</w:t>
            </w:r>
          </w:p>
          <w:p>
            <w:pPr>
              <w:spacing w:line="360" w:lineRule="auto"/>
              <w:rPr>
                <w:b/>
                <w:color w:val="auto"/>
                <w:sz w:val="24"/>
                <w:u w:val="none" w:color="auto"/>
              </w:rPr>
            </w:pPr>
            <w:r>
              <w:rPr>
                <w:b/>
                <w:color w:val="auto"/>
                <w:sz w:val="24"/>
                <w:u w:val="none" w:color="auto"/>
              </w:rPr>
              <w:t>3、施工期噪声对环境的影响及防治措施</w:t>
            </w:r>
          </w:p>
          <w:p>
            <w:pPr>
              <w:spacing w:line="360" w:lineRule="auto"/>
              <w:ind w:firstLine="462" w:firstLineChars="200"/>
              <w:rPr>
                <w:color w:val="auto"/>
                <w:sz w:val="24"/>
                <w:u w:val="none" w:color="auto"/>
              </w:rPr>
            </w:pPr>
            <w:r>
              <w:rPr>
                <w:color w:val="auto"/>
                <w:sz w:val="24"/>
                <w:u w:val="none" w:color="auto"/>
              </w:rPr>
              <w:t>施工期的噪声主要有搅拌机、振捣泵、电锯、吊车、升降机及运输车辆等，噪声源声压级一般在85dBA 左右（距源10米处），建筑施工噪声较大，必需按《建筑施工场界环境噪声排放标准》（GB12523-2011）的要求。经预测计算得出，在不采取任何措施的前提下，施工噪声在不同距离处的声级，详见表7-1。</w:t>
            </w:r>
          </w:p>
          <w:p>
            <w:pPr>
              <w:ind w:firstLine="462" w:firstLineChars="200"/>
              <w:jc w:val="center"/>
              <w:rPr>
                <w:b/>
                <w:color w:val="auto"/>
                <w:sz w:val="24"/>
                <w:u w:val="none" w:color="auto"/>
              </w:rPr>
            </w:pPr>
            <w:r>
              <w:rPr>
                <w:b/>
                <w:color w:val="auto"/>
                <w:sz w:val="24"/>
                <w:u w:val="none" w:color="auto"/>
              </w:rPr>
              <w:t>表7-1   施工机械噪声在不同距离处的声级    dB(A)</w:t>
            </w:r>
          </w:p>
          <w:tbl>
            <w:tblPr>
              <w:tblStyle w:val="39"/>
              <w:tblW w:w="90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78"/>
              <w:gridCol w:w="1289"/>
              <w:gridCol w:w="1287"/>
              <w:gridCol w:w="1288"/>
              <w:gridCol w:w="1296"/>
              <w:gridCol w:w="1288"/>
              <w:gridCol w:w="12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6" w:hRule="atLeast"/>
                <w:jc w:val="center"/>
              </w:trPr>
              <w:tc>
                <w:tcPr>
                  <w:tcW w:w="1278" w:type="dxa"/>
                  <w:noWrap w:val="0"/>
                  <w:vAlign w:val="center"/>
                </w:tcPr>
                <w:p>
                  <w:pPr>
                    <w:pStyle w:val="189"/>
                    <w:spacing w:line="360" w:lineRule="auto"/>
                    <w:rPr>
                      <w:color w:val="auto"/>
                      <w:sz w:val="22"/>
                      <w:szCs w:val="22"/>
                      <w:u w:val="none" w:color="auto"/>
                    </w:rPr>
                  </w:pPr>
                  <w:r>
                    <w:rPr>
                      <w:color w:val="auto"/>
                      <w:kern w:val="0"/>
                      <w:sz w:val="22"/>
                      <w:szCs w:val="22"/>
                      <w:u w:val="none" w:color="auto"/>
                    </w:rPr>
                    <w:t>声源</w:t>
                  </w:r>
                </w:p>
              </w:tc>
              <w:tc>
                <w:tcPr>
                  <w:tcW w:w="1289" w:type="dxa"/>
                  <w:noWrap w:val="0"/>
                  <w:vAlign w:val="center"/>
                </w:tcPr>
                <w:p>
                  <w:pPr>
                    <w:pStyle w:val="189"/>
                    <w:spacing w:line="360" w:lineRule="auto"/>
                    <w:rPr>
                      <w:color w:val="auto"/>
                      <w:sz w:val="22"/>
                      <w:szCs w:val="22"/>
                      <w:u w:val="none" w:color="auto"/>
                    </w:rPr>
                  </w:pPr>
                  <w:r>
                    <w:rPr>
                      <w:color w:val="auto"/>
                      <w:kern w:val="0"/>
                      <w:sz w:val="22"/>
                      <w:szCs w:val="22"/>
                      <w:u w:val="none" w:color="auto"/>
                    </w:rPr>
                    <w:t>10m</w:t>
                  </w:r>
                </w:p>
              </w:tc>
              <w:tc>
                <w:tcPr>
                  <w:tcW w:w="1287" w:type="dxa"/>
                  <w:noWrap w:val="0"/>
                  <w:vAlign w:val="center"/>
                </w:tcPr>
                <w:p>
                  <w:pPr>
                    <w:pStyle w:val="189"/>
                    <w:spacing w:line="360" w:lineRule="auto"/>
                    <w:jc w:val="center"/>
                    <w:rPr>
                      <w:color w:val="auto"/>
                      <w:kern w:val="0"/>
                      <w:sz w:val="22"/>
                      <w:szCs w:val="22"/>
                      <w:u w:val="none" w:color="auto"/>
                    </w:rPr>
                  </w:pPr>
                  <w:r>
                    <w:rPr>
                      <w:color w:val="auto"/>
                      <w:kern w:val="0"/>
                      <w:sz w:val="22"/>
                      <w:szCs w:val="22"/>
                      <w:u w:val="none" w:color="auto"/>
                    </w:rPr>
                    <w:t>30m</w:t>
                  </w:r>
                </w:p>
              </w:tc>
              <w:tc>
                <w:tcPr>
                  <w:tcW w:w="1288" w:type="dxa"/>
                  <w:noWrap w:val="0"/>
                  <w:vAlign w:val="center"/>
                </w:tcPr>
                <w:p>
                  <w:pPr>
                    <w:pStyle w:val="189"/>
                    <w:spacing w:line="360" w:lineRule="auto"/>
                    <w:rPr>
                      <w:color w:val="auto"/>
                      <w:sz w:val="22"/>
                      <w:szCs w:val="22"/>
                      <w:u w:val="none" w:color="auto"/>
                    </w:rPr>
                  </w:pPr>
                  <w:r>
                    <w:rPr>
                      <w:color w:val="auto"/>
                      <w:kern w:val="0"/>
                      <w:sz w:val="22"/>
                      <w:szCs w:val="22"/>
                      <w:u w:val="none" w:color="auto"/>
                    </w:rPr>
                    <w:t xml:space="preserve">50m </w:t>
                  </w:r>
                </w:p>
              </w:tc>
              <w:tc>
                <w:tcPr>
                  <w:tcW w:w="1296" w:type="dxa"/>
                  <w:noWrap w:val="0"/>
                  <w:vAlign w:val="center"/>
                </w:tcPr>
                <w:p>
                  <w:pPr>
                    <w:pStyle w:val="189"/>
                    <w:spacing w:line="360" w:lineRule="auto"/>
                    <w:rPr>
                      <w:color w:val="auto"/>
                      <w:sz w:val="22"/>
                      <w:szCs w:val="22"/>
                      <w:u w:val="none" w:color="auto"/>
                    </w:rPr>
                  </w:pPr>
                  <w:r>
                    <w:rPr>
                      <w:color w:val="auto"/>
                      <w:kern w:val="0"/>
                      <w:sz w:val="22"/>
                      <w:szCs w:val="22"/>
                      <w:u w:val="none" w:color="auto"/>
                    </w:rPr>
                    <w:t>100m</w:t>
                  </w:r>
                </w:p>
              </w:tc>
              <w:tc>
                <w:tcPr>
                  <w:tcW w:w="1288" w:type="dxa"/>
                  <w:noWrap w:val="0"/>
                  <w:vAlign w:val="center"/>
                </w:tcPr>
                <w:p>
                  <w:pPr>
                    <w:pStyle w:val="189"/>
                    <w:spacing w:line="360" w:lineRule="auto"/>
                    <w:rPr>
                      <w:color w:val="auto"/>
                      <w:kern w:val="0"/>
                      <w:sz w:val="22"/>
                      <w:szCs w:val="22"/>
                      <w:u w:val="none" w:color="auto"/>
                    </w:rPr>
                  </w:pPr>
                  <w:r>
                    <w:rPr>
                      <w:color w:val="auto"/>
                      <w:kern w:val="0"/>
                      <w:sz w:val="22"/>
                      <w:szCs w:val="22"/>
                      <w:u w:val="none" w:color="auto"/>
                    </w:rPr>
                    <w:t>120 m</w:t>
                  </w:r>
                </w:p>
              </w:tc>
              <w:tc>
                <w:tcPr>
                  <w:tcW w:w="1296" w:type="dxa"/>
                  <w:noWrap w:val="0"/>
                  <w:vAlign w:val="center"/>
                </w:tcPr>
                <w:p>
                  <w:pPr>
                    <w:pStyle w:val="189"/>
                    <w:spacing w:line="360" w:lineRule="auto"/>
                    <w:rPr>
                      <w:color w:val="auto"/>
                      <w:sz w:val="22"/>
                      <w:szCs w:val="22"/>
                      <w:u w:val="none" w:color="auto"/>
                    </w:rPr>
                  </w:pPr>
                  <w:r>
                    <w:rPr>
                      <w:color w:val="auto"/>
                      <w:kern w:val="0"/>
                      <w:sz w:val="22"/>
                      <w:szCs w:val="22"/>
                      <w:u w:val="none" w:color="auto"/>
                    </w:rPr>
                    <w:t>150m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6" w:hRule="atLeast"/>
                <w:jc w:val="center"/>
              </w:trPr>
              <w:tc>
                <w:tcPr>
                  <w:tcW w:w="1278" w:type="dxa"/>
                  <w:noWrap w:val="0"/>
                  <w:vAlign w:val="center"/>
                </w:tcPr>
                <w:p>
                  <w:pPr>
                    <w:pStyle w:val="189"/>
                    <w:spacing w:line="360" w:lineRule="auto"/>
                    <w:rPr>
                      <w:color w:val="auto"/>
                      <w:sz w:val="22"/>
                      <w:szCs w:val="22"/>
                      <w:u w:val="none" w:color="auto"/>
                    </w:rPr>
                  </w:pPr>
                  <w:r>
                    <w:rPr>
                      <w:color w:val="auto"/>
                      <w:kern w:val="0"/>
                      <w:sz w:val="22"/>
                      <w:szCs w:val="22"/>
                      <w:u w:val="none" w:color="auto"/>
                    </w:rPr>
                    <w:t>施工机械</w:t>
                  </w:r>
                </w:p>
              </w:tc>
              <w:tc>
                <w:tcPr>
                  <w:tcW w:w="1289" w:type="dxa"/>
                  <w:noWrap w:val="0"/>
                  <w:vAlign w:val="center"/>
                </w:tcPr>
                <w:p>
                  <w:pPr>
                    <w:pStyle w:val="189"/>
                    <w:spacing w:line="360" w:lineRule="auto"/>
                    <w:rPr>
                      <w:color w:val="auto"/>
                      <w:sz w:val="22"/>
                      <w:szCs w:val="22"/>
                      <w:u w:val="none" w:color="auto"/>
                    </w:rPr>
                  </w:pPr>
                  <w:r>
                    <w:rPr>
                      <w:color w:val="auto"/>
                      <w:kern w:val="0"/>
                      <w:sz w:val="22"/>
                      <w:szCs w:val="22"/>
                      <w:u w:val="none" w:color="auto"/>
                    </w:rPr>
                    <w:t>85.0</w:t>
                  </w:r>
                </w:p>
              </w:tc>
              <w:tc>
                <w:tcPr>
                  <w:tcW w:w="1287" w:type="dxa"/>
                  <w:noWrap w:val="0"/>
                  <w:vAlign w:val="top"/>
                </w:tcPr>
                <w:p>
                  <w:pPr>
                    <w:pStyle w:val="189"/>
                    <w:spacing w:line="360" w:lineRule="auto"/>
                    <w:rPr>
                      <w:color w:val="auto"/>
                      <w:kern w:val="0"/>
                      <w:sz w:val="22"/>
                      <w:szCs w:val="22"/>
                      <w:u w:val="none" w:color="auto"/>
                    </w:rPr>
                  </w:pPr>
                  <w:r>
                    <w:rPr>
                      <w:color w:val="auto"/>
                      <w:kern w:val="0"/>
                      <w:sz w:val="22"/>
                      <w:szCs w:val="22"/>
                      <w:u w:val="none" w:color="auto"/>
                    </w:rPr>
                    <w:t>75.5</w:t>
                  </w:r>
                </w:p>
              </w:tc>
              <w:tc>
                <w:tcPr>
                  <w:tcW w:w="1288" w:type="dxa"/>
                  <w:noWrap w:val="0"/>
                  <w:vAlign w:val="center"/>
                </w:tcPr>
                <w:p>
                  <w:pPr>
                    <w:pStyle w:val="189"/>
                    <w:spacing w:line="360" w:lineRule="auto"/>
                    <w:rPr>
                      <w:color w:val="auto"/>
                      <w:sz w:val="22"/>
                      <w:szCs w:val="22"/>
                      <w:u w:val="none" w:color="auto"/>
                    </w:rPr>
                  </w:pPr>
                  <w:r>
                    <w:rPr>
                      <w:color w:val="auto"/>
                      <w:kern w:val="0"/>
                      <w:sz w:val="22"/>
                      <w:szCs w:val="22"/>
                      <w:u w:val="none" w:color="auto"/>
                    </w:rPr>
                    <w:t>71.0</w:t>
                  </w:r>
                </w:p>
              </w:tc>
              <w:tc>
                <w:tcPr>
                  <w:tcW w:w="1296" w:type="dxa"/>
                  <w:noWrap w:val="0"/>
                  <w:vAlign w:val="center"/>
                </w:tcPr>
                <w:p>
                  <w:pPr>
                    <w:pStyle w:val="189"/>
                    <w:spacing w:line="360" w:lineRule="auto"/>
                    <w:rPr>
                      <w:color w:val="auto"/>
                      <w:sz w:val="22"/>
                      <w:szCs w:val="22"/>
                      <w:u w:val="none" w:color="auto"/>
                    </w:rPr>
                  </w:pPr>
                  <w:r>
                    <w:rPr>
                      <w:color w:val="auto"/>
                      <w:kern w:val="0"/>
                      <w:sz w:val="22"/>
                      <w:szCs w:val="22"/>
                      <w:u w:val="none" w:color="auto"/>
                    </w:rPr>
                    <w:t>65.0</w:t>
                  </w:r>
                </w:p>
              </w:tc>
              <w:tc>
                <w:tcPr>
                  <w:tcW w:w="1288" w:type="dxa"/>
                  <w:noWrap w:val="0"/>
                  <w:vAlign w:val="center"/>
                </w:tcPr>
                <w:p>
                  <w:pPr>
                    <w:pStyle w:val="189"/>
                    <w:spacing w:line="360" w:lineRule="auto"/>
                    <w:rPr>
                      <w:color w:val="auto"/>
                      <w:kern w:val="0"/>
                      <w:sz w:val="22"/>
                      <w:szCs w:val="22"/>
                      <w:u w:val="none" w:color="auto"/>
                    </w:rPr>
                  </w:pPr>
                  <w:r>
                    <w:rPr>
                      <w:color w:val="auto"/>
                      <w:kern w:val="0"/>
                      <w:sz w:val="22"/>
                      <w:szCs w:val="22"/>
                      <w:u w:val="none" w:color="auto"/>
                    </w:rPr>
                    <w:t>63.4</w:t>
                  </w:r>
                </w:p>
              </w:tc>
              <w:tc>
                <w:tcPr>
                  <w:tcW w:w="1296" w:type="dxa"/>
                  <w:noWrap w:val="0"/>
                  <w:vAlign w:val="center"/>
                </w:tcPr>
                <w:p>
                  <w:pPr>
                    <w:pStyle w:val="189"/>
                    <w:spacing w:line="360" w:lineRule="auto"/>
                    <w:rPr>
                      <w:color w:val="auto"/>
                      <w:sz w:val="22"/>
                      <w:szCs w:val="22"/>
                      <w:u w:val="none" w:color="auto"/>
                    </w:rPr>
                  </w:pPr>
                  <w:r>
                    <w:rPr>
                      <w:color w:val="auto"/>
                      <w:kern w:val="0"/>
                      <w:sz w:val="22"/>
                      <w:szCs w:val="22"/>
                      <w:u w:val="none" w:color="auto"/>
                    </w:rPr>
                    <w:t>61.5</w:t>
                  </w:r>
                </w:p>
              </w:tc>
            </w:tr>
          </w:tbl>
          <w:p>
            <w:pPr>
              <w:pStyle w:val="20"/>
              <w:spacing w:line="360" w:lineRule="auto"/>
              <w:ind w:firstLine="462" w:firstLineChars="200"/>
              <w:rPr>
                <w:rFonts w:ascii="Times New Roman" w:hAnsi="Times New Roman" w:cs="Times New Roman"/>
                <w:color w:val="auto"/>
                <w:spacing w:val="4"/>
                <w:sz w:val="24"/>
                <w:szCs w:val="24"/>
                <w:u w:val="none" w:color="auto"/>
              </w:rPr>
            </w:pPr>
            <w:r>
              <w:rPr>
                <w:rFonts w:ascii="Times New Roman" w:hAnsi="Times New Roman" w:cs="Times New Roman"/>
                <w:color w:val="auto"/>
                <w:sz w:val="24"/>
                <w:szCs w:val="24"/>
                <w:u w:val="none" w:color="auto"/>
              </w:rPr>
              <w:t>根据现场调查，项目拟建地</w:t>
            </w:r>
            <w:r>
              <w:rPr>
                <w:rFonts w:hint="eastAsia" w:ascii="Times New Roman" w:hAnsi="Times New Roman" w:cs="Times New Roman"/>
                <w:color w:val="auto"/>
                <w:sz w:val="24"/>
                <w:szCs w:val="24"/>
                <w:u w:val="none" w:color="auto"/>
                <w:lang w:eastAsia="zh-CN"/>
              </w:rPr>
              <w:t>南</w:t>
            </w:r>
            <w:r>
              <w:rPr>
                <w:rFonts w:hint="eastAsia" w:ascii="Times New Roman" w:hAnsi="Times New Roman" w:cs="Times New Roman"/>
                <w:color w:val="auto"/>
                <w:sz w:val="24"/>
                <w:szCs w:val="24"/>
                <w:u w:val="none" w:color="auto"/>
              </w:rPr>
              <w:t>侧</w:t>
            </w:r>
            <w:r>
              <w:rPr>
                <w:rFonts w:ascii="Times New Roman" w:hAnsi="Times New Roman" w:cs="Times New Roman"/>
                <w:color w:val="auto"/>
                <w:sz w:val="24"/>
                <w:szCs w:val="24"/>
                <w:u w:val="none" w:color="auto"/>
              </w:rPr>
              <w:t>有散户居民，根据上表知，施工期间</w:t>
            </w:r>
            <w:r>
              <w:rPr>
                <w:rFonts w:hint="eastAsia" w:ascii="Times New Roman" w:hAnsi="Times New Roman" w:cs="Times New Roman"/>
                <w:color w:val="auto"/>
                <w:sz w:val="24"/>
                <w:szCs w:val="24"/>
                <w:u w:val="none" w:color="auto"/>
                <w:lang w:eastAsia="zh-CN"/>
              </w:rPr>
              <w:t>对</w:t>
            </w:r>
            <w:r>
              <w:rPr>
                <w:rFonts w:ascii="Times New Roman" w:hAnsi="Times New Roman" w:cs="Times New Roman"/>
                <w:color w:val="auto"/>
                <w:sz w:val="24"/>
                <w:szCs w:val="24"/>
                <w:u w:val="none" w:color="auto"/>
              </w:rPr>
              <w:t>厂界</w:t>
            </w:r>
            <w:r>
              <w:rPr>
                <w:rFonts w:hint="eastAsia" w:ascii="Times New Roman" w:hAnsi="Times New Roman" w:cs="Times New Roman"/>
                <w:color w:val="auto"/>
                <w:sz w:val="24"/>
                <w:szCs w:val="24"/>
                <w:u w:val="none" w:color="auto"/>
                <w:lang w:eastAsia="zh-CN"/>
              </w:rPr>
              <w:t>南</w:t>
            </w:r>
            <w:r>
              <w:rPr>
                <w:rFonts w:hint="eastAsia" w:ascii="Times New Roman" w:hAnsi="Times New Roman" w:cs="Times New Roman"/>
                <w:color w:val="auto"/>
                <w:sz w:val="24"/>
                <w:szCs w:val="24"/>
                <w:u w:val="none" w:color="auto"/>
              </w:rPr>
              <w:t>侧</w:t>
            </w:r>
            <w:r>
              <w:rPr>
                <w:rFonts w:ascii="Times New Roman" w:hAnsi="Times New Roman" w:cs="Times New Roman"/>
                <w:color w:val="auto"/>
                <w:sz w:val="24"/>
                <w:szCs w:val="24"/>
                <w:u w:val="none" w:color="auto"/>
              </w:rPr>
              <w:t>居民点</w:t>
            </w:r>
            <w:r>
              <w:rPr>
                <w:rFonts w:hint="eastAsia" w:ascii="Times New Roman" w:hAnsi="Times New Roman" w:cs="Times New Roman"/>
                <w:color w:val="auto"/>
                <w:sz w:val="24"/>
                <w:szCs w:val="24"/>
                <w:u w:val="none" w:color="auto"/>
                <w:lang w:eastAsia="zh-CN"/>
              </w:rPr>
              <w:t>有影响</w:t>
            </w:r>
            <w:r>
              <w:rPr>
                <w:rFonts w:ascii="Times New Roman" w:hAnsi="Times New Roman" w:cs="Times New Roman"/>
                <w:color w:val="auto"/>
                <w:sz w:val="24"/>
                <w:szCs w:val="24"/>
                <w:u w:val="none" w:color="auto"/>
              </w:rPr>
              <w:t>，因此施工期间应加强管理，并采取以下降噪措施</w:t>
            </w:r>
            <w:r>
              <w:rPr>
                <w:rFonts w:ascii="Times New Roman" w:hAnsi="Times New Roman" w:cs="Times New Roman"/>
                <w:color w:val="auto"/>
                <w:spacing w:val="4"/>
                <w:sz w:val="24"/>
                <w:szCs w:val="24"/>
                <w:u w:val="none" w:color="auto"/>
              </w:rPr>
              <w:t>：</w:t>
            </w:r>
          </w:p>
          <w:p>
            <w:pPr>
              <w:pStyle w:val="20"/>
              <w:spacing w:line="360" w:lineRule="auto"/>
              <w:ind w:firstLine="462" w:firstLineChars="200"/>
              <w:rPr>
                <w:rFonts w:ascii="Times New Roman" w:hAnsi="Times New Roman" w:cs="Times New Roman"/>
                <w:color w:val="auto"/>
                <w:sz w:val="24"/>
                <w:szCs w:val="24"/>
                <w:u w:val="none" w:color="auto"/>
              </w:rPr>
            </w:pPr>
            <w:r>
              <w:rPr>
                <w:rFonts w:ascii="Times New Roman" w:hAnsi="Times New Roman" w:cs="Times New Roman"/>
                <w:color w:val="auto"/>
                <w:sz w:val="24"/>
                <w:szCs w:val="24"/>
                <w:u w:val="none" w:color="auto"/>
              </w:rPr>
              <w:t>（1）合理选择施工机械、施工方法、施工场地、施工时间，尽量选用低噪声设备，在施工过程中，应经常对施工设备进行维修保养，避免由于设备性能减退使噪声增大。</w:t>
            </w:r>
          </w:p>
          <w:p>
            <w:pPr>
              <w:pStyle w:val="20"/>
              <w:spacing w:line="360" w:lineRule="auto"/>
              <w:ind w:firstLine="462" w:firstLineChars="200"/>
              <w:rPr>
                <w:rFonts w:ascii="Times New Roman" w:hAnsi="Times New Roman" w:cs="Times New Roman"/>
                <w:color w:val="auto"/>
                <w:sz w:val="24"/>
                <w:szCs w:val="24"/>
                <w:u w:val="none" w:color="auto"/>
              </w:rPr>
            </w:pPr>
            <w:r>
              <w:rPr>
                <w:rFonts w:ascii="Times New Roman" w:hAnsi="Times New Roman" w:cs="Times New Roman"/>
                <w:color w:val="auto"/>
                <w:sz w:val="24"/>
                <w:szCs w:val="24"/>
                <w:u w:val="none" w:color="auto"/>
              </w:rPr>
              <w:t>（2）项目在施工过程中应严格控制各施工机械的施工时间，确保施工噪声能达标排放，减少其对周围敏感点的影响。</w:t>
            </w:r>
          </w:p>
          <w:p>
            <w:pPr>
              <w:pStyle w:val="20"/>
              <w:spacing w:line="360" w:lineRule="auto"/>
              <w:ind w:firstLine="462" w:firstLineChars="200"/>
              <w:rPr>
                <w:rFonts w:ascii="Times New Roman" w:hAnsi="Times New Roman" w:cs="Times New Roman"/>
                <w:color w:val="auto"/>
                <w:kern w:val="0"/>
                <w:sz w:val="24"/>
                <w:szCs w:val="24"/>
                <w:u w:val="none" w:color="auto"/>
              </w:rPr>
            </w:pPr>
            <w:r>
              <w:rPr>
                <w:rFonts w:ascii="Times New Roman" w:hAnsi="Times New Roman" w:cs="Times New Roman"/>
                <w:color w:val="auto"/>
                <w:kern w:val="0"/>
                <w:sz w:val="24"/>
                <w:szCs w:val="24"/>
                <w:u w:val="none" w:color="auto"/>
              </w:rPr>
              <w:t>（3）施工单位应加强与施工点周围居民和单位的沟通和联系，讲清项目建设的必要性和重要意义，做好受影响群众的思想工作。</w:t>
            </w:r>
          </w:p>
          <w:p>
            <w:pPr>
              <w:pStyle w:val="20"/>
              <w:spacing w:line="360" w:lineRule="auto"/>
              <w:ind w:firstLine="462" w:firstLineChars="200"/>
              <w:rPr>
                <w:rFonts w:ascii="Times New Roman" w:hAnsi="Times New Roman" w:cs="Times New Roman"/>
                <w:color w:val="auto"/>
                <w:kern w:val="0"/>
                <w:sz w:val="24"/>
                <w:szCs w:val="24"/>
                <w:u w:val="none" w:color="auto"/>
              </w:rPr>
            </w:pPr>
            <w:r>
              <w:rPr>
                <w:rFonts w:ascii="Times New Roman" w:hAnsi="Times New Roman" w:cs="Times New Roman"/>
                <w:color w:val="auto"/>
                <w:kern w:val="0"/>
                <w:sz w:val="24"/>
                <w:szCs w:val="24"/>
                <w:u w:val="none" w:color="auto"/>
              </w:rPr>
              <w:t>（4）施工单位要加强对施工人员的教育，提高作业人员的环保意识，坚持科学组织、文明施工。</w:t>
            </w:r>
          </w:p>
          <w:p>
            <w:pPr>
              <w:pStyle w:val="20"/>
              <w:spacing w:line="360" w:lineRule="auto"/>
              <w:ind w:firstLine="462" w:firstLineChars="200"/>
              <w:rPr>
                <w:rFonts w:ascii="Times New Roman" w:hAnsi="Times New Roman" w:cs="Times New Roman"/>
                <w:color w:val="auto"/>
                <w:kern w:val="0"/>
                <w:sz w:val="24"/>
                <w:szCs w:val="24"/>
                <w:u w:val="none" w:color="auto"/>
              </w:rPr>
            </w:pPr>
            <w:r>
              <w:rPr>
                <w:rFonts w:ascii="Times New Roman" w:hAnsi="Times New Roman" w:cs="Times New Roman"/>
                <w:color w:val="auto"/>
                <w:kern w:val="0"/>
                <w:sz w:val="24"/>
                <w:szCs w:val="24"/>
                <w:u w:val="none" w:color="auto"/>
              </w:rPr>
              <w:t>采取上述措施后，尽管施工噪声对</w:t>
            </w:r>
            <w:r>
              <w:rPr>
                <w:rFonts w:hint="eastAsia" w:ascii="Times New Roman" w:hAnsi="Times New Roman" w:cs="Times New Roman"/>
                <w:color w:val="auto"/>
                <w:kern w:val="0"/>
                <w:sz w:val="24"/>
                <w:szCs w:val="24"/>
                <w:u w:val="none" w:color="auto"/>
                <w:lang w:eastAsia="zh-CN"/>
              </w:rPr>
              <w:t>南</w:t>
            </w:r>
            <w:r>
              <w:rPr>
                <w:rFonts w:ascii="Times New Roman" w:hAnsi="Times New Roman" w:cs="Times New Roman"/>
                <w:color w:val="auto"/>
                <w:sz w:val="24"/>
                <w:szCs w:val="24"/>
                <w:u w:val="none" w:color="auto"/>
              </w:rPr>
              <w:t>面少量居民</w:t>
            </w:r>
            <w:r>
              <w:rPr>
                <w:rFonts w:ascii="Times New Roman" w:hAnsi="Times New Roman" w:cs="Times New Roman"/>
                <w:color w:val="auto"/>
                <w:kern w:val="0"/>
                <w:sz w:val="24"/>
                <w:szCs w:val="24"/>
                <w:u w:val="none" w:color="auto"/>
              </w:rPr>
              <w:t>有一定的不利影响，但施工期噪声影响是短暂的，一旦施工活动结束，施工噪声影响也就随之结束。</w:t>
            </w:r>
          </w:p>
          <w:p>
            <w:pPr>
              <w:spacing w:line="360" w:lineRule="auto"/>
              <w:rPr>
                <w:b/>
                <w:color w:val="auto"/>
                <w:sz w:val="24"/>
                <w:u w:val="none" w:color="auto"/>
              </w:rPr>
            </w:pPr>
            <w:r>
              <w:rPr>
                <w:b/>
                <w:color w:val="auto"/>
                <w:sz w:val="24"/>
                <w:u w:val="none" w:color="auto"/>
              </w:rPr>
              <w:t>4、施工期固体废物对环境影响及防治措施</w:t>
            </w:r>
          </w:p>
          <w:p>
            <w:pPr>
              <w:spacing w:line="360" w:lineRule="auto"/>
              <w:ind w:firstLine="462" w:firstLineChars="200"/>
              <w:rPr>
                <w:color w:val="auto"/>
                <w:sz w:val="24"/>
                <w:u w:val="none" w:color="auto"/>
              </w:rPr>
            </w:pPr>
            <w:r>
              <w:rPr>
                <w:color w:val="auto"/>
                <w:sz w:val="24"/>
                <w:u w:val="none" w:color="auto"/>
              </w:rPr>
              <w:t>施工期固体废物主要是建筑垃圾和施工人员的生活垃圾，建筑垃圾主要包括废水泥浇注体、碎砖、包装箱、包装袋等。施工场地土方基本可做到场内平衡，废水泥浇注体、碎砖等做地基填料，包装箱、包装袋等回收利用或销售给废品收购站；生活垃圾收集后及时清运至生活垃圾填埋场填埋。</w:t>
            </w:r>
          </w:p>
          <w:p>
            <w:pPr>
              <w:spacing w:line="360" w:lineRule="auto"/>
              <w:ind w:firstLine="462" w:firstLineChars="200"/>
              <w:rPr>
                <w:color w:val="auto"/>
                <w:sz w:val="24"/>
                <w:u w:val="none" w:color="auto"/>
              </w:rPr>
            </w:pPr>
            <w:r>
              <w:rPr>
                <w:color w:val="auto"/>
                <w:sz w:val="24"/>
                <w:u w:val="none" w:color="auto"/>
              </w:rPr>
              <w:t>采取上述措施后，施工期固体废物可得到妥善处置和综合利用，对环境影响较小。</w:t>
            </w:r>
          </w:p>
          <w:p>
            <w:pPr>
              <w:spacing w:line="360" w:lineRule="auto"/>
              <w:rPr>
                <w:b/>
                <w:color w:val="auto"/>
                <w:sz w:val="24"/>
                <w:u w:val="none" w:color="auto"/>
              </w:rPr>
            </w:pPr>
            <w:r>
              <w:rPr>
                <w:b/>
                <w:color w:val="auto"/>
                <w:sz w:val="24"/>
                <w:u w:val="none" w:color="auto"/>
              </w:rPr>
              <w:t>5、施工期对生态环境的影响及防治措施</w:t>
            </w:r>
          </w:p>
          <w:p>
            <w:pPr>
              <w:spacing w:line="360" w:lineRule="auto"/>
              <w:ind w:firstLine="462" w:firstLineChars="200"/>
              <w:rPr>
                <w:color w:val="auto"/>
                <w:sz w:val="24"/>
                <w:u w:val="none" w:color="auto"/>
              </w:rPr>
            </w:pPr>
            <w:r>
              <w:rPr>
                <w:color w:val="auto"/>
                <w:sz w:val="24"/>
                <w:u w:val="none" w:color="auto"/>
              </w:rPr>
              <w:t>项目建设期区域内土地土壤将出现裸露。施工场地局部应及时进行硬化处理，临时堆土场需修建围档护坡，避免施工期因水土流失造成区域水环境污染。加强疏水导流，防止暴雨冲刷造成水土流失。施工期结束后随着绿化率的提高和场地硬化，生态影响也相应地随之消失。</w:t>
            </w:r>
          </w:p>
          <w:p>
            <w:pPr>
              <w:snapToGrid w:val="0"/>
              <w:spacing w:line="360" w:lineRule="auto"/>
              <w:ind w:firstLine="462" w:firstLineChars="200"/>
              <w:rPr>
                <w:rFonts w:hint="default" w:ascii="Times New Roman" w:hAnsi="Times New Roman" w:cs="Times New Roman"/>
                <w:color w:val="auto"/>
                <w:sz w:val="24"/>
                <w:szCs w:val="24"/>
                <w:u w:val="none" w:color="auto"/>
              </w:rPr>
            </w:pPr>
            <w:r>
              <w:rPr>
                <w:color w:val="auto"/>
                <w:sz w:val="24"/>
                <w:u w:val="none" w:color="auto"/>
              </w:rPr>
              <w:t>综上所述，本项目施工期间污染环境的因素，可采取一定的措施避免或减轻其污染，使其达标排放，且这些影响是短期的，随着施工期结束，施工噪声、扬尘和水土流失等问题也会消失</w:t>
            </w:r>
            <w:r>
              <w:rPr>
                <w:rFonts w:hint="default" w:ascii="Times New Roman" w:hAnsi="Times New Roman" w:cs="Times New Roman"/>
                <w:color w:val="auto"/>
                <w:sz w:val="24"/>
                <w:szCs w:val="24"/>
                <w:u w:val="none" w:color="auto"/>
              </w:rPr>
              <w:t>。</w:t>
            </w:r>
          </w:p>
          <w:p>
            <w:pPr>
              <w:adjustRightInd w:val="0"/>
              <w:snapToGrid w:val="0"/>
              <w:spacing w:line="360" w:lineRule="auto"/>
              <w:rPr>
                <w:rFonts w:hint="default" w:ascii="Times New Roman" w:hAnsi="Times New Roman" w:cs="Times New Roman"/>
                <w:color w:val="auto"/>
                <w:sz w:val="24"/>
                <w:szCs w:val="24"/>
                <w:u w:val="none" w:color="auto"/>
              </w:rPr>
            </w:pPr>
          </w:p>
          <w:p>
            <w:pPr>
              <w:adjustRightInd w:val="0"/>
              <w:snapToGrid w:val="0"/>
              <w:spacing w:line="360" w:lineRule="auto"/>
              <w:rPr>
                <w:rFonts w:hint="default" w:ascii="Times New Roman" w:hAnsi="Times New Roman" w:cs="Times New Roman"/>
                <w:color w:val="auto"/>
                <w:sz w:val="24"/>
                <w:szCs w:val="24"/>
                <w:u w:val="none" w:color="auto"/>
              </w:rPr>
            </w:pPr>
          </w:p>
          <w:p>
            <w:pPr>
              <w:adjustRightInd w:val="0"/>
              <w:snapToGrid w:val="0"/>
              <w:spacing w:line="360" w:lineRule="auto"/>
              <w:rPr>
                <w:rFonts w:hint="default" w:ascii="Times New Roman" w:hAnsi="Times New Roman" w:cs="Times New Roman"/>
                <w:color w:val="auto"/>
                <w:sz w:val="24"/>
                <w:szCs w:val="24"/>
                <w:u w:val="none" w:color="auto"/>
              </w:rPr>
            </w:pPr>
          </w:p>
          <w:p>
            <w:pPr>
              <w:adjustRightInd w:val="0"/>
              <w:snapToGrid w:val="0"/>
              <w:spacing w:line="360" w:lineRule="auto"/>
              <w:ind w:firstLine="231" w:firstLineChars="100"/>
              <w:rPr>
                <w:rFonts w:hint="eastAsia" w:cs="Times New Roman"/>
                <w:b/>
                <w:bCs/>
                <w:color w:val="auto"/>
                <w:sz w:val="24"/>
                <w:szCs w:val="24"/>
                <w:u w:val="none" w:color="auto"/>
                <w:lang w:eastAsia="zh-CN"/>
              </w:rPr>
            </w:pPr>
          </w:p>
          <w:p>
            <w:pPr>
              <w:adjustRightInd w:val="0"/>
              <w:snapToGrid w:val="0"/>
              <w:spacing w:line="360" w:lineRule="auto"/>
              <w:ind w:firstLine="231" w:firstLineChars="1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eastAsia="zh-CN"/>
              </w:rPr>
              <w:t>二、</w:t>
            </w:r>
            <w:r>
              <w:rPr>
                <w:rFonts w:hint="default" w:ascii="Times New Roman" w:hAnsi="Times New Roman" w:cs="Times New Roman"/>
                <w:b/>
                <w:bCs/>
                <w:color w:val="auto"/>
                <w:sz w:val="24"/>
                <w:szCs w:val="24"/>
                <w:u w:val="none" w:color="auto"/>
              </w:rPr>
              <w:t>营运期环境影响分析</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1、大气环境影响分析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本项目运营过程中产生的废气主要有</w:t>
            </w:r>
            <w:r>
              <w:rPr>
                <w:rFonts w:hint="eastAsia" w:cs="Times New Roman"/>
                <w:color w:val="auto"/>
                <w:sz w:val="24"/>
                <w:szCs w:val="24"/>
                <w:u w:val="none" w:color="auto"/>
                <w:lang w:eastAsia="zh-CN"/>
              </w:rPr>
              <w:t>焊接烟尘、切割废气、抛丸粉尘、喷塑粉尘、烘干固化废气、液化石油气燃烧废气</w:t>
            </w:r>
            <w:r>
              <w:rPr>
                <w:rFonts w:hint="default" w:ascii="Times New Roman" w:hAnsi="Times New Roman" w:cs="Times New Roman"/>
                <w:color w:val="auto"/>
                <w:sz w:val="24"/>
                <w:szCs w:val="24"/>
                <w:u w:val="none" w:color="auto"/>
              </w:rPr>
              <w:t>，漆雾，有机废气</w:t>
            </w:r>
            <w:r>
              <w:rPr>
                <w:rFonts w:hint="eastAsia" w:cs="Times New Roman"/>
                <w:color w:val="auto"/>
                <w:sz w:val="24"/>
                <w:szCs w:val="24"/>
                <w:u w:val="none" w:color="auto"/>
                <w:lang w:eastAsia="zh-CN"/>
              </w:rPr>
              <w:t>、耐高温检测废气</w:t>
            </w:r>
            <w:r>
              <w:rPr>
                <w:rFonts w:hint="default" w:ascii="Times New Roman" w:hAnsi="Times New Roman" w:cs="Times New Roman"/>
                <w:color w:val="auto"/>
                <w:sz w:val="24"/>
                <w:szCs w:val="24"/>
                <w:u w:val="none" w:color="auto"/>
              </w:rPr>
              <w:t>。</w:t>
            </w:r>
          </w:p>
          <w:p>
            <w:pPr>
              <w:pStyle w:val="33"/>
              <w:spacing w:line="360" w:lineRule="auto"/>
              <w:ind w:left="400" w:leftChars="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（1）废气排放源</w:t>
            </w:r>
          </w:p>
          <w:p>
            <w:pPr>
              <w:pStyle w:val="165"/>
              <w:numPr>
                <w:ilvl w:val="1"/>
                <w:numId w:val="9"/>
              </w:numPr>
              <w:spacing w:line="360" w:lineRule="auto"/>
              <w:ind w:firstLineChars="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有组织废气</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有组织废气排放情况表</w:t>
            </w:r>
          </w:p>
          <w:tbl>
            <w:tblPr>
              <w:tblStyle w:val="40"/>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1313"/>
              <w:gridCol w:w="1130"/>
              <w:gridCol w:w="1133"/>
              <w:gridCol w:w="992"/>
              <w:gridCol w:w="1206"/>
              <w:gridCol w:w="24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2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编号</w:t>
                  </w:r>
                </w:p>
              </w:tc>
              <w:tc>
                <w:tcPr>
                  <w:tcW w:w="131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13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排气筒高度（m）</w:t>
                  </w:r>
                </w:p>
              </w:tc>
              <w:tc>
                <w:tcPr>
                  <w:tcW w:w="113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年排放小时数（h）</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3629" w:type="dxa"/>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污染物排放情况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825"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w:t>
                  </w:r>
                </w:p>
              </w:tc>
              <w:tc>
                <w:tcPr>
                  <w:tcW w:w="1313"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喷塑粉尘排气筒</w:t>
                  </w:r>
                </w:p>
              </w:tc>
              <w:tc>
                <w:tcPr>
                  <w:tcW w:w="113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1200</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10</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0.03t/a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825"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w:t>
                  </w:r>
                </w:p>
              </w:tc>
              <w:tc>
                <w:tcPr>
                  <w:tcW w:w="1313"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烘干固化废气</w:t>
                  </w:r>
                </w:p>
              </w:tc>
              <w:tc>
                <w:tcPr>
                  <w:tcW w:w="1130"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1200</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36</w:t>
                  </w:r>
                  <w:r>
                    <w:rPr>
                      <w:rFonts w:hint="default" w:ascii="Times New Roman" w:hAnsi="Times New Roman" w:cs="Times New Roman"/>
                      <w:color w:val="auto"/>
                      <w:sz w:val="22"/>
                      <w:szCs w:val="22"/>
                      <w:u w:val="none" w:color="auto"/>
                    </w:rPr>
                    <w:t xml:space="preserve"> 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0.18t/a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825" w:type="dxa"/>
                  <w:vMerge w:val="restart"/>
                  <w:tcBorders>
                    <w:tl2br w:val="nil"/>
                    <w:tr2bl w:val="nil"/>
                  </w:tcBorders>
                  <w:vAlign w:val="center"/>
                </w:tcPr>
                <w:p>
                  <w:pPr>
                    <w:spacing w:line="360" w:lineRule="auto"/>
                    <w:jc w:val="center"/>
                    <w:rPr>
                      <w:rFonts w:hint="default"/>
                      <w:sz w:val="22"/>
                      <w:szCs w:val="22"/>
                      <w:lang w:val="en-US" w:eastAsia="zh-CN"/>
                    </w:rPr>
                  </w:pPr>
                  <w:r>
                    <w:rPr>
                      <w:rFonts w:hint="eastAsia" w:cs="Times New Roman"/>
                      <w:color w:val="auto"/>
                      <w:sz w:val="22"/>
                      <w:szCs w:val="22"/>
                      <w:u w:val="none" w:color="auto"/>
                      <w:lang w:val="en-US" w:eastAsia="zh-CN"/>
                    </w:rPr>
                    <w:t>3</w:t>
                  </w:r>
                </w:p>
              </w:tc>
              <w:tc>
                <w:tcPr>
                  <w:tcW w:w="1313"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液化石油气燃烧废气</w:t>
                  </w:r>
                </w:p>
              </w:tc>
              <w:tc>
                <w:tcPr>
                  <w:tcW w:w="1130"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1200</w:t>
                  </w:r>
                </w:p>
              </w:tc>
              <w:tc>
                <w:tcPr>
                  <w:tcW w:w="992"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正常</w:t>
                  </w:r>
                </w:p>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4.26</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0.000218t/a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825"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31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13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99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06"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二氧化硫</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18.38</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0.00094t/a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825"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31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13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99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06"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氮氧化物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158.9</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0.00813t/a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825" w:type="dxa"/>
                  <w:vMerge w:val="restart"/>
                  <w:tcBorders>
                    <w:tl2br w:val="nil"/>
                    <w:tr2bl w:val="nil"/>
                  </w:tcBorders>
                  <w:vAlign w:val="center"/>
                </w:tcPr>
                <w:p>
                  <w:pPr>
                    <w:spacing w:line="360" w:lineRule="auto"/>
                    <w:jc w:val="center"/>
                    <w:rPr>
                      <w:rFonts w:hint="default"/>
                      <w:sz w:val="22"/>
                      <w:szCs w:val="22"/>
                      <w:lang w:val="en-US" w:eastAsia="zh-CN"/>
                    </w:rPr>
                  </w:pPr>
                  <w:r>
                    <w:rPr>
                      <w:rFonts w:hint="eastAsia" w:cs="Times New Roman"/>
                      <w:color w:val="auto"/>
                      <w:sz w:val="22"/>
                      <w:szCs w:val="22"/>
                      <w:u w:val="none" w:color="auto"/>
                      <w:lang w:val="en-US" w:eastAsia="zh-CN"/>
                    </w:rPr>
                    <w:t>4</w:t>
                  </w:r>
                </w:p>
              </w:tc>
              <w:tc>
                <w:tcPr>
                  <w:tcW w:w="1313"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耐高温实验废气</w:t>
                  </w:r>
                </w:p>
              </w:tc>
              <w:tc>
                <w:tcPr>
                  <w:tcW w:w="1130" w:type="dxa"/>
                  <w:vMerge w:val="restar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vMerge w:val="restar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1200</w:t>
                  </w:r>
                </w:p>
              </w:tc>
              <w:tc>
                <w:tcPr>
                  <w:tcW w:w="992"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正常</w:t>
                  </w:r>
                </w:p>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工况</w:t>
                  </w:r>
                </w:p>
              </w:tc>
              <w:tc>
                <w:tcPr>
                  <w:tcW w:w="1206" w:type="dxa"/>
                  <w:tcBorders>
                    <w:tl2br w:val="nil"/>
                    <w:tr2bl w:val="nil"/>
                  </w:tcBorders>
                  <w:vAlign w:val="center"/>
                </w:tcPr>
                <w:p>
                  <w:pPr>
                    <w:spacing w:line="360" w:lineRule="auto"/>
                    <w:jc w:val="center"/>
                    <w:rPr>
                      <w:rFonts w:hint="eastAsia" w:eastAsia="宋体"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4.26</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0.000068t/a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825"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31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13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99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06"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二氧化硫</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18.38</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0.00029t/a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825"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31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13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99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06"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氮氧化物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158.9</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0.00254t/a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825" w:type="dxa"/>
                  <w:vMerge w:val="restart"/>
                  <w:tcBorders>
                    <w:tl2br w:val="nil"/>
                    <w:tr2bl w:val="nil"/>
                  </w:tcBorders>
                  <w:vAlign w:val="center"/>
                </w:tcPr>
                <w:p>
                  <w:pPr>
                    <w:spacing w:line="360" w:lineRule="auto"/>
                    <w:jc w:val="center"/>
                    <w:rPr>
                      <w:rFonts w:hint="default"/>
                      <w:sz w:val="22"/>
                      <w:szCs w:val="22"/>
                      <w:lang w:val="en-US" w:eastAsia="zh-CN"/>
                    </w:rPr>
                  </w:pPr>
                  <w:r>
                    <w:rPr>
                      <w:rFonts w:hint="eastAsia" w:cs="Times New Roman"/>
                      <w:color w:val="auto"/>
                      <w:sz w:val="22"/>
                      <w:szCs w:val="22"/>
                      <w:u w:val="none" w:color="auto"/>
                      <w:lang w:val="en-US" w:eastAsia="zh-CN"/>
                    </w:rPr>
                    <w:t>5</w:t>
                  </w:r>
                </w:p>
              </w:tc>
              <w:tc>
                <w:tcPr>
                  <w:tcW w:w="1313"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喷漆房</w:t>
                  </w:r>
                  <w:r>
                    <w:rPr>
                      <w:rFonts w:hint="eastAsia" w:cs="Times New Roman"/>
                      <w:color w:val="auto"/>
                      <w:sz w:val="22"/>
                      <w:szCs w:val="22"/>
                      <w:u w:val="none" w:color="auto"/>
                      <w:lang w:eastAsia="zh-CN"/>
                    </w:rPr>
                    <w:t>和喷涂线</w:t>
                  </w:r>
                  <w:r>
                    <w:rPr>
                      <w:rFonts w:hint="default" w:ascii="Times New Roman" w:hAnsi="Times New Roman" w:cs="Times New Roman"/>
                      <w:color w:val="auto"/>
                      <w:sz w:val="22"/>
                      <w:szCs w:val="22"/>
                      <w:u w:val="none" w:color="auto"/>
                    </w:rPr>
                    <w:t>排气筒</w:t>
                  </w:r>
                </w:p>
              </w:tc>
              <w:tc>
                <w:tcPr>
                  <w:tcW w:w="1130" w:type="dxa"/>
                  <w:vMerge w:val="restar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15</w:t>
                  </w:r>
                </w:p>
              </w:tc>
              <w:tc>
                <w:tcPr>
                  <w:tcW w:w="1133"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1200</w:t>
                  </w:r>
                </w:p>
              </w:tc>
              <w:tc>
                <w:tcPr>
                  <w:tcW w:w="992"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6.3</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0.076t/a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825"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31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13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99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06"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VOCs</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43.6</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0.523t/a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825"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6</w:t>
                  </w:r>
                </w:p>
              </w:tc>
              <w:tc>
                <w:tcPr>
                  <w:tcW w:w="1313"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激光切割废气排气筒</w:t>
                  </w:r>
                </w:p>
              </w:tc>
              <w:tc>
                <w:tcPr>
                  <w:tcW w:w="1130"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15</w:t>
                  </w:r>
                </w:p>
              </w:tc>
              <w:tc>
                <w:tcPr>
                  <w:tcW w:w="1133"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2400</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68.25</w:t>
                  </w:r>
                  <w:r>
                    <w:rPr>
                      <w:rFonts w:hint="default" w:ascii="Times New Roman" w:hAnsi="Times New Roman" w:cs="Times New Roman"/>
                      <w:color w:val="auto"/>
                      <w:sz w:val="22"/>
                      <w:szCs w:val="22"/>
                      <w:u w:val="none" w:color="auto"/>
                    </w:rPr>
                    <w:t xml:space="preserve"> 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0.655t/a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825"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7</w:t>
                  </w:r>
                </w:p>
              </w:tc>
              <w:tc>
                <w:tcPr>
                  <w:tcW w:w="1313"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等离子切割废气排气筒</w:t>
                  </w:r>
                </w:p>
              </w:tc>
              <w:tc>
                <w:tcPr>
                  <w:tcW w:w="1130"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15</w:t>
                  </w:r>
                </w:p>
              </w:tc>
              <w:tc>
                <w:tcPr>
                  <w:tcW w:w="1133"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2400</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68.25</w:t>
                  </w:r>
                  <w:r>
                    <w:rPr>
                      <w:rFonts w:hint="default" w:ascii="Times New Roman" w:hAnsi="Times New Roman" w:cs="Times New Roman"/>
                      <w:color w:val="auto"/>
                      <w:sz w:val="22"/>
                      <w:szCs w:val="22"/>
                      <w:u w:val="none" w:color="auto"/>
                    </w:rPr>
                    <w:t xml:space="preserve"> 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0.655t/a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825"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8</w:t>
                  </w:r>
                </w:p>
              </w:tc>
              <w:tc>
                <w:tcPr>
                  <w:tcW w:w="1313"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激光、等离子切割废气排气筒</w:t>
                  </w:r>
                </w:p>
              </w:tc>
              <w:tc>
                <w:tcPr>
                  <w:tcW w:w="1130"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15</w:t>
                  </w:r>
                </w:p>
              </w:tc>
              <w:tc>
                <w:tcPr>
                  <w:tcW w:w="1133" w:type="dxa"/>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2400</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68.25</w:t>
                  </w:r>
                  <w:r>
                    <w:rPr>
                      <w:rFonts w:hint="default" w:ascii="Times New Roman" w:hAnsi="Times New Roman" w:cs="Times New Roman"/>
                      <w:color w:val="auto"/>
                      <w:sz w:val="22"/>
                      <w:szCs w:val="22"/>
                      <w:u w:val="none" w:color="auto"/>
                    </w:rPr>
                    <w:t xml:space="preserve"> 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0.655t/a</w:t>
                  </w:r>
                </w:p>
              </w:tc>
            </w:tr>
          </w:tbl>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②无组织废气</w:t>
            </w:r>
          </w:p>
          <w:p>
            <w:pPr>
              <w:pStyle w:val="33"/>
              <w:spacing w:line="360" w:lineRule="auto"/>
              <w:ind w:left="0" w:leftChars="0"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无组织排放废气污染源参数见表 7-</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w:t>
            </w:r>
          </w:p>
          <w:p>
            <w:pPr>
              <w:snapToGrid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 xml:space="preserve">   无组织面源排放参数</w:t>
            </w:r>
          </w:p>
          <w:tbl>
            <w:tblPr>
              <w:tblStyle w:val="39"/>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270"/>
              <w:gridCol w:w="1700"/>
              <w:gridCol w:w="1553"/>
              <w:gridCol w:w="1835"/>
              <w:gridCol w:w="15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154" w:type="dxa"/>
                  <w:tcBorders>
                    <w:tl2br w:val="nil"/>
                    <w:tr2bl w:val="nil"/>
                  </w:tcBorders>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污染源</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位置</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产生量（t/a）</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排放速率（kg/h）</w:t>
                  </w:r>
                </w:p>
              </w:tc>
              <w:tc>
                <w:tcPr>
                  <w:tcW w:w="183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面源面积（m</w:t>
                  </w:r>
                  <w:r>
                    <w:rPr>
                      <w:rFonts w:hint="default" w:ascii="Times New Roman" w:hAnsi="Times New Roman" w:cs="Times New Roman"/>
                      <w:color w:val="auto"/>
                      <w:sz w:val="22"/>
                      <w:szCs w:val="22"/>
                      <w:u w:val="none" w:color="auto"/>
                      <w:vertAlign w:val="superscript"/>
                    </w:rPr>
                    <w:t>2</w:t>
                  </w:r>
                  <w:r>
                    <w:rPr>
                      <w:rFonts w:hint="default" w:ascii="Times New Roman" w:hAnsi="Times New Roman" w:cs="Times New Roman"/>
                      <w:color w:val="auto"/>
                      <w:sz w:val="22"/>
                      <w:szCs w:val="22"/>
                      <w:u w:val="none" w:color="auto"/>
                    </w:rPr>
                    <w:t>）</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面源高度（m）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1154"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喷漆</w:t>
                  </w:r>
                  <w:r>
                    <w:rPr>
                      <w:rFonts w:hint="eastAsia" w:cs="Times New Roman"/>
                      <w:color w:val="auto"/>
                      <w:sz w:val="22"/>
                      <w:szCs w:val="22"/>
                      <w:u w:val="none" w:color="auto"/>
                      <w:lang w:eastAsia="zh-CN"/>
                    </w:rPr>
                    <w:t>房和喷涂线</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漆雾</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0.04</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0.033</w:t>
                  </w:r>
                </w:p>
              </w:tc>
              <w:tc>
                <w:tcPr>
                  <w:tcW w:w="1835"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412</w:t>
                  </w:r>
                </w:p>
              </w:tc>
              <w:tc>
                <w:tcPr>
                  <w:tcW w:w="1510"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1154" w:type="dxa"/>
                  <w:vMerge w:val="continue"/>
                  <w:tcBorders>
                    <w:tl2br w:val="nil"/>
                    <w:tr2bl w:val="nil"/>
                  </w:tcBorders>
                </w:tcPr>
                <w:p>
                  <w:pPr>
                    <w:spacing w:line="360" w:lineRule="auto"/>
                    <w:jc w:val="center"/>
                    <w:rPr>
                      <w:rFonts w:hint="default" w:ascii="Times New Roman" w:hAnsi="Times New Roman" w:cs="Times New Roman"/>
                      <w:color w:val="auto"/>
                      <w:sz w:val="22"/>
                      <w:szCs w:val="22"/>
                      <w:u w:val="none" w:color="auto"/>
                    </w:rPr>
                  </w:pP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0.138</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0.115</w:t>
                  </w:r>
                </w:p>
              </w:tc>
              <w:tc>
                <w:tcPr>
                  <w:tcW w:w="1835"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5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焊接烟尘</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粉尘</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0.00076</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0.00063</w:t>
                  </w:r>
                </w:p>
              </w:tc>
              <w:tc>
                <w:tcPr>
                  <w:tcW w:w="183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1</w:t>
                  </w:r>
                  <w:r>
                    <w:rPr>
                      <w:rFonts w:hint="default" w:ascii="Times New Roman" w:hAnsi="Times New Roman" w:cs="Times New Roman"/>
                      <w:color w:val="auto"/>
                      <w:sz w:val="22"/>
                      <w:szCs w:val="22"/>
                      <w:u w:val="none" w:color="auto"/>
                      <w:lang w:val="en-US" w:eastAsia="zh-CN"/>
                    </w:rPr>
                    <w:t>0</w:t>
                  </w:r>
                  <w:r>
                    <w:rPr>
                      <w:rFonts w:hint="default" w:ascii="Times New Roman" w:hAnsi="Times New Roman" w:cs="Times New Roman"/>
                      <w:color w:val="auto"/>
                      <w:sz w:val="22"/>
                      <w:szCs w:val="22"/>
                      <w:u w:val="none" w:color="auto"/>
                      <w:lang w:eastAsia="zh-CN"/>
                    </w:rPr>
                    <w:t>00</w:t>
                  </w:r>
                  <w:r>
                    <w:rPr>
                      <w:rFonts w:hint="default" w:ascii="Times New Roman" w:hAnsi="Times New Roman" w:cs="Times New Roman"/>
                      <w:color w:val="auto"/>
                      <w:sz w:val="22"/>
                      <w:szCs w:val="22"/>
                      <w:u w:val="none" w:color="auto"/>
                    </w:rPr>
                    <w:t>（</w:t>
                  </w:r>
                  <w:r>
                    <w:rPr>
                      <w:rFonts w:hint="default" w:ascii="Times New Roman" w:hAnsi="Times New Roman" w:cs="Times New Roman"/>
                      <w:color w:val="auto"/>
                      <w:sz w:val="22"/>
                      <w:szCs w:val="22"/>
                      <w:u w:val="none" w:color="auto"/>
                      <w:lang w:val="en-US" w:eastAsia="zh-CN"/>
                    </w:rPr>
                    <w:t>25</w:t>
                  </w:r>
                  <w:r>
                    <w:rPr>
                      <w:rFonts w:hint="default" w:ascii="Times New Roman" w:hAnsi="Times New Roman" w:cs="Times New Roman"/>
                      <w:color w:val="auto"/>
                      <w:sz w:val="22"/>
                      <w:szCs w:val="22"/>
                      <w:u w:val="none" w:color="auto"/>
                    </w:rPr>
                    <w:t>m×</w:t>
                  </w:r>
                  <w:r>
                    <w:rPr>
                      <w:rFonts w:hint="default" w:ascii="Times New Roman" w:hAnsi="Times New Roman"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rPr>
                    <w:t>0m）</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54"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抛丸粉尘</w:t>
                  </w:r>
                </w:p>
              </w:tc>
              <w:tc>
                <w:tcPr>
                  <w:tcW w:w="1270"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粉尘</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000375</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0.00625</w:t>
                  </w:r>
                </w:p>
              </w:tc>
              <w:tc>
                <w:tcPr>
                  <w:tcW w:w="183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1</w:t>
                  </w:r>
                  <w:r>
                    <w:rPr>
                      <w:rFonts w:hint="default" w:ascii="Times New Roman" w:hAnsi="Times New Roman" w:cs="Times New Roman"/>
                      <w:color w:val="auto"/>
                      <w:sz w:val="22"/>
                      <w:szCs w:val="22"/>
                      <w:u w:val="none" w:color="auto"/>
                      <w:lang w:val="en-US" w:eastAsia="zh-CN"/>
                    </w:rPr>
                    <w:t>0</w:t>
                  </w:r>
                  <w:r>
                    <w:rPr>
                      <w:rFonts w:hint="default" w:ascii="Times New Roman" w:hAnsi="Times New Roman" w:cs="Times New Roman"/>
                      <w:color w:val="auto"/>
                      <w:sz w:val="22"/>
                      <w:szCs w:val="22"/>
                      <w:u w:val="none" w:color="auto"/>
                      <w:lang w:eastAsia="zh-CN"/>
                    </w:rPr>
                    <w:t>00</w:t>
                  </w:r>
                  <w:r>
                    <w:rPr>
                      <w:rFonts w:hint="default" w:ascii="Times New Roman" w:hAnsi="Times New Roman" w:cs="Times New Roman"/>
                      <w:color w:val="auto"/>
                      <w:sz w:val="22"/>
                      <w:szCs w:val="22"/>
                      <w:u w:val="none" w:color="auto"/>
                    </w:rPr>
                    <w:t>（</w:t>
                  </w:r>
                  <w:r>
                    <w:rPr>
                      <w:rFonts w:hint="default" w:ascii="Times New Roman" w:hAnsi="Times New Roman" w:cs="Times New Roman"/>
                      <w:color w:val="auto"/>
                      <w:sz w:val="22"/>
                      <w:szCs w:val="22"/>
                      <w:u w:val="none" w:color="auto"/>
                      <w:lang w:val="en-US" w:eastAsia="zh-CN"/>
                    </w:rPr>
                    <w:t>25</w:t>
                  </w:r>
                  <w:r>
                    <w:rPr>
                      <w:rFonts w:hint="default" w:ascii="Times New Roman" w:hAnsi="Times New Roman" w:cs="Times New Roman"/>
                      <w:color w:val="auto"/>
                      <w:sz w:val="22"/>
                      <w:szCs w:val="22"/>
                      <w:u w:val="none" w:color="auto"/>
                    </w:rPr>
                    <w:t>m×</w:t>
                  </w:r>
                  <w:r>
                    <w:rPr>
                      <w:rFonts w:hint="default" w:ascii="Times New Roman" w:hAnsi="Times New Roman"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rPr>
                    <w:t>0m）</w:t>
                  </w:r>
                </w:p>
              </w:tc>
              <w:tc>
                <w:tcPr>
                  <w:tcW w:w="151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7</w:t>
                  </w: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大气环境影响预测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①评价等级的判定</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根据《环境影响评价技术导则 大气环境》（HJ2.2-2018），采用推荐模式中的估算模型AERSCREEN对污染物的最大地面占标率Pi（第i个污染物）及第i个污染物的地面浓度达标准限值10%时所对应的最远距离D10%进行计算。其中Pi定义如下：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lang w:val="en-US" w:eastAsia="zh-CN"/>
              </w:rPr>
              <w:drawing>
                <wp:inline distT="0" distB="0" distL="114300" distR="114300">
                  <wp:extent cx="1400175" cy="619125"/>
                  <wp:effectExtent l="0" t="0" r="9525"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6"/>
                          <a:stretch>
                            <a:fillRect/>
                          </a:stretch>
                        </pic:blipFill>
                        <pic:spPr>
                          <a:xfrm>
                            <a:off x="0" y="0"/>
                            <a:ext cx="1400175" cy="619125"/>
                          </a:xfrm>
                          <a:prstGeom prst="rect">
                            <a:avLst/>
                          </a:prstGeom>
                          <a:noFill/>
                          <a:ln>
                            <a:noFill/>
                          </a:ln>
                        </pic:spPr>
                      </pic:pic>
                    </a:graphicData>
                  </a:graphic>
                </wp:inline>
              </w:drawing>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Pi—第i个污染物的最大地面浓度占标率，%；</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Ci—采用估算模式计算出的第i个污染物的最大地面浓度，mg/m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C0i—第i 个污染物的环境空气质量标准，mg/m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val="en-US" w:eastAsia="zh-CN"/>
              </w:rPr>
              <w:t xml:space="preserve">  大气环境评价工作等级分级判据</w:t>
            </w:r>
          </w:p>
          <w:tbl>
            <w:tblPr>
              <w:tblStyle w:val="39"/>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1"/>
              <w:gridCol w:w="59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一级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二级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w:t>
                  </w:r>
                </w:p>
              </w:tc>
            </w:tr>
          </w:tbl>
          <w:p>
            <w:pPr>
              <w:pStyle w:val="180"/>
              <w:spacing w:line="360" w:lineRule="auto"/>
              <w:ind w:firstLine="462"/>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 xml:space="preserve"> 估算模型参数表</w:t>
            </w:r>
          </w:p>
          <w:tbl>
            <w:tblPr>
              <w:tblStyle w:val="39"/>
              <w:tblW w:w="90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008"/>
              <w:gridCol w:w="3008"/>
              <w:gridCol w:w="30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参数</w:t>
                  </w:r>
                </w:p>
              </w:tc>
              <w:tc>
                <w:tcPr>
                  <w:tcW w:w="3006" w:type="dxa"/>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取值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城市/农村选项</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农村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人口数（城市选项时）</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最高环境温度/℃</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最低环境温度/℃</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土地利用类型</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落叶林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区域湿度条件</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潮湿气候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是否考虑地形</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考虑地形</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地形数据分辨率/m</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是否考虑岸线熏烟</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考虑岸线熏烟</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岸线距离/km</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岸线方向/°</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Calibri" w:hAnsi="Calibri" w:cs="Calibri"/>
                <w:color w:val="auto"/>
                <w:sz w:val="24"/>
                <w:szCs w:val="24"/>
                <w:u w:val="none" w:color="auto"/>
                <w:lang w:val="en-US" w:eastAsia="zh-CN"/>
              </w:rPr>
              <w:t>②</w:t>
            </w:r>
            <w:r>
              <w:rPr>
                <w:rFonts w:hint="default" w:ascii="Times New Roman" w:hAnsi="Times New Roman" w:cs="Times New Roman"/>
                <w:color w:val="auto"/>
                <w:sz w:val="24"/>
                <w:szCs w:val="24"/>
                <w:u w:val="none" w:color="auto"/>
                <w:lang w:val="en-US" w:eastAsia="zh-CN"/>
              </w:rPr>
              <w:t>预测结果</w:t>
            </w:r>
          </w:p>
          <w:p>
            <w:pPr>
              <w:tabs>
                <w:tab w:val="left" w:pos="103"/>
              </w:tabs>
              <w:autoSpaceDE w:val="0"/>
              <w:autoSpaceDN w:val="0"/>
              <w:spacing w:line="360" w:lineRule="auto"/>
              <w:ind w:firstLine="462" w:firstLineChars="20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采用《环境影响评价技术导则-大气环境》（HJ2.2-2018）中推荐的估算模式—AERSCREEN进行估算，预测结果见</w:t>
            </w:r>
            <w:r>
              <w:rPr>
                <w:rFonts w:hint="eastAsia" w:cs="Times New Roman"/>
                <w:color w:val="auto"/>
                <w:sz w:val="24"/>
                <w:szCs w:val="24"/>
                <w:u w:val="none" w:color="auto"/>
                <w:lang w:val="en-US" w:eastAsia="zh-CN"/>
              </w:rPr>
              <w:t>下</w:t>
            </w:r>
            <w:r>
              <w:rPr>
                <w:rFonts w:hint="default" w:ascii="Times New Roman" w:hAnsi="Times New Roman" w:cs="Times New Roman"/>
                <w:color w:val="auto"/>
                <w:sz w:val="24"/>
                <w:szCs w:val="24"/>
                <w:u w:val="none" w:color="auto"/>
                <w:lang w:val="en-US" w:eastAsia="zh-CN"/>
              </w:rPr>
              <w:t>表</w:t>
            </w:r>
            <w:r>
              <w:rPr>
                <w:rFonts w:hint="eastAsia" w:cs="Times New Roman"/>
                <w:color w:val="auto"/>
                <w:sz w:val="24"/>
                <w:szCs w:val="24"/>
                <w:u w:val="none" w:color="auto"/>
                <w:lang w:val="en-US" w:eastAsia="zh-CN"/>
              </w:rPr>
              <w:t>。</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val="en-US" w:eastAsia="zh-CN"/>
              </w:rPr>
              <w:t xml:space="preserve">  有组织排放废气预测结果表</w:t>
            </w:r>
            <w:r>
              <w:rPr>
                <w:rFonts w:hint="eastAsia" w:cs="Times New Roman"/>
                <w:color w:val="auto"/>
                <w:sz w:val="24"/>
                <w:szCs w:val="24"/>
                <w:u w:val="none" w:color="auto"/>
                <w:lang w:val="en-US" w:eastAsia="zh-CN"/>
              </w:rPr>
              <w:t>（喷漆房、喷涂流水线废气）</w:t>
            </w:r>
          </w:p>
          <w:tbl>
            <w:tblPr>
              <w:tblStyle w:val="39"/>
              <w:tblW w:w="904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395"/>
              <w:gridCol w:w="1916"/>
              <w:gridCol w:w="1918"/>
              <w:gridCol w:w="1912"/>
              <w:gridCol w:w="18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16" w:hRule="atLeast"/>
              </w:trPr>
              <w:tc>
                <w:tcPr>
                  <w:tcW w:w="1395" w:type="dxa"/>
                  <w:vMerge w:val="restar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Cs w:val="21"/>
                      <w:u w:val="none"/>
                    </w:rPr>
                  </w:pPr>
                  <w:r>
                    <w:rPr>
                      <w:rFonts w:hint="default" w:ascii="Times New Roman" w:hAnsi="Times New Roman" w:cs="Times New Roman"/>
                      <w:color w:val="auto"/>
                      <w:kern w:val="0"/>
                      <w:szCs w:val="21"/>
                      <w:u w:val="none"/>
                      <w:lang w:bidi="ar"/>
                    </w:rPr>
                    <w:t>距源中心下风向距离D/m</w:t>
                  </w:r>
                </w:p>
              </w:tc>
              <w:tc>
                <w:tcPr>
                  <w:tcW w:w="3834" w:type="dxa"/>
                  <w:gridSpan w:val="2"/>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Cs w:val="21"/>
                      <w:u w:val="none"/>
                    </w:rPr>
                  </w:pPr>
                  <w:r>
                    <w:rPr>
                      <w:rFonts w:hint="default" w:ascii="Times New Roman" w:hAnsi="Times New Roman" w:cs="Times New Roman"/>
                      <w:color w:val="auto"/>
                      <w:kern w:val="0"/>
                      <w:sz w:val="22"/>
                      <w:szCs w:val="22"/>
                      <w:u w:val="none"/>
                      <w:lang w:bidi="ar"/>
                    </w:rPr>
                    <w:t>有组织正常</w:t>
                  </w:r>
                  <w:r>
                    <w:rPr>
                      <w:rStyle w:val="70"/>
                      <w:rFonts w:hint="default" w:ascii="Times New Roman" w:hAnsi="Times New Roman" w:cs="Times New Roman"/>
                      <w:color w:val="auto"/>
                      <w:sz w:val="22"/>
                      <w:szCs w:val="22"/>
                      <w:u w:val="none"/>
                      <w:lang w:bidi="ar"/>
                    </w:rPr>
                    <w:t>排放的</w:t>
                  </w:r>
                  <w:r>
                    <w:rPr>
                      <w:rFonts w:hint="eastAsia" w:ascii="Times New Roman" w:hAnsi="Times New Roman" w:cs="Times New Roman"/>
                      <w:color w:val="auto"/>
                      <w:kern w:val="0"/>
                      <w:sz w:val="22"/>
                      <w:szCs w:val="22"/>
                      <w:u w:val="none"/>
                      <w:lang w:eastAsia="zh-CN" w:bidi="ar"/>
                    </w:rPr>
                    <w:t>喷漆</w:t>
                  </w:r>
                  <w:r>
                    <w:rPr>
                      <w:rStyle w:val="70"/>
                      <w:rFonts w:hint="default" w:ascii="Times New Roman" w:hAnsi="Times New Roman" w:cs="Times New Roman"/>
                      <w:color w:val="auto"/>
                      <w:sz w:val="22"/>
                      <w:szCs w:val="22"/>
                      <w:u w:val="none"/>
                      <w:lang w:bidi="ar"/>
                    </w:rPr>
                    <w:t>颗粒物</w:t>
                  </w:r>
                </w:p>
              </w:tc>
              <w:tc>
                <w:tcPr>
                  <w:tcW w:w="3811" w:type="dxa"/>
                  <w:gridSpan w:val="2"/>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eastAsia="宋体" w:cs="Times New Roman"/>
                      <w:color w:val="auto"/>
                      <w:kern w:val="0"/>
                      <w:szCs w:val="21"/>
                      <w:u w:val="none"/>
                      <w:lang w:val="en-US" w:eastAsia="zh-CN" w:bidi="ar"/>
                    </w:rPr>
                  </w:pPr>
                  <w:r>
                    <w:rPr>
                      <w:rFonts w:hint="default" w:ascii="Times New Roman" w:hAnsi="Times New Roman" w:cs="Times New Roman"/>
                      <w:color w:val="auto"/>
                      <w:kern w:val="0"/>
                      <w:szCs w:val="21"/>
                      <w:u w:val="none"/>
                      <w:lang w:bidi="ar"/>
                    </w:rPr>
                    <w:t>有组织正常</w:t>
                  </w:r>
                  <w:r>
                    <w:rPr>
                      <w:rStyle w:val="70"/>
                      <w:rFonts w:hint="default" w:ascii="Times New Roman" w:hAnsi="Times New Roman" w:cs="Times New Roman"/>
                      <w:color w:val="auto"/>
                      <w:u w:val="none"/>
                      <w:lang w:bidi="ar"/>
                    </w:rPr>
                    <w:t>排放的</w:t>
                  </w:r>
                  <w:r>
                    <w:rPr>
                      <w:rFonts w:hint="default" w:ascii="Times New Roman" w:hAnsi="Times New Roman" w:cs="Times New Roman"/>
                      <w:color w:val="auto"/>
                      <w:kern w:val="0"/>
                      <w:szCs w:val="21"/>
                      <w:u w:val="none"/>
                      <w:lang w:val="en-US" w:eastAsia="zh-CN" w:bidi="ar"/>
                    </w:rPr>
                    <w:t>VOCs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5" w:hRule="atLeast"/>
              </w:trPr>
              <w:tc>
                <w:tcPr>
                  <w:tcW w:w="1395" w:type="dxa"/>
                  <w:vMerge w:val="continue"/>
                  <w:tcBorders>
                    <w:tl2br w:val="nil"/>
                    <w:tr2bl w:val="nil"/>
                  </w:tcBorders>
                  <w:noWrap w:val="0"/>
                  <w:tcMar>
                    <w:top w:w="15" w:type="dxa"/>
                    <w:left w:w="15" w:type="dxa"/>
                    <w:right w:w="15" w:type="dxa"/>
                  </w:tcMar>
                  <w:vAlign w:val="center"/>
                </w:tcPr>
                <w:p>
                  <w:pPr>
                    <w:spacing w:line="360" w:lineRule="auto"/>
                    <w:jc w:val="center"/>
                    <w:rPr>
                      <w:rFonts w:hint="default" w:ascii="Times New Roman" w:hAnsi="Times New Roman" w:cs="Times New Roman"/>
                      <w:color w:val="auto"/>
                      <w:szCs w:val="21"/>
                      <w:u w:val="none"/>
                    </w:rPr>
                  </w:pPr>
                </w:p>
              </w:tc>
              <w:tc>
                <w:tcPr>
                  <w:tcW w:w="1916" w:type="dxa"/>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Cs w:val="21"/>
                      <w:u w:val="none"/>
                    </w:rPr>
                  </w:pPr>
                  <w:r>
                    <w:rPr>
                      <w:rFonts w:hint="default" w:ascii="Times New Roman" w:hAnsi="Times New Roman" w:cs="Times New Roman"/>
                      <w:color w:val="auto"/>
                      <w:kern w:val="0"/>
                      <w:szCs w:val="21"/>
                      <w:u w:val="none"/>
                      <w:lang w:bidi="ar"/>
                    </w:rPr>
                    <w:t>下风向预测浓度C</w:t>
                  </w:r>
                  <w:r>
                    <w:rPr>
                      <w:rStyle w:val="192"/>
                      <w:rFonts w:hint="default" w:ascii="Times New Roman" w:hAnsi="Times New Roman" w:cs="Times New Roman"/>
                      <w:color w:val="auto"/>
                      <w:u w:val="none"/>
                      <w:vertAlign w:val="subscript"/>
                      <w:lang w:bidi="ar"/>
                    </w:rPr>
                    <w:t>i1</w:t>
                  </w:r>
                  <w:r>
                    <w:rPr>
                      <w:rStyle w:val="70"/>
                      <w:rFonts w:hint="default" w:ascii="Times New Roman" w:hAnsi="Times New Roman" w:cs="Times New Roman"/>
                      <w:color w:val="auto"/>
                      <w:u w:val="none"/>
                      <w:lang w:bidi="ar"/>
                    </w:rPr>
                    <w:t>(</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r>
                    <w:rPr>
                      <w:rStyle w:val="70"/>
                      <w:rFonts w:hint="default" w:ascii="Times New Roman" w:hAnsi="Times New Roman" w:cs="Times New Roman"/>
                      <w:color w:val="auto"/>
                      <w:u w:val="none"/>
                      <w:lang w:bidi="ar"/>
                    </w:rPr>
                    <w:t>)</w:t>
                  </w:r>
                </w:p>
              </w:tc>
              <w:tc>
                <w:tcPr>
                  <w:tcW w:w="1918" w:type="dxa"/>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Cs w:val="21"/>
                      <w:u w:val="none"/>
                    </w:rPr>
                  </w:pPr>
                  <w:r>
                    <w:rPr>
                      <w:rFonts w:hint="default" w:ascii="Times New Roman" w:hAnsi="Times New Roman" w:cs="Times New Roman"/>
                      <w:color w:val="auto"/>
                      <w:kern w:val="0"/>
                      <w:szCs w:val="21"/>
                      <w:u w:val="none"/>
                      <w:lang w:bidi="ar"/>
                    </w:rPr>
                    <w:t>浓度占标率P</w:t>
                  </w:r>
                  <w:r>
                    <w:rPr>
                      <w:rStyle w:val="192"/>
                      <w:rFonts w:hint="default" w:ascii="Times New Roman" w:hAnsi="Times New Roman" w:cs="Times New Roman"/>
                      <w:color w:val="auto"/>
                      <w:u w:val="none"/>
                      <w:vertAlign w:val="subscript"/>
                      <w:lang w:bidi="ar"/>
                    </w:rPr>
                    <w:t>i2</w:t>
                  </w:r>
                  <w:r>
                    <w:rPr>
                      <w:rStyle w:val="70"/>
                      <w:rFonts w:hint="default" w:ascii="Times New Roman" w:hAnsi="Times New Roman" w:cs="Times New Roman"/>
                      <w:color w:val="auto"/>
                      <w:u w:val="none"/>
                      <w:lang w:bidi="ar"/>
                    </w:rPr>
                    <w:t>/%</w:t>
                  </w:r>
                </w:p>
              </w:tc>
              <w:tc>
                <w:tcPr>
                  <w:tcW w:w="1912" w:type="dxa"/>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kern w:val="0"/>
                      <w:szCs w:val="21"/>
                      <w:u w:val="none"/>
                      <w:lang w:bidi="ar"/>
                    </w:rPr>
                  </w:pPr>
                  <w:r>
                    <w:rPr>
                      <w:rFonts w:hint="default" w:ascii="Times New Roman" w:hAnsi="Times New Roman" w:cs="Times New Roman"/>
                      <w:color w:val="auto"/>
                      <w:kern w:val="0"/>
                      <w:szCs w:val="21"/>
                      <w:u w:val="none"/>
                      <w:lang w:bidi="ar"/>
                    </w:rPr>
                    <w:t>下风向预测浓度C</w:t>
                  </w:r>
                  <w:r>
                    <w:rPr>
                      <w:rStyle w:val="192"/>
                      <w:rFonts w:hint="default" w:ascii="Times New Roman" w:hAnsi="Times New Roman" w:cs="Times New Roman"/>
                      <w:color w:val="auto"/>
                      <w:u w:val="none"/>
                      <w:vertAlign w:val="subscript"/>
                      <w:lang w:bidi="ar"/>
                    </w:rPr>
                    <w:t>i1</w:t>
                  </w:r>
                  <w:r>
                    <w:rPr>
                      <w:rStyle w:val="70"/>
                      <w:rFonts w:hint="default" w:ascii="Times New Roman" w:hAnsi="Times New Roman" w:cs="Times New Roman"/>
                      <w:color w:val="auto"/>
                      <w:u w:val="none"/>
                      <w:lang w:bidi="ar"/>
                    </w:rPr>
                    <w:t>(</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r>
                    <w:rPr>
                      <w:rStyle w:val="70"/>
                      <w:rFonts w:hint="default" w:ascii="Times New Roman" w:hAnsi="Times New Roman" w:cs="Times New Roman"/>
                      <w:color w:val="auto"/>
                      <w:u w:val="none"/>
                      <w:lang w:bidi="ar"/>
                    </w:rPr>
                    <w:t>)</w:t>
                  </w:r>
                </w:p>
              </w:tc>
              <w:tc>
                <w:tcPr>
                  <w:tcW w:w="1899" w:type="dxa"/>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kern w:val="0"/>
                      <w:szCs w:val="21"/>
                      <w:u w:val="none"/>
                      <w:lang w:bidi="ar"/>
                    </w:rPr>
                  </w:pPr>
                  <w:r>
                    <w:rPr>
                      <w:rFonts w:hint="default" w:ascii="Times New Roman" w:hAnsi="Times New Roman" w:cs="Times New Roman"/>
                      <w:color w:val="auto"/>
                      <w:kern w:val="0"/>
                      <w:szCs w:val="21"/>
                      <w:u w:val="none"/>
                      <w:lang w:bidi="ar"/>
                    </w:rPr>
                    <w:t>浓度占标率P</w:t>
                  </w:r>
                  <w:r>
                    <w:rPr>
                      <w:rStyle w:val="192"/>
                      <w:rFonts w:hint="default" w:ascii="Times New Roman" w:hAnsi="Times New Roman" w:cs="Times New Roman"/>
                      <w:color w:val="auto"/>
                      <w:u w:val="none"/>
                      <w:vertAlign w:val="subscript"/>
                      <w:lang w:bidi="ar"/>
                    </w:rPr>
                    <w:t>i2</w:t>
                  </w:r>
                  <w:r>
                    <w:rPr>
                      <w:rStyle w:val="70"/>
                      <w:rFonts w:hint="default" w:ascii="Times New Roman" w:hAnsi="Times New Roman" w:cs="Times New Roman"/>
                      <w:color w:val="auto"/>
                      <w:u w:val="none"/>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11" w:hRule="atLeast"/>
              </w:trPr>
              <w:tc>
                <w:tcPr>
                  <w:tcW w:w="1395"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100</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w:t>
                  </w:r>
                  <w:r>
                    <w:rPr>
                      <w:rFonts w:hint="eastAsia" w:cs="Times New Roman"/>
                      <w:i w:val="0"/>
                      <w:color w:val="000000"/>
                      <w:kern w:val="0"/>
                      <w:sz w:val="21"/>
                      <w:szCs w:val="21"/>
                      <w:u w:val="none"/>
                      <w:lang w:val="en-US" w:eastAsia="zh-CN" w:bidi="ar"/>
                    </w:rPr>
                    <w:t>5</w:t>
                  </w:r>
                  <w:r>
                    <w:rPr>
                      <w:rFonts w:hint="default" w:ascii="Times New Roman" w:hAnsi="Times New Roman" w:eastAsia="宋体" w:cs="Times New Roman"/>
                      <w:i w:val="0"/>
                      <w:color w:val="000000"/>
                      <w:kern w:val="0"/>
                      <w:sz w:val="21"/>
                      <w:szCs w:val="21"/>
                      <w:u w:val="none"/>
                      <w:lang w:val="en-US" w:eastAsia="zh-CN" w:bidi="ar"/>
                    </w:rPr>
                    <w:t>722</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0.05</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0.4277</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41" w:hRule="atLeast"/>
              </w:trPr>
              <w:tc>
                <w:tcPr>
                  <w:tcW w:w="1395"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200</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w:t>
                  </w:r>
                  <w:r>
                    <w:rPr>
                      <w:rFonts w:hint="eastAsia" w:cs="Times New Roman"/>
                      <w:i w:val="0"/>
                      <w:color w:val="000000"/>
                      <w:kern w:val="0"/>
                      <w:sz w:val="21"/>
                      <w:szCs w:val="21"/>
                      <w:u w:val="none"/>
                      <w:lang w:val="en-US" w:eastAsia="zh-CN" w:bidi="ar"/>
                    </w:rPr>
                    <w:t>6</w:t>
                  </w:r>
                  <w:r>
                    <w:rPr>
                      <w:rFonts w:hint="default" w:ascii="Times New Roman" w:hAnsi="Times New Roman" w:eastAsia="宋体" w:cs="Times New Roman"/>
                      <w:i w:val="0"/>
                      <w:color w:val="000000"/>
                      <w:kern w:val="0"/>
                      <w:sz w:val="21"/>
                      <w:szCs w:val="21"/>
                      <w:u w:val="none"/>
                      <w:lang w:val="en-US" w:eastAsia="zh-CN" w:bidi="ar"/>
                    </w:rPr>
                    <w:t>848</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0.06</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0.5297</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81" w:hRule="atLeast"/>
              </w:trPr>
              <w:tc>
                <w:tcPr>
                  <w:tcW w:w="1395"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293</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0.0</w:t>
                  </w:r>
                  <w:r>
                    <w:rPr>
                      <w:rFonts w:hint="eastAsia" w:cs="Times New Roman"/>
                      <w:b/>
                      <w:bCs/>
                      <w:i w:val="0"/>
                      <w:color w:val="000000"/>
                      <w:kern w:val="0"/>
                      <w:sz w:val="21"/>
                      <w:szCs w:val="21"/>
                      <w:u w:val="none"/>
                      <w:lang w:val="en-US" w:eastAsia="zh-CN" w:bidi="ar"/>
                    </w:rPr>
                    <w:t>7</w:t>
                  </w:r>
                  <w:r>
                    <w:rPr>
                      <w:rFonts w:hint="default" w:ascii="Times New Roman" w:hAnsi="Times New Roman" w:eastAsia="宋体" w:cs="Times New Roman"/>
                      <w:b/>
                      <w:bCs/>
                      <w:i w:val="0"/>
                      <w:color w:val="000000"/>
                      <w:kern w:val="0"/>
                      <w:sz w:val="21"/>
                      <w:szCs w:val="21"/>
                      <w:u w:val="none"/>
                      <w:lang w:val="en-US" w:eastAsia="zh-CN" w:bidi="ar"/>
                    </w:rPr>
                    <w:t>19</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i w:val="0"/>
                      <w:color w:val="000000"/>
                      <w:kern w:val="0"/>
                      <w:sz w:val="21"/>
                      <w:szCs w:val="21"/>
                      <w:u w:val="none"/>
                      <w:lang w:val="en-US" w:eastAsia="zh-CN" w:bidi="ar"/>
                    </w:rPr>
                    <w:t>0.07</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kern w:val="0"/>
                      <w:sz w:val="21"/>
                      <w:szCs w:val="21"/>
                      <w:u w:val="none"/>
                      <w:lang w:bidi="ar"/>
                    </w:rPr>
                  </w:pPr>
                  <w:r>
                    <w:rPr>
                      <w:rFonts w:hint="default" w:ascii="Times New Roman" w:hAnsi="Times New Roman" w:eastAsia="宋体" w:cs="Times New Roman"/>
                      <w:b/>
                      <w:bCs/>
                      <w:i w:val="0"/>
                      <w:color w:val="000000"/>
                      <w:kern w:val="0"/>
                      <w:sz w:val="21"/>
                      <w:szCs w:val="21"/>
                      <w:u w:val="none"/>
                      <w:lang w:val="en-US" w:eastAsia="zh-CN" w:bidi="ar"/>
                    </w:rPr>
                    <w:t>0.5607</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kern w:val="0"/>
                      <w:sz w:val="21"/>
                      <w:szCs w:val="21"/>
                      <w:u w:val="none"/>
                      <w:lang w:bidi="ar"/>
                    </w:rPr>
                  </w:pPr>
                  <w:r>
                    <w:rPr>
                      <w:rFonts w:hint="default" w:ascii="Times New Roman" w:hAnsi="Times New Roman" w:eastAsia="宋体" w:cs="Times New Roman"/>
                      <w:b/>
                      <w:bCs/>
                      <w:i w:val="0"/>
                      <w:color w:val="000000"/>
                      <w:kern w:val="0"/>
                      <w:sz w:val="21"/>
                      <w:szCs w:val="21"/>
                      <w:u w:val="none"/>
                      <w:lang w:val="en-US" w:eastAsia="zh-CN" w:bidi="ar"/>
                    </w:rPr>
                    <w:t>0.93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95"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300</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w:t>
                  </w:r>
                  <w:r>
                    <w:rPr>
                      <w:rFonts w:hint="eastAsia" w:cs="Times New Roman"/>
                      <w:i w:val="0"/>
                      <w:color w:val="000000"/>
                      <w:kern w:val="0"/>
                      <w:sz w:val="21"/>
                      <w:szCs w:val="21"/>
                      <w:u w:val="none"/>
                      <w:lang w:val="en-US" w:eastAsia="zh-CN" w:bidi="ar"/>
                    </w:rPr>
                    <w:t>7</w:t>
                  </w:r>
                  <w:r>
                    <w:rPr>
                      <w:rFonts w:hint="default" w:ascii="Times New Roman" w:hAnsi="Times New Roman" w:eastAsia="宋体" w:cs="Times New Roman"/>
                      <w:i w:val="0"/>
                      <w:color w:val="000000"/>
                      <w:kern w:val="0"/>
                      <w:sz w:val="21"/>
                      <w:szCs w:val="21"/>
                      <w:u w:val="none"/>
                      <w:lang w:val="en-US" w:eastAsia="zh-CN" w:bidi="ar"/>
                    </w:rPr>
                    <w:t>185</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0.07</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0.5602</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95"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400</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w:t>
                  </w:r>
                  <w:r>
                    <w:rPr>
                      <w:rFonts w:hint="eastAsia" w:cs="Times New Roman"/>
                      <w:i w:val="0"/>
                      <w:color w:val="000000"/>
                      <w:kern w:val="0"/>
                      <w:sz w:val="21"/>
                      <w:szCs w:val="21"/>
                      <w:u w:val="none"/>
                      <w:lang w:val="en-US" w:eastAsia="zh-CN" w:bidi="ar"/>
                    </w:rPr>
                    <w:t>6</w:t>
                  </w:r>
                  <w:r>
                    <w:rPr>
                      <w:rFonts w:hint="default" w:ascii="Times New Roman" w:hAnsi="Times New Roman" w:eastAsia="宋体" w:cs="Times New Roman"/>
                      <w:i w:val="0"/>
                      <w:color w:val="000000"/>
                      <w:kern w:val="0"/>
                      <w:sz w:val="21"/>
                      <w:szCs w:val="21"/>
                      <w:u w:val="none"/>
                      <w:lang w:val="en-US" w:eastAsia="zh-CN" w:bidi="ar"/>
                    </w:rPr>
                    <w:t>448</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0.06</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0.4935</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95"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500</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w:t>
                  </w:r>
                  <w:r>
                    <w:rPr>
                      <w:rFonts w:hint="eastAsia" w:cs="Times New Roman"/>
                      <w:i w:val="0"/>
                      <w:color w:val="000000"/>
                      <w:kern w:val="0"/>
                      <w:sz w:val="21"/>
                      <w:szCs w:val="21"/>
                      <w:u w:val="none"/>
                      <w:lang w:val="en-US" w:eastAsia="zh-CN" w:bidi="ar"/>
                    </w:rPr>
                    <w:t>6</w:t>
                  </w:r>
                  <w:r>
                    <w:rPr>
                      <w:rFonts w:hint="default" w:ascii="Times New Roman" w:hAnsi="Times New Roman" w:eastAsia="宋体" w:cs="Times New Roman"/>
                      <w:i w:val="0"/>
                      <w:color w:val="000000"/>
                      <w:kern w:val="0"/>
                      <w:sz w:val="21"/>
                      <w:szCs w:val="21"/>
                      <w:u w:val="none"/>
                      <w:lang w:val="en-US" w:eastAsia="zh-CN" w:bidi="ar"/>
                    </w:rPr>
                    <w:t>232</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0.06</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0.4739</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95"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1000</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w:t>
                  </w:r>
                  <w:r>
                    <w:rPr>
                      <w:rFonts w:hint="eastAsia" w:cs="Times New Roman"/>
                      <w:i w:val="0"/>
                      <w:color w:val="000000"/>
                      <w:kern w:val="0"/>
                      <w:sz w:val="21"/>
                      <w:szCs w:val="21"/>
                      <w:u w:val="none"/>
                      <w:lang w:val="en-US" w:eastAsia="zh-CN" w:bidi="ar"/>
                    </w:rPr>
                    <w:t>4</w:t>
                  </w:r>
                  <w:r>
                    <w:rPr>
                      <w:rFonts w:hint="default" w:ascii="Times New Roman" w:hAnsi="Times New Roman" w:eastAsia="宋体" w:cs="Times New Roman"/>
                      <w:i w:val="0"/>
                      <w:color w:val="000000"/>
                      <w:kern w:val="0"/>
                      <w:sz w:val="21"/>
                      <w:szCs w:val="21"/>
                      <w:u w:val="none"/>
                      <w:lang w:val="en-US" w:eastAsia="zh-CN" w:bidi="ar"/>
                    </w:rPr>
                    <w:t>516</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0.04</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0.3185</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95"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1500</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w:t>
                  </w:r>
                  <w:r>
                    <w:rPr>
                      <w:rFonts w:hint="eastAsia" w:cs="Times New Roman"/>
                      <w:i w:val="0"/>
                      <w:color w:val="000000"/>
                      <w:kern w:val="0"/>
                      <w:sz w:val="21"/>
                      <w:szCs w:val="21"/>
                      <w:u w:val="none"/>
                      <w:lang w:val="en-US" w:eastAsia="zh-CN" w:bidi="ar"/>
                    </w:rPr>
                    <w:t>3</w:t>
                  </w:r>
                  <w:r>
                    <w:rPr>
                      <w:rFonts w:hint="default" w:ascii="Times New Roman" w:hAnsi="Times New Roman" w:eastAsia="宋体" w:cs="Times New Roman"/>
                      <w:i w:val="0"/>
                      <w:color w:val="000000"/>
                      <w:kern w:val="0"/>
                      <w:sz w:val="21"/>
                      <w:szCs w:val="21"/>
                      <w:u w:val="none"/>
                      <w:lang w:val="en-US" w:eastAsia="zh-CN" w:bidi="ar"/>
                    </w:rPr>
                    <w:t>498</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0.03</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0.2263</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95"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2000</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w:t>
                  </w:r>
                  <w:r>
                    <w:rPr>
                      <w:rFonts w:hint="eastAsia" w:cs="Times New Roman"/>
                      <w:i w:val="0"/>
                      <w:color w:val="000000"/>
                      <w:kern w:val="0"/>
                      <w:sz w:val="21"/>
                      <w:szCs w:val="21"/>
                      <w:u w:val="none"/>
                      <w:lang w:val="en-US" w:eastAsia="zh-CN" w:bidi="ar"/>
                    </w:rPr>
                    <w:t>3</w:t>
                  </w:r>
                  <w:r>
                    <w:rPr>
                      <w:rFonts w:hint="default" w:ascii="Times New Roman" w:hAnsi="Times New Roman" w:eastAsia="宋体" w:cs="Times New Roman"/>
                      <w:i w:val="0"/>
                      <w:color w:val="000000"/>
                      <w:kern w:val="0"/>
                      <w:sz w:val="21"/>
                      <w:szCs w:val="21"/>
                      <w:u w:val="none"/>
                      <w:lang w:val="en-US" w:eastAsia="zh-CN" w:bidi="ar"/>
                    </w:rPr>
                    <w:t>472</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i w:val="0"/>
                      <w:color w:val="000000"/>
                      <w:kern w:val="0"/>
                      <w:sz w:val="21"/>
                      <w:szCs w:val="21"/>
                      <w:u w:val="none"/>
                      <w:lang w:val="en-US" w:eastAsia="zh-CN" w:bidi="ar"/>
                    </w:rPr>
                    <w:t>0.03</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0.2239</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80" w:hRule="atLeast"/>
              </w:trPr>
              <w:tc>
                <w:tcPr>
                  <w:tcW w:w="1395" w:type="dxa"/>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Cs w:val="21"/>
                      <w:u w:val="none"/>
                    </w:rPr>
                  </w:pPr>
                  <w:r>
                    <w:rPr>
                      <w:rStyle w:val="194"/>
                      <w:rFonts w:hint="default" w:ascii="Times New Roman" w:hAnsi="Times New Roman" w:cs="Times New Roman"/>
                      <w:color w:val="auto"/>
                      <w:u w:val="none"/>
                      <w:lang w:bidi="ar"/>
                    </w:rPr>
                    <w:t>下风向最大浓度和占标率（</w:t>
                  </w:r>
                  <w:r>
                    <w:rPr>
                      <w:rStyle w:val="194"/>
                      <w:rFonts w:hint="eastAsia" w:ascii="Times New Roman" w:hAnsi="Times New Roman" w:eastAsia="宋体" w:cs="Times New Roman"/>
                      <w:color w:val="auto"/>
                      <w:u w:val="none"/>
                      <w:lang w:val="en-US" w:eastAsia="zh-CN" w:bidi="ar"/>
                    </w:rPr>
                    <w:t>293m</w:t>
                  </w:r>
                  <w:r>
                    <w:rPr>
                      <w:rStyle w:val="194"/>
                      <w:rFonts w:hint="default" w:ascii="Times New Roman" w:hAnsi="Times New Roman" w:cs="Times New Roman"/>
                      <w:color w:val="auto"/>
                      <w:u w:val="none"/>
                      <w:lang w:bidi="ar"/>
                    </w:rPr>
                    <w:t>）</w:t>
                  </w:r>
                </w:p>
              </w:tc>
              <w:tc>
                <w:tcPr>
                  <w:tcW w:w="1916"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b w:val="0"/>
                      <w:bCs w:val="0"/>
                      <w:i w:val="0"/>
                      <w:iCs w:val="0"/>
                      <w:color w:val="auto"/>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0.0</w:t>
                  </w:r>
                  <w:r>
                    <w:rPr>
                      <w:rFonts w:hint="eastAsia" w:cs="Times New Roman"/>
                      <w:b w:val="0"/>
                      <w:bCs w:val="0"/>
                      <w:i w:val="0"/>
                      <w:color w:val="000000"/>
                      <w:kern w:val="0"/>
                      <w:sz w:val="21"/>
                      <w:szCs w:val="21"/>
                      <w:u w:val="none"/>
                      <w:lang w:val="en-US" w:eastAsia="zh-CN" w:bidi="ar"/>
                    </w:rPr>
                    <w:t>7</w:t>
                  </w:r>
                  <w:r>
                    <w:rPr>
                      <w:rFonts w:hint="default" w:ascii="Times New Roman" w:hAnsi="Times New Roman" w:eastAsia="宋体" w:cs="Times New Roman"/>
                      <w:b w:val="0"/>
                      <w:bCs w:val="0"/>
                      <w:i w:val="0"/>
                      <w:color w:val="000000"/>
                      <w:kern w:val="0"/>
                      <w:sz w:val="21"/>
                      <w:szCs w:val="21"/>
                      <w:u w:val="none"/>
                      <w:lang w:val="en-US" w:eastAsia="zh-CN" w:bidi="ar"/>
                    </w:rPr>
                    <w:t>19</w:t>
                  </w:r>
                </w:p>
              </w:tc>
              <w:tc>
                <w:tcPr>
                  <w:tcW w:w="1918"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b w:val="0"/>
                      <w:bCs w:val="0"/>
                      <w:i w:val="0"/>
                      <w:iCs w:val="0"/>
                      <w:color w:val="auto"/>
                      <w:szCs w:val="21"/>
                      <w:u w:val="none"/>
                    </w:rPr>
                  </w:pPr>
                  <w:r>
                    <w:rPr>
                      <w:rFonts w:hint="default" w:ascii="Times New Roman" w:hAnsi="Times New Roman" w:eastAsia="宋体" w:cs="Times New Roman"/>
                      <w:b w:val="0"/>
                      <w:bCs w:val="0"/>
                      <w:i w:val="0"/>
                      <w:color w:val="000000"/>
                      <w:kern w:val="0"/>
                      <w:sz w:val="21"/>
                      <w:szCs w:val="21"/>
                      <w:u w:val="none"/>
                      <w:lang w:val="en-US" w:eastAsia="zh-CN" w:bidi="ar"/>
                    </w:rPr>
                    <w:t>0.07</w:t>
                  </w:r>
                </w:p>
              </w:tc>
              <w:tc>
                <w:tcPr>
                  <w:tcW w:w="1912"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0.5607</w:t>
                  </w:r>
                </w:p>
              </w:tc>
              <w:tc>
                <w:tcPr>
                  <w:tcW w:w="1899"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val="0"/>
                      <w:bCs w:val="0"/>
                      <w:i w:val="0"/>
                      <w:iCs w:val="0"/>
                      <w:color w:val="auto"/>
                      <w:kern w:val="0"/>
                      <w:szCs w:val="21"/>
                      <w:u w:val="none"/>
                      <w:lang w:val="en-US" w:eastAsia="zh-CN" w:bidi="ar"/>
                    </w:rPr>
                  </w:pPr>
                  <w:r>
                    <w:rPr>
                      <w:rFonts w:hint="default" w:ascii="Times New Roman" w:hAnsi="Times New Roman" w:eastAsia="宋体" w:cs="Times New Roman"/>
                      <w:b w:val="0"/>
                      <w:bCs w:val="0"/>
                      <w:i w:val="0"/>
                      <w:color w:val="000000"/>
                      <w:kern w:val="0"/>
                      <w:sz w:val="21"/>
                      <w:szCs w:val="21"/>
                      <w:u w:val="none"/>
                      <w:lang w:val="en-US" w:eastAsia="zh-CN" w:bidi="ar"/>
                    </w:rPr>
                    <w:t>0.93</w:t>
                  </w:r>
                </w:p>
              </w:tc>
            </w:tr>
          </w:tbl>
          <w:p>
            <w:pPr>
              <w:bidi w:val="0"/>
              <w:rPr>
                <w:rFonts w:hint="eastAsia" w:ascii="Times New Roman" w:hAnsi="Times New Roman" w:eastAsia="宋体" w:cs="Times New Roman"/>
                <w:color w:val="auto"/>
                <w:sz w:val="24"/>
                <w:szCs w:val="24"/>
                <w:u w:val="none" w:color="auto"/>
                <w:lang w:eastAsia="zh-CN"/>
              </w:rPr>
            </w:pPr>
            <w:r>
              <w:rPr>
                <w:rFonts w:hint="eastAsia"/>
                <w:lang w:val="en-US" w:eastAsia="zh-CN"/>
              </w:rPr>
              <w:t xml:space="preserve"> </w:t>
            </w: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rPr>
              <w:t>无组织排放的</w:t>
            </w:r>
            <w:r>
              <w:rPr>
                <w:rFonts w:hint="default" w:ascii="Times New Roman" w:hAnsi="Times New Roman" w:cs="Times New Roman"/>
                <w:color w:val="auto"/>
                <w:sz w:val="24"/>
                <w:szCs w:val="24"/>
                <w:u w:val="none" w:color="auto"/>
                <w:lang w:eastAsia="zh-CN"/>
              </w:rPr>
              <w:t>颗粒物、</w:t>
            </w:r>
            <w:r>
              <w:rPr>
                <w:rFonts w:hint="default" w:ascii="Times New Roman" w:hAnsi="Times New Roman" w:cs="Times New Roman"/>
                <w:color w:val="auto"/>
                <w:sz w:val="24"/>
                <w:szCs w:val="24"/>
                <w:u w:val="none" w:color="auto"/>
                <w:lang w:val="en-US" w:eastAsia="zh-CN"/>
              </w:rPr>
              <w:t>VOCs</w:t>
            </w:r>
            <w:r>
              <w:rPr>
                <w:rFonts w:hint="default" w:ascii="Times New Roman" w:hAnsi="Times New Roman" w:cs="Times New Roman"/>
                <w:color w:val="auto"/>
                <w:sz w:val="24"/>
                <w:szCs w:val="24"/>
                <w:u w:val="none" w:color="auto"/>
              </w:rPr>
              <w:t>估算模式式计算结果表</w:t>
            </w:r>
            <w:r>
              <w:rPr>
                <w:rFonts w:hint="eastAsia" w:cs="Times New Roman"/>
                <w:color w:val="auto"/>
                <w:sz w:val="24"/>
                <w:szCs w:val="24"/>
                <w:u w:val="none" w:color="auto"/>
                <w:lang w:eastAsia="zh-CN"/>
              </w:rPr>
              <w:t>（喷漆、喷涂线废气）</w:t>
            </w:r>
          </w:p>
          <w:tbl>
            <w:tblPr>
              <w:tblStyle w:val="39"/>
              <w:tblW w:w="90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1820"/>
              <w:gridCol w:w="1839"/>
              <w:gridCol w:w="1759"/>
              <w:gridCol w:w="1842"/>
              <w:gridCol w:w="17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672" w:hRule="atLeast"/>
              </w:trPr>
              <w:tc>
                <w:tcPr>
                  <w:tcW w:w="1820" w:type="dxa"/>
                  <w:vMerge w:val="restart"/>
                  <w:tcBorders>
                    <w:top w:val="single" w:color="auto" w:sz="12" w:space="0"/>
                    <w:left w:val="single" w:color="auto" w:sz="12" w:space="0"/>
                    <w:bottom w:val="single" w:color="auto" w:sz="6" w:space="0"/>
                    <w:right w:val="single" w:color="auto" w:sz="6" w:space="0"/>
                  </w:tcBorders>
                  <w:noWrap w:val="0"/>
                  <w:vAlign w:val="center"/>
                </w:tcPr>
                <w:p>
                  <w:pPr>
                    <w:pStyle w:val="195"/>
                    <w:spacing w:line="36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距离源中心下风向距离（D/m）</w:t>
                  </w:r>
                </w:p>
              </w:tc>
              <w:tc>
                <w:tcPr>
                  <w:tcW w:w="3598" w:type="dxa"/>
                  <w:gridSpan w:val="2"/>
                  <w:tcBorders>
                    <w:top w:val="single" w:color="auto" w:sz="12" w:space="0"/>
                    <w:left w:val="single" w:color="auto" w:sz="6" w:space="0"/>
                    <w:right w:val="single" w:color="auto" w:sz="4" w:space="0"/>
                  </w:tcBorders>
                  <w:noWrap w:val="0"/>
                  <w:vAlign w:val="center"/>
                </w:tcPr>
                <w:p>
                  <w:pPr>
                    <w:pStyle w:val="195"/>
                    <w:spacing w:line="36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粉尘</w:t>
                  </w:r>
                </w:p>
              </w:tc>
              <w:tc>
                <w:tcPr>
                  <w:tcW w:w="3604" w:type="dxa"/>
                  <w:gridSpan w:val="2"/>
                  <w:tcBorders>
                    <w:top w:val="single" w:color="auto" w:sz="12" w:space="0"/>
                    <w:left w:val="single" w:color="auto" w:sz="4" w:space="0"/>
                    <w:bottom w:val="single" w:color="auto" w:sz="6" w:space="0"/>
                    <w:right w:val="single" w:color="auto" w:sz="12" w:space="0"/>
                  </w:tcBorders>
                  <w:noWrap w:val="0"/>
                  <w:vAlign w:val="center"/>
                </w:tcPr>
                <w:p>
                  <w:pPr>
                    <w:pStyle w:val="195"/>
                    <w:spacing w:line="36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VOCs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vMerge w:val="continue"/>
                  <w:tcBorders>
                    <w:top w:val="single" w:color="auto" w:sz="12" w:space="0"/>
                    <w:left w:val="single" w:color="auto" w:sz="12" w:space="0"/>
                    <w:bottom w:val="single" w:color="auto" w:sz="6" w:space="0"/>
                    <w:right w:val="single" w:color="auto" w:sz="6" w:space="0"/>
                  </w:tcBorders>
                  <w:noWrap w:val="0"/>
                  <w:vAlign w:val="center"/>
                </w:tcPr>
                <w:p>
                  <w:pPr>
                    <w:widowControl/>
                    <w:spacing w:line="360" w:lineRule="auto"/>
                    <w:jc w:val="left"/>
                    <w:rPr>
                      <w:rFonts w:hint="default" w:ascii="Times New Roman" w:hAnsi="Times New Roman" w:cs="Times New Roman"/>
                      <w:b/>
                      <w:szCs w:val="21"/>
                      <w:lang w:val="zh-CN"/>
                    </w:rPr>
                  </w:pPr>
                </w:p>
              </w:tc>
              <w:tc>
                <w:tcPr>
                  <w:tcW w:w="1839" w:type="dxa"/>
                  <w:tcBorders>
                    <w:top w:val="single" w:color="auto" w:sz="6" w:space="0"/>
                    <w:left w:val="single" w:color="auto" w:sz="6" w:space="0"/>
                    <w:bottom w:val="single" w:color="auto" w:sz="6" w:space="0"/>
                    <w:right w:val="single" w:color="auto" w:sz="6" w:space="0"/>
                  </w:tcBorders>
                  <w:noWrap w:val="0"/>
                  <w:vAlign w:val="center"/>
                </w:tcPr>
                <w:p>
                  <w:pPr>
                    <w:widowControl/>
                    <w:spacing w:line="360" w:lineRule="auto"/>
                    <w:jc w:val="center"/>
                    <w:textAlignment w:val="center"/>
                    <w:rPr>
                      <w:rFonts w:hint="default" w:ascii="Times New Roman" w:hAnsi="Times New Roman" w:cs="Times New Roman"/>
                      <w:b/>
                      <w:sz w:val="21"/>
                      <w:szCs w:val="21"/>
                    </w:rPr>
                  </w:pPr>
                  <w:r>
                    <w:rPr>
                      <w:rFonts w:hint="default" w:ascii="Times New Roman" w:hAnsi="Times New Roman" w:cs="Times New Roman"/>
                      <w:color w:val="auto"/>
                      <w:sz w:val="22"/>
                      <w:szCs w:val="22"/>
                      <w:u w:val="none" w:color="auto"/>
                    </w:rPr>
                    <w:t>下风向预测浓度Ci1(</w:t>
                  </w:r>
                  <w:r>
                    <w:rPr>
                      <w:rStyle w:val="70"/>
                      <w:rFonts w:hint="default" w:ascii="Times New Roman" w:hAnsi="Times New Roman"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r>
                    <w:rPr>
                      <w:rFonts w:hint="default" w:ascii="Times New Roman" w:hAnsi="Times New Roman" w:cs="Times New Roman"/>
                      <w:color w:val="auto"/>
                      <w:sz w:val="22"/>
                      <w:szCs w:val="22"/>
                      <w:u w:val="none" w:color="auto"/>
                    </w:rPr>
                    <w:t>)</w:t>
                  </w:r>
                </w:p>
              </w:tc>
              <w:tc>
                <w:tcPr>
                  <w:tcW w:w="1759" w:type="dxa"/>
                  <w:tcBorders>
                    <w:top w:val="single" w:color="auto" w:sz="6" w:space="0"/>
                    <w:left w:val="single" w:color="auto" w:sz="6" w:space="0"/>
                    <w:bottom w:val="single" w:color="auto" w:sz="6" w:space="0"/>
                    <w:right w:val="single" w:color="auto" w:sz="6" w:space="0"/>
                  </w:tcBorders>
                  <w:noWrap w:val="0"/>
                  <w:vAlign w:val="center"/>
                </w:tcPr>
                <w:p>
                  <w:pPr>
                    <w:widowControl/>
                    <w:spacing w:line="360" w:lineRule="auto"/>
                    <w:jc w:val="center"/>
                    <w:textAlignment w:val="center"/>
                    <w:rPr>
                      <w:rFonts w:hint="default" w:ascii="Times New Roman" w:hAnsi="Times New Roman" w:cs="Times New Roman"/>
                      <w:b/>
                      <w:sz w:val="21"/>
                      <w:szCs w:val="21"/>
                    </w:rPr>
                  </w:pPr>
                  <w:r>
                    <w:rPr>
                      <w:rFonts w:hint="default" w:ascii="Times New Roman" w:hAnsi="Times New Roman" w:cs="Times New Roman"/>
                      <w:color w:val="auto"/>
                      <w:sz w:val="22"/>
                      <w:szCs w:val="22"/>
                      <w:u w:val="none" w:color="auto"/>
                    </w:rPr>
                    <w:t>浓度占标率Pi2/%</w:t>
                  </w:r>
                </w:p>
              </w:tc>
              <w:tc>
                <w:tcPr>
                  <w:tcW w:w="1842" w:type="dxa"/>
                  <w:tcBorders>
                    <w:top w:val="single" w:color="auto" w:sz="6" w:space="0"/>
                    <w:left w:val="single" w:color="auto" w:sz="6" w:space="0"/>
                    <w:bottom w:val="single" w:color="auto" w:sz="6" w:space="0"/>
                    <w:right w:val="single" w:color="auto" w:sz="6" w:space="0"/>
                  </w:tcBorders>
                  <w:noWrap w:val="0"/>
                  <w:vAlign w:val="center"/>
                </w:tcPr>
                <w:p>
                  <w:pPr>
                    <w:widowControl/>
                    <w:spacing w:line="360" w:lineRule="auto"/>
                    <w:jc w:val="center"/>
                    <w:textAlignment w:val="center"/>
                    <w:rPr>
                      <w:rFonts w:hint="default" w:ascii="Times New Roman" w:hAnsi="Times New Roman" w:cs="Times New Roman"/>
                      <w:b/>
                      <w:sz w:val="21"/>
                      <w:szCs w:val="21"/>
                    </w:rPr>
                  </w:pPr>
                  <w:r>
                    <w:rPr>
                      <w:rFonts w:hint="default" w:ascii="Times New Roman" w:hAnsi="Times New Roman" w:cs="Times New Roman"/>
                      <w:color w:val="auto"/>
                      <w:sz w:val="22"/>
                      <w:szCs w:val="22"/>
                      <w:u w:val="none" w:color="auto"/>
                    </w:rPr>
                    <w:t>下风向预测浓度Ci1(</w:t>
                  </w:r>
                  <w:r>
                    <w:rPr>
                      <w:rStyle w:val="70"/>
                      <w:rFonts w:hint="default" w:ascii="Times New Roman" w:hAnsi="Times New Roman"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r>
                    <w:rPr>
                      <w:rFonts w:hint="default" w:ascii="Times New Roman" w:hAnsi="Times New Roman" w:cs="Times New Roman"/>
                      <w:color w:val="auto"/>
                      <w:sz w:val="22"/>
                      <w:szCs w:val="22"/>
                      <w:u w:val="none" w:color="auto"/>
                    </w:rPr>
                    <w:t>)</w:t>
                  </w:r>
                </w:p>
              </w:tc>
              <w:tc>
                <w:tcPr>
                  <w:tcW w:w="1762" w:type="dxa"/>
                  <w:tcBorders>
                    <w:top w:val="single" w:color="auto" w:sz="6" w:space="0"/>
                    <w:left w:val="single" w:color="auto" w:sz="6" w:space="0"/>
                    <w:bottom w:val="single" w:color="auto" w:sz="6" w:space="0"/>
                    <w:right w:val="single" w:color="auto" w:sz="12" w:space="0"/>
                  </w:tcBorders>
                  <w:noWrap w:val="0"/>
                  <w:vAlign w:val="center"/>
                </w:tcPr>
                <w:p>
                  <w:pPr>
                    <w:widowControl/>
                    <w:spacing w:line="360" w:lineRule="auto"/>
                    <w:jc w:val="center"/>
                    <w:textAlignment w:val="center"/>
                    <w:rPr>
                      <w:rFonts w:hint="default" w:ascii="Times New Roman" w:hAnsi="Times New Roman" w:cs="Times New Roman"/>
                      <w:b/>
                      <w:sz w:val="21"/>
                      <w:szCs w:val="21"/>
                    </w:rPr>
                  </w:pPr>
                  <w:r>
                    <w:rPr>
                      <w:rFonts w:hint="default" w:ascii="Times New Roman" w:hAnsi="Times New Roman" w:cs="Times New Roman"/>
                      <w:color w:val="auto"/>
                      <w:sz w:val="22"/>
                      <w:szCs w:val="22"/>
                      <w:u w:val="none" w:color="auto"/>
                    </w:rPr>
                    <w:t>浓度占标率Pi2/%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szCs w:val="21"/>
                    </w:rPr>
                    <w:t>10</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w:t>
                  </w:r>
                  <w:r>
                    <w:rPr>
                      <w:rFonts w:hint="default" w:ascii="Times New Roman" w:hAnsi="Times New Roman" w:cs="Times New Roman"/>
                      <w:lang w:val="en-US" w:eastAsia="zh-CN"/>
                    </w:rPr>
                    <w:t>0</w:t>
                  </w:r>
                  <w:r>
                    <w:rPr>
                      <w:rFonts w:hint="default" w:ascii="Times New Roman" w:hAnsi="Times New Roman" w:cs="Times New Roman"/>
                    </w:rPr>
                    <w:t>3191</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lang w:val="en-US" w:eastAsia="zh-CN"/>
                    </w:rPr>
                    <w:t>0.</w:t>
                  </w:r>
                  <w:r>
                    <w:rPr>
                      <w:rFonts w:hint="default" w:ascii="Times New Roman" w:hAnsi="Times New Roman" w:cs="Times New Roman"/>
                    </w:rPr>
                    <w:t>355</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0.00665</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01" w:hRule="atLeast"/>
              </w:trPr>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szCs w:val="21"/>
                    </w:rPr>
                    <w:t>100</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w:t>
                  </w:r>
                  <w:r>
                    <w:rPr>
                      <w:rFonts w:hint="default" w:ascii="Times New Roman" w:hAnsi="Times New Roman" w:cs="Times New Roman"/>
                      <w:lang w:val="en-US" w:eastAsia="zh-CN"/>
                    </w:rPr>
                    <w:t>0</w:t>
                  </w:r>
                  <w:r>
                    <w:rPr>
                      <w:rFonts w:hint="default" w:ascii="Times New Roman" w:hAnsi="Times New Roman" w:cs="Times New Roman"/>
                    </w:rPr>
                    <w:t>07618</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lang w:val="en-US" w:eastAsia="zh-CN"/>
                    </w:rPr>
                    <w:t>0.</w:t>
                  </w:r>
                  <w:r>
                    <w:rPr>
                      <w:rFonts w:hint="default" w:ascii="Times New Roman" w:hAnsi="Times New Roman" w:cs="Times New Roman"/>
                    </w:rPr>
                    <w:t>846</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0.01588</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0.88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b/>
                      <w:szCs w:val="21"/>
                    </w:rPr>
                  </w:pPr>
                  <w:r>
                    <w:rPr>
                      <w:rFonts w:hint="default" w:ascii="Times New Roman" w:hAnsi="Times New Roman" w:cs="Times New Roman"/>
                      <w:b/>
                      <w:szCs w:val="21"/>
                    </w:rPr>
                    <w:t>114</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b w:val="0"/>
                      <w:bCs w:val="0"/>
                    </w:rPr>
                  </w:pPr>
                  <w:r>
                    <w:rPr>
                      <w:rFonts w:hint="default" w:ascii="Times New Roman" w:hAnsi="Times New Roman" w:cs="Times New Roman"/>
                      <w:b w:val="0"/>
                      <w:bCs w:val="0"/>
                    </w:rPr>
                    <w:t>0.0</w:t>
                  </w:r>
                  <w:r>
                    <w:rPr>
                      <w:rFonts w:hint="default" w:ascii="Times New Roman" w:hAnsi="Times New Roman" w:cs="Times New Roman"/>
                      <w:b w:val="0"/>
                      <w:bCs w:val="0"/>
                      <w:lang w:val="en-US" w:eastAsia="zh-CN"/>
                    </w:rPr>
                    <w:t>0</w:t>
                  </w:r>
                  <w:r>
                    <w:rPr>
                      <w:rFonts w:hint="default" w:ascii="Times New Roman" w:hAnsi="Times New Roman" w:cs="Times New Roman"/>
                      <w:b w:val="0"/>
                      <w:bCs w:val="0"/>
                    </w:rPr>
                    <w:t>7857</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b w:val="0"/>
                      <w:bCs w:val="0"/>
                    </w:rPr>
                  </w:pPr>
                  <w:r>
                    <w:rPr>
                      <w:rFonts w:hint="default" w:ascii="Times New Roman" w:hAnsi="Times New Roman" w:cs="Times New Roman"/>
                      <w:b w:val="0"/>
                      <w:bCs w:val="0"/>
                      <w:lang w:val="en-US" w:eastAsia="zh-CN"/>
                    </w:rPr>
                    <w:t>0.</w:t>
                  </w:r>
                  <w:r>
                    <w:rPr>
                      <w:rFonts w:hint="default" w:ascii="Times New Roman" w:hAnsi="Times New Roman" w:cs="Times New Roman"/>
                      <w:b w:val="0"/>
                      <w:bCs w:val="0"/>
                    </w:rPr>
                    <w:t>873</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b w:val="0"/>
                      <w:bCs w:val="0"/>
                    </w:rPr>
                  </w:pPr>
                  <w:r>
                    <w:rPr>
                      <w:rFonts w:hint="default" w:ascii="Times New Roman" w:hAnsi="Times New Roman" w:cs="Times New Roman"/>
                      <w:b w:val="0"/>
                      <w:bCs w:val="0"/>
                    </w:rPr>
                    <w:t>0.01638</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eastAsia="宋体" w:cs="Times New Roman"/>
                      <w:b w:val="0"/>
                      <w:bCs w:val="0"/>
                      <w:lang w:val="en-US" w:eastAsia="zh-CN"/>
                    </w:rPr>
                  </w:pPr>
                  <w:r>
                    <w:rPr>
                      <w:rFonts w:hint="default" w:ascii="Times New Roman" w:hAnsi="Times New Roman" w:cs="Times New Roman"/>
                      <w:b w:val="0"/>
                      <w:bCs w:val="0"/>
                      <w:lang w:val="en-US" w:eastAsia="zh-CN"/>
                    </w:rPr>
                    <w:t>0.91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szCs w:val="21"/>
                    </w:rPr>
                    <w:t>200</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w:t>
                  </w:r>
                  <w:r>
                    <w:rPr>
                      <w:rFonts w:hint="default" w:ascii="Times New Roman" w:hAnsi="Times New Roman" w:cs="Times New Roman"/>
                      <w:lang w:val="en-US" w:eastAsia="zh-CN"/>
                    </w:rPr>
                    <w:t>0</w:t>
                  </w:r>
                  <w:r>
                    <w:rPr>
                      <w:rFonts w:hint="default" w:ascii="Times New Roman" w:hAnsi="Times New Roman" w:cs="Times New Roman"/>
                    </w:rPr>
                    <w:t>5193</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lang w:val="en-US" w:eastAsia="zh-CN"/>
                    </w:rPr>
                    <w:t>0.</w:t>
                  </w:r>
                  <w:r>
                    <w:rPr>
                      <w:rFonts w:hint="default" w:ascii="Times New Roman" w:hAnsi="Times New Roman" w:cs="Times New Roman"/>
                    </w:rPr>
                    <w:t>577</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0.01082</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0.72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szCs w:val="21"/>
                    </w:rPr>
                    <w:t>300</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w:t>
                  </w:r>
                  <w:r>
                    <w:rPr>
                      <w:rFonts w:hint="default" w:ascii="Times New Roman" w:hAnsi="Times New Roman" w:cs="Times New Roman"/>
                      <w:lang w:val="en-US" w:eastAsia="zh-CN"/>
                    </w:rPr>
                    <w:t>0</w:t>
                  </w:r>
                  <w:r>
                    <w:rPr>
                      <w:rFonts w:hint="default" w:ascii="Times New Roman" w:hAnsi="Times New Roman" w:cs="Times New Roman"/>
                    </w:rPr>
                    <w:t>02934</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lang w:val="en-US" w:eastAsia="zh-CN"/>
                    </w:rPr>
                    <w:t>0.</w:t>
                  </w:r>
                  <w:r>
                    <w:rPr>
                      <w:rFonts w:hint="default" w:ascii="Times New Roman" w:hAnsi="Times New Roman" w:cs="Times New Roman"/>
                    </w:rPr>
                    <w:t>326</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0.006115</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0.63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szCs w:val="21"/>
                    </w:rPr>
                    <w:t>400</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w:t>
                  </w:r>
                  <w:r>
                    <w:rPr>
                      <w:rFonts w:hint="default" w:ascii="Times New Roman" w:hAnsi="Times New Roman" w:cs="Times New Roman"/>
                      <w:lang w:val="en-US" w:eastAsia="zh-CN"/>
                    </w:rPr>
                    <w:t>0</w:t>
                  </w:r>
                  <w:r>
                    <w:rPr>
                      <w:rFonts w:hint="default" w:ascii="Times New Roman" w:hAnsi="Times New Roman" w:cs="Times New Roman"/>
                    </w:rPr>
                    <w:t>1872</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lang w:val="en-US" w:eastAsia="zh-CN"/>
                    </w:rPr>
                    <w:t>0.</w:t>
                  </w:r>
                  <w:r>
                    <w:rPr>
                      <w:rFonts w:hint="default" w:ascii="Times New Roman" w:hAnsi="Times New Roman" w:cs="Times New Roman"/>
                    </w:rPr>
                    <w:t>208</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0.003902</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0.55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szCs w:val="21"/>
                    </w:rPr>
                    <w:t>500</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w:t>
                  </w:r>
                  <w:r>
                    <w:rPr>
                      <w:rFonts w:hint="default" w:ascii="Times New Roman" w:hAnsi="Times New Roman" w:cs="Times New Roman"/>
                      <w:lang w:val="en-US" w:eastAsia="zh-CN"/>
                    </w:rPr>
                    <w:t>0</w:t>
                  </w:r>
                  <w:r>
                    <w:rPr>
                      <w:rFonts w:hint="default" w:ascii="Times New Roman" w:hAnsi="Times New Roman" w:cs="Times New Roman"/>
                    </w:rPr>
                    <w:t>1312</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lang w:val="en-US" w:eastAsia="zh-CN"/>
                    </w:rPr>
                    <w:t>0.</w:t>
                  </w:r>
                  <w:r>
                    <w:rPr>
                      <w:rFonts w:hint="default" w:ascii="Times New Roman" w:hAnsi="Times New Roman" w:cs="Times New Roman"/>
                    </w:rPr>
                    <w:t>146</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0.002733</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szCs w:val="21"/>
                    </w:rPr>
                    <w:t>1000</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0.00</w:t>
                  </w:r>
                  <w:r>
                    <w:rPr>
                      <w:rFonts w:hint="default" w:ascii="Times New Roman" w:hAnsi="Times New Roman" w:cs="Times New Roman"/>
                      <w:lang w:val="en-US" w:eastAsia="zh-CN"/>
                    </w:rPr>
                    <w:t>0</w:t>
                  </w:r>
                  <w:r>
                    <w:rPr>
                      <w:rFonts w:hint="default" w:ascii="Times New Roman" w:hAnsi="Times New Roman" w:cs="Times New Roman"/>
                    </w:rPr>
                    <w:t>4415</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w:t>
                  </w:r>
                  <w:r>
                    <w:rPr>
                      <w:rFonts w:hint="default" w:ascii="Times New Roman" w:hAnsi="Times New Roman" w:cs="Times New Roman"/>
                      <w:lang w:val="en-US" w:eastAsia="zh-CN"/>
                    </w:rPr>
                    <w:t>0</w:t>
                  </w:r>
                  <w:r>
                    <w:rPr>
                      <w:rFonts w:hint="default" w:ascii="Times New Roman" w:hAnsi="Times New Roman" w:cs="Times New Roman"/>
                    </w:rPr>
                    <w:t>49</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0.0009201</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szCs w:val="21"/>
                    </w:rPr>
                    <w:t>1500</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w:t>
                  </w:r>
                  <w:r>
                    <w:rPr>
                      <w:rFonts w:hint="default" w:ascii="Times New Roman" w:hAnsi="Times New Roman" w:cs="Times New Roman"/>
                      <w:lang w:val="en-US" w:eastAsia="zh-CN"/>
                    </w:rPr>
                    <w:t>0</w:t>
                  </w:r>
                  <w:r>
                    <w:rPr>
                      <w:rFonts w:hint="default" w:ascii="Times New Roman" w:hAnsi="Times New Roman" w:cs="Times New Roman"/>
                    </w:rPr>
                    <w:t>02411</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w:t>
                  </w:r>
                  <w:r>
                    <w:rPr>
                      <w:rFonts w:hint="default" w:ascii="Times New Roman" w:hAnsi="Times New Roman" w:cs="Times New Roman"/>
                      <w:lang w:val="en-US" w:eastAsia="zh-CN"/>
                    </w:rPr>
                    <w:t>0</w:t>
                  </w:r>
                  <w:r>
                    <w:rPr>
                      <w:rFonts w:hint="default" w:ascii="Times New Roman" w:hAnsi="Times New Roman" w:cs="Times New Roman"/>
                    </w:rPr>
                    <w:t>27</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0.0005024</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szCs w:val="21"/>
                    </w:rPr>
                  </w:pPr>
                  <w:r>
                    <w:rPr>
                      <w:rFonts w:hint="default" w:ascii="Times New Roman" w:hAnsi="Times New Roman" w:cs="Times New Roman"/>
                      <w:szCs w:val="21"/>
                    </w:rPr>
                    <w:t>2000</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w:t>
                  </w:r>
                  <w:r>
                    <w:rPr>
                      <w:rFonts w:hint="default" w:ascii="Times New Roman" w:hAnsi="Times New Roman" w:cs="Times New Roman"/>
                      <w:lang w:val="en-US" w:eastAsia="zh-CN"/>
                    </w:rPr>
                    <w:t>0</w:t>
                  </w:r>
                  <w:r>
                    <w:rPr>
                      <w:rFonts w:hint="default" w:ascii="Times New Roman" w:hAnsi="Times New Roman" w:cs="Times New Roman"/>
                    </w:rPr>
                    <w:t>01602</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w:t>
                  </w:r>
                  <w:r>
                    <w:rPr>
                      <w:rFonts w:hint="default" w:ascii="Times New Roman" w:hAnsi="Times New Roman" w:cs="Times New Roman"/>
                      <w:lang w:val="en-US" w:eastAsia="zh-CN"/>
                    </w:rPr>
                    <w:t>0</w:t>
                  </w:r>
                  <w:r>
                    <w:rPr>
                      <w:rFonts w:hint="default" w:ascii="Times New Roman" w:hAnsi="Times New Roman" w:cs="Times New Roman"/>
                    </w:rPr>
                    <w:t>18</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0.0003339</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cs="Times New Roman"/>
                    </w:rPr>
                  </w:pPr>
                  <w:r>
                    <w:rPr>
                      <w:rFonts w:hint="default" w:ascii="Times New Roman" w:hAnsi="Times New Roman" w:cs="Times New Roman"/>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pStyle w:val="184"/>
                    <w:spacing w:line="360" w:lineRule="auto"/>
                    <w:rPr>
                      <w:rFonts w:hint="default" w:ascii="Times New Roman" w:hAnsi="Times New Roman" w:cs="Times New Roman"/>
                      <w:szCs w:val="21"/>
                    </w:rPr>
                  </w:pPr>
                  <w:r>
                    <w:rPr>
                      <w:rFonts w:hint="default" w:ascii="Times New Roman" w:hAnsi="Times New Roman" w:cs="Times New Roman"/>
                      <w:color w:val="auto"/>
                      <w:sz w:val="22"/>
                      <w:szCs w:val="22"/>
                      <w:u w:val="none" w:color="auto"/>
                    </w:rPr>
                    <w:t>最大落地浓度</w:t>
                  </w:r>
                </w:p>
              </w:tc>
              <w:tc>
                <w:tcPr>
                  <w:tcW w:w="183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b w:val="0"/>
                      <w:bCs w:val="0"/>
                    </w:rPr>
                  </w:pPr>
                  <w:r>
                    <w:rPr>
                      <w:rFonts w:hint="default" w:ascii="Times New Roman" w:hAnsi="Times New Roman" w:cs="Times New Roman"/>
                      <w:b w:val="0"/>
                      <w:bCs w:val="0"/>
                    </w:rPr>
                    <w:t>0.0</w:t>
                  </w:r>
                  <w:r>
                    <w:rPr>
                      <w:rFonts w:hint="default" w:ascii="Times New Roman" w:hAnsi="Times New Roman" w:cs="Times New Roman"/>
                      <w:b w:val="0"/>
                      <w:bCs w:val="0"/>
                      <w:lang w:val="en-US" w:eastAsia="zh-CN"/>
                    </w:rPr>
                    <w:t>0</w:t>
                  </w:r>
                  <w:r>
                    <w:rPr>
                      <w:rFonts w:hint="default" w:ascii="Times New Roman" w:hAnsi="Times New Roman" w:cs="Times New Roman"/>
                      <w:b w:val="0"/>
                      <w:bCs w:val="0"/>
                    </w:rPr>
                    <w:t>7857</w:t>
                  </w:r>
                </w:p>
              </w:tc>
              <w:tc>
                <w:tcPr>
                  <w:tcW w:w="1759"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b w:val="0"/>
                      <w:bCs w:val="0"/>
                    </w:rPr>
                  </w:pPr>
                  <w:r>
                    <w:rPr>
                      <w:rFonts w:hint="default" w:ascii="Times New Roman" w:hAnsi="Times New Roman" w:cs="Times New Roman"/>
                      <w:b w:val="0"/>
                      <w:bCs w:val="0"/>
                      <w:lang w:val="en-US" w:eastAsia="zh-CN"/>
                    </w:rPr>
                    <w:t>0.</w:t>
                  </w:r>
                  <w:r>
                    <w:rPr>
                      <w:rFonts w:hint="default" w:ascii="Times New Roman" w:hAnsi="Times New Roman" w:cs="Times New Roman"/>
                      <w:b w:val="0"/>
                      <w:bCs w:val="0"/>
                    </w:rPr>
                    <w:t>873</w:t>
                  </w:r>
                </w:p>
              </w:tc>
              <w:tc>
                <w:tcPr>
                  <w:tcW w:w="1842" w:type="dxa"/>
                  <w:tcBorders>
                    <w:top w:val="single" w:color="auto" w:sz="6" w:space="0"/>
                    <w:left w:val="single" w:color="auto" w:sz="6" w:space="0"/>
                    <w:bottom w:val="single" w:color="auto" w:sz="6" w:space="0"/>
                    <w:right w:val="single" w:color="auto" w:sz="6" w:space="0"/>
                  </w:tcBorders>
                  <w:noWrap w:val="0"/>
                  <w:vAlign w:val="top"/>
                </w:tcPr>
                <w:p>
                  <w:pPr>
                    <w:spacing w:line="360" w:lineRule="auto"/>
                    <w:jc w:val="center"/>
                    <w:rPr>
                      <w:rFonts w:hint="default" w:ascii="Times New Roman" w:hAnsi="Times New Roman" w:cs="Times New Roman"/>
                      <w:b w:val="0"/>
                      <w:bCs w:val="0"/>
                    </w:rPr>
                  </w:pPr>
                  <w:r>
                    <w:rPr>
                      <w:rFonts w:hint="default" w:ascii="Times New Roman" w:hAnsi="Times New Roman" w:cs="Times New Roman"/>
                      <w:b w:val="0"/>
                      <w:bCs w:val="0"/>
                    </w:rPr>
                    <w:t>0.01638</w:t>
                  </w:r>
                </w:p>
              </w:tc>
              <w:tc>
                <w:tcPr>
                  <w:tcW w:w="1762" w:type="dxa"/>
                  <w:tcBorders>
                    <w:top w:val="single" w:color="auto" w:sz="6" w:space="0"/>
                    <w:left w:val="single" w:color="auto" w:sz="6" w:space="0"/>
                    <w:bottom w:val="single" w:color="auto" w:sz="6" w:space="0"/>
                    <w:right w:val="single" w:color="auto" w:sz="12" w:space="0"/>
                  </w:tcBorders>
                  <w:noWrap w:val="0"/>
                  <w:vAlign w:val="top"/>
                </w:tcPr>
                <w:p>
                  <w:pPr>
                    <w:spacing w:line="360" w:lineRule="auto"/>
                    <w:jc w:val="center"/>
                    <w:rPr>
                      <w:rFonts w:hint="default" w:ascii="Times New Roman" w:hAnsi="Times New Roman" w:cs="Times New Roman"/>
                      <w:b w:val="0"/>
                      <w:bCs w:val="0"/>
                    </w:rPr>
                  </w:pPr>
                  <w:r>
                    <w:rPr>
                      <w:rFonts w:hint="default" w:ascii="Times New Roman" w:hAnsi="Times New Roman" w:cs="Times New Roman"/>
                      <w:b w:val="0"/>
                      <w:bCs w:val="0"/>
                      <w:lang w:val="en-US" w:eastAsia="zh-CN"/>
                    </w:rPr>
                    <w:t>0.91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c>
                <w:tcPr>
                  <w:tcW w:w="1820" w:type="dxa"/>
                  <w:tcBorders>
                    <w:top w:val="single" w:color="auto" w:sz="6" w:space="0"/>
                    <w:left w:val="single" w:color="auto" w:sz="12" w:space="0"/>
                    <w:bottom w:val="single" w:color="auto" w:sz="6" w:space="0"/>
                    <w:right w:val="single" w:color="auto" w:sz="6" w:space="0"/>
                  </w:tcBorders>
                  <w:noWrap w:val="0"/>
                  <w:vAlign w:val="center"/>
                </w:tcPr>
                <w:p>
                  <w:pPr>
                    <w:pStyle w:val="184"/>
                    <w:spacing w:line="360" w:lineRule="auto"/>
                    <w:rPr>
                      <w:rFonts w:hint="default" w:ascii="Times New Roman" w:hAnsi="Times New Roman" w:cs="Times New Roman"/>
                      <w:szCs w:val="21"/>
                    </w:rPr>
                  </w:pPr>
                  <w:r>
                    <w:rPr>
                      <w:rFonts w:hint="default" w:ascii="Times New Roman" w:hAnsi="Times New Roman" w:cs="Times New Roman"/>
                      <w:color w:val="auto"/>
                      <w:sz w:val="22"/>
                      <w:szCs w:val="22"/>
                      <w:u w:val="none" w:color="auto"/>
                    </w:rPr>
                    <w:t>最大落地距离</w:t>
                  </w:r>
                </w:p>
              </w:tc>
              <w:tc>
                <w:tcPr>
                  <w:tcW w:w="7202" w:type="dxa"/>
                  <w:gridSpan w:val="4"/>
                  <w:tcBorders>
                    <w:top w:val="single" w:color="auto" w:sz="6" w:space="0"/>
                    <w:left w:val="single" w:color="auto" w:sz="6" w:space="0"/>
                    <w:bottom w:val="single" w:color="auto" w:sz="6" w:space="0"/>
                    <w:right w:val="single" w:color="auto" w:sz="6" w:space="0"/>
                  </w:tcBorders>
                  <w:noWrap w:val="0"/>
                  <w:vAlign w:val="center"/>
                </w:tcPr>
                <w:p>
                  <w:pPr>
                    <w:pStyle w:val="184"/>
                    <w:spacing w:line="360" w:lineRule="auto"/>
                    <w:rPr>
                      <w:rFonts w:hint="default" w:ascii="Times New Roman" w:hAnsi="Times New Roman" w:cs="Times New Roman"/>
                      <w:lang w:val="en-US"/>
                    </w:rPr>
                  </w:pPr>
                  <w:r>
                    <w:rPr>
                      <w:rFonts w:hint="default" w:ascii="Times New Roman" w:hAnsi="Times New Roman" w:cs="Times New Roman"/>
                      <w:color w:val="auto"/>
                      <w:sz w:val="22"/>
                      <w:szCs w:val="22"/>
                      <w:u w:val="none" w:color="auto"/>
                      <w:lang w:val="en-US" w:eastAsia="zh-CN"/>
                    </w:rPr>
                    <w:t>114</w:t>
                  </w:r>
                </w:p>
              </w:tc>
            </w:tr>
          </w:tbl>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val="en-US" w:eastAsia="zh-CN"/>
              </w:rPr>
              <w:t xml:space="preserve">  有组织排放废气预测结果表</w:t>
            </w:r>
            <w:r>
              <w:rPr>
                <w:rFonts w:hint="eastAsia" w:cs="Times New Roman"/>
                <w:color w:val="auto"/>
                <w:sz w:val="24"/>
                <w:szCs w:val="24"/>
                <w:u w:val="none" w:color="auto"/>
                <w:lang w:val="en-US" w:eastAsia="zh-CN"/>
              </w:rPr>
              <w:t>（耐高温检测废气）</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32"/>
              <w:gridCol w:w="1335"/>
              <w:gridCol w:w="1137"/>
              <w:gridCol w:w="1453"/>
              <w:gridCol w:w="932"/>
              <w:gridCol w:w="1563"/>
              <w:gridCol w:w="11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vMerge w:val="restart"/>
                  <w:noWrap w:val="0"/>
                  <w:vAlign w:val="center"/>
                </w:tcPr>
                <w:p>
                  <w:pPr>
                    <w:pStyle w:val="184"/>
                    <w:spacing w:line="360" w:lineRule="auto"/>
                    <w:rPr>
                      <w:color w:val="auto"/>
                      <w:u w:val="none" w:color="auto"/>
                    </w:rPr>
                  </w:pPr>
                  <w:r>
                    <w:rPr>
                      <w:color w:val="auto"/>
                      <w:u w:val="none" w:color="auto"/>
                    </w:rPr>
                    <w:t>距离</w:t>
                  </w:r>
                </w:p>
              </w:tc>
              <w:tc>
                <w:tcPr>
                  <w:tcW w:w="1363" w:type="pct"/>
                  <w:gridSpan w:val="2"/>
                  <w:noWrap w:val="0"/>
                  <w:vAlign w:val="center"/>
                </w:tcPr>
                <w:p>
                  <w:pPr>
                    <w:pStyle w:val="184"/>
                    <w:spacing w:line="360" w:lineRule="auto"/>
                    <w:rPr>
                      <w:rFonts w:hint="eastAsia"/>
                      <w:color w:val="auto"/>
                      <w:u w:val="none" w:color="auto"/>
                    </w:rPr>
                  </w:pPr>
                  <w:r>
                    <w:rPr>
                      <w:rFonts w:hint="eastAsia"/>
                      <w:color w:val="auto"/>
                      <w:u w:val="none" w:color="auto"/>
                    </w:rPr>
                    <w:t>有组织排放</w:t>
                  </w:r>
                  <w:r>
                    <w:rPr>
                      <w:rFonts w:hint="eastAsia"/>
                      <w:color w:val="auto"/>
                      <w:u w:val="none" w:color="auto"/>
                      <w:lang w:eastAsia="zh-CN"/>
                    </w:rPr>
                    <w:t>粉尘</w:t>
                  </w:r>
                </w:p>
              </w:tc>
              <w:tc>
                <w:tcPr>
                  <w:tcW w:w="1315" w:type="pct"/>
                  <w:gridSpan w:val="2"/>
                  <w:noWrap w:val="0"/>
                  <w:vAlign w:val="center"/>
                </w:tcPr>
                <w:p>
                  <w:pPr>
                    <w:pStyle w:val="184"/>
                    <w:spacing w:line="360" w:lineRule="auto"/>
                    <w:rPr>
                      <w:rFonts w:hint="eastAsia"/>
                      <w:color w:val="auto"/>
                      <w:u w:val="none" w:color="auto"/>
                    </w:rPr>
                  </w:pPr>
                  <w:r>
                    <w:rPr>
                      <w:rFonts w:hint="eastAsia"/>
                      <w:color w:val="auto"/>
                      <w:u w:val="none" w:color="auto"/>
                    </w:rPr>
                    <w:t>有组织排放</w:t>
                  </w:r>
                  <w:r>
                    <w:rPr>
                      <w:rFonts w:hint="eastAsia"/>
                      <w:color w:val="auto"/>
                      <w:u w:val="none" w:color="auto"/>
                      <w:lang w:val="en-US" w:eastAsia="zh-CN"/>
                    </w:rPr>
                    <w:t>SO</w:t>
                  </w:r>
                  <w:r>
                    <w:rPr>
                      <w:rFonts w:hint="eastAsia"/>
                      <w:color w:val="auto"/>
                      <w:u w:val="none" w:color="auto"/>
                      <w:vertAlign w:val="subscript"/>
                      <w:lang w:val="en-US" w:eastAsia="zh-CN"/>
                    </w:rPr>
                    <w:t>2</w:t>
                  </w:r>
                </w:p>
              </w:tc>
              <w:tc>
                <w:tcPr>
                  <w:tcW w:w="1476" w:type="pct"/>
                  <w:gridSpan w:val="2"/>
                  <w:noWrap w:val="0"/>
                  <w:vAlign w:val="center"/>
                </w:tcPr>
                <w:p>
                  <w:pPr>
                    <w:pStyle w:val="184"/>
                    <w:spacing w:line="360" w:lineRule="auto"/>
                    <w:rPr>
                      <w:rFonts w:hint="eastAsia"/>
                      <w:color w:val="auto"/>
                      <w:u w:val="none" w:color="auto"/>
                    </w:rPr>
                  </w:pPr>
                  <w:r>
                    <w:rPr>
                      <w:rFonts w:hint="eastAsia"/>
                      <w:color w:val="auto"/>
                      <w:u w:val="none" w:color="auto"/>
                    </w:rPr>
                    <w:t>有组织排放</w:t>
                  </w:r>
                  <w:r>
                    <w:rPr>
                      <w:rFonts w:hint="eastAsia"/>
                      <w:color w:val="auto"/>
                      <w:u w:val="none" w:color="auto"/>
                      <w:lang w:val="en-US" w:eastAsia="zh-CN"/>
                    </w:rPr>
                    <w:t>NOx</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vMerge w:val="continue"/>
                  <w:noWrap w:val="0"/>
                  <w:vAlign w:val="center"/>
                </w:tcPr>
                <w:p>
                  <w:pPr>
                    <w:pStyle w:val="184"/>
                    <w:spacing w:line="360" w:lineRule="auto"/>
                    <w:rPr>
                      <w:color w:val="auto"/>
                      <w:u w:val="none" w:color="auto"/>
                    </w:rPr>
                  </w:pPr>
                </w:p>
              </w:tc>
              <w:tc>
                <w:tcPr>
                  <w:tcW w:w="736" w:type="pct"/>
                  <w:noWrap w:val="0"/>
                  <w:vAlign w:val="center"/>
                </w:tcPr>
                <w:p>
                  <w:pPr>
                    <w:pStyle w:val="184"/>
                    <w:spacing w:line="360" w:lineRule="auto"/>
                    <w:rPr>
                      <w:color w:val="auto"/>
                      <w:u w:val="none" w:color="auto"/>
                    </w:rPr>
                  </w:pPr>
                  <w:r>
                    <w:rPr>
                      <w:color w:val="auto"/>
                      <w:u w:val="none" w:color="auto"/>
                    </w:rPr>
                    <w:t>浓度</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p>
              </w:tc>
              <w:tc>
                <w:tcPr>
                  <w:tcW w:w="627" w:type="pct"/>
                  <w:noWrap w:val="0"/>
                  <w:vAlign w:val="center"/>
                </w:tcPr>
                <w:p>
                  <w:pPr>
                    <w:pStyle w:val="184"/>
                    <w:spacing w:line="360" w:lineRule="auto"/>
                    <w:rPr>
                      <w:color w:val="auto"/>
                      <w:u w:val="none" w:color="auto"/>
                    </w:rPr>
                  </w:pPr>
                  <w:r>
                    <w:rPr>
                      <w:color w:val="auto"/>
                      <w:u w:val="none" w:color="auto"/>
                    </w:rPr>
                    <w:t>占标率%</w:t>
                  </w:r>
                </w:p>
              </w:tc>
              <w:tc>
                <w:tcPr>
                  <w:tcW w:w="801" w:type="pct"/>
                  <w:noWrap w:val="0"/>
                  <w:vAlign w:val="center"/>
                </w:tcPr>
                <w:p>
                  <w:pPr>
                    <w:pStyle w:val="184"/>
                    <w:spacing w:line="360" w:lineRule="auto"/>
                    <w:rPr>
                      <w:color w:val="auto"/>
                      <w:u w:val="none" w:color="auto"/>
                    </w:rPr>
                  </w:pPr>
                  <w:r>
                    <w:rPr>
                      <w:color w:val="auto"/>
                      <w:u w:val="none" w:color="auto"/>
                    </w:rPr>
                    <w:t>浓度</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p>
              </w:tc>
              <w:tc>
                <w:tcPr>
                  <w:tcW w:w="514" w:type="pct"/>
                  <w:noWrap w:val="0"/>
                  <w:vAlign w:val="center"/>
                </w:tcPr>
                <w:p>
                  <w:pPr>
                    <w:pStyle w:val="184"/>
                    <w:spacing w:line="360" w:lineRule="auto"/>
                    <w:rPr>
                      <w:color w:val="auto"/>
                      <w:u w:val="none" w:color="auto"/>
                    </w:rPr>
                  </w:pPr>
                  <w:r>
                    <w:rPr>
                      <w:color w:val="auto"/>
                      <w:u w:val="none" w:color="auto"/>
                    </w:rPr>
                    <w:t>占标率%</w:t>
                  </w:r>
                </w:p>
              </w:tc>
              <w:tc>
                <w:tcPr>
                  <w:tcW w:w="862" w:type="pct"/>
                  <w:noWrap w:val="0"/>
                  <w:vAlign w:val="center"/>
                </w:tcPr>
                <w:p>
                  <w:pPr>
                    <w:pStyle w:val="184"/>
                    <w:spacing w:line="360" w:lineRule="auto"/>
                    <w:rPr>
                      <w:color w:val="auto"/>
                      <w:u w:val="none" w:color="auto"/>
                    </w:rPr>
                  </w:pPr>
                  <w:r>
                    <w:rPr>
                      <w:color w:val="auto"/>
                      <w:u w:val="none" w:color="auto"/>
                    </w:rPr>
                    <w:t>浓度</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p>
              </w:tc>
              <w:tc>
                <w:tcPr>
                  <w:tcW w:w="613" w:type="pct"/>
                  <w:noWrap w:val="0"/>
                  <w:vAlign w:val="center"/>
                </w:tcPr>
                <w:p>
                  <w:pPr>
                    <w:pStyle w:val="184"/>
                    <w:spacing w:line="360" w:lineRule="auto"/>
                    <w:rPr>
                      <w:color w:val="auto"/>
                      <w:u w:val="none" w:color="auto"/>
                    </w:rPr>
                  </w:pPr>
                  <w:r>
                    <w:rPr>
                      <w:color w:val="auto"/>
                      <w:u w:val="none" w:color="auto"/>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100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0.00554</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0.55</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0.041</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2.159</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200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0.00686</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0.69</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0.049</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2.672</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300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0.00727</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0.73</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0.052</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2.833</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400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0.00698</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0.7</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0.053</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2.72</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500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0.00697</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0.7</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0.054</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2.714</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b/>
                      <w:bCs/>
                      <w:color w:val="auto"/>
                      <w:u w:val="none" w:color="auto"/>
                    </w:rPr>
                  </w:pPr>
                  <w:r>
                    <w:rPr>
                      <w:rFonts w:hint="eastAsia"/>
                      <w:b/>
                      <w:bCs/>
                      <w:color w:val="auto"/>
                      <w:u w:val="none" w:color="auto"/>
                      <w:lang w:val="en-US" w:eastAsia="zh-CN"/>
                    </w:rPr>
                    <w:t>52</w:t>
                  </w:r>
                  <w:r>
                    <w:rPr>
                      <w:rFonts w:hint="eastAsia"/>
                      <w:b/>
                      <w:bCs/>
                      <w:color w:val="auto"/>
                      <w:u w:val="none" w:color="auto"/>
                    </w:rPr>
                    <w:t>5</w:t>
                  </w:r>
                </w:p>
              </w:tc>
              <w:tc>
                <w:tcPr>
                  <w:tcW w:w="736"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0.00915</w:t>
                  </w:r>
                </w:p>
              </w:tc>
              <w:tc>
                <w:tcPr>
                  <w:tcW w:w="627"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0.92</w:t>
                  </w:r>
                </w:p>
              </w:tc>
              <w:tc>
                <w:tcPr>
                  <w:tcW w:w="801"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0.067</w:t>
                  </w:r>
                </w:p>
              </w:tc>
              <w:tc>
                <w:tcPr>
                  <w:tcW w:w="514"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0.02</w:t>
                  </w:r>
                </w:p>
              </w:tc>
              <w:tc>
                <w:tcPr>
                  <w:tcW w:w="862"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3.564</w:t>
                  </w:r>
                </w:p>
              </w:tc>
              <w:tc>
                <w:tcPr>
                  <w:tcW w:w="613"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1000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0.00855</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0.86</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0.061</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0.02</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3.33</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1500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0.00783</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0.78</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0.056</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3.05</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2000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0.00681</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0.68</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0.049</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2.653</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845" w:type="pct"/>
                  <w:tcBorders>
                    <w:bottom w:val="single" w:color="000000" w:sz="12" w:space="0"/>
                  </w:tcBorders>
                  <w:noWrap w:val="0"/>
                  <w:vAlign w:val="center"/>
                </w:tcPr>
                <w:p>
                  <w:pPr>
                    <w:pStyle w:val="184"/>
                    <w:spacing w:line="360" w:lineRule="auto"/>
                    <w:rPr>
                      <w:color w:val="auto"/>
                      <w:u w:val="none" w:color="auto"/>
                    </w:rPr>
                  </w:pPr>
                  <w:r>
                    <w:rPr>
                      <w:color w:val="auto"/>
                      <w:u w:val="none" w:color="auto"/>
                    </w:rPr>
                    <w:t>最大落地浓度</w:t>
                  </w:r>
                </w:p>
              </w:tc>
              <w:tc>
                <w:tcPr>
                  <w:tcW w:w="736" w:type="pct"/>
                  <w:tcBorders>
                    <w:bottom w:val="single" w:color="000000" w:sz="12" w:space="0"/>
                  </w:tcBorders>
                  <w:noWrap w:val="0"/>
                  <w:vAlign w:val="center"/>
                </w:tcPr>
                <w:p>
                  <w:pPr>
                    <w:pStyle w:val="184"/>
                    <w:spacing w:line="360" w:lineRule="auto"/>
                    <w:rPr>
                      <w:rFonts w:hint="eastAsia"/>
                      <w:color w:val="auto"/>
                      <w:u w:val="none" w:color="auto"/>
                    </w:rPr>
                  </w:pPr>
                  <w:r>
                    <w:rPr>
                      <w:rFonts w:hint="eastAsia"/>
                      <w:b/>
                      <w:bCs/>
                      <w:color w:val="auto"/>
                      <w:u w:val="none" w:color="auto"/>
                      <w:lang w:val="en-US" w:eastAsia="zh-CN"/>
                    </w:rPr>
                    <w:t>0.00915</w:t>
                  </w:r>
                </w:p>
              </w:tc>
              <w:tc>
                <w:tcPr>
                  <w:tcW w:w="627" w:type="pct"/>
                  <w:tcBorders>
                    <w:bottom w:val="single" w:color="000000" w:sz="12" w:space="0"/>
                  </w:tcBorders>
                  <w:noWrap w:val="0"/>
                  <w:vAlign w:val="center"/>
                </w:tcPr>
                <w:p>
                  <w:pPr>
                    <w:pStyle w:val="184"/>
                    <w:spacing w:line="360" w:lineRule="auto"/>
                    <w:rPr>
                      <w:rFonts w:hint="eastAsia"/>
                      <w:color w:val="auto"/>
                      <w:u w:val="none" w:color="auto"/>
                    </w:rPr>
                  </w:pPr>
                  <w:r>
                    <w:rPr>
                      <w:rFonts w:hint="eastAsia"/>
                      <w:b/>
                      <w:bCs/>
                      <w:color w:val="auto"/>
                      <w:u w:val="none" w:color="auto"/>
                      <w:lang w:val="en-US" w:eastAsia="zh-CN"/>
                    </w:rPr>
                    <w:t>0.92</w:t>
                  </w:r>
                </w:p>
              </w:tc>
              <w:tc>
                <w:tcPr>
                  <w:tcW w:w="801" w:type="pct"/>
                  <w:tcBorders>
                    <w:bottom w:val="single" w:color="000000" w:sz="12" w:space="0"/>
                  </w:tcBorders>
                  <w:noWrap w:val="0"/>
                  <w:vAlign w:val="center"/>
                </w:tcPr>
                <w:p>
                  <w:pPr>
                    <w:pStyle w:val="184"/>
                    <w:spacing w:line="360" w:lineRule="auto"/>
                    <w:rPr>
                      <w:rFonts w:hint="eastAsia"/>
                      <w:color w:val="auto"/>
                      <w:u w:val="none" w:color="auto"/>
                    </w:rPr>
                  </w:pPr>
                  <w:r>
                    <w:rPr>
                      <w:rFonts w:hint="eastAsia"/>
                      <w:b/>
                      <w:bCs/>
                      <w:color w:val="auto"/>
                      <w:u w:val="none" w:color="auto"/>
                      <w:lang w:val="en-US" w:eastAsia="zh-CN"/>
                    </w:rPr>
                    <w:t>0.067</w:t>
                  </w:r>
                </w:p>
              </w:tc>
              <w:tc>
                <w:tcPr>
                  <w:tcW w:w="514" w:type="pct"/>
                  <w:tcBorders>
                    <w:bottom w:val="single" w:color="000000" w:sz="12" w:space="0"/>
                  </w:tcBorders>
                  <w:noWrap w:val="0"/>
                  <w:vAlign w:val="center"/>
                </w:tcPr>
                <w:p>
                  <w:pPr>
                    <w:pStyle w:val="184"/>
                    <w:spacing w:line="360" w:lineRule="auto"/>
                    <w:rPr>
                      <w:rFonts w:hint="eastAsia"/>
                      <w:color w:val="auto"/>
                      <w:u w:val="none" w:color="auto"/>
                    </w:rPr>
                  </w:pPr>
                  <w:r>
                    <w:rPr>
                      <w:rFonts w:hint="eastAsia"/>
                      <w:b/>
                      <w:bCs/>
                      <w:color w:val="auto"/>
                      <w:u w:val="none" w:color="auto"/>
                      <w:lang w:val="en-US" w:eastAsia="zh-CN"/>
                    </w:rPr>
                    <w:t>0.02</w:t>
                  </w:r>
                </w:p>
              </w:tc>
              <w:tc>
                <w:tcPr>
                  <w:tcW w:w="862" w:type="pct"/>
                  <w:tcBorders>
                    <w:bottom w:val="single" w:color="000000" w:sz="12" w:space="0"/>
                  </w:tcBorders>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3.564</w:t>
                  </w:r>
                </w:p>
              </w:tc>
              <w:tc>
                <w:tcPr>
                  <w:tcW w:w="613" w:type="pct"/>
                  <w:tcBorders>
                    <w:bottom w:val="single" w:color="000000" w:sz="12" w:space="0"/>
                  </w:tcBorders>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845" w:type="pct"/>
                  <w:tcBorders>
                    <w:top w:val="single" w:color="000000" w:sz="12" w:space="0"/>
                  </w:tcBorders>
                  <w:noWrap w:val="0"/>
                  <w:vAlign w:val="center"/>
                </w:tcPr>
                <w:p>
                  <w:pPr>
                    <w:pStyle w:val="184"/>
                    <w:spacing w:line="360" w:lineRule="auto"/>
                    <w:rPr>
                      <w:color w:val="auto"/>
                      <w:u w:val="none" w:color="auto"/>
                    </w:rPr>
                  </w:pPr>
                  <w:r>
                    <w:rPr>
                      <w:color w:val="auto"/>
                      <w:u w:val="none" w:color="auto"/>
                    </w:rPr>
                    <w:t>最大落地距离</w:t>
                  </w:r>
                </w:p>
              </w:tc>
              <w:tc>
                <w:tcPr>
                  <w:tcW w:w="4154" w:type="pct"/>
                  <w:gridSpan w:val="6"/>
                  <w:tcBorders>
                    <w:top w:val="single" w:color="000000" w:sz="12" w:space="0"/>
                  </w:tcBorders>
                  <w:noWrap w:val="0"/>
                  <w:vAlign w:val="center"/>
                </w:tcPr>
                <w:p>
                  <w:pPr>
                    <w:pStyle w:val="184"/>
                    <w:spacing w:line="360" w:lineRule="auto"/>
                    <w:rPr>
                      <w:rFonts w:hint="default"/>
                      <w:b/>
                      <w:bCs/>
                      <w:color w:val="auto"/>
                      <w:u w:val="none" w:color="auto"/>
                      <w:lang w:val="en-US" w:eastAsia="zh-CN"/>
                    </w:rPr>
                  </w:pPr>
                  <w:r>
                    <w:rPr>
                      <w:rFonts w:hint="eastAsia"/>
                      <w:b/>
                      <w:bCs/>
                      <w:color w:val="auto"/>
                      <w:u w:val="none" w:color="auto"/>
                      <w:lang w:val="en-US" w:eastAsia="zh-CN"/>
                    </w:rPr>
                    <w:t>525</w:t>
                  </w:r>
                </w:p>
              </w:tc>
            </w:tr>
          </w:tbl>
          <w:p>
            <w:pPr>
              <w:tabs>
                <w:tab w:val="left" w:pos="103"/>
              </w:tabs>
              <w:autoSpaceDE w:val="0"/>
              <w:autoSpaceDN w:val="0"/>
              <w:spacing w:line="360" w:lineRule="auto"/>
              <w:ind w:firstLine="462" w:firstLineChars="200"/>
              <w:jc w:val="center"/>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有</w:t>
            </w:r>
            <w:r>
              <w:rPr>
                <w:rFonts w:hint="default" w:ascii="Times New Roman" w:hAnsi="Times New Roman" w:cs="Times New Roman"/>
                <w:color w:val="auto"/>
                <w:sz w:val="24"/>
                <w:szCs w:val="24"/>
                <w:u w:val="none" w:color="auto"/>
              </w:rPr>
              <w:t>组织排放的</w:t>
            </w:r>
            <w:r>
              <w:rPr>
                <w:rFonts w:hint="default" w:ascii="Times New Roman" w:hAnsi="Times New Roman" w:cs="Times New Roman"/>
                <w:color w:val="auto"/>
                <w:sz w:val="24"/>
                <w:szCs w:val="24"/>
                <w:u w:val="none" w:color="auto"/>
                <w:lang w:eastAsia="zh-CN"/>
              </w:rPr>
              <w:t>颗粒物</w:t>
            </w:r>
            <w:r>
              <w:rPr>
                <w:rFonts w:hint="default" w:ascii="Times New Roman" w:hAnsi="Times New Roman" w:cs="Times New Roman"/>
                <w:color w:val="auto"/>
                <w:sz w:val="24"/>
                <w:szCs w:val="24"/>
                <w:u w:val="none" w:color="auto"/>
              </w:rPr>
              <w:t>估算模式式计算结果表</w:t>
            </w:r>
            <w:r>
              <w:rPr>
                <w:rFonts w:hint="eastAsia" w:cs="Times New Roman"/>
                <w:color w:val="auto"/>
                <w:sz w:val="24"/>
                <w:szCs w:val="24"/>
                <w:u w:val="none" w:color="auto"/>
                <w:lang w:eastAsia="zh-CN"/>
              </w:rPr>
              <w:t>（切割废气）</w:t>
            </w:r>
          </w:p>
          <w:tbl>
            <w:tblPr>
              <w:tblStyle w:val="3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199"/>
              <w:gridCol w:w="3143"/>
              <w:gridCol w:w="27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764" w:type="pct"/>
                  <w:vMerge w:val="restar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距源中心下风向距离D/m</w:t>
                  </w:r>
                </w:p>
              </w:tc>
              <w:tc>
                <w:tcPr>
                  <w:tcW w:w="3235" w:type="pct"/>
                  <w:gridSpan w:val="2"/>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有</w:t>
                  </w:r>
                  <w:r>
                    <w:rPr>
                      <w:rFonts w:hint="default" w:ascii="Times New Roman" w:hAnsi="Times New Roman" w:cs="Times New Roman"/>
                      <w:color w:val="auto"/>
                      <w:sz w:val="22"/>
                      <w:szCs w:val="22"/>
                      <w:u w:val="none" w:color="auto"/>
                    </w:rPr>
                    <w:t>组织正常排放的</w:t>
                  </w:r>
                  <w:r>
                    <w:rPr>
                      <w:rFonts w:hint="default" w:ascii="Times New Roman" w:hAnsi="Times New Roman" w:cs="Times New Roman"/>
                      <w:color w:val="auto"/>
                      <w:sz w:val="22"/>
                      <w:szCs w:val="22"/>
                      <w:u w:val="none" w:color="auto"/>
                      <w:lang w:eastAsia="zh-CN"/>
                    </w:rPr>
                    <w:t>喷漆</w:t>
                  </w:r>
                  <w:r>
                    <w:rPr>
                      <w:rFonts w:hint="default" w:ascii="Times New Roman" w:hAnsi="Times New Roman" w:cs="Times New Roman"/>
                      <w:color w:val="auto"/>
                      <w:sz w:val="22"/>
                      <w:szCs w:val="22"/>
                      <w:u w:val="none" w:color="auto"/>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5" w:hRule="atLeast"/>
              </w:trPr>
              <w:tc>
                <w:tcPr>
                  <w:tcW w:w="1764" w:type="pct"/>
                  <w:vMerge w:val="continue"/>
                  <w:tcBorders>
                    <w:tl2br w:val="nil"/>
                    <w:tr2bl w:val="nil"/>
                  </w:tcBorders>
                  <w:noWrap w:val="0"/>
                  <w:tcMar>
                    <w:top w:w="15" w:type="dxa"/>
                    <w:left w:w="15" w:type="dxa"/>
                    <w:right w:w="15" w:type="dxa"/>
                  </w:tcMar>
                  <w:vAlign w:val="center"/>
                </w:tcPr>
                <w:p>
                  <w:pPr>
                    <w:spacing w:line="360" w:lineRule="auto"/>
                    <w:jc w:val="center"/>
                    <w:rPr>
                      <w:rFonts w:hint="default" w:ascii="Times New Roman" w:hAnsi="Times New Roman" w:cs="Times New Roman"/>
                      <w:color w:val="auto"/>
                      <w:sz w:val="22"/>
                      <w:szCs w:val="22"/>
                      <w:u w:val="none" w:color="auto"/>
                    </w:rPr>
                  </w:pPr>
                </w:p>
              </w:tc>
              <w:tc>
                <w:tcPr>
                  <w:tcW w:w="1733"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下风向预测浓度Ci1(</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r>
                    <w:rPr>
                      <w:rFonts w:hint="default" w:ascii="Times New Roman" w:hAnsi="Times New Roman" w:cs="Times New Roman"/>
                      <w:color w:val="auto"/>
                      <w:sz w:val="22"/>
                      <w:szCs w:val="22"/>
                      <w:u w:val="none" w:color="auto"/>
                    </w:rPr>
                    <w:t>)</w:t>
                  </w:r>
                </w:p>
              </w:tc>
              <w:tc>
                <w:tcPr>
                  <w:tcW w:w="1501"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浓度占标率Pi2/%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4"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b/>
                      <w:bCs/>
                      <w:color w:val="auto"/>
                      <w:sz w:val="22"/>
                      <w:szCs w:val="22"/>
                      <w:u w:val="none" w:color="auto"/>
                    </w:rPr>
                  </w:pPr>
                  <w:r>
                    <w:rPr>
                      <w:rFonts w:hint="default" w:ascii="Times New Roman" w:hAnsi="Times New Roman" w:cs="Times New Roman"/>
                      <w:b/>
                      <w:bCs/>
                      <w:color w:val="auto"/>
                      <w:sz w:val="22"/>
                      <w:szCs w:val="22"/>
                      <w:u w:val="none" w:color="auto"/>
                      <w:lang w:val="en-US" w:eastAsia="zh-CN"/>
                    </w:rPr>
                    <w:t>81</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0.9843 </w:t>
                  </w:r>
                </w:p>
              </w:tc>
              <w:tc>
                <w:tcPr>
                  <w:tcW w:w="150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b/>
                      <w:bCs/>
                      <w:color w:val="auto"/>
                      <w:sz w:val="22"/>
                      <w:szCs w:val="22"/>
                      <w:u w:val="none" w:color="auto"/>
                    </w:rPr>
                  </w:pPr>
                  <w:r>
                    <w:rPr>
                      <w:rFonts w:hint="default" w:ascii="Times New Roman" w:hAnsi="Times New Roman" w:cs="Times New Roman"/>
                      <w:b/>
                      <w:bCs/>
                      <w:color w:val="auto"/>
                      <w:sz w:val="22"/>
                      <w:szCs w:val="22"/>
                      <w:u w:val="none" w:color="auto"/>
                      <w:lang w:val="en-US" w:eastAsia="zh-CN"/>
                    </w:rPr>
                    <w:t>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4"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0.8475 </w:t>
                  </w:r>
                </w:p>
              </w:tc>
              <w:tc>
                <w:tcPr>
                  <w:tcW w:w="150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4"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0.8971 </w:t>
                  </w:r>
                </w:p>
              </w:tc>
              <w:tc>
                <w:tcPr>
                  <w:tcW w:w="150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4"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300</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0.8963 </w:t>
                  </w:r>
                </w:p>
              </w:tc>
              <w:tc>
                <w:tcPr>
                  <w:tcW w:w="150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4"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400</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0.7896 </w:t>
                  </w:r>
                </w:p>
              </w:tc>
              <w:tc>
                <w:tcPr>
                  <w:tcW w:w="150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4"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500</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0.7582 </w:t>
                  </w:r>
                </w:p>
              </w:tc>
              <w:tc>
                <w:tcPr>
                  <w:tcW w:w="150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4"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1000</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0.5096 </w:t>
                  </w:r>
                </w:p>
              </w:tc>
              <w:tc>
                <w:tcPr>
                  <w:tcW w:w="150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4"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1500</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0.3621 </w:t>
                  </w:r>
                </w:p>
              </w:tc>
              <w:tc>
                <w:tcPr>
                  <w:tcW w:w="150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4"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2000</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0.3582 </w:t>
                  </w:r>
                </w:p>
              </w:tc>
              <w:tc>
                <w:tcPr>
                  <w:tcW w:w="150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80" w:hRule="atLeast"/>
              </w:trPr>
              <w:tc>
                <w:tcPr>
                  <w:tcW w:w="1764"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下风向最大浓度和占标率（</w:t>
                  </w:r>
                  <w:r>
                    <w:rPr>
                      <w:rFonts w:hint="default" w:ascii="Times New Roman" w:hAnsi="Times New Roman" w:cs="Times New Roman"/>
                      <w:color w:val="auto"/>
                      <w:sz w:val="22"/>
                      <w:szCs w:val="22"/>
                      <w:u w:val="none" w:color="auto"/>
                      <w:lang w:val="en-US" w:eastAsia="zh-CN"/>
                    </w:rPr>
                    <w:t>81</w:t>
                  </w:r>
                  <w:r>
                    <w:rPr>
                      <w:rFonts w:hint="default" w:ascii="Times New Roman" w:hAnsi="Times New Roman" w:cs="Times New Roman"/>
                      <w:color w:val="auto"/>
                      <w:sz w:val="22"/>
                      <w:szCs w:val="22"/>
                      <w:u w:val="none" w:color="auto"/>
                    </w:rPr>
                    <w:t>m）</w:t>
                  </w:r>
                </w:p>
              </w:tc>
              <w:tc>
                <w:tcPr>
                  <w:tcW w:w="314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 xml:space="preserve">0.9843 </w:t>
                  </w:r>
                </w:p>
              </w:tc>
              <w:tc>
                <w:tcPr>
                  <w:tcW w:w="272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b/>
                      <w:bCs/>
                      <w:color w:val="auto"/>
                      <w:sz w:val="22"/>
                      <w:szCs w:val="22"/>
                      <w:u w:val="none" w:color="auto"/>
                      <w:lang w:val="en-US" w:eastAsia="zh-CN"/>
                    </w:rPr>
                    <w:t>0.22</w:t>
                  </w:r>
                </w:p>
              </w:tc>
            </w:tr>
          </w:tbl>
          <w:p>
            <w:pPr>
              <w:spacing w:line="360" w:lineRule="auto"/>
              <w:jc w:val="center"/>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表</w:t>
            </w:r>
            <w:r>
              <w:rPr>
                <w:rFonts w:hint="eastAsia" w:cs="Times New Roman"/>
                <w:color w:val="auto"/>
                <w:sz w:val="24"/>
                <w:szCs w:val="24"/>
                <w:u w:val="none" w:color="auto"/>
                <w:lang w:val="en-US" w:eastAsia="zh-CN"/>
              </w:rPr>
              <w:t>7-10</w:t>
            </w:r>
            <w:r>
              <w:rPr>
                <w:rFonts w:hint="default" w:ascii="Times New Roman" w:hAnsi="Times New Roman" w:cs="Times New Roman"/>
                <w:color w:val="auto"/>
                <w:sz w:val="24"/>
                <w:szCs w:val="24"/>
                <w:u w:val="none" w:color="auto"/>
              </w:rPr>
              <w:t xml:space="preserve"> 无组织排放的粉尘估算模式式计算结果表</w:t>
            </w:r>
            <w:r>
              <w:rPr>
                <w:rFonts w:hint="eastAsia" w:cs="Times New Roman"/>
                <w:color w:val="auto"/>
                <w:sz w:val="24"/>
                <w:szCs w:val="24"/>
                <w:u w:val="none" w:color="auto"/>
                <w:lang w:eastAsia="zh-CN"/>
              </w:rPr>
              <w:t>（抛丸粉尘）</w:t>
            </w:r>
          </w:p>
          <w:tbl>
            <w:tblPr>
              <w:tblStyle w:val="39"/>
              <w:tblW w:w="9070" w:type="dxa"/>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641"/>
              <w:gridCol w:w="3214"/>
              <w:gridCol w:w="3213"/>
              <w:gridCol w:w="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2641" w:type="dxa"/>
                  <w:vMerge w:val="restar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距源中心下风向距离D/m</w:t>
                  </w:r>
                </w:p>
              </w:tc>
              <w:tc>
                <w:tcPr>
                  <w:tcW w:w="6429" w:type="dxa"/>
                  <w:gridSpan w:val="3"/>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无组织正常排放的粉尘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915" w:hRule="atLeast"/>
              </w:trPr>
              <w:tc>
                <w:tcPr>
                  <w:tcW w:w="2641" w:type="dxa"/>
                  <w:vMerge w:val="continue"/>
                  <w:tcBorders>
                    <w:tl2br w:val="nil"/>
                    <w:tr2bl w:val="nil"/>
                  </w:tcBorders>
                  <w:noWrap w:val="0"/>
                  <w:tcMar>
                    <w:top w:w="15" w:type="dxa"/>
                    <w:left w:w="15" w:type="dxa"/>
                    <w:right w:w="15" w:type="dxa"/>
                  </w:tcMar>
                  <w:vAlign w:val="center"/>
                </w:tcPr>
                <w:p>
                  <w:pPr>
                    <w:spacing w:line="360" w:lineRule="auto"/>
                    <w:jc w:val="center"/>
                    <w:rPr>
                      <w:rFonts w:hint="default" w:ascii="Times New Roman" w:hAnsi="Times New Roman" w:cs="Times New Roman"/>
                      <w:color w:val="auto"/>
                      <w:sz w:val="22"/>
                      <w:szCs w:val="22"/>
                      <w:u w:val="none" w:color="auto"/>
                    </w:rPr>
                  </w:pPr>
                </w:p>
              </w:tc>
              <w:tc>
                <w:tcPr>
                  <w:tcW w:w="3214" w:type="dxa"/>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下风向预测浓度Ci1(</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r>
                    <w:rPr>
                      <w:rFonts w:hint="default" w:ascii="Times New Roman" w:hAnsi="Times New Roman" w:cs="Times New Roman"/>
                      <w:color w:val="auto"/>
                      <w:sz w:val="22"/>
                      <w:szCs w:val="22"/>
                      <w:u w:val="none" w:color="auto"/>
                    </w:rPr>
                    <w:t>)</w:t>
                  </w:r>
                </w:p>
              </w:tc>
              <w:tc>
                <w:tcPr>
                  <w:tcW w:w="3213" w:type="dxa"/>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浓度占标率Pi2/%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300"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0.0006615</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285"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0.002458</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285"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150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0.002488</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285"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0.002469</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285"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300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0.002327</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285"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400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0.002288</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285"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500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0.001998</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285"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0.0009219</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285"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1500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0.0005355</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285" w:hRule="atLeast"/>
              </w:trPr>
              <w:tc>
                <w:tcPr>
                  <w:tcW w:w="2641"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2000</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0.0003563</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2" w:type="dxa"/>
                <w:trHeight w:val="780" w:hRule="atLeast"/>
              </w:trPr>
              <w:tc>
                <w:tcPr>
                  <w:tcW w:w="2641" w:type="dxa"/>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下风向最大浓度和占标率（</w:t>
                  </w:r>
                  <w:r>
                    <w:rPr>
                      <w:rFonts w:hint="default" w:ascii="Times New Roman" w:hAnsi="Times New Roman" w:cs="Times New Roman"/>
                      <w:color w:val="auto"/>
                      <w:sz w:val="22"/>
                      <w:szCs w:val="22"/>
                      <w:u w:val="none" w:color="auto"/>
                      <w:lang w:val="en-US" w:eastAsia="zh-CN"/>
                    </w:rPr>
                    <w:t>150</w:t>
                  </w:r>
                  <w:r>
                    <w:rPr>
                      <w:rFonts w:hint="default" w:ascii="Times New Roman" w:hAnsi="Times New Roman" w:cs="Times New Roman"/>
                      <w:color w:val="auto"/>
                      <w:sz w:val="22"/>
                      <w:szCs w:val="22"/>
                      <w:u w:val="none" w:color="auto"/>
                    </w:rPr>
                    <w:t>m）</w:t>
                  </w:r>
                </w:p>
              </w:tc>
              <w:tc>
                <w:tcPr>
                  <w:tcW w:w="3214"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0.002488</w:t>
                  </w:r>
                </w:p>
              </w:tc>
              <w:tc>
                <w:tcPr>
                  <w:tcW w:w="3213" w:type="dxa"/>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0.28</w:t>
                  </w:r>
                </w:p>
              </w:tc>
            </w:tr>
          </w:tbl>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u w:val="none" w:color="auto"/>
                <w:lang w:val="en-US" w:eastAsia="zh-CN"/>
              </w:rPr>
            </w:pPr>
            <w:r>
              <w:rPr>
                <w:rFonts w:hint="default" w:ascii="Times New Roman" w:hAnsi="Times New Roman" w:cs="Times New Roman"/>
                <w:color w:val="auto"/>
                <w:sz w:val="24"/>
                <w:u w:val="none" w:color="auto"/>
                <w:lang w:val="en-US" w:eastAsia="zh-CN"/>
              </w:rPr>
              <w:t>表7-</w:t>
            </w:r>
            <w:r>
              <w:rPr>
                <w:rFonts w:hint="eastAsia" w:cs="Times New Roman"/>
                <w:color w:val="auto"/>
                <w:sz w:val="24"/>
                <w:u w:val="none" w:color="auto"/>
                <w:lang w:val="en-US" w:eastAsia="zh-CN"/>
              </w:rPr>
              <w:t>11</w:t>
            </w:r>
            <w:r>
              <w:rPr>
                <w:rFonts w:hint="default" w:ascii="Times New Roman" w:hAnsi="Times New Roman" w:cs="Times New Roman"/>
                <w:color w:val="auto"/>
                <w:sz w:val="24"/>
                <w:u w:val="none" w:color="auto"/>
                <w:lang w:val="en-US" w:eastAsia="zh-CN"/>
              </w:rPr>
              <w:t xml:space="preserve">  有组织排放废气预测结果表</w:t>
            </w:r>
            <w:r>
              <w:rPr>
                <w:rFonts w:hint="eastAsia" w:ascii="Times New Roman" w:hAnsi="Times New Roman" w:cs="Times New Roman"/>
                <w:color w:val="auto"/>
                <w:sz w:val="24"/>
                <w:u w:val="none" w:color="auto"/>
                <w:lang w:val="en-US" w:eastAsia="zh-CN"/>
              </w:rPr>
              <w:t>（</w:t>
            </w:r>
            <w:r>
              <w:rPr>
                <w:rFonts w:hint="eastAsia" w:cs="Times New Roman"/>
                <w:color w:val="auto"/>
                <w:sz w:val="24"/>
                <w:u w:val="none" w:color="auto"/>
                <w:lang w:val="en-US" w:eastAsia="zh-CN"/>
              </w:rPr>
              <w:t>喷塑</w:t>
            </w:r>
            <w:r>
              <w:rPr>
                <w:rFonts w:hint="eastAsia" w:ascii="Times New Roman" w:hAnsi="Times New Roman" w:cs="Times New Roman"/>
                <w:color w:val="auto"/>
                <w:sz w:val="24"/>
                <w:u w:val="none" w:color="auto"/>
                <w:lang w:val="en-US" w:eastAsia="zh-CN"/>
              </w:rPr>
              <w:t>工序）</w:t>
            </w:r>
          </w:p>
          <w:tbl>
            <w:tblPr>
              <w:tblStyle w:val="39"/>
              <w:tblW w:w="90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578"/>
              <w:gridCol w:w="2737"/>
              <w:gridCol w:w="27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3578" w:type="dxa"/>
                  <w:vMerge w:val="restart"/>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距源中心下风向距离D(m)</w:t>
                  </w:r>
                </w:p>
              </w:tc>
              <w:tc>
                <w:tcPr>
                  <w:tcW w:w="5474" w:type="dxa"/>
                  <w:gridSpan w:val="2"/>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3578" w:type="dxa"/>
                  <w:vMerge w:val="continue"/>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预测浓度Ci(μg/m</w:t>
                  </w:r>
                  <w:r>
                    <w:rPr>
                      <w:rFonts w:hint="default" w:ascii="Times New Roman" w:hAnsi="Times New Roman"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占标率Pi(%)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25</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0.0026076</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w:t>
                  </w:r>
                  <w:r>
                    <w:rPr>
                      <w:rFonts w:hint="eastAsia" w:cs="Times New Roman"/>
                      <w:color w:val="auto"/>
                      <w:sz w:val="22"/>
                      <w:szCs w:val="22"/>
                      <w:u w:val="none" w:color="auto"/>
                      <w:lang w:val="en-US" w:eastAsia="zh-CN"/>
                    </w:rPr>
                    <w:t>.07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50</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0.030813</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w:t>
                  </w:r>
                  <w:r>
                    <w:rPr>
                      <w:rFonts w:hint="eastAsia" w:cs="Times New Roman"/>
                      <w:color w:val="auto"/>
                      <w:sz w:val="22"/>
                      <w:szCs w:val="22"/>
                      <w:u w:val="none" w:color="auto"/>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100</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0.029189</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b/>
                      <w:bCs/>
                      <w:color w:val="auto"/>
                      <w:sz w:val="22"/>
                      <w:szCs w:val="22"/>
                      <w:u w:val="none" w:color="auto"/>
                      <w:lang w:val="en-US" w:eastAsia="zh-CN"/>
                    </w:rPr>
                    <w:t>0.</w:t>
                  </w:r>
                  <w:r>
                    <w:rPr>
                      <w:rFonts w:hint="eastAsia" w:cs="Times New Roman"/>
                      <w:b/>
                      <w:bCs/>
                      <w:color w:val="auto"/>
                      <w:sz w:val="22"/>
                      <w:szCs w:val="22"/>
                      <w:u w:val="none" w:color="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200</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0.01697</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w:t>
                  </w:r>
                  <w:r>
                    <w:rPr>
                      <w:rFonts w:hint="eastAsia" w:cs="Times New Roman"/>
                      <w:color w:val="auto"/>
                      <w:sz w:val="22"/>
                      <w:szCs w:val="22"/>
                      <w:u w:val="none" w:color="auto"/>
                      <w:lang w:val="en-US" w:eastAsia="zh-CN"/>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300</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0.010976</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0.1</w:t>
                  </w:r>
                  <w:r>
                    <w:rPr>
                      <w:rFonts w:hint="eastAsia" w:cs="Times New Roman"/>
                      <w:color w:val="auto"/>
                      <w:sz w:val="22"/>
                      <w:szCs w:val="22"/>
                      <w:u w:val="none" w:color="auto"/>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400</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0.0082449</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0.1</w:t>
                  </w:r>
                  <w:r>
                    <w:rPr>
                      <w:rFonts w:hint="eastAsia" w:cs="Times New Roman"/>
                      <w:color w:val="auto"/>
                      <w:sz w:val="22"/>
                      <w:szCs w:val="22"/>
                      <w:u w:val="none" w:color="auto"/>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500</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0.0063798</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0.1</w:t>
                  </w:r>
                  <w:r>
                    <w:rPr>
                      <w:rFonts w:hint="eastAsia" w:cs="Times New Roman"/>
                      <w:color w:val="auto"/>
                      <w:sz w:val="22"/>
                      <w:szCs w:val="22"/>
                      <w:u w:val="none" w:color="auto"/>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1000</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0.0025987</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1500</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0.0014867</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2000</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0.00099471</w:t>
                  </w:r>
                </w:p>
              </w:tc>
              <w:tc>
                <w:tcPr>
                  <w:tcW w:w="2737" w:type="dxa"/>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最大落地浓度及占标率</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0.033584</w:t>
                  </w:r>
                </w:p>
              </w:tc>
              <w:tc>
                <w:tcPr>
                  <w:tcW w:w="2737"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最大浓度出现距离m</w:t>
                  </w:r>
                </w:p>
              </w:tc>
              <w:tc>
                <w:tcPr>
                  <w:tcW w:w="5474" w:type="dxa"/>
                  <w:gridSpan w:val="2"/>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100</w:t>
                  </w:r>
                </w:p>
              </w:tc>
            </w:tr>
          </w:tbl>
          <w:p>
            <w:pPr>
              <w:tabs>
                <w:tab w:val="left" w:pos="103"/>
              </w:tabs>
              <w:autoSpaceDE w:val="0"/>
              <w:autoSpaceDN w:val="0"/>
              <w:spacing w:line="360" w:lineRule="auto"/>
              <w:ind w:firstLine="462" w:firstLineChars="200"/>
              <w:jc w:val="center"/>
              <w:rPr>
                <w:rFonts w:hint="eastAsia"/>
                <w:color w:val="auto"/>
                <w:sz w:val="24"/>
                <w:u w:val="none" w:color="auto"/>
                <w:lang w:val="en-US" w:eastAsia="zh-CN"/>
              </w:rPr>
            </w:pPr>
            <w:r>
              <w:rPr>
                <w:rFonts w:hint="eastAsia"/>
                <w:color w:val="auto"/>
                <w:sz w:val="24"/>
                <w:u w:val="none" w:color="auto"/>
                <w:lang w:val="en-US" w:eastAsia="zh-CN"/>
              </w:rPr>
              <w:t>表7-12  无组织排放废气预测结果表（焊接烟尘）</w:t>
            </w:r>
          </w:p>
          <w:tbl>
            <w:tblPr>
              <w:tblStyle w:val="39"/>
              <w:tblW w:w="90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179"/>
              <w:gridCol w:w="2678"/>
              <w:gridCol w:w="3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3179" w:type="dxa"/>
                  <w:vMerge w:val="restart"/>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距源中心下风向距离D(m)</w:t>
                  </w:r>
                </w:p>
              </w:tc>
              <w:tc>
                <w:tcPr>
                  <w:tcW w:w="5873" w:type="dxa"/>
                  <w:gridSpan w:val="2"/>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3179" w:type="dxa"/>
                  <w:vMerge w:val="continue"/>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预测浓度Ci(</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r>
                    <w:rPr>
                      <w:rFonts w:hint="default"/>
                      <w:color w:val="auto"/>
                      <w:sz w:val="22"/>
                      <w:szCs w:val="22"/>
                      <w:u w:val="none" w:color="auto"/>
                      <w:lang w:val="en-US" w:eastAsia="zh-CN"/>
                    </w:rPr>
                    <w:t>)</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占标率Pi(%)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10</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0.00005189</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100</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0.0001953</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103</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0.0002067</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200</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0.000197</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300</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0.0001943</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400</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0.0001661</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500</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0.0001348</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1000</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0.00005568</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1500</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0.00003156</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2000</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0.00002077</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最大落地浓度及占标率</w:t>
                  </w:r>
                </w:p>
              </w:tc>
              <w:tc>
                <w:tcPr>
                  <w:tcW w:w="2678"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0.0002067</w:t>
                  </w:r>
                </w:p>
              </w:tc>
              <w:tc>
                <w:tcPr>
                  <w:tcW w:w="3195"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179" w:type="dxa"/>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default"/>
                      <w:color w:val="auto"/>
                      <w:sz w:val="22"/>
                      <w:szCs w:val="22"/>
                      <w:u w:val="none" w:color="auto"/>
                      <w:lang w:val="en-US" w:eastAsia="zh-CN"/>
                    </w:rPr>
                    <w:t>最大浓度出现距离m</w:t>
                  </w:r>
                </w:p>
              </w:tc>
              <w:tc>
                <w:tcPr>
                  <w:tcW w:w="5873" w:type="dxa"/>
                  <w:gridSpan w:val="2"/>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olor w:val="auto"/>
                      <w:sz w:val="22"/>
                      <w:szCs w:val="22"/>
                      <w:u w:val="none" w:color="auto"/>
                      <w:lang w:val="en-US" w:eastAsia="zh-CN"/>
                    </w:rPr>
                  </w:pPr>
                  <w:r>
                    <w:rPr>
                      <w:rFonts w:hint="eastAsia"/>
                      <w:color w:val="auto"/>
                      <w:sz w:val="22"/>
                      <w:szCs w:val="22"/>
                      <w:u w:val="none" w:color="auto"/>
                      <w:lang w:val="en-US" w:eastAsia="zh-CN"/>
                    </w:rPr>
                    <w:t>103</w:t>
                  </w:r>
                </w:p>
              </w:tc>
            </w:tr>
          </w:tbl>
          <w:p>
            <w:pPr>
              <w:pStyle w:val="186"/>
              <w:rPr>
                <w:rFonts w:hint="eastAsia" w:eastAsia="宋体"/>
                <w:b w:val="0"/>
                <w:bCs/>
                <w:color w:val="auto"/>
                <w:sz w:val="24"/>
                <w:szCs w:val="22"/>
                <w:u w:val="none" w:color="auto"/>
                <w:lang w:eastAsia="zh-CN"/>
              </w:rPr>
            </w:pPr>
            <w:r>
              <w:rPr>
                <w:b w:val="0"/>
                <w:bCs/>
                <w:color w:val="auto"/>
                <w:sz w:val="24"/>
                <w:szCs w:val="22"/>
                <w:u w:val="none" w:color="auto"/>
              </w:rPr>
              <w:t>表7-</w:t>
            </w:r>
            <w:r>
              <w:rPr>
                <w:rFonts w:hint="eastAsia"/>
                <w:b w:val="0"/>
                <w:bCs/>
                <w:color w:val="auto"/>
                <w:sz w:val="24"/>
                <w:szCs w:val="22"/>
                <w:u w:val="none" w:color="auto"/>
                <w:lang w:val="en-US" w:eastAsia="zh-CN"/>
              </w:rPr>
              <w:t>13</w:t>
            </w:r>
            <w:r>
              <w:rPr>
                <w:b w:val="0"/>
                <w:bCs/>
                <w:color w:val="auto"/>
                <w:sz w:val="24"/>
                <w:szCs w:val="22"/>
                <w:u w:val="none" w:color="auto"/>
              </w:rPr>
              <w:t xml:space="preserve">  </w:t>
            </w:r>
            <w:r>
              <w:rPr>
                <w:rFonts w:hint="eastAsia"/>
                <w:b w:val="0"/>
                <w:bCs/>
                <w:color w:val="auto"/>
                <w:sz w:val="24"/>
                <w:szCs w:val="22"/>
                <w:u w:val="none" w:color="auto"/>
              </w:rPr>
              <w:t>有组织</w:t>
            </w:r>
            <w:r>
              <w:rPr>
                <w:b w:val="0"/>
                <w:bCs/>
                <w:color w:val="auto"/>
                <w:sz w:val="24"/>
                <w:szCs w:val="22"/>
                <w:u w:val="none" w:color="auto"/>
              </w:rPr>
              <w:t>排放预测结果</w:t>
            </w:r>
            <w:r>
              <w:rPr>
                <w:rFonts w:hint="eastAsia"/>
                <w:b w:val="0"/>
                <w:bCs/>
                <w:color w:val="auto"/>
                <w:sz w:val="24"/>
                <w:szCs w:val="22"/>
                <w:u w:val="none" w:color="auto"/>
                <w:lang w:eastAsia="zh-CN"/>
              </w:rPr>
              <w:t>表（液化石油气燃烧废气）</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32"/>
              <w:gridCol w:w="1335"/>
              <w:gridCol w:w="1137"/>
              <w:gridCol w:w="1453"/>
              <w:gridCol w:w="932"/>
              <w:gridCol w:w="1563"/>
              <w:gridCol w:w="11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vMerge w:val="restart"/>
                  <w:noWrap w:val="0"/>
                  <w:vAlign w:val="center"/>
                </w:tcPr>
                <w:p>
                  <w:pPr>
                    <w:pStyle w:val="184"/>
                    <w:spacing w:line="360" w:lineRule="auto"/>
                    <w:rPr>
                      <w:color w:val="auto"/>
                      <w:u w:val="none" w:color="auto"/>
                    </w:rPr>
                  </w:pPr>
                  <w:r>
                    <w:rPr>
                      <w:color w:val="auto"/>
                      <w:u w:val="none" w:color="auto"/>
                    </w:rPr>
                    <w:t>距离</w:t>
                  </w:r>
                </w:p>
              </w:tc>
              <w:tc>
                <w:tcPr>
                  <w:tcW w:w="1363" w:type="pct"/>
                  <w:gridSpan w:val="2"/>
                  <w:noWrap w:val="0"/>
                  <w:vAlign w:val="center"/>
                </w:tcPr>
                <w:p>
                  <w:pPr>
                    <w:pStyle w:val="184"/>
                    <w:spacing w:line="360" w:lineRule="auto"/>
                    <w:rPr>
                      <w:rFonts w:hint="eastAsia"/>
                      <w:color w:val="auto"/>
                      <w:u w:val="none" w:color="auto"/>
                    </w:rPr>
                  </w:pPr>
                  <w:r>
                    <w:rPr>
                      <w:rFonts w:hint="eastAsia"/>
                      <w:color w:val="auto"/>
                      <w:u w:val="none" w:color="auto"/>
                    </w:rPr>
                    <w:t>有组织排放</w:t>
                  </w:r>
                  <w:r>
                    <w:rPr>
                      <w:rFonts w:hint="eastAsia"/>
                      <w:color w:val="auto"/>
                      <w:u w:val="none" w:color="auto"/>
                      <w:lang w:eastAsia="zh-CN"/>
                    </w:rPr>
                    <w:t>粉尘</w:t>
                  </w:r>
                </w:p>
              </w:tc>
              <w:tc>
                <w:tcPr>
                  <w:tcW w:w="1315" w:type="pct"/>
                  <w:gridSpan w:val="2"/>
                  <w:noWrap w:val="0"/>
                  <w:vAlign w:val="center"/>
                </w:tcPr>
                <w:p>
                  <w:pPr>
                    <w:pStyle w:val="184"/>
                    <w:spacing w:line="360" w:lineRule="auto"/>
                    <w:rPr>
                      <w:rFonts w:hint="eastAsia"/>
                      <w:color w:val="auto"/>
                      <w:u w:val="none" w:color="auto"/>
                    </w:rPr>
                  </w:pPr>
                  <w:r>
                    <w:rPr>
                      <w:rFonts w:hint="eastAsia"/>
                      <w:color w:val="auto"/>
                      <w:u w:val="none" w:color="auto"/>
                    </w:rPr>
                    <w:t>有组织排放</w:t>
                  </w:r>
                  <w:r>
                    <w:rPr>
                      <w:rFonts w:hint="eastAsia"/>
                      <w:color w:val="auto"/>
                      <w:u w:val="none" w:color="auto"/>
                      <w:lang w:val="en-US" w:eastAsia="zh-CN"/>
                    </w:rPr>
                    <w:t>SO</w:t>
                  </w:r>
                  <w:r>
                    <w:rPr>
                      <w:rFonts w:hint="eastAsia"/>
                      <w:color w:val="auto"/>
                      <w:u w:val="none" w:color="auto"/>
                      <w:vertAlign w:val="subscript"/>
                      <w:lang w:val="en-US" w:eastAsia="zh-CN"/>
                    </w:rPr>
                    <w:t>2</w:t>
                  </w:r>
                </w:p>
              </w:tc>
              <w:tc>
                <w:tcPr>
                  <w:tcW w:w="1476" w:type="pct"/>
                  <w:gridSpan w:val="2"/>
                  <w:noWrap w:val="0"/>
                  <w:vAlign w:val="center"/>
                </w:tcPr>
                <w:p>
                  <w:pPr>
                    <w:pStyle w:val="184"/>
                    <w:spacing w:line="360" w:lineRule="auto"/>
                    <w:rPr>
                      <w:rFonts w:hint="eastAsia"/>
                      <w:color w:val="auto"/>
                      <w:u w:val="none" w:color="auto"/>
                    </w:rPr>
                  </w:pPr>
                  <w:r>
                    <w:rPr>
                      <w:rFonts w:hint="eastAsia"/>
                      <w:color w:val="auto"/>
                      <w:u w:val="none" w:color="auto"/>
                    </w:rPr>
                    <w:t>有组织排放</w:t>
                  </w:r>
                  <w:r>
                    <w:rPr>
                      <w:rFonts w:hint="eastAsia"/>
                      <w:color w:val="auto"/>
                      <w:u w:val="none" w:color="auto"/>
                      <w:lang w:val="en-US" w:eastAsia="zh-CN"/>
                    </w:rPr>
                    <w:t>NOx</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vMerge w:val="continue"/>
                  <w:noWrap w:val="0"/>
                  <w:vAlign w:val="center"/>
                </w:tcPr>
                <w:p>
                  <w:pPr>
                    <w:pStyle w:val="184"/>
                    <w:spacing w:line="360" w:lineRule="auto"/>
                    <w:rPr>
                      <w:color w:val="auto"/>
                      <w:u w:val="none" w:color="auto"/>
                    </w:rPr>
                  </w:pPr>
                </w:p>
              </w:tc>
              <w:tc>
                <w:tcPr>
                  <w:tcW w:w="736" w:type="pct"/>
                  <w:noWrap w:val="0"/>
                  <w:vAlign w:val="center"/>
                </w:tcPr>
                <w:p>
                  <w:pPr>
                    <w:pStyle w:val="184"/>
                    <w:spacing w:line="360" w:lineRule="auto"/>
                    <w:rPr>
                      <w:color w:val="auto"/>
                      <w:u w:val="none" w:color="auto"/>
                    </w:rPr>
                  </w:pPr>
                  <w:r>
                    <w:rPr>
                      <w:color w:val="auto"/>
                      <w:u w:val="none" w:color="auto"/>
                    </w:rPr>
                    <w:t>浓度</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p>
              </w:tc>
              <w:tc>
                <w:tcPr>
                  <w:tcW w:w="627" w:type="pct"/>
                  <w:noWrap w:val="0"/>
                  <w:vAlign w:val="center"/>
                </w:tcPr>
                <w:p>
                  <w:pPr>
                    <w:pStyle w:val="184"/>
                    <w:spacing w:line="360" w:lineRule="auto"/>
                    <w:rPr>
                      <w:color w:val="auto"/>
                      <w:u w:val="none" w:color="auto"/>
                    </w:rPr>
                  </w:pPr>
                  <w:r>
                    <w:rPr>
                      <w:color w:val="auto"/>
                      <w:u w:val="none" w:color="auto"/>
                    </w:rPr>
                    <w:t>占标率%</w:t>
                  </w:r>
                </w:p>
              </w:tc>
              <w:tc>
                <w:tcPr>
                  <w:tcW w:w="801" w:type="pct"/>
                  <w:noWrap w:val="0"/>
                  <w:vAlign w:val="center"/>
                </w:tcPr>
                <w:p>
                  <w:pPr>
                    <w:pStyle w:val="184"/>
                    <w:spacing w:line="360" w:lineRule="auto"/>
                    <w:rPr>
                      <w:color w:val="auto"/>
                      <w:u w:val="none" w:color="auto"/>
                    </w:rPr>
                  </w:pPr>
                  <w:r>
                    <w:rPr>
                      <w:color w:val="auto"/>
                      <w:u w:val="none" w:color="auto"/>
                    </w:rPr>
                    <w:t>浓度</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p>
              </w:tc>
              <w:tc>
                <w:tcPr>
                  <w:tcW w:w="514" w:type="pct"/>
                  <w:noWrap w:val="0"/>
                  <w:vAlign w:val="center"/>
                </w:tcPr>
                <w:p>
                  <w:pPr>
                    <w:pStyle w:val="184"/>
                    <w:spacing w:line="360" w:lineRule="auto"/>
                    <w:rPr>
                      <w:color w:val="auto"/>
                      <w:u w:val="none" w:color="auto"/>
                    </w:rPr>
                  </w:pPr>
                  <w:r>
                    <w:rPr>
                      <w:color w:val="auto"/>
                      <w:u w:val="none" w:color="auto"/>
                    </w:rPr>
                    <w:t>占标率%</w:t>
                  </w:r>
                </w:p>
              </w:tc>
              <w:tc>
                <w:tcPr>
                  <w:tcW w:w="862" w:type="pct"/>
                  <w:noWrap w:val="0"/>
                  <w:vAlign w:val="center"/>
                </w:tcPr>
                <w:p>
                  <w:pPr>
                    <w:pStyle w:val="184"/>
                    <w:spacing w:line="360" w:lineRule="auto"/>
                    <w:rPr>
                      <w:color w:val="auto"/>
                      <w:u w:val="none" w:color="auto"/>
                    </w:rPr>
                  </w:pPr>
                  <w:r>
                    <w:rPr>
                      <w:color w:val="auto"/>
                      <w:u w:val="none" w:color="auto"/>
                    </w:rPr>
                    <w:t>浓度</w:t>
                  </w:r>
                  <w:r>
                    <w:rPr>
                      <w:rStyle w:val="70"/>
                      <w:rFonts w:hint="eastAsia" w:cs="Times New Roman"/>
                      <w:color w:val="auto"/>
                      <w:u w:val="none"/>
                      <w:lang w:val="en-US" w:eastAsia="zh-CN" w:bidi="ar"/>
                    </w:rPr>
                    <w:t>u</w:t>
                  </w:r>
                  <w:r>
                    <w:rPr>
                      <w:rStyle w:val="70"/>
                      <w:rFonts w:hint="default" w:ascii="Times New Roman" w:hAnsi="Times New Roman" w:cs="Times New Roman"/>
                      <w:color w:val="auto"/>
                      <w:u w:val="none"/>
                      <w:lang w:bidi="ar"/>
                    </w:rPr>
                    <w:t>g/m</w:t>
                  </w:r>
                  <w:r>
                    <w:rPr>
                      <w:rStyle w:val="193"/>
                      <w:rFonts w:hint="default" w:ascii="Times New Roman" w:hAnsi="Times New Roman" w:cs="Times New Roman"/>
                      <w:color w:val="auto"/>
                      <w:u w:val="none"/>
                      <w:vertAlign w:val="superscript"/>
                      <w:lang w:bidi="ar"/>
                    </w:rPr>
                    <w:t>3</w:t>
                  </w:r>
                </w:p>
              </w:tc>
              <w:tc>
                <w:tcPr>
                  <w:tcW w:w="613" w:type="pct"/>
                  <w:noWrap w:val="0"/>
                  <w:vAlign w:val="center"/>
                </w:tcPr>
                <w:p>
                  <w:pPr>
                    <w:pStyle w:val="184"/>
                    <w:spacing w:line="360" w:lineRule="auto"/>
                    <w:rPr>
                      <w:color w:val="auto"/>
                      <w:u w:val="none" w:color="auto"/>
                    </w:rPr>
                  </w:pPr>
                  <w:r>
                    <w:rPr>
                      <w:color w:val="auto"/>
                      <w:u w:val="none" w:color="auto"/>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100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0.00554</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0.55</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0.041</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2.159</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200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0.00686</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0.69</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0.049</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2.672</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300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0.00727</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0.73</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0.052</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2.833</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400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0.00698</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0.7</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0.053</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2.72</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500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0.00697</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0.7</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0.054</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2.714</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b/>
                      <w:bCs/>
                      <w:color w:val="auto"/>
                      <w:u w:val="none" w:color="auto"/>
                    </w:rPr>
                  </w:pPr>
                  <w:r>
                    <w:rPr>
                      <w:rFonts w:hint="eastAsia"/>
                      <w:b/>
                      <w:bCs/>
                      <w:color w:val="auto"/>
                      <w:u w:val="none" w:color="auto"/>
                      <w:lang w:val="en-US" w:eastAsia="zh-CN"/>
                    </w:rPr>
                    <w:t>52</w:t>
                  </w:r>
                  <w:r>
                    <w:rPr>
                      <w:rFonts w:hint="eastAsia"/>
                      <w:b/>
                      <w:bCs/>
                      <w:color w:val="auto"/>
                      <w:u w:val="none" w:color="auto"/>
                    </w:rPr>
                    <w:t>5</w:t>
                  </w:r>
                </w:p>
              </w:tc>
              <w:tc>
                <w:tcPr>
                  <w:tcW w:w="736"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0.00915</w:t>
                  </w:r>
                </w:p>
              </w:tc>
              <w:tc>
                <w:tcPr>
                  <w:tcW w:w="627"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0.92</w:t>
                  </w:r>
                </w:p>
              </w:tc>
              <w:tc>
                <w:tcPr>
                  <w:tcW w:w="801"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0.067</w:t>
                  </w:r>
                </w:p>
              </w:tc>
              <w:tc>
                <w:tcPr>
                  <w:tcW w:w="514"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0.02</w:t>
                  </w:r>
                </w:p>
              </w:tc>
              <w:tc>
                <w:tcPr>
                  <w:tcW w:w="862"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3.564</w:t>
                  </w:r>
                </w:p>
              </w:tc>
              <w:tc>
                <w:tcPr>
                  <w:tcW w:w="613" w:type="pct"/>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1000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0.00855</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0.86</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0.061</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0.02</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3.33</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1500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0.00783</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0.78</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0.056</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3.05</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pPr>
                    <w:pStyle w:val="184"/>
                    <w:spacing w:line="360" w:lineRule="auto"/>
                    <w:rPr>
                      <w:color w:val="auto"/>
                      <w:u w:val="none" w:color="auto"/>
                    </w:rPr>
                  </w:pPr>
                  <w:r>
                    <w:rPr>
                      <w:rFonts w:hint="eastAsia"/>
                      <w:color w:val="auto"/>
                      <w:u w:val="none" w:color="auto"/>
                    </w:rPr>
                    <w:t>2000</w:t>
                  </w:r>
                </w:p>
              </w:tc>
              <w:tc>
                <w:tcPr>
                  <w:tcW w:w="736"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0.00681</w:t>
                  </w:r>
                </w:p>
              </w:tc>
              <w:tc>
                <w:tcPr>
                  <w:tcW w:w="627"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0.68</w:t>
                  </w:r>
                </w:p>
              </w:tc>
              <w:tc>
                <w:tcPr>
                  <w:tcW w:w="801"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0.049</w:t>
                  </w:r>
                </w:p>
              </w:tc>
              <w:tc>
                <w:tcPr>
                  <w:tcW w:w="514"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0.01</w:t>
                  </w:r>
                </w:p>
              </w:tc>
              <w:tc>
                <w:tcPr>
                  <w:tcW w:w="862"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2.653</w:t>
                  </w:r>
                </w:p>
              </w:tc>
              <w:tc>
                <w:tcPr>
                  <w:tcW w:w="613" w:type="pct"/>
                  <w:noWrap w:val="0"/>
                  <w:vAlign w:val="center"/>
                </w:tcPr>
                <w:p>
                  <w:pPr>
                    <w:pStyle w:val="184"/>
                    <w:spacing w:line="360" w:lineRule="auto"/>
                    <w:rPr>
                      <w:rFonts w:hint="eastAsia"/>
                      <w:color w:val="auto"/>
                      <w:u w:val="none" w:color="auto"/>
                    </w:rPr>
                  </w:pPr>
                  <w:r>
                    <w:rPr>
                      <w:rFonts w:hint="eastAsia"/>
                      <w:color w:val="auto"/>
                      <w:u w:val="none" w:color="auto"/>
                      <w:lang w:val="en-US" w:eastAsia="zh-CN"/>
                    </w:rPr>
                    <w:t>0.22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845" w:type="pct"/>
                  <w:tcBorders>
                    <w:bottom w:val="single" w:color="000000" w:sz="12" w:space="0"/>
                  </w:tcBorders>
                  <w:noWrap w:val="0"/>
                  <w:vAlign w:val="center"/>
                </w:tcPr>
                <w:p>
                  <w:pPr>
                    <w:pStyle w:val="184"/>
                    <w:spacing w:line="360" w:lineRule="auto"/>
                    <w:rPr>
                      <w:color w:val="auto"/>
                      <w:u w:val="none" w:color="auto"/>
                    </w:rPr>
                  </w:pPr>
                  <w:r>
                    <w:rPr>
                      <w:color w:val="auto"/>
                      <w:u w:val="none" w:color="auto"/>
                    </w:rPr>
                    <w:t>最大落地浓度</w:t>
                  </w:r>
                </w:p>
              </w:tc>
              <w:tc>
                <w:tcPr>
                  <w:tcW w:w="736" w:type="pct"/>
                  <w:tcBorders>
                    <w:bottom w:val="single" w:color="000000" w:sz="12" w:space="0"/>
                  </w:tcBorders>
                  <w:noWrap w:val="0"/>
                  <w:vAlign w:val="center"/>
                </w:tcPr>
                <w:p>
                  <w:pPr>
                    <w:pStyle w:val="184"/>
                    <w:spacing w:line="360" w:lineRule="auto"/>
                    <w:rPr>
                      <w:rFonts w:hint="eastAsia"/>
                      <w:color w:val="auto"/>
                      <w:u w:val="none" w:color="auto"/>
                    </w:rPr>
                  </w:pPr>
                  <w:r>
                    <w:rPr>
                      <w:rFonts w:hint="eastAsia"/>
                      <w:b/>
                      <w:bCs/>
                      <w:color w:val="auto"/>
                      <w:u w:val="none" w:color="auto"/>
                      <w:lang w:val="en-US" w:eastAsia="zh-CN"/>
                    </w:rPr>
                    <w:t>0.00915</w:t>
                  </w:r>
                </w:p>
              </w:tc>
              <w:tc>
                <w:tcPr>
                  <w:tcW w:w="627" w:type="pct"/>
                  <w:tcBorders>
                    <w:bottom w:val="single" w:color="000000" w:sz="12" w:space="0"/>
                  </w:tcBorders>
                  <w:noWrap w:val="0"/>
                  <w:vAlign w:val="center"/>
                </w:tcPr>
                <w:p>
                  <w:pPr>
                    <w:pStyle w:val="184"/>
                    <w:spacing w:line="360" w:lineRule="auto"/>
                    <w:rPr>
                      <w:rFonts w:hint="eastAsia"/>
                      <w:color w:val="auto"/>
                      <w:u w:val="none" w:color="auto"/>
                    </w:rPr>
                  </w:pPr>
                  <w:r>
                    <w:rPr>
                      <w:rFonts w:hint="eastAsia"/>
                      <w:b/>
                      <w:bCs/>
                      <w:color w:val="auto"/>
                      <w:u w:val="none" w:color="auto"/>
                      <w:lang w:val="en-US" w:eastAsia="zh-CN"/>
                    </w:rPr>
                    <w:t>0.92</w:t>
                  </w:r>
                </w:p>
              </w:tc>
              <w:tc>
                <w:tcPr>
                  <w:tcW w:w="801" w:type="pct"/>
                  <w:tcBorders>
                    <w:bottom w:val="single" w:color="000000" w:sz="12" w:space="0"/>
                  </w:tcBorders>
                  <w:noWrap w:val="0"/>
                  <w:vAlign w:val="center"/>
                </w:tcPr>
                <w:p>
                  <w:pPr>
                    <w:pStyle w:val="184"/>
                    <w:spacing w:line="360" w:lineRule="auto"/>
                    <w:rPr>
                      <w:rFonts w:hint="eastAsia"/>
                      <w:color w:val="auto"/>
                      <w:u w:val="none" w:color="auto"/>
                    </w:rPr>
                  </w:pPr>
                  <w:r>
                    <w:rPr>
                      <w:rFonts w:hint="eastAsia"/>
                      <w:b/>
                      <w:bCs/>
                      <w:color w:val="auto"/>
                      <w:u w:val="none" w:color="auto"/>
                      <w:lang w:val="en-US" w:eastAsia="zh-CN"/>
                    </w:rPr>
                    <w:t>0.067</w:t>
                  </w:r>
                </w:p>
              </w:tc>
              <w:tc>
                <w:tcPr>
                  <w:tcW w:w="514" w:type="pct"/>
                  <w:tcBorders>
                    <w:bottom w:val="single" w:color="000000" w:sz="12" w:space="0"/>
                  </w:tcBorders>
                  <w:noWrap w:val="0"/>
                  <w:vAlign w:val="center"/>
                </w:tcPr>
                <w:p>
                  <w:pPr>
                    <w:pStyle w:val="184"/>
                    <w:spacing w:line="360" w:lineRule="auto"/>
                    <w:rPr>
                      <w:rFonts w:hint="eastAsia"/>
                      <w:color w:val="auto"/>
                      <w:u w:val="none" w:color="auto"/>
                    </w:rPr>
                  </w:pPr>
                  <w:r>
                    <w:rPr>
                      <w:rFonts w:hint="eastAsia"/>
                      <w:b/>
                      <w:bCs/>
                      <w:color w:val="auto"/>
                      <w:u w:val="none" w:color="auto"/>
                      <w:lang w:val="en-US" w:eastAsia="zh-CN"/>
                    </w:rPr>
                    <w:t>0.02</w:t>
                  </w:r>
                </w:p>
              </w:tc>
              <w:tc>
                <w:tcPr>
                  <w:tcW w:w="862" w:type="pct"/>
                  <w:tcBorders>
                    <w:bottom w:val="single" w:color="000000" w:sz="12" w:space="0"/>
                  </w:tcBorders>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3.564</w:t>
                  </w:r>
                </w:p>
              </w:tc>
              <w:tc>
                <w:tcPr>
                  <w:tcW w:w="613" w:type="pct"/>
                  <w:tcBorders>
                    <w:bottom w:val="single" w:color="000000" w:sz="12" w:space="0"/>
                  </w:tcBorders>
                  <w:noWrap w:val="0"/>
                  <w:vAlign w:val="center"/>
                </w:tcPr>
                <w:p>
                  <w:pPr>
                    <w:pStyle w:val="184"/>
                    <w:spacing w:line="360" w:lineRule="auto"/>
                    <w:rPr>
                      <w:rFonts w:hint="eastAsia"/>
                      <w:b/>
                      <w:bCs/>
                      <w:color w:val="auto"/>
                      <w:u w:val="none" w:color="auto"/>
                    </w:rPr>
                  </w:pPr>
                  <w:r>
                    <w:rPr>
                      <w:rFonts w:hint="eastAsia"/>
                      <w:b/>
                      <w:bCs/>
                      <w:color w:val="auto"/>
                      <w:u w:val="none" w:color="auto"/>
                      <w:lang w:val="en-US" w:eastAsia="zh-CN"/>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845" w:type="pct"/>
                  <w:tcBorders>
                    <w:top w:val="single" w:color="000000" w:sz="12" w:space="0"/>
                  </w:tcBorders>
                  <w:noWrap w:val="0"/>
                  <w:vAlign w:val="center"/>
                </w:tcPr>
                <w:p>
                  <w:pPr>
                    <w:pStyle w:val="184"/>
                    <w:spacing w:line="360" w:lineRule="auto"/>
                    <w:rPr>
                      <w:color w:val="auto"/>
                      <w:u w:val="none" w:color="auto"/>
                    </w:rPr>
                  </w:pPr>
                  <w:r>
                    <w:rPr>
                      <w:color w:val="auto"/>
                      <w:u w:val="none" w:color="auto"/>
                    </w:rPr>
                    <w:t>最大落地距离</w:t>
                  </w:r>
                </w:p>
              </w:tc>
              <w:tc>
                <w:tcPr>
                  <w:tcW w:w="4154" w:type="pct"/>
                  <w:gridSpan w:val="6"/>
                  <w:tcBorders>
                    <w:top w:val="single" w:color="000000" w:sz="12" w:space="0"/>
                  </w:tcBorders>
                  <w:noWrap w:val="0"/>
                  <w:vAlign w:val="center"/>
                </w:tcPr>
                <w:p>
                  <w:pPr>
                    <w:pStyle w:val="184"/>
                    <w:spacing w:line="360" w:lineRule="auto"/>
                    <w:rPr>
                      <w:rFonts w:hint="default"/>
                      <w:b/>
                      <w:bCs/>
                      <w:color w:val="auto"/>
                      <w:u w:val="none" w:color="auto"/>
                      <w:lang w:val="en-US" w:eastAsia="zh-CN"/>
                    </w:rPr>
                  </w:pPr>
                  <w:r>
                    <w:rPr>
                      <w:rFonts w:hint="eastAsia"/>
                      <w:b/>
                      <w:bCs/>
                      <w:color w:val="auto"/>
                      <w:u w:val="none" w:color="auto"/>
                      <w:lang w:val="en-US" w:eastAsia="zh-CN"/>
                    </w:rPr>
                    <w:t>525</w:t>
                  </w:r>
                </w:p>
              </w:tc>
            </w:tr>
          </w:tbl>
          <w:p>
            <w:pPr>
              <w:pStyle w:val="186"/>
              <w:rPr>
                <w:rFonts w:hint="default" w:ascii="Times New Roman" w:hAnsi="Times New Roman" w:cs="Times New Roman"/>
                <w:color w:val="auto"/>
                <w:sz w:val="24"/>
                <w:szCs w:val="24"/>
                <w:u w:val="none" w:color="auto"/>
                <w:lang w:val="en-US" w:eastAsia="zh-CN"/>
              </w:rPr>
            </w:pPr>
            <w:r>
              <w:rPr>
                <w:b w:val="0"/>
                <w:bCs/>
                <w:color w:val="auto"/>
                <w:sz w:val="24"/>
                <w:szCs w:val="22"/>
                <w:u w:val="none" w:color="auto"/>
              </w:rPr>
              <w:t>表7-</w:t>
            </w:r>
            <w:r>
              <w:rPr>
                <w:rFonts w:hint="eastAsia"/>
                <w:b w:val="0"/>
                <w:bCs/>
                <w:color w:val="auto"/>
                <w:sz w:val="24"/>
                <w:szCs w:val="22"/>
                <w:u w:val="none" w:color="auto"/>
                <w:lang w:val="en-US" w:eastAsia="zh-CN"/>
              </w:rPr>
              <w:t>14</w:t>
            </w:r>
            <w:r>
              <w:rPr>
                <w:b w:val="0"/>
                <w:bCs/>
                <w:color w:val="auto"/>
                <w:sz w:val="24"/>
                <w:szCs w:val="22"/>
                <w:u w:val="none" w:color="auto"/>
              </w:rPr>
              <w:t xml:space="preserve">  </w:t>
            </w:r>
            <w:r>
              <w:rPr>
                <w:rFonts w:hint="eastAsia"/>
                <w:b w:val="0"/>
                <w:bCs/>
                <w:color w:val="auto"/>
                <w:sz w:val="24"/>
                <w:szCs w:val="22"/>
                <w:u w:val="none" w:color="auto"/>
              </w:rPr>
              <w:t>有组织</w:t>
            </w:r>
            <w:r>
              <w:rPr>
                <w:b w:val="0"/>
                <w:bCs/>
                <w:color w:val="auto"/>
                <w:sz w:val="24"/>
                <w:szCs w:val="22"/>
                <w:u w:val="none" w:color="auto"/>
              </w:rPr>
              <w:t>排放预测结果</w:t>
            </w:r>
            <w:r>
              <w:rPr>
                <w:rFonts w:hint="eastAsia"/>
                <w:b w:val="0"/>
                <w:bCs/>
                <w:color w:val="auto"/>
                <w:sz w:val="24"/>
                <w:szCs w:val="22"/>
                <w:u w:val="none" w:color="auto"/>
                <w:lang w:eastAsia="zh-CN"/>
              </w:rPr>
              <w:t>表（烘干固化废气）</w:t>
            </w:r>
          </w:p>
          <w:tbl>
            <w:tblPr>
              <w:tblStyle w:val="4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15"/>
              <w:gridCol w:w="2833"/>
              <w:gridCol w:w="30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773" w:type="pct"/>
                  <w:vMerge w:val="restart"/>
                  <w:tcBorders>
                    <w:tl2br w:val="nil"/>
                    <w:tr2bl w:val="nil"/>
                  </w:tcBorders>
                  <w:noWrap w:val="0"/>
                  <w:vAlign w:val="center"/>
                </w:tcPr>
                <w:p>
                  <w:pPr>
                    <w:spacing w:line="360" w:lineRule="auto"/>
                    <w:jc w:val="center"/>
                    <w:rPr>
                      <w:sz w:val="22"/>
                      <w:szCs w:val="22"/>
                      <w:u w:val="none"/>
                    </w:rPr>
                  </w:pPr>
                  <w:r>
                    <w:rPr>
                      <w:sz w:val="22"/>
                      <w:szCs w:val="22"/>
                      <w:u w:val="none"/>
                    </w:rPr>
                    <w:t>下方向距离(m)</w:t>
                  </w:r>
                </w:p>
              </w:tc>
              <w:tc>
                <w:tcPr>
                  <w:tcW w:w="3226" w:type="pct"/>
                  <w:gridSpan w:val="2"/>
                  <w:tcBorders>
                    <w:tl2br w:val="nil"/>
                    <w:tr2bl w:val="nil"/>
                  </w:tcBorders>
                  <w:noWrap w:val="0"/>
                  <w:vAlign w:val="center"/>
                </w:tcPr>
                <w:p>
                  <w:pPr>
                    <w:spacing w:line="360" w:lineRule="auto"/>
                    <w:jc w:val="center"/>
                    <w:rPr>
                      <w:rFonts w:hint="eastAsia" w:eastAsia="宋体"/>
                      <w:sz w:val="22"/>
                      <w:szCs w:val="22"/>
                      <w:u w:val="none"/>
                      <w:lang w:eastAsia="zh-CN"/>
                    </w:rPr>
                  </w:pPr>
                  <w:r>
                    <w:rPr>
                      <w:sz w:val="22"/>
                      <w:szCs w:val="22"/>
                      <w:u w:val="none"/>
                    </w:rPr>
                    <w:t>有机废气</w:t>
                  </w:r>
                  <w:r>
                    <w:rPr>
                      <w:rFonts w:hint="eastAsia"/>
                      <w:sz w:val="22"/>
                      <w:szCs w:val="22"/>
                      <w:u w:val="none"/>
                      <w:lang w:eastAsia="zh-CN"/>
                    </w:rPr>
                    <w:t>（</w:t>
                  </w:r>
                  <w:r>
                    <w:rPr>
                      <w:rFonts w:hint="default" w:ascii="Times New Roman" w:hAnsi="Times New Roman" w:cs="Times New Roman"/>
                      <w:b/>
                      <w:sz w:val="22"/>
                      <w:szCs w:val="22"/>
                    </w:rPr>
                    <w:t>VOCs</w:t>
                  </w:r>
                  <w:r>
                    <w:rPr>
                      <w:rFonts w:hint="eastAsia"/>
                      <w:sz w:val="22"/>
                      <w:szCs w:val="22"/>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773" w:type="pct"/>
                  <w:vMerge w:val="continue"/>
                  <w:tcBorders>
                    <w:tl2br w:val="nil"/>
                    <w:tr2bl w:val="nil"/>
                  </w:tcBorders>
                  <w:noWrap w:val="0"/>
                  <w:vAlign w:val="center"/>
                </w:tcPr>
                <w:p>
                  <w:pPr>
                    <w:widowControl/>
                    <w:spacing w:line="360" w:lineRule="auto"/>
                    <w:jc w:val="left"/>
                    <w:rPr>
                      <w:sz w:val="22"/>
                      <w:szCs w:val="22"/>
                      <w:u w:val="none"/>
                    </w:rPr>
                  </w:pP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浓度（ug/m</w:t>
                  </w:r>
                  <w:r>
                    <w:rPr>
                      <w:sz w:val="22"/>
                      <w:szCs w:val="22"/>
                      <w:u w:val="none"/>
                      <w:vertAlign w:val="superscript"/>
                    </w:rPr>
                    <w:t>3</w:t>
                  </w:r>
                  <w:r>
                    <w:rPr>
                      <w:sz w:val="22"/>
                      <w:szCs w:val="22"/>
                      <w:u w:val="none"/>
                    </w:rPr>
                    <w:t>）</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50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0.0502</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100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0.0511</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200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0.1098</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w:t>
                  </w:r>
                  <w:r>
                    <w:rPr>
                      <w:rFonts w:hint="eastAsia"/>
                      <w:sz w:val="22"/>
                      <w:szCs w:val="22"/>
                      <w:u w:val="none"/>
                      <w:lang w:val="en-US" w:eastAsia="zh-CN"/>
                    </w:rPr>
                    <w:t>8</w:t>
                  </w:r>
                  <w:r>
                    <w:rPr>
                      <w:sz w:val="22"/>
                      <w:szCs w:val="22"/>
                      <w:u w:val="non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1773" w:type="pct"/>
                  <w:tcBorders>
                    <w:tl2br w:val="nil"/>
                    <w:tr2bl w:val="nil"/>
                  </w:tcBorders>
                  <w:noWrap w:val="0"/>
                  <w:vAlign w:val="center"/>
                </w:tcPr>
                <w:p>
                  <w:pPr>
                    <w:spacing w:line="360" w:lineRule="auto"/>
                    <w:jc w:val="center"/>
                    <w:rPr>
                      <w:rFonts w:hint="default" w:eastAsia="宋体"/>
                      <w:sz w:val="22"/>
                      <w:szCs w:val="22"/>
                      <w:u w:val="none"/>
                      <w:lang w:val="en-US" w:eastAsia="zh-CN"/>
                    </w:rPr>
                  </w:pPr>
                  <w:r>
                    <w:rPr>
                      <w:rFonts w:hint="eastAsia"/>
                      <w:sz w:val="22"/>
                      <w:szCs w:val="22"/>
                      <w:u w:val="none"/>
                      <w:lang w:val="en-US" w:eastAsia="zh-CN"/>
                    </w:rPr>
                    <w:t>230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0.1172</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300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0.111</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400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0.0937</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500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0.0808</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1000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0.0475</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2000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0.0373</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2500</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0.0372</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sz w:val="22"/>
                      <w:szCs w:val="22"/>
                      <w:u w:val="none"/>
                    </w:rPr>
                  </w:pPr>
                  <w:r>
                    <w:rPr>
                      <w:sz w:val="22"/>
                      <w:szCs w:val="22"/>
                      <w:u w:val="none"/>
                    </w:rPr>
                    <w:t>下风向最大距离</w:t>
                  </w:r>
                </w:p>
              </w:tc>
              <w:tc>
                <w:tcPr>
                  <w:tcW w:w="1562" w:type="pct"/>
                  <w:tcBorders>
                    <w:tl2br w:val="nil"/>
                    <w:tr2bl w:val="nil"/>
                  </w:tcBorders>
                  <w:noWrap w:val="0"/>
                  <w:vAlign w:val="center"/>
                </w:tcPr>
                <w:p>
                  <w:pPr>
                    <w:spacing w:line="360" w:lineRule="auto"/>
                    <w:jc w:val="center"/>
                    <w:rPr>
                      <w:sz w:val="22"/>
                      <w:szCs w:val="22"/>
                      <w:u w:val="none"/>
                    </w:rPr>
                  </w:pPr>
                  <w:r>
                    <w:rPr>
                      <w:sz w:val="22"/>
                      <w:szCs w:val="22"/>
                      <w:u w:val="none"/>
                    </w:rPr>
                    <w:t>0.1172</w:t>
                  </w:r>
                </w:p>
              </w:tc>
              <w:tc>
                <w:tcPr>
                  <w:tcW w:w="1664" w:type="pct"/>
                  <w:tcBorders>
                    <w:tl2br w:val="nil"/>
                    <w:tr2bl w:val="nil"/>
                  </w:tcBorders>
                  <w:noWrap w:val="0"/>
                  <w:vAlign w:val="center"/>
                </w:tcPr>
                <w:p>
                  <w:pPr>
                    <w:spacing w:line="360" w:lineRule="auto"/>
                    <w:jc w:val="center"/>
                    <w:rPr>
                      <w:sz w:val="22"/>
                      <w:szCs w:val="22"/>
                      <w:u w:val="none"/>
                    </w:rPr>
                  </w:pPr>
                  <w:r>
                    <w:rPr>
                      <w:sz w:val="22"/>
                      <w:szCs w:val="22"/>
                      <w:u w:val="none"/>
                    </w:rPr>
                    <w:t>0.98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773" w:type="pct"/>
                  <w:tcBorders>
                    <w:tl2br w:val="nil"/>
                    <w:tr2bl w:val="nil"/>
                  </w:tcBorders>
                  <w:noWrap w:val="0"/>
                  <w:vAlign w:val="center"/>
                </w:tcPr>
                <w:p>
                  <w:pPr>
                    <w:spacing w:line="360" w:lineRule="auto"/>
                    <w:jc w:val="center"/>
                    <w:rPr>
                      <w:rFonts w:hint="eastAsia" w:eastAsia="宋体"/>
                      <w:sz w:val="22"/>
                      <w:szCs w:val="22"/>
                      <w:u w:val="none"/>
                      <w:lang w:eastAsia="zh-CN"/>
                    </w:rPr>
                  </w:pPr>
                  <w:r>
                    <w:rPr>
                      <w:rFonts w:hint="eastAsia"/>
                      <w:sz w:val="22"/>
                      <w:szCs w:val="22"/>
                      <w:u w:val="none"/>
                      <w:lang w:eastAsia="zh-CN"/>
                    </w:rPr>
                    <w:t>最大落地距离</w:t>
                  </w:r>
                </w:p>
              </w:tc>
              <w:tc>
                <w:tcPr>
                  <w:tcW w:w="3226" w:type="pct"/>
                  <w:gridSpan w:val="2"/>
                  <w:tcBorders>
                    <w:tl2br w:val="nil"/>
                    <w:tr2bl w:val="nil"/>
                  </w:tcBorders>
                  <w:noWrap w:val="0"/>
                  <w:vAlign w:val="center"/>
                </w:tcPr>
                <w:p>
                  <w:pPr>
                    <w:spacing w:line="360" w:lineRule="auto"/>
                    <w:jc w:val="center"/>
                    <w:rPr>
                      <w:rFonts w:hint="default" w:eastAsia="宋体"/>
                      <w:sz w:val="22"/>
                      <w:szCs w:val="22"/>
                      <w:u w:val="none"/>
                      <w:lang w:val="en-US" w:eastAsia="zh-CN"/>
                    </w:rPr>
                  </w:pPr>
                  <w:r>
                    <w:rPr>
                      <w:rFonts w:hint="eastAsia"/>
                      <w:sz w:val="22"/>
                      <w:szCs w:val="22"/>
                      <w:u w:val="none"/>
                      <w:lang w:val="en-US" w:eastAsia="zh-CN"/>
                    </w:rPr>
                    <w:t>230</w:t>
                  </w:r>
                </w:p>
              </w:tc>
            </w:tr>
          </w:tbl>
          <w:p>
            <w:pPr>
              <w:spacing w:line="360" w:lineRule="auto"/>
              <w:ind w:firstLine="462" w:firstLineChars="200"/>
              <w:jc w:val="both"/>
              <w:rPr>
                <w:rFonts w:hint="default" w:ascii="Times New Roman" w:hAnsi="Times New Roman" w:cs="Times New Roman"/>
                <w:color w:val="auto"/>
                <w:sz w:val="24"/>
                <w:szCs w:val="24"/>
                <w:u w:val="none" w:color="auto"/>
                <w:lang w:val="en-US"/>
              </w:rPr>
            </w:pPr>
            <w:r>
              <w:rPr>
                <w:rFonts w:hint="default" w:ascii="Times New Roman" w:hAnsi="Times New Roman" w:cs="Times New Roman"/>
                <w:color w:val="auto"/>
                <w:sz w:val="24"/>
                <w:szCs w:val="24"/>
                <w:u w:val="none" w:color="auto"/>
                <w:lang w:val="en-US" w:eastAsia="zh-CN"/>
              </w:rPr>
              <w:t>估算模式已考虑了最不利的气象条件，根据预测结果，各污染物下风向预测最大地面浓度、占标率见表7-</w:t>
            </w:r>
            <w:r>
              <w:rPr>
                <w:rFonts w:hint="eastAsia" w:cs="Times New Roman"/>
                <w:color w:val="auto"/>
                <w:sz w:val="24"/>
                <w:szCs w:val="24"/>
                <w:u w:val="none" w:color="auto"/>
                <w:lang w:val="en-US" w:eastAsia="zh-CN"/>
              </w:rPr>
              <w:t>15</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 xml:space="preserve">15  </w:t>
            </w:r>
            <w:r>
              <w:rPr>
                <w:rFonts w:hint="default" w:ascii="Times New Roman" w:hAnsi="Times New Roman" w:cs="Times New Roman"/>
                <w:color w:val="auto"/>
                <w:sz w:val="24"/>
                <w:szCs w:val="24"/>
                <w:u w:val="none" w:color="auto"/>
                <w:lang w:val="en-US" w:eastAsia="zh-CN"/>
              </w:rPr>
              <w:t>污染物下风向预测最大地面浓度、占标率一览表</w:t>
            </w:r>
          </w:p>
          <w:tbl>
            <w:tblPr>
              <w:tblStyle w:val="39"/>
              <w:tblW w:w="90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960"/>
              <w:gridCol w:w="233"/>
              <w:gridCol w:w="885"/>
              <w:gridCol w:w="1313"/>
              <w:gridCol w:w="1742"/>
              <w:gridCol w:w="1645"/>
              <w:gridCol w:w="16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2" w:hRule="atLeast"/>
                <w:jc w:val="center"/>
              </w:trPr>
              <w:tc>
                <w:tcPr>
                  <w:tcW w:w="666"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类别</w:t>
                  </w:r>
                </w:p>
              </w:tc>
              <w:tc>
                <w:tcPr>
                  <w:tcW w:w="2078" w:type="dxa"/>
                  <w:gridSpan w:val="3"/>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污染因子</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最大落地浓度（μg/m</w:t>
                  </w:r>
                  <w:r>
                    <w:rPr>
                      <w:rFonts w:hint="default" w:ascii="Times New Roman" w:hAnsi="Times New Roman"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最大落地浓度占标率Pmax（%）</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下风向最大浓度出现距离m</w:t>
                  </w:r>
                </w:p>
              </w:tc>
              <w:tc>
                <w:tcPr>
                  <w:tcW w:w="1608"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666" w:type="dxa"/>
                  <w:vMerge w:val="restar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有组织</w:t>
                  </w:r>
                </w:p>
              </w:tc>
              <w:tc>
                <w:tcPr>
                  <w:tcW w:w="1193" w:type="dxa"/>
                  <w:gridSpan w:val="2"/>
                  <w:vMerge w:val="restar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vertAlign w:val="baseline"/>
                      <w:lang w:val="en-US" w:eastAsia="zh-CN"/>
                    </w:rPr>
                    <w:t>喷漆</w:t>
                  </w:r>
                  <w:r>
                    <w:rPr>
                      <w:rFonts w:hint="eastAsia" w:cs="Times New Roman"/>
                      <w:color w:val="auto"/>
                      <w:sz w:val="22"/>
                      <w:szCs w:val="22"/>
                      <w:u w:val="none" w:color="auto"/>
                      <w:vertAlign w:val="baseline"/>
                      <w:lang w:val="en-US" w:eastAsia="zh-CN"/>
                    </w:rPr>
                    <w:t>房、喷涂线</w:t>
                  </w:r>
                </w:p>
              </w:tc>
              <w:tc>
                <w:tcPr>
                  <w:tcW w:w="88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0.5607</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0.93</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293</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3"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1193" w:type="dxa"/>
                  <w:gridSpan w:val="2"/>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88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颗粒物</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0.0719</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0.07</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293</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2078" w:type="dxa"/>
                  <w:gridSpan w:val="3"/>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颗粒物（喷塑工序）</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0.033584</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0.20</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100</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2078" w:type="dxa"/>
                  <w:gridSpan w:val="3"/>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r>
                    <w:rPr>
                      <w:rFonts w:hint="eastAsia" w:ascii="Times New Roman" w:hAnsi="Times New Roman" w:cs="Times New Roman"/>
                      <w:color w:val="auto"/>
                      <w:sz w:val="22"/>
                      <w:szCs w:val="22"/>
                      <w:u w:val="none" w:color="auto"/>
                      <w:vertAlign w:val="baseline"/>
                      <w:lang w:val="en-US" w:eastAsia="zh-CN"/>
                    </w:rPr>
                    <w:t>（烘干固化</w:t>
                  </w:r>
                </w:p>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ascii="Times New Roman" w:hAnsi="Times New Roman" w:cs="Times New Roman"/>
                      <w:color w:val="auto"/>
                      <w:sz w:val="22"/>
                      <w:szCs w:val="22"/>
                      <w:u w:val="none" w:color="auto"/>
                      <w:vertAlign w:val="baseline"/>
                      <w:lang w:val="en-US" w:eastAsia="zh-CN"/>
                    </w:rPr>
                    <w:t>工序）</w:t>
                  </w:r>
                </w:p>
              </w:tc>
              <w:tc>
                <w:tcPr>
                  <w:tcW w:w="13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sz w:val="22"/>
                      <w:szCs w:val="22"/>
                      <w:u w:val="none"/>
                    </w:rPr>
                    <w:t>0.1172</w:t>
                  </w:r>
                </w:p>
              </w:tc>
              <w:tc>
                <w:tcPr>
                  <w:tcW w:w="1742"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sz w:val="22"/>
                      <w:szCs w:val="22"/>
                      <w:u w:val="none"/>
                    </w:rPr>
                    <w:t>0.98</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230</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960" w:type="dxa"/>
                  <w:vMerge w:val="restar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液化气燃烧废气</w:t>
                  </w:r>
                </w:p>
              </w:tc>
              <w:tc>
                <w:tcPr>
                  <w:tcW w:w="1118" w:type="dxa"/>
                  <w:gridSpan w:val="2"/>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颗粒物</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0.00915</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0.92</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525</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960"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cs="Times New Roman"/>
                      <w:color w:val="auto"/>
                      <w:sz w:val="22"/>
                      <w:szCs w:val="22"/>
                      <w:u w:val="none" w:color="auto"/>
                      <w:vertAlign w:val="baseline"/>
                      <w:lang w:val="en-US" w:eastAsia="zh-CN"/>
                    </w:rPr>
                  </w:pPr>
                </w:p>
              </w:tc>
              <w:tc>
                <w:tcPr>
                  <w:tcW w:w="1118" w:type="dxa"/>
                  <w:gridSpan w:val="2"/>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二氧化硫</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0.067</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0.02</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525</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960"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cs="Times New Roman"/>
                      <w:color w:val="auto"/>
                      <w:sz w:val="22"/>
                      <w:szCs w:val="22"/>
                      <w:u w:val="none" w:color="auto"/>
                      <w:vertAlign w:val="baseline"/>
                      <w:lang w:val="en-US" w:eastAsia="zh-CN"/>
                    </w:rPr>
                  </w:pPr>
                </w:p>
              </w:tc>
              <w:tc>
                <w:tcPr>
                  <w:tcW w:w="1118" w:type="dxa"/>
                  <w:gridSpan w:val="2"/>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氮氧化物</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3.564</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0.3</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525</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960" w:type="dxa"/>
                  <w:vMerge w:val="restar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耐高温实验废气</w:t>
                  </w:r>
                </w:p>
              </w:tc>
              <w:tc>
                <w:tcPr>
                  <w:tcW w:w="1118" w:type="dxa"/>
                  <w:gridSpan w:val="2"/>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颗粒物</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0.00915</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0.92</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525</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960"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p>
              </w:tc>
              <w:tc>
                <w:tcPr>
                  <w:tcW w:w="1118" w:type="dxa"/>
                  <w:gridSpan w:val="2"/>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二氧化硫</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0.067</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0.02</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525</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960"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p>
              </w:tc>
              <w:tc>
                <w:tcPr>
                  <w:tcW w:w="1118" w:type="dxa"/>
                  <w:gridSpan w:val="2"/>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氮氧化物</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3.564</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0.3</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525</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2078" w:type="dxa"/>
                  <w:gridSpan w:val="3"/>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切割废气</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0.9843</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0.22</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81</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666" w:type="dxa"/>
                  <w:vMerge w:val="restar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无组织</w:t>
                  </w:r>
                </w:p>
              </w:tc>
              <w:tc>
                <w:tcPr>
                  <w:tcW w:w="1193" w:type="dxa"/>
                  <w:gridSpan w:val="2"/>
                  <w:vMerge w:val="restar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vertAlign w:val="baseline"/>
                      <w:lang w:val="en-US" w:eastAsia="zh-CN"/>
                    </w:rPr>
                    <w:t>喷漆</w:t>
                  </w:r>
                  <w:r>
                    <w:rPr>
                      <w:rFonts w:hint="eastAsia" w:cs="Times New Roman"/>
                      <w:color w:val="auto"/>
                      <w:sz w:val="22"/>
                      <w:szCs w:val="22"/>
                      <w:u w:val="none" w:color="auto"/>
                      <w:vertAlign w:val="baseline"/>
                      <w:lang w:val="en-US" w:eastAsia="zh-CN"/>
                    </w:rPr>
                    <w:t>房、喷涂线</w:t>
                  </w:r>
                </w:p>
              </w:tc>
              <w:tc>
                <w:tcPr>
                  <w:tcW w:w="88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0.01638</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0.9</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114</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1193" w:type="dxa"/>
                  <w:gridSpan w:val="2"/>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88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颗粒物</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0.007857</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0.873</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114</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2078" w:type="dxa"/>
                  <w:gridSpan w:val="3"/>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颗粒物</w:t>
                  </w:r>
                  <w:r>
                    <w:rPr>
                      <w:rFonts w:hint="eastAsia" w:cs="Times New Roman"/>
                      <w:color w:val="auto"/>
                      <w:sz w:val="22"/>
                      <w:szCs w:val="22"/>
                      <w:u w:val="none" w:color="auto"/>
                      <w:lang w:val="en-US" w:eastAsia="zh-CN"/>
                    </w:rPr>
                    <w:t>（焊接工序）</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0.0002067</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0.23</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103</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666" w:type="dxa"/>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2078" w:type="dxa"/>
                  <w:gridSpan w:val="3"/>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颗粒物（抛丸工序）</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0.002488</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0.28</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150</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对于同一个项目有多个污染源时，按各污染源分别确定评价等级，并取评价等级最高者作为项目的评价等级。综上计算可知，本项目评价等级为</w:t>
            </w:r>
            <w:r>
              <w:rPr>
                <w:rFonts w:hint="default" w:ascii="Times New Roman" w:hAnsi="Times New Roman" w:cs="Times New Roman"/>
                <w:color w:val="auto"/>
                <w:sz w:val="24"/>
                <w:szCs w:val="24"/>
                <w:u w:val="none" w:color="auto"/>
                <w:lang w:eastAsia="zh-CN"/>
              </w:rPr>
              <w:t>三</w:t>
            </w:r>
            <w:r>
              <w:rPr>
                <w:rFonts w:hint="default" w:ascii="Times New Roman" w:hAnsi="Times New Roman" w:cs="Times New Roman"/>
                <w:color w:val="auto"/>
                <w:sz w:val="24"/>
                <w:szCs w:val="24"/>
                <w:u w:val="none" w:color="auto"/>
              </w:rPr>
              <w:t>级。</w:t>
            </w:r>
          </w:p>
          <w:p>
            <w:pPr>
              <w:snapToGrid w:val="0"/>
              <w:spacing w:line="360" w:lineRule="auto"/>
              <w:ind w:firstLine="47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根据估算模式预测结果，项目营运期产生的粉尘排放能够满足《大气污染物综合排放标准》（GB16297-1996）二级标准及无组织排放最高浓度排放限值，营运期产生的VOCs能满足</w:t>
            </w:r>
            <w:r>
              <w:rPr>
                <w:rFonts w:hint="eastAsia"/>
                <w:color w:val="auto"/>
                <w:sz w:val="24"/>
                <w:szCs w:val="24"/>
                <w:u w:val="none" w:color="auto"/>
                <w:lang w:eastAsia="zh-CN"/>
              </w:rPr>
              <w:t>（参照执行）</w:t>
            </w:r>
            <w:r>
              <w:rPr>
                <w:rFonts w:hint="eastAsia"/>
                <w:color w:val="auto"/>
                <w:sz w:val="24"/>
                <w:szCs w:val="24"/>
                <w:u w:val="none" w:color="auto"/>
              </w:rPr>
              <w:t>执行湖南省地方标准</w:t>
            </w:r>
            <w:r>
              <w:rPr>
                <w:rFonts w:hint="eastAsia"/>
                <w:color w:val="auto"/>
                <w:sz w:val="24"/>
                <w:szCs w:val="24"/>
                <w:u w:val="none" w:color="auto"/>
                <w:lang w:eastAsia="zh-CN"/>
              </w:rPr>
              <w:t>《表面涂装(汽车制造)挥发性有机物、镍排放标准》（DB43/1356-2017）</w:t>
            </w:r>
            <w:r>
              <w:rPr>
                <w:rFonts w:hint="default" w:ascii="Times New Roman" w:hAnsi="Times New Roman" w:cs="Times New Roman"/>
                <w:color w:val="auto"/>
                <w:sz w:val="24"/>
                <w:szCs w:val="24"/>
                <w:u w:val="none" w:color="auto"/>
              </w:rPr>
              <w:t>表1的最高允许排放限值</w:t>
            </w:r>
            <w:r>
              <w:rPr>
                <w:rFonts w:hint="eastAsia" w:cs="Times New Roman"/>
                <w:color w:val="auto"/>
                <w:sz w:val="24"/>
                <w:szCs w:val="24"/>
                <w:u w:val="none" w:color="auto"/>
                <w:lang w:eastAsia="zh-CN"/>
              </w:rPr>
              <w:t>，</w:t>
            </w:r>
            <w:r>
              <w:rPr>
                <w:rFonts w:hint="default" w:ascii="Times New Roman" w:hAnsi="Times New Roman" w:eastAsia="宋体" w:cs="Times New Roman"/>
                <w:color w:val="auto"/>
                <w:kern w:val="0"/>
                <w:sz w:val="24"/>
                <w:szCs w:val="24"/>
                <w:u w:val="none" w:color="auto"/>
                <w:lang w:val="en-US" w:eastAsia="zh-CN" w:bidi="ar"/>
              </w:rPr>
              <w:t>无组织有机废气排放执行《挥发性有机物无组织排放控制标准》（GB37822-2019）中限值要求</w:t>
            </w:r>
            <w:r>
              <w:rPr>
                <w:rFonts w:hint="eastAsia" w:eastAsia="宋体" w:cs="Times New Roman"/>
                <w:color w:val="auto"/>
                <w:kern w:val="0"/>
                <w:sz w:val="24"/>
                <w:szCs w:val="24"/>
                <w:u w:val="none" w:color="auto"/>
                <w:lang w:val="en-US" w:eastAsia="zh-CN" w:bidi="ar"/>
              </w:rPr>
              <w:t>，液化石油气燃烧废气</w:t>
            </w:r>
            <w:r>
              <w:rPr>
                <w:rFonts w:hint="eastAsia" w:cs="Times New Roman"/>
                <w:color w:val="auto"/>
                <w:kern w:val="0"/>
                <w:sz w:val="24"/>
                <w:szCs w:val="24"/>
                <w:u w:val="none" w:color="auto"/>
                <w:lang w:val="en-US" w:eastAsia="zh-CN" w:bidi="ar"/>
              </w:rPr>
              <w:t>、耐高温检测废气</w:t>
            </w:r>
            <w:r>
              <w:rPr>
                <w:rFonts w:hint="eastAsia" w:eastAsia="宋体" w:cs="Times New Roman"/>
                <w:color w:val="auto"/>
                <w:kern w:val="0"/>
                <w:sz w:val="24"/>
                <w:szCs w:val="24"/>
                <w:u w:val="none" w:color="auto"/>
                <w:lang w:val="en-US" w:eastAsia="zh-CN" w:bidi="ar"/>
              </w:rPr>
              <w:t>执行</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工业炉窑大气污染物排放标准</w:t>
            </w:r>
            <w:r>
              <w:rPr>
                <w:rFonts w:hint="default" w:ascii="Times New Roman" w:hAnsi="Times New Roman" w:eastAsia="宋体" w:cs="Times New Roman"/>
                <w:color w:val="auto"/>
                <w:kern w:val="0"/>
                <w:sz w:val="24"/>
                <w:szCs w:val="24"/>
                <w:u w:val="none" w:color="auto"/>
                <w:lang w:val="en-US" w:eastAsia="zh-CN" w:bidi="ar"/>
              </w:rPr>
              <w:t>》（GB</w:t>
            </w:r>
            <w:r>
              <w:rPr>
                <w:rFonts w:hint="eastAsia" w:cs="Times New Roman"/>
                <w:color w:val="auto"/>
                <w:kern w:val="0"/>
                <w:sz w:val="24"/>
                <w:szCs w:val="24"/>
                <w:u w:val="none" w:color="auto"/>
                <w:lang w:val="en-US" w:eastAsia="zh-CN" w:bidi="ar"/>
              </w:rPr>
              <w:t>9078</w:t>
            </w:r>
            <w:r>
              <w:rPr>
                <w:rFonts w:hint="default" w:ascii="Times New Roman" w:hAnsi="Times New Roman" w:eastAsia="宋体" w:cs="Times New Roman"/>
                <w:color w:val="auto"/>
                <w:kern w:val="0"/>
                <w:sz w:val="24"/>
                <w:szCs w:val="24"/>
                <w:u w:val="none" w:color="auto"/>
                <w:lang w:val="en-US" w:eastAsia="zh-CN" w:bidi="ar"/>
              </w:rPr>
              <w:t>-1996）</w:t>
            </w:r>
            <w:r>
              <w:rPr>
                <w:rFonts w:hint="eastAsia" w:cs="Times New Roman"/>
                <w:color w:val="auto"/>
                <w:kern w:val="0"/>
                <w:sz w:val="24"/>
                <w:szCs w:val="24"/>
                <w:u w:val="none" w:color="auto"/>
                <w:lang w:val="en-US" w:eastAsia="zh-CN" w:bidi="ar"/>
              </w:rPr>
              <w:t>中的排放</w:t>
            </w:r>
            <w:r>
              <w:rPr>
                <w:rFonts w:hint="default" w:ascii="Times New Roman" w:hAnsi="Times New Roman" w:eastAsia="宋体" w:cs="Times New Roman"/>
                <w:color w:val="auto"/>
                <w:kern w:val="0"/>
                <w:sz w:val="24"/>
                <w:szCs w:val="24"/>
                <w:u w:val="none" w:color="auto"/>
                <w:lang w:val="en-US" w:eastAsia="zh-CN" w:bidi="ar"/>
              </w:rPr>
              <w:t>标准</w:t>
            </w:r>
            <w:r>
              <w:rPr>
                <w:rFonts w:hint="eastAsia" w:cs="Times New Roman"/>
                <w:color w:val="auto"/>
                <w:kern w:val="0"/>
                <w:sz w:val="24"/>
                <w:szCs w:val="24"/>
                <w:u w:val="none" w:color="auto"/>
                <w:lang w:val="en-US" w:eastAsia="zh-CN" w:bidi="ar"/>
              </w:rPr>
              <w:t>，氮氧化物执行</w:t>
            </w:r>
            <w:r>
              <w:rPr>
                <w:rFonts w:hint="default" w:ascii="Times New Roman" w:hAnsi="Times New Roman" w:eastAsia="宋体" w:cs="Times New Roman"/>
                <w:color w:val="auto"/>
                <w:kern w:val="0"/>
                <w:sz w:val="24"/>
                <w:szCs w:val="24"/>
                <w:u w:val="none" w:color="auto"/>
                <w:lang w:val="en-US" w:eastAsia="zh-CN" w:bidi="ar"/>
              </w:rPr>
              <w:t>《大气污染物综合排放标准》（GB16297-1996）表2的二级标准</w:t>
            </w:r>
            <w:r>
              <w:rPr>
                <w:rFonts w:hint="default" w:ascii="Times New Roman" w:hAnsi="Times New Roman" w:cs="Times New Roman"/>
                <w:color w:val="auto"/>
                <w:sz w:val="24"/>
                <w:szCs w:val="24"/>
                <w:u w:val="none" w:color="auto"/>
              </w:rPr>
              <w:t>，对周围环境影响较小</w:t>
            </w:r>
            <w:r>
              <w:rPr>
                <w:rFonts w:hint="default" w:ascii="Times New Roman" w:hAnsi="Times New Roman" w:cs="Times New Roman"/>
                <w:color w:val="auto"/>
                <w:sz w:val="24"/>
                <w:szCs w:val="24"/>
                <w:u w:val="none" w:color="auto"/>
                <w:lang w:val="en-US" w:eastAsia="zh-CN"/>
              </w:rPr>
              <w:t>。</w:t>
            </w:r>
          </w:p>
          <w:p>
            <w:pPr>
              <w:pStyle w:val="165"/>
              <w:numPr>
                <w:ilvl w:val="0"/>
                <w:numId w:val="9"/>
              </w:numPr>
              <w:spacing w:line="360" w:lineRule="auto"/>
              <w:ind w:firstLineChars="0"/>
              <w:jc w:val="left"/>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污染物排放达标分析</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根据《大气污染物综合排放标准》（GB16297-1996）由“7.4新污染源的排气筒一般不低于15米”；“7.1还应高出周围200米半径范围的建筑5m以上”；</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single" w:color="auto"/>
              </w:rPr>
              <w:t>本项目</w:t>
            </w:r>
            <w:r>
              <w:rPr>
                <w:rFonts w:hint="eastAsia" w:cs="Times New Roman"/>
                <w:color w:val="auto"/>
                <w:sz w:val="24"/>
                <w:szCs w:val="24"/>
                <w:u w:val="single" w:color="auto"/>
                <w:lang w:eastAsia="zh-CN"/>
              </w:rPr>
              <w:t>共</w:t>
            </w:r>
            <w:r>
              <w:rPr>
                <w:rFonts w:hint="default" w:ascii="Times New Roman" w:hAnsi="Times New Roman" w:cs="Times New Roman"/>
                <w:color w:val="auto"/>
                <w:sz w:val="24"/>
                <w:szCs w:val="24"/>
                <w:u w:val="single" w:color="auto"/>
              </w:rPr>
              <w:t>设置</w:t>
            </w:r>
            <w:r>
              <w:rPr>
                <w:rFonts w:hint="eastAsia" w:cs="Times New Roman"/>
                <w:color w:val="auto"/>
                <w:sz w:val="24"/>
                <w:szCs w:val="24"/>
                <w:u w:val="single" w:color="auto"/>
                <w:lang w:val="en-US" w:eastAsia="zh-CN"/>
              </w:rPr>
              <w:t>8个排气筒，其</w:t>
            </w:r>
            <w:r>
              <w:rPr>
                <w:rFonts w:hint="default" w:ascii="Times New Roman" w:hAnsi="Times New Roman" w:cs="Times New Roman"/>
                <w:color w:val="auto"/>
                <w:sz w:val="24"/>
                <w:szCs w:val="24"/>
                <w:u w:val="single" w:color="auto"/>
              </w:rPr>
              <w:t>排气筒高度为15m，根据现场调查，项目厂区附近200m范围内所有建筑高度不超过10米，项目生产车间等标高约为</w:t>
            </w:r>
            <w:r>
              <w:rPr>
                <w:rFonts w:hint="eastAsia" w:cs="Times New Roman"/>
                <w:color w:val="auto"/>
                <w:sz w:val="24"/>
                <w:szCs w:val="24"/>
                <w:u w:val="single" w:color="auto"/>
                <w:lang w:val="en-US" w:eastAsia="zh-CN"/>
              </w:rPr>
              <w:t>7</w:t>
            </w:r>
            <w:r>
              <w:rPr>
                <w:rFonts w:hint="default" w:ascii="Times New Roman" w:hAnsi="Times New Roman" w:cs="Times New Roman"/>
                <w:color w:val="auto"/>
                <w:sz w:val="24"/>
                <w:szCs w:val="24"/>
                <w:u w:val="single" w:color="auto"/>
              </w:rPr>
              <w:t>m。项目排气筒位置、高度均严格按照生产工艺特征、国家标准进行设置，总体而言是合理的</w:t>
            </w:r>
            <w:r>
              <w:rPr>
                <w:rFonts w:hint="default" w:ascii="Times New Roman" w:hAnsi="Times New Roman" w:cs="Times New Roman"/>
                <w:color w:val="auto"/>
                <w:sz w:val="24"/>
                <w:szCs w:val="24"/>
                <w:u w:val="none" w:color="auto"/>
              </w:rPr>
              <w:t>。</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）污染物排放量核算</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①有组织排放量核算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16</w:t>
            </w:r>
            <w:r>
              <w:rPr>
                <w:rFonts w:hint="default" w:ascii="Times New Roman" w:hAnsi="Times New Roman" w:cs="Times New Roman"/>
                <w:color w:val="auto"/>
                <w:sz w:val="24"/>
                <w:szCs w:val="24"/>
                <w:u w:val="none" w:color="auto"/>
              </w:rPr>
              <w:t xml:space="preserve"> 大气污染物有组织排放量核算表</w:t>
            </w:r>
          </w:p>
          <w:tbl>
            <w:tblPr>
              <w:tblStyle w:val="3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28"/>
              <w:gridCol w:w="1603"/>
              <w:gridCol w:w="1141"/>
              <w:gridCol w:w="2145"/>
              <w:gridCol w:w="1874"/>
              <w:gridCol w:w="1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16" w:hRule="atLeast"/>
              </w:trPr>
              <w:tc>
                <w:tcPr>
                  <w:tcW w:w="291"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881"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627"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17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核算排放浓度（mg/m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02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核算排放速率（kg/h）</w:t>
                  </w:r>
                </w:p>
              </w:tc>
              <w:tc>
                <w:tcPr>
                  <w:tcW w:w="991"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trPr>
              <w:tc>
                <w:tcPr>
                  <w:tcW w:w="5000" w:type="pct"/>
                  <w:gridSpan w:val="6"/>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94" w:hRule="atLeast"/>
              </w:trPr>
              <w:tc>
                <w:tcPr>
                  <w:tcW w:w="291" w:type="pct"/>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881" w:type="pc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喷塑废气</w:t>
                  </w:r>
                  <w:r>
                    <w:rPr>
                      <w:rFonts w:hint="default" w:ascii="Times New Roman" w:hAnsi="Times New Roman" w:cs="Times New Roman"/>
                      <w:color w:val="auto"/>
                      <w:sz w:val="22"/>
                      <w:szCs w:val="22"/>
                      <w:u w:val="none" w:color="auto"/>
                    </w:rPr>
                    <w:t>排气筒</w:t>
                  </w:r>
                  <w:r>
                    <w:rPr>
                      <w:rFonts w:hint="eastAsia" w:cs="Times New Roman"/>
                      <w:color w:val="auto"/>
                      <w:sz w:val="22"/>
                      <w:szCs w:val="22"/>
                      <w:u w:val="none" w:color="auto"/>
                      <w:lang w:val="en-US" w:eastAsia="zh-CN"/>
                    </w:rPr>
                    <w:t>G1</w:t>
                  </w:r>
                </w:p>
              </w:tc>
              <w:tc>
                <w:tcPr>
                  <w:tcW w:w="627"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117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10</w:t>
                  </w:r>
                </w:p>
              </w:tc>
              <w:tc>
                <w:tcPr>
                  <w:tcW w:w="1029"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0.025</w:t>
                  </w:r>
                </w:p>
              </w:tc>
              <w:tc>
                <w:tcPr>
                  <w:tcW w:w="991"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51"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烘干固化废气G2</w:t>
                  </w:r>
                </w:p>
              </w:tc>
              <w:tc>
                <w:tcPr>
                  <w:tcW w:w="627"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default" w:ascii="Times New Roman" w:hAnsi="Times New Roman" w:cs="Times New Roman"/>
                      <w:color w:val="auto"/>
                      <w:sz w:val="22"/>
                      <w:szCs w:val="22"/>
                      <w:u w:val="none" w:color="auto"/>
                    </w:rPr>
                    <w:t>VOCs</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36</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0.15</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31"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restar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喷漆、喷涂线废气</w:t>
                  </w:r>
                  <w:r>
                    <w:rPr>
                      <w:rFonts w:hint="default" w:ascii="Times New Roman" w:hAnsi="Times New Roman" w:cs="Times New Roman"/>
                      <w:color w:val="auto"/>
                      <w:sz w:val="22"/>
                      <w:szCs w:val="22"/>
                      <w:u w:val="none" w:color="auto"/>
                    </w:rPr>
                    <w:t>排气筒</w:t>
                  </w:r>
                  <w:r>
                    <w:rPr>
                      <w:rFonts w:hint="eastAsia" w:cs="Times New Roman"/>
                      <w:color w:val="auto"/>
                      <w:sz w:val="22"/>
                      <w:szCs w:val="22"/>
                      <w:u w:val="none" w:color="auto"/>
                      <w:lang w:val="en-US" w:eastAsia="zh-CN"/>
                    </w:rPr>
                    <w:t>G3</w:t>
                  </w:r>
                </w:p>
              </w:tc>
              <w:tc>
                <w:tcPr>
                  <w:tcW w:w="627"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VOCs</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43.6</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0.439</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0.523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1"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627" w:type="pc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颗粒物</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6.3</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0.063</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1"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restar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液化石油气燃烧废气</w:t>
                  </w:r>
                  <w:r>
                    <w:rPr>
                      <w:rFonts w:hint="default" w:ascii="Times New Roman" w:hAnsi="Times New Roman" w:cs="Times New Roman"/>
                      <w:color w:val="auto"/>
                      <w:sz w:val="22"/>
                      <w:szCs w:val="22"/>
                      <w:u w:val="none" w:color="auto"/>
                    </w:rPr>
                    <w:t>排气筒</w:t>
                  </w:r>
                  <w:r>
                    <w:rPr>
                      <w:rFonts w:hint="eastAsia" w:cs="Times New Roman"/>
                      <w:color w:val="auto"/>
                      <w:sz w:val="22"/>
                      <w:szCs w:val="22"/>
                      <w:u w:val="none" w:color="auto"/>
                      <w:lang w:val="en-US" w:eastAsia="zh-CN"/>
                    </w:rPr>
                    <w:t>G4</w:t>
                  </w:r>
                </w:p>
              </w:tc>
              <w:tc>
                <w:tcPr>
                  <w:tcW w:w="627"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4.26</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0.00018</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0.000218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627"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二氧化硫</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18.38</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0.00078</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0.00094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1"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627"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氮氧化物</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158.9</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0.00678</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0.00813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restar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耐高温检测废气排气筒G5</w:t>
                  </w:r>
                </w:p>
              </w:tc>
              <w:tc>
                <w:tcPr>
                  <w:tcW w:w="627"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1179" w:type="pc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4.26</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0.00068</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0.000068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1"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627"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二氧化硫</w:t>
                  </w:r>
                </w:p>
              </w:tc>
              <w:tc>
                <w:tcPr>
                  <w:tcW w:w="1179" w:type="pc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18.38</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0.0029</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61"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627"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氮氧化物</w:t>
                  </w:r>
                </w:p>
              </w:tc>
              <w:tc>
                <w:tcPr>
                  <w:tcW w:w="1179" w:type="pct"/>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158.9</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0.254</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0.00254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9"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激光切割废气排气筒G6</w:t>
                  </w:r>
                </w:p>
              </w:tc>
              <w:tc>
                <w:tcPr>
                  <w:tcW w:w="627"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68.25</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0.273</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0.655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29"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等离子切割废气排气筒G7</w:t>
                  </w:r>
                </w:p>
              </w:tc>
              <w:tc>
                <w:tcPr>
                  <w:tcW w:w="627" w:type="pc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68.25</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0.273</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0.655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3" w:hRule="atLeast"/>
              </w:trPr>
              <w:tc>
                <w:tcPr>
                  <w:tcW w:w="291" w:type="pct"/>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88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激光、等离子切割废气排气筒G8</w:t>
                  </w:r>
                </w:p>
              </w:tc>
              <w:tc>
                <w:tcPr>
                  <w:tcW w:w="627"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颗粒物</w:t>
                  </w:r>
                </w:p>
              </w:tc>
              <w:tc>
                <w:tcPr>
                  <w:tcW w:w="117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68.25</w:t>
                  </w:r>
                </w:p>
              </w:tc>
              <w:tc>
                <w:tcPr>
                  <w:tcW w:w="1029"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0.273</w:t>
                  </w:r>
                </w:p>
              </w:tc>
              <w:tc>
                <w:tcPr>
                  <w:tcW w:w="991" w:type="pc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0.655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4008" w:type="pct"/>
                  <w:gridSpan w:val="5"/>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有组织排放总计</w:t>
                  </w:r>
                </w:p>
              </w:tc>
              <w:tc>
                <w:tcPr>
                  <w:tcW w:w="991" w:type="pc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2.786186</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17</w:t>
            </w:r>
            <w:r>
              <w:rPr>
                <w:rFonts w:hint="default" w:ascii="Times New Roman" w:hAnsi="Times New Roman" w:cs="Times New Roman"/>
                <w:color w:val="auto"/>
                <w:sz w:val="24"/>
                <w:szCs w:val="24"/>
                <w:u w:val="none" w:color="auto"/>
              </w:rPr>
              <w:t xml:space="preserve"> 大气污染物无组织排放量核算表</w:t>
            </w:r>
          </w:p>
          <w:tbl>
            <w:tblPr>
              <w:tblStyle w:val="39"/>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27"/>
              <w:gridCol w:w="1049"/>
              <w:gridCol w:w="1347"/>
              <w:gridCol w:w="789"/>
              <w:gridCol w:w="1044"/>
              <w:gridCol w:w="1950"/>
              <w:gridCol w:w="1269"/>
              <w:gridCol w:w="11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35" w:hRule="atLeast"/>
              </w:trPr>
              <w:tc>
                <w:tcPr>
                  <w:tcW w:w="42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1049"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134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产污环节</w:t>
                  </w:r>
                </w:p>
              </w:tc>
              <w:tc>
                <w:tcPr>
                  <w:tcW w:w="789"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044"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主要污染防治措施</w:t>
                  </w:r>
                </w:p>
              </w:tc>
              <w:tc>
                <w:tcPr>
                  <w:tcW w:w="3219" w:type="dxa"/>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国家或地方污染物排放标准</w:t>
                  </w:r>
                </w:p>
              </w:tc>
              <w:tc>
                <w:tcPr>
                  <w:tcW w:w="114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2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3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78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4"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标准名称</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浓度限值（mg/m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1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2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1049"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喷漆</w:t>
                  </w:r>
                  <w:r>
                    <w:rPr>
                      <w:rFonts w:hint="eastAsia" w:cs="Times New Roman"/>
                      <w:color w:val="auto"/>
                      <w:sz w:val="22"/>
                      <w:szCs w:val="22"/>
                      <w:u w:val="none" w:color="auto"/>
                      <w:lang w:eastAsia="zh-CN"/>
                    </w:rPr>
                    <w:t>及喷涂流水线</w:t>
                  </w:r>
                </w:p>
              </w:tc>
              <w:tc>
                <w:tcPr>
                  <w:tcW w:w="1347"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喷漆</w:t>
                  </w:r>
                </w:p>
              </w:tc>
              <w:tc>
                <w:tcPr>
                  <w:tcW w:w="78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漆雾</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99" w:hRule="atLeast"/>
              </w:trPr>
              <w:tc>
                <w:tcPr>
                  <w:tcW w:w="42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3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78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r>
                    <w:rPr>
                      <w:rFonts w:hint="default" w:ascii="Times New Roman" w:hAnsi="Times New Roman" w:eastAsia="宋体" w:cs="Times New Roman"/>
                      <w:color w:val="auto"/>
                      <w:kern w:val="0"/>
                      <w:sz w:val="24"/>
                      <w:szCs w:val="24"/>
                      <w:u w:val="none" w:color="auto"/>
                      <w:lang w:val="en-US" w:eastAsia="zh-CN" w:bidi="ar"/>
                    </w:rPr>
                    <w:t>GB37822-2019</w:t>
                  </w:r>
                  <w:r>
                    <w:rPr>
                      <w:rFonts w:hint="default" w:ascii="Times New Roman" w:hAnsi="Times New Roman" w:cs="Times New Roman"/>
                      <w:color w:val="auto"/>
                      <w:sz w:val="22"/>
                      <w:szCs w:val="22"/>
                      <w:u w:val="none" w:color="auto"/>
                    </w:rPr>
                    <w:t>）</w:t>
                  </w:r>
                </w:p>
              </w:tc>
              <w:tc>
                <w:tcPr>
                  <w:tcW w:w="1269"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10</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47" w:hRule="atLeast"/>
              </w:trPr>
              <w:tc>
                <w:tcPr>
                  <w:tcW w:w="427" w:type="dxa"/>
                  <w:vMerge w:val="restart"/>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2</w:t>
                  </w:r>
                </w:p>
              </w:tc>
              <w:tc>
                <w:tcPr>
                  <w:tcW w:w="1049"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抛丸工序</w:t>
                  </w:r>
                </w:p>
              </w:tc>
              <w:tc>
                <w:tcPr>
                  <w:tcW w:w="13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抛丸</w:t>
                  </w:r>
                </w:p>
              </w:tc>
              <w:tc>
                <w:tcPr>
                  <w:tcW w:w="78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粉尘</w:t>
                  </w:r>
                </w:p>
              </w:tc>
              <w:tc>
                <w:tcPr>
                  <w:tcW w:w="1044"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布袋除</w:t>
                  </w:r>
                </w:p>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尘器</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0.00375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8" w:hRule="atLeast"/>
              </w:trPr>
              <w:tc>
                <w:tcPr>
                  <w:tcW w:w="42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焊接工序</w:t>
                  </w:r>
                </w:p>
              </w:tc>
              <w:tc>
                <w:tcPr>
                  <w:tcW w:w="13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焊接</w:t>
                  </w:r>
                </w:p>
              </w:tc>
              <w:tc>
                <w:tcPr>
                  <w:tcW w:w="789"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粉尘</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移动式烟尘净化器</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0.00076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7875" w:type="dxa"/>
                  <w:gridSpan w:val="7"/>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无组织排放量总计</w:t>
                  </w:r>
                </w:p>
              </w:tc>
              <w:tc>
                <w:tcPr>
                  <w:tcW w:w="1147" w:type="dxa"/>
                  <w:tcBorders>
                    <w:tl2br w:val="nil"/>
                    <w:tr2bl w:val="nil"/>
                  </w:tcBorders>
                  <w:vAlign w:val="center"/>
                </w:tcPr>
                <w:p>
                  <w:pPr>
                    <w:keepNext w:val="0"/>
                    <w:keepLines w:val="0"/>
                    <w:widowControl/>
                    <w:suppressLineNumbers w:val="0"/>
                    <w:jc w:val="center"/>
                    <w:textAlignment w:val="center"/>
                    <w:rPr>
                      <w:rFonts w:hint="default" w:ascii="宋体" w:hAnsi="宋体" w:eastAsia="宋体" w:cs="宋体"/>
                      <w:i w:val="0"/>
                      <w:color w:val="000000"/>
                      <w:kern w:val="2"/>
                      <w:sz w:val="22"/>
                      <w:szCs w:val="22"/>
                      <w:u w:val="none"/>
                      <w:lang w:val="en-US" w:eastAsia="zh-CN" w:bidi="ar-SA"/>
                    </w:rPr>
                  </w:pPr>
                  <w:r>
                    <w:rPr>
                      <w:rFonts w:hint="eastAsia" w:ascii="Times New Roman" w:hAnsi="Times New Roman" w:cs="Times New Roman"/>
                      <w:color w:val="auto"/>
                      <w:sz w:val="22"/>
                      <w:szCs w:val="22"/>
                      <w:u w:val="none" w:color="auto"/>
                      <w:lang w:val="en-US" w:eastAsia="zh-CN"/>
                    </w:rPr>
                    <w:t>0.18251</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③项目大气污染物年排放量核算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18</w:t>
            </w:r>
            <w:r>
              <w:rPr>
                <w:rFonts w:hint="default" w:ascii="Times New Roman" w:hAnsi="Times New Roman" w:cs="Times New Roman"/>
                <w:color w:val="auto"/>
                <w:sz w:val="24"/>
                <w:szCs w:val="24"/>
                <w:u w:val="none" w:color="auto"/>
              </w:rPr>
              <w:t xml:space="preserve"> 大气污染物年排放量核算表</w:t>
            </w:r>
          </w:p>
          <w:tbl>
            <w:tblPr>
              <w:tblStyle w:val="39"/>
              <w:tblW w:w="90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12"/>
              <w:gridCol w:w="2999"/>
              <w:gridCol w:w="42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4211"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2999" w:type="dxa"/>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颗粒物</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2.071286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0.703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3</w:t>
                  </w:r>
                </w:p>
              </w:tc>
              <w:tc>
                <w:tcPr>
                  <w:tcW w:w="2999" w:type="dxa"/>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二氧化硫</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0.00123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w:t>
                  </w:r>
                </w:p>
              </w:tc>
              <w:tc>
                <w:tcPr>
                  <w:tcW w:w="2999" w:type="dxa"/>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氮氧化物</w:t>
                  </w:r>
                </w:p>
              </w:tc>
              <w:tc>
                <w:tcPr>
                  <w:tcW w:w="4211" w:type="dxa"/>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0.01067</w:t>
                  </w:r>
                </w:p>
              </w:tc>
            </w:tr>
          </w:tbl>
          <w:p>
            <w:pPr>
              <w:pStyle w:val="33"/>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）废气处理措施可行性分析</w:t>
            </w:r>
          </w:p>
          <w:p>
            <w:pPr>
              <w:pStyle w:val="33"/>
              <w:spacing w:line="360" w:lineRule="auto"/>
              <w:ind w:left="400"/>
              <w:rPr>
                <w:rFonts w:hint="default"/>
                <w:color w:val="auto"/>
                <w:sz w:val="24"/>
                <w:szCs w:val="24"/>
                <w:u w:val="none" w:color="auto"/>
              </w:rPr>
            </w:pPr>
            <w:r>
              <w:rPr>
                <w:rFonts w:hint="eastAsia" w:cs="Times New Roman"/>
                <w:b/>
                <w:bCs/>
                <w:color w:val="auto"/>
                <w:sz w:val="24"/>
                <w:szCs w:val="24"/>
                <w:u w:val="none" w:color="auto"/>
                <w:lang w:eastAsia="zh-CN"/>
              </w:rPr>
              <w:t>喷漆、喷涂线</w:t>
            </w:r>
            <w:r>
              <w:rPr>
                <w:rFonts w:hint="default" w:ascii="Times New Roman" w:hAnsi="Times New Roman" w:cs="Times New Roman"/>
                <w:b/>
                <w:bCs/>
                <w:color w:val="auto"/>
                <w:sz w:val="24"/>
                <w:szCs w:val="24"/>
                <w:u w:val="none" w:color="auto"/>
              </w:rPr>
              <w:t>废气</w:t>
            </w:r>
            <w:r>
              <w:rPr>
                <w:rFonts w:hint="eastAsia" w:cs="Times New Roman"/>
                <w:b/>
                <w:bCs/>
                <w:color w:val="auto"/>
                <w:sz w:val="24"/>
                <w:szCs w:val="24"/>
                <w:u w:val="none" w:color="auto"/>
                <w:lang w:eastAsia="zh-CN"/>
              </w:rPr>
              <w:t>处理设施</w:t>
            </w:r>
            <w:r>
              <w:rPr>
                <w:rFonts w:hint="default"/>
                <w:b/>
                <w:bCs/>
                <w:color w:val="auto"/>
                <w:sz w:val="24"/>
                <w:szCs w:val="24"/>
                <w:u w:val="none" w:color="auto"/>
              </w:rPr>
              <w:t>可行性分析</w:t>
            </w:r>
            <w:r>
              <w:rPr>
                <w:rFonts w:hint="default"/>
                <w:color w:val="auto"/>
                <w:sz w:val="24"/>
                <w:szCs w:val="24"/>
                <w:u w:val="none" w:color="auto"/>
              </w:rPr>
              <w:t xml:space="preserve"> </w:t>
            </w:r>
          </w:p>
          <w:p>
            <w:pPr>
              <w:pStyle w:val="172"/>
              <w:spacing w:line="360" w:lineRule="auto"/>
              <w:ind w:firstLine="462" w:firstLineChars="200"/>
              <w:rPr>
                <w:rFonts w:hint="default"/>
                <w:color w:val="auto"/>
                <w:sz w:val="24"/>
                <w:szCs w:val="24"/>
                <w:u w:val="none" w:color="auto"/>
              </w:rPr>
            </w:pPr>
            <w:r>
              <w:rPr>
                <w:rFonts w:hint="eastAsia" w:cs="Times New Roman"/>
                <w:sz w:val="24"/>
                <w:szCs w:val="32"/>
                <w:u w:val="none" w:color="auto"/>
                <w:lang w:eastAsia="zh-CN"/>
              </w:rPr>
              <w:t>废气经水帘</w:t>
            </w:r>
            <w:r>
              <w:rPr>
                <w:rFonts w:hint="eastAsia" w:cs="Times New Roman"/>
                <w:sz w:val="24"/>
                <w:szCs w:val="32"/>
                <w:u w:val="none" w:color="auto"/>
                <w:lang w:val="en-US" w:eastAsia="zh-CN"/>
              </w:rPr>
              <w:t>+活性炭吸附设备+UV光解设备处理后由15m高排气筒高空排放</w:t>
            </w:r>
            <w:r>
              <w:rPr>
                <w:rFonts w:hint="default"/>
                <w:color w:val="auto"/>
                <w:sz w:val="24"/>
                <w:szCs w:val="24"/>
                <w:u w:val="none" w:color="auto"/>
              </w:rPr>
              <w:t xml:space="preserve">。 </w:t>
            </w:r>
          </w:p>
          <w:p>
            <w:pPr>
              <w:spacing w:line="360" w:lineRule="auto"/>
              <w:ind w:firstLine="462" w:firstLineChars="200"/>
              <w:rPr>
                <w:rFonts w:hint="default" w:ascii="Times New Roman" w:hAnsi="Times New Roman" w:eastAsia="宋体" w:cs="Times New Roman"/>
                <w:sz w:val="24"/>
                <w:szCs w:val="32"/>
                <w:u w:val="none" w:color="auto"/>
                <w:lang w:val="en-US" w:eastAsia="zh-CN"/>
              </w:rPr>
            </w:pPr>
            <w:r>
              <w:rPr>
                <w:rFonts w:hint="eastAsia" w:cs="Times New Roman"/>
                <w:sz w:val="24"/>
                <w:szCs w:val="32"/>
                <w:u w:val="none" w:color="auto"/>
                <w:lang w:eastAsia="zh-CN"/>
              </w:rPr>
              <w:t>本项目喷漆、喷涂线废气经水帘</w:t>
            </w:r>
            <w:r>
              <w:rPr>
                <w:rFonts w:hint="eastAsia" w:cs="Times New Roman"/>
                <w:sz w:val="24"/>
                <w:szCs w:val="32"/>
                <w:u w:val="none" w:color="auto"/>
                <w:lang w:val="en-US" w:eastAsia="zh-CN"/>
              </w:rPr>
              <w:t>+活性炭吸附设备+UV光解设备处理后由15m高排气筒高空排放。</w:t>
            </w:r>
          </w:p>
          <w:p>
            <w:pPr>
              <w:spacing w:line="360" w:lineRule="auto"/>
              <w:ind w:firstLine="462" w:firstLineChars="200"/>
              <w:rPr>
                <w:rFonts w:hint="eastAsia" w:ascii="Times New Roman" w:hAnsi="Times New Roman" w:cs="Times New Roman"/>
                <w:sz w:val="24"/>
                <w:szCs w:val="32"/>
                <w:u w:val="none" w:color="auto"/>
                <w:lang w:eastAsia="zh-CN"/>
              </w:rPr>
            </w:pPr>
            <w:r>
              <w:rPr>
                <w:rFonts w:hint="eastAsia" w:cs="Times New Roman"/>
                <w:b/>
                <w:bCs/>
                <w:sz w:val="24"/>
                <w:szCs w:val="32"/>
                <w:u w:val="none" w:color="auto"/>
                <w:lang w:eastAsia="zh-CN"/>
              </w:rPr>
              <w:t>水帘：</w:t>
            </w:r>
            <w:r>
              <w:rPr>
                <w:rFonts w:hint="default" w:ascii="Times New Roman" w:hAnsi="Times New Roman" w:cs="Times New Roman"/>
                <w:sz w:val="24"/>
                <w:szCs w:val="32"/>
                <w:u w:val="none" w:color="auto"/>
              </w:rPr>
              <w:t>漆雾净化主要是采用</w:t>
            </w:r>
            <w:r>
              <w:rPr>
                <w:rFonts w:hint="eastAsia" w:cs="Times New Roman"/>
                <w:sz w:val="24"/>
                <w:szCs w:val="32"/>
                <w:u w:val="none" w:color="auto"/>
                <w:lang w:eastAsia="zh-CN"/>
              </w:rPr>
              <w:t>水进行</w:t>
            </w:r>
            <w:r>
              <w:rPr>
                <w:rFonts w:hint="default" w:ascii="Times New Roman" w:hAnsi="Times New Roman" w:cs="Times New Roman"/>
                <w:sz w:val="24"/>
                <w:szCs w:val="32"/>
                <w:u w:val="none" w:color="auto"/>
              </w:rPr>
              <w:t>过滤漆雾</w:t>
            </w:r>
            <w:r>
              <w:rPr>
                <w:rFonts w:hint="eastAsia" w:ascii="Times New Roman" w:hAnsi="Times New Roman" w:cs="Times New Roman"/>
                <w:sz w:val="24"/>
                <w:szCs w:val="32"/>
                <w:u w:val="none" w:color="auto"/>
                <w:lang w:eastAsia="zh-CN"/>
              </w:rPr>
              <w:t>，</w:t>
            </w:r>
            <w:r>
              <w:rPr>
                <w:rFonts w:hint="default" w:ascii="Times New Roman" w:hAnsi="Times New Roman" w:cs="Times New Roman"/>
                <w:sz w:val="24"/>
                <w:szCs w:val="32"/>
                <w:u w:val="none" w:color="auto"/>
              </w:rPr>
              <w:t>漆雾在通风机的作用下，进入</w:t>
            </w:r>
            <w:r>
              <w:rPr>
                <w:rFonts w:hint="eastAsia" w:cs="Times New Roman"/>
                <w:sz w:val="24"/>
                <w:szCs w:val="32"/>
                <w:u w:val="none" w:color="auto"/>
                <w:lang w:eastAsia="zh-CN"/>
              </w:rPr>
              <w:t>水帘中</w:t>
            </w:r>
            <w:r>
              <w:rPr>
                <w:rFonts w:hint="default" w:ascii="Times New Roman" w:hAnsi="Times New Roman" w:cs="Times New Roman"/>
                <w:sz w:val="24"/>
                <w:szCs w:val="32"/>
                <w:u w:val="none" w:color="auto"/>
              </w:rPr>
              <w:t>被粘附捕集</w:t>
            </w:r>
            <w:r>
              <w:rPr>
                <w:rFonts w:hint="eastAsia" w:cs="Times New Roman"/>
                <w:sz w:val="24"/>
                <w:szCs w:val="32"/>
                <w:u w:val="none" w:color="auto"/>
                <w:lang w:eastAsia="zh-CN"/>
              </w:rPr>
              <w:t>进入水体中</w:t>
            </w:r>
            <w:r>
              <w:rPr>
                <w:rFonts w:hint="default" w:ascii="Times New Roman" w:hAnsi="Times New Roman" w:cs="Times New Roman"/>
                <w:sz w:val="24"/>
                <w:szCs w:val="32"/>
                <w:u w:val="none" w:color="auto"/>
              </w:rPr>
              <w:t>，从而达到净化漆雾的目的。</w:t>
            </w:r>
            <w:r>
              <w:rPr>
                <w:rFonts w:hint="eastAsia" w:cs="Times New Roman"/>
                <w:sz w:val="24"/>
                <w:szCs w:val="32"/>
                <w:u w:val="none" w:color="auto"/>
                <w:lang w:eastAsia="zh-CN"/>
              </w:rPr>
              <w:t>水帘废水需定期进行清理</w:t>
            </w:r>
            <w:r>
              <w:rPr>
                <w:rFonts w:hint="default" w:ascii="Times New Roman" w:hAnsi="Times New Roman" w:cs="Times New Roman"/>
                <w:sz w:val="24"/>
                <w:szCs w:val="32"/>
                <w:u w:val="none" w:color="auto"/>
              </w:rPr>
              <w:t>，该方式去除漆雾的效率可达9</w:t>
            </w:r>
            <w:r>
              <w:rPr>
                <w:rFonts w:hint="eastAsia" w:cs="Times New Roman"/>
                <w:sz w:val="24"/>
                <w:szCs w:val="32"/>
                <w:u w:val="none" w:color="auto"/>
                <w:lang w:val="en-US" w:eastAsia="zh-CN"/>
              </w:rPr>
              <w:t>0</w:t>
            </w:r>
            <w:r>
              <w:rPr>
                <w:rFonts w:hint="default" w:ascii="Times New Roman" w:hAnsi="Times New Roman" w:cs="Times New Roman"/>
                <w:sz w:val="24"/>
                <w:szCs w:val="32"/>
                <w:u w:val="none" w:color="auto"/>
              </w:rPr>
              <w:t>%</w:t>
            </w:r>
            <w:r>
              <w:rPr>
                <w:rFonts w:hint="eastAsia" w:ascii="Times New Roman" w:hAnsi="Times New Roman" w:cs="Times New Roman"/>
                <w:sz w:val="24"/>
                <w:szCs w:val="32"/>
                <w:u w:val="none" w:color="auto"/>
                <w:lang w:eastAsia="zh-CN"/>
              </w:rPr>
              <w:t>。</w:t>
            </w:r>
          </w:p>
          <w:p>
            <w:pPr>
              <w:spacing w:line="360" w:lineRule="auto"/>
              <w:ind w:firstLine="462" w:firstLineChars="200"/>
              <w:rPr>
                <w:sz w:val="24"/>
                <w:szCs w:val="24"/>
                <w:u w:val="none" w:color="auto"/>
              </w:rPr>
            </w:pPr>
            <w:r>
              <w:rPr>
                <w:rFonts w:hint="eastAsia"/>
                <w:b/>
                <w:sz w:val="24"/>
                <w:szCs w:val="24"/>
                <w:u w:val="none" w:color="auto"/>
              </w:rPr>
              <w:t>活性炭吸附：</w:t>
            </w:r>
            <w:r>
              <w:rPr>
                <w:rFonts w:hint="eastAsia"/>
                <w:sz w:val="24"/>
                <w:szCs w:val="24"/>
                <w:u w:val="none" w:color="auto"/>
                <w:lang w:eastAsia="zh-CN"/>
              </w:rPr>
              <w:t>有机</w:t>
            </w:r>
            <w:r>
              <w:rPr>
                <w:rFonts w:hint="eastAsia"/>
                <w:sz w:val="24"/>
                <w:szCs w:val="24"/>
                <w:u w:val="none" w:color="auto"/>
              </w:rPr>
              <w:t>废气净化采用活性炭吸附处理，活性炭是国内最为有效的办法。吸附作用是一种界面现象。所谓吸附，是当两相存在时，在相与相的界面附近的浓度与相内部不一样的现象，吸附的物质称作吸附剂或吸附载体。活性炭的吸附是用活性炭作为载体的吸附。吸附的作用力是吸附载体与吸附物质（有机废气）之间在能量方面的相互作用，承担这种相互作用的是电子。吸附载体表面上的原子与吸附质（有机废气）分子互相接近时，即使是无极性，也会瞬时性地造成电子分布的不对称而形成电极，并诱导与其相对应的原子或分子产生分电极。在这两个分电极之间，便产生微弱的静电相互作用力。活性炭也能通过使用氧化剂、还原剂进行处理，让比表面积及比孔容积大，单位重量的吸附量也大。活性炭应定期更换。</w:t>
            </w:r>
          </w:p>
          <w:p>
            <w:pPr>
              <w:pStyle w:val="172"/>
              <w:spacing w:line="360" w:lineRule="auto"/>
              <w:ind w:firstLine="480"/>
              <w:rPr>
                <w:rFonts w:hint="eastAsia"/>
                <w:color w:val="auto"/>
                <w:sz w:val="24"/>
                <w:szCs w:val="24"/>
                <w:u w:val="none" w:color="auto"/>
              </w:rPr>
            </w:pPr>
            <w:r>
              <w:rPr>
                <w:rFonts w:hint="eastAsia"/>
                <w:b/>
                <w:sz w:val="24"/>
                <w:szCs w:val="24"/>
                <w:u w:val="none" w:color="auto"/>
              </w:rPr>
              <w:t>UV 光解净化：</w:t>
            </w:r>
            <w:r>
              <w:rPr>
                <w:rFonts w:hint="eastAsia"/>
                <w:sz w:val="24"/>
                <w:szCs w:val="24"/>
                <w:u w:val="none" w:color="auto"/>
              </w:rPr>
              <w:t>为保证处理效率，利用排风系统输入到 UV 光解设备净化设备。其工作原理为：利用特制的高能高臭氧UV 紫外线光束照射气体，裂解苯、甲苯、二甲苯、有机废气等的分子键，使呈游离状态的污染物分子与臭氧（高能高臭氧 UV 紫外线光束分解空气中的氧分子产生游离氧，即活性氧，因游离氧所携正负电子部平衡所以需与氧分子结合，进而产生臭氧。氧化结合成小分子无害或低害的化合物，如CO</w:t>
            </w:r>
            <w:r>
              <w:rPr>
                <w:rFonts w:hint="eastAsia"/>
                <w:sz w:val="24"/>
                <w:szCs w:val="24"/>
                <w:u w:val="none" w:color="auto"/>
                <w:vertAlign w:val="subscript"/>
              </w:rPr>
              <w:t>2</w:t>
            </w:r>
            <w:r>
              <w:rPr>
                <w:rFonts w:hint="eastAsia"/>
                <w:sz w:val="24"/>
                <w:szCs w:val="24"/>
                <w:u w:val="none" w:color="auto"/>
              </w:rPr>
              <w:t>、H</w:t>
            </w:r>
            <w:r>
              <w:rPr>
                <w:rFonts w:hint="eastAsia"/>
                <w:sz w:val="24"/>
                <w:szCs w:val="24"/>
                <w:u w:val="none" w:color="auto"/>
                <w:vertAlign w:val="subscript"/>
              </w:rPr>
              <w:t>2</w:t>
            </w:r>
            <w:r>
              <w:rPr>
                <w:rFonts w:hint="eastAsia"/>
                <w:sz w:val="24"/>
                <w:szCs w:val="24"/>
                <w:u w:val="none" w:color="auto"/>
              </w:rPr>
              <w:t>O。该法不产生危险废物，而且低能耗，处理效率高</w:t>
            </w:r>
            <w:r>
              <w:rPr>
                <w:rFonts w:hint="eastAsia"/>
                <w:color w:val="auto"/>
                <w:sz w:val="24"/>
                <w:szCs w:val="24"/>
                <w:u w:val="none" w:color="auto"/>
              </w:rPr>
              <w:t>。</w:t>
            </w:r>
          </w:p>
          <w:p>
            <w:pPr>
              <w:spacing w:line="360" w:lineRule="auto"/>
              <w:ind w:firstLine="578" w:firstLineChars="250"/>
              <w:rPr>
                <w:rFonts w:hint="eastAsia" w:eastAsia="宋体" w:cs="Times New Roman"/>
                <w:b/>
                <w:bCs/>
                <w:color w:val="auto"/>
                <w:sz w:val="24"/>
                <w:szCs w:val="24"/>
                <w:u w:val="single" w:color="auto"/>
                <w:lang w:eastAsia="zh-CN"/>
              </w:rPr>
            </w:pPr>
            <w:r>
              <w:rPr>
                <w:rFonts w:hint="eastAsia" w:cs="Times New Roman"/>
                <w:color w:val="auto"/>
                <w:sz w:val="24"/>
                <w:u w:val="single" w:color="auto"/>
                <w:lang w:val="en-US" w:eastAsia="zh-CN"/>
              </w:rPr>
              <w:t>现有项目喷塑废气经滤芯回收系统处理后由15m高排气筒高空排放；喷漆废气3#经水帘+活性炭+UV光解设施处理后由15m高排气筒高空排放</w:t>
            </w:r>
            <w:r>
              <w:rPr>
                <w:rFonts w:hint="default" w:ascii="Times New Roman" w:hAnsi="Times New Roman" w:cs="Times New Roman"/>
                <w:color w:val="auto"/>
                <w:sz w:val="24"/>
                <w:u w:val="single" w:color="auto"/>
                <w:lang w:val="en-US" w:eastAsia="zh-CN"/>
              </w:rPr>
              <w:t>。</w:t>
            </w:r>
            <w:r>
              <w:rPr>
                <w:rFonts w:hint="default" w:ascii="Times New Roman" w:hAnsi="Times New Roman" w:cs="Times New Roman"/>
                <w:color w:val="auto"/>
                <w:sz w:val="24"/>
                <w:u w:val="single" w:color="auto"/>
                <w:lang w:eastAsia="zh-CN"/>
              </w:rPr>
              <w:t>根据湖南精准通检测技术有限公司于</w:t>
            </w:r>
            <w:r>
              <w:rPr>
                <w:rFonts w:hint="default" w:ascii="Times New Roman" w:hAnsi="Times New Roman" w:cs="Times New Roman"/>
                <w:color w:val="auto"/>
                <w:sz w:val="24"/>
                <w:u w:val="single" w:color="auto"/>
                <w:lang w:val="en-US" w:eastAsia="zh-CN"/>
              </w:rPr>
              <w:t>2019年1</w:t>
            </w:r>
            <w:r>
              <w:rPr>
                <w:rFonts w:hint="eastAsia" w:cs="Times New Roman"/>
                <w:color w:val="auto"/>
                <w:sz w:val="24"/>
                <w:u w:val="single" w:color="auto"/>
                <w:lang w:val="en-US" w:eastAsia="zh-CN"/>
              </w:rPr>
              <w:t>1</w:t>
            </w:r>
            <w:r>
              <w:rPr>
                <w:rFonts w:hint="default" w:ascii="Times New Roman" w:hAnsi="Times New Roman" w:cs="Times New Roman"/>
                <w:color w:val="auto"/>
                <w:sz w:val="24"/>
                <w:u w:val="single" w:color="auto"/>
                <w:lang w:val="en-US" w:eastAsia="zh-CN"/>
              </w:rPr>
              <w:t>月</w:t>
            </w:r>
            <w:r>
              <w:rPr>
                <w:rFonts w:hint="eastAsia" w:cs="Times New Roman"/>
                <w:color w:val="auto"/>
                <w:sz w:val="24"/>
                <w:u w:val="single" w:color="auto"/>
                <w:lang w:val="en-US" w:eastAsia="zh-CN"/>
              </w:rPr>
              <w:t>25</w:t>
            </w:r>
            <w:r>
              <w:rPr>
                <w:rFonts w:hint="default" w:ascii="Times New Roman" w:hAnsi="Times New Roman" w:cs="Times New Roman"/>
                <w:color w:val="auto"/>
                <w:sz w:val="24"/>
                <w:u w:val="single" w:color="auto"/>
                <w:lang w:val="en-US" w:eastAsia="zh-CN"/>
              </w:rPr>
              <w:t>日对</w:t>
            </w:r>
            <w:r>
              <w:rPr>
                <w:rFonts w:hint="eastAsia" w:cs="Times New Roman"/>
                <w:color w:val="auto"/>
                <w:sz w:val="24"/>
                <w:szCs w:val="24"/>
                <w:u w:val="single" w:color="auto"/>
                <w:vertAlign w:val="baseline"/>
                <w:lang w:val="en-US" w:eastAsia="zh-CN"/>
              </w:rPr>
              <w:t>喷漆废气排气筒、喷塑废气排气筒</w:t>
            </w:r>
            <w:r>
              <w:rPr>
                <w:rFonts w:hint="default" w:ascii="Times New Roman" w:hAnsi="Times New Roman" w:cs="Times New Roman"/>
                <w:color w:val="auto"/>
                <w:sz w:val="24"/>
                <w:u w:val="single" w:color="auto"/>
                <w:lang w:val="en-US" w:eastAsia="zh-CN"/>
              </w:rPr>
              <w:t>进行了监测，</w:t>
            </w:r>
            <w:r>
              <w:rPr>
                <w:rFonts w:hint="eastAsia" w:cs="Times New Roman"/>
                <w:color w:val="auto"/>
                <w:sz w:val="24"/>
                <w:szCs w:val="24"/>
                <w:u w:val="single" w:color="auto"/>
                <w:lang w:val="en-US" w:eastAsia="zh-CN"/>
              </w:rPr>
              <w:t>监测结果表明，项目喷漆废气排气筒中苯、甲苯、二甲苯、VOCs检测结果均达到</w:t>
            </w:r>
            <w:r>
              <w:rPr>
                <w:rFonts w:hint="default" w:ascii="Times New Roman" w:hAnsi="Times New Roman" w:eastAsia="宋体" w:cs="Times New Roman"/>
                <w:color w:val="auto"/>
                <w:kern w:val="0"/>
                <w:sz w:val="24"/>
                <w:szCs w:val="24"/>
                <w:u w:val="single" w:color="auto"/>
                <w:lang w:val="en-US" w:eastAsia="zh-CN" w:bidi="ar"/>
              </w:rPr>
              <w:t>《表面涂装（汽车制造及维修）挥发性有机物、 镍排放标准》（DB43/1356-2017）表1中排放标准</w:t>
            </w:r>
            <w:r>
              <w:rPr>
                <w:rFonts w:hint="eastAsia" w:cs="Times New Roman"/>
                <w:color w:val="auto"/>
                <w:kern w:val="0"/>
                <w:sz w:val="24"/>
                <w:szCs w:val="24"/>
                <w:u w:val="single" w:color="auto"/>
                <w:lang w:val="en-US" w:eastAsia="zh-CN" w:bidi="ar"/>
              </w:rPr>
              <w:t>要求、</w:t>
            </w:r>
            <w:r>
              <w:rPr>
                <w:rFonts w:hint="default" w:ascii="Times New Roman" w:hAnsi="Times New Roman" w:eastAsia="宋体" w:cs="Times New Roman"/>
                <w:color w:val="auto"/>
                <w:kern w:val="0"/>
                <w:sz w:val="24"/>
                <w:szCs w:val="24"/>
                <w:u w:val="single" w:color="auto"/>
                <w:lang w:val="en-US" w:eastAsia="zh-CN" w:bidi="ar"/>
              </w:rPr>
              <w:t>颗粒物</w:t>
            </w:r>
            <w:r>
              <w:rPr>
                <w:rFonts w:hint="eastAsia" w:cs="Times New Roman"/>
                <w:color w:val="auto"/>
                <w:kern w:val="0"/>
                <w:sz w:val="24"/>
                <w:szCs w:val="24"/>
                <w:u w:val="single" w:color="auto"/>
                <w:lang w:val="en-US" w:eastAsia="zh-CN" w:bidi="ar"/>
              </w:rPr>
              <w:t>检测结果达到</w:t>
            </w:r>
            <w:r>
              <w:rPr>
                <w:rFonts w:hint="default" w:ascii="Times New Roman" w:hAnsi="Times New Roman" w:eastAsia="宋体" w:cs="Times New Roman"/>
                <w:color w:val="auto"/>
                <w:kern w:val="0"/>
                <w:sz w:val="24"/>
                <w:szCs w:val="24"/>
                <w:u w:val="single" w:color="auto"/>
                <w:lang w:val="en-US" w:eastAsia="zh-CN" w:bidi="ar"/>
              </w:rPr>
              <w:t>《大气污染物综合排放标准》（GB16297-1996）</w:t>
            </w:r>
            <w:r>
              <w:rPr>
                <w:rFonts w:hint="eastAsia" w:cs="Times New Roman"/>
                <w:color w:val="auto"/>
                <w:kern w:val="0"/>
                <w:sz w:val="24"/>
                <w:szCs w:val="24"/>
                <w:u w:val="single" w:color="auto"/>
                <w:lang w:val="en-US" w:eastAsia="zh-CN" w:bidi="ar"/>
              </w:rPr>
              <w:t>中</w:t>
            </w:r>
            <w:r>
              <w:rPr>
                <w:rFonts w:hint="default" w:ascii="Times New Roman" w:hAnsi="Times New Roman" w:eastAsia="宋体" w:cs="Times New Roman"/>
                <w:color w:val="auto"/>
                <w:kern w:val="0"/>
                <w:sz w:val="24"/>
                <w:szCs w:val="24"/>
                <w:u w:val="single" w:color="auto"/>
                <w:lang w:val="en-US" w:eastAsia="zh-CN" w:bidi="ar"/>
              </w:rPr>
              <w:t>二级</w:t>
            </w:r>
            <w:r>
              <w:rPr>
                <w:rFonts w:hint="eastAsia" w:cs="Times New Roman"/>
                <w:color w:val="auto"/>
                <w:kern w:val="0"/>
                <w:sz w:val="24"/>
                <w:szCs w:val="24"/>
                <w:u w:val="single" w:color="auto"/>
                <w:lang w:val="en-US" w:eastAsia="zh-CN" w:bidi="ar"/>
              </w:rPr>
              <w:t>排放</w:t>
            </w:r>
            <w:r>
              <w:rPr>
                <w:rFonts w:hint="default" w:ascii="Times New Roman" w:hAnsi="Times New Roman" w:eastAsia="宋体" w:cs="Times New Roman"/>
                <w:color w:val="auto"/>
                <w:kern w:val="0"/>
                <w:sz w:val="24"/>
                <w:szCs w:val="24"/>
                <w:u w:val="single" w:color="auto"/>
                <w:lang w:val="en-US" w:eastAsia="zh-CN" w:bidi="ar"/>
              </w:rPr>
              <w:t>标准</w:t>
            </w:r>
            <w:r>
              <w:rPr>
                <w:rFonts w:hint="eastAsia" w:cs="Times New Roman"/>
                <w:color w:val="auto"/>
                <w:kern w:val="0"/>
                <w:sz w:val="24"/>
                <w:szCs w:val="24"/>
                <w:u w:val="single" w:color="auto"/>
                <w:lang w:val="en-US" w:eastAsia="zh-CN" w:bidi="ar"/>
              </w:rPr>
              <w:t>要求；</w:t>
            </w:r>
            <w:r>
              <w:rPr>
                <w:rFonts w:hint="eastAsia" w:cs="Times New Roman"/>
                <w:color w:val="auto"/>
                <w:sz w:val="24"/>
                <w:szCs w:val="24"/>
                <w:u w:val="single" w:color="auto"/>
                <w:lang w:val="en-US" w:eastAsia="zh-CN"/>
              </w:rPr>
              <w:t>喷塑废气排气筒中</w:t>
            </w:r>
            <w:r>
              <w:rPr>
                <w:rFonts w:hint="default" w:ascii="Times New Roman" w:hAnsi="Times New Roman" w:eastAsia="宋体" w:cs="Times New Roman"/>
                <w:color w:val="auto"/>
                <w:kern w:val="0"/>
                <w:sz w:val="24"/>
                <w:szCs w:val="24"/>
                <w:u w:val="single" w:color="auto"/>
                <w:lang w:val="en-US" w:eastAsia="zh-CN" w:bidi="ar"/>
              </w:rPr>
              <w:t>颗粒物</w:t>
            </w:r>
            <w:r>
              <w:rPr>
                <w:rFonts w:hint="eastAsia" w:cs="Times New Roman"/>
                <w:color w:val="auto"/>
                <w:kern w:val="0"/>
                <w:sz w:val="24"/>
                <w:szCs w:val="24"/>
                <w:u w:val="single" w:color="auto"/>
                <w:lang w:val="en-US" w:eastAsia="zh-CN" w:bidi="ar"/>
              </w:rPr>
              <w:t>检测结果达到</w:t>
            </w:r>
            <w:r>
              <w:rPr>
                <w:rFonts w:hint="default" w:ascii="Times New Roman" w:hAnsi="Times New Roman" w:eastAsia="宋体" w:cs="Times New Roman"/>
                <w:color w:val="auto"/>
                <w:kern w:val="0"/>
                <w:sz w:val="24"/>
                <w:szCs w:val="24"/>
                <w:u w:val="single" w:color="auto"/>
                <w:lang w:val="en-US" w:eastAsia="zh-CN" w:bidi="ar"/>
              </w:rPr>
              <w:t>《大气污染物综合排放标准》（GB16297-1996）</w:t>
            </w:r>
            <w:r>
              <w:rPr>
                <w:rFonts w:hint="eastAsia" w:cs="Times New Roman"/>
                <w:color w:val="auto"/>
                <w:kern w:val="0"/>
                <w:sz w:val="24"/>
                <w:szCs w:val="24"/>
                <w:u w:val="single" w:color="auto"/>
                <w:lang w:val="en-US" w:eastAsia="zh-CN" w:bidi="ar"/>
              </w:rPr>
              <w:t>中</w:t>
            </w:r>
            <w:r>
              <w:rPr>
                <w:rFonts w:hint="default" w:ascii="Times New Roman" w:hAnsi="Times New Roman" w:eastAsia="宋体" w:cs="Times New Roman"/>
                <w:color w:val="auto"/>
                <w:kern w:val="0"/>
                <w:sz w:val="24"/>
                <w:szCs w:val="24"/>
                <w:u w:val="single" w:color="auto"/>
                <w:lang w:val="en-US" w:eastAsia="zh-CN" w:bidi="ar"/>
              </w:rPr>
              <w:t>二级</w:t>
            </w:r>
            <w:r>
              <w:rPr>
                <w:rFonts w:hint="eastAsia" w:cs="Times New Roman"/>
                <w:color w:val="auto"/>
                <w:kern w:val="0"/>
                <w:sz w:val="24"/>
                <w:szCs w:val="24"/>
                <w:u w:val="single" w:color="auto"/>
                <w:lang w:val="en-US" w:eastAsia="zh-CN" w:bidi="ar"/>
              </w:rPr>
              <w:t>排放</w:t>
            </w:r>
            <w:r>
              <w:rPr>
                <w:rFonts w:hint="default" w:ascii="Times New Roman" w:hAnsi="Times New Roman" w:eastAsia="宋体" w:cs="Times New Roman"/>
                <w:color w:val="auto"/>
                <w:kern w:val="0"/>
                <w:sz w:val="24"/>
                <w:szCs w:val="24"/>
                <w:u w:val="single" w:color="auto"/>
                <w:lang w:val="en-US" w:eastAsia="zh-CN" w:bidi="ar"/>
              </w:rPr>
              <w:t>标准</w:t>
            </w:r>
            <w:r>
              <w:rPr>
                <w:rFonts w:hint="eastAsia" w:cs="Times New Roman"/>
                <w:color w:val="auto"/>
                <w:kern w:val="0"/>
                <w:sz w:val="24"/>
                <w:szCs w:val="24"/>
                <w:u w:val="single" w:color="auto"/>
                <w:lang w:val="en-US" w:eastAsia="zh-CN" w:bidi="ar"/>
              </w:rPr>
              <w:t>要求。本项目均使用和现有项目相同的处理设施，</w:t>
            </w:r>
            <w:r>
              <w:rPr>
                <w:rFonts w:hint="eastAsia"/>
                <w:color w:val="auto"/>
                <w:sz w:val="24"/>
                <w:szCs w:val="24"/>
                <w:u w:val="single" w:color="auto"/>
              </w:rPr>
              <w:t>因此本项目各项废气治理措施切实可行</w:t>
            </w:r>
            <w:r>
              <w:rPr>
                <w:rFonts w:hint="eastAsia"/>
                <w:color w:val="auto"/>
                <w:sz w:val="24"/>
                <w:szCs w:val="24"/>
                <w:u w:val="single" w:color="auto"/>
                <w:lang w:eastAsia="zh-CN"/>
              </w:rPr>
              <w:t>。</w:t>
            </w:r>
          </w:p>
          <w:p>
            <w:pPr>
              <w:pStyle w:val="172"/>
              <w:spacing w:line="360" w:lineRule="auto"/>
              <w:ind w:firstLine="480"/>
              <w:rPr>
                <w:rFonts w:hint="eastAsia" w:cs="Times New Roman"/>
                <w:b/>
                <w:bCs/>
                <w:color w:val="auto"/>
                <w:sz w:val="24"/>
                <w:szCs w:val="24"/>
                <w:u w:val="none" w:color="auto"/>
                <w:lang w:eastAsia="zh-CN"/>
              </w:rPr>
            </w:pPr>
            <w:r>
              <w:rPr>
                <w:rFonts w:hint="eastAsia" w:cs="Times New Roman"/>
                <w:b/>
                <w:bCs/>
                <w:color w:val="auto"/>
                <w:sz w:val="24"/>
                <w:szCs w:val="24"/>
                <w:u w:val="none" w:color="auto"/>
                <w:lang w:eastAsia="zh-CN"/>
              </w:rPr>
              <w:t>固化烘干废气处理设施可行性分析</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eastAsia="zh-CN"/>
              </w:rPr>
              <w:t>固化烘干</w:t>
            </w:r>
            <w:r>
              <w:rPr>
                <w:rFonts w:hint="default" w:ascii="Times New Roman" w:hAnsi="Times New Roman" w:cs="Times New Roman"/>
                <w:color w:val="auto"/>
                <w:sz w:val="24"/>
                <w:szCs w:val="24"/>
                <w:u w:val="none" w:color="auto"/>
              </w:rPr>
              <w:t>会产生废气，主要污染因子为VOCs，为气态有机污染物。</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A处理方法的选择</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目前由于气态有机污染物种类繁多，采用的治理方法也有多种，常用的主要有：吸收法、吸附法、催化燃烧法、燃烧法、冷凝法等。</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这些方法在应用中各有特点和利弊，需要根据污染程度、使用环境与条件来权衡。对于环保检查机构和污染治理方所共同关心的是：初次投资费、运行费用、二次污染、处理效果、维护等方面的问题。简而言之，这些方法均能满足一定条件下气态污染物的处理。</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针对本项目喷漆废气的特点，为降低投资成本，保证净化效果和减少运行费用，建设单位拟采用以</w:t>
            </w:r>
            <w:r>
              <w:rPr>
                <w:rFonts w:hint="eastAsia" w:cs="Times New Roman"/>
                <w:color w:val="auto"/>
                <w:sz w:val="24"/>
                <w:szCs w:val="24"/>
                <w:u w:val="none" w:color="auto"/>
                <w:lang w:eastAsia="zh-CN"/>
              </w:rPr>
              <w:t>活性炭吸附</w:t>
            </w:r>
            <w:r>
              <w:rPr>
                <w:rFonts w:hint="eastAsia"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UV光解为主处理有机废气。这种工艺是目前国内公认先进处理有机废气的方式。</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 xml:space="preserve">B项目拟采取的环保措施 </w:t>
            </w:r>
          </w:p>
          <w:p>
            <w:pPr>
              <w:pStyle w:val="172"/>
              <w:spacing w:line="360" w:lineRule="auto"/>
              <w:ind w:firstLine="480"/>
              <w:rPr>
                <w:rFonts w:hint="default" w:ascii="Times New Roman" w:hAnsi="Times New Roman" w:cs="Times New Roman"/>
                <w:b/>
                <w:bCs/>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eastAsia="zh-CN"/>
              </w:rPr>
              <w:t>固化烘干</w:t>
            </w:r>
            <w:r>
              <w:rPr>
                <w:rFonts w:hint="default" w:ascii="Times New Roman" w:hAnsi="Times New Roman" w:cs="Times New Roman"/>
                <w:color w:val="auto"/>
                <w:sz w:val="24"/>
                <w:szCs w:val="24"/>
                <w:u w:val="none" w:color="auto"/>
              </w:rPr>
              <w:t>废气采用</w:t>
            </w:r>
            <w:r>
              <w:rPr>
                <w:rFonts w:hint="eastAsia" w:cs="Times New Roman"/>
                <w:color w:val="auto"/>
                <w:sz w:val="24"/>
                <w:szCs w:val="24"/>
                <w:u w:val="none" w:color="auto"/>
                <w:lang w:eastAsia="zh-CN"/>
              </w:rPr>
              <w:t>活性炭</w:t>
            </w:r>
            <w:r>
              <w:rPr>
                <w:rFonts w:hint="eastAsia"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UV光解处理工艺。</w:t>
            </w:r>
          </w:p>
          <w:p>
            <w:pPr>
              <w:pStyle w:val="172"/>
              <w:spacing w:line="360" w:lineRule="auto"/>
              <w:ind w:firstLine="480"/>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C</w:t>
            </w:r>
            <w:r>
              <w:rPr>
                <w:rFonts w:hint="default" w:ascii="Times New Roman" w:hAnsi="Times New Roman" w:cs="Times New Roman"/>
                <w:color w:val="auto"/>
                <w:sz w:val="24"/>
                <w:szCs w:val="24"/>
                <w:u w:val="none" w:color="auto"/>
              </w:rPr>
              <w:t>可行性分析</w:t>
            </w:r>
          </w:p>
          <w:p>
            <w:pPr>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eastAsia"/>
                <w:b/>
                <w:sz w:val="24"/>
                <w:szCs w:val="24"/>
                <w:u w:val="none" w:color="auto"/>
              </w:rPr>
              <w:t>活性炭吸附：</w:t>
            </w:r>
            <w:r>
              <w:rPr>
                <w:rFonts w:hint="eastAsia"/>
                <w:b w:val="0"/>
                <w:bCs/>
                <w:sz w:val="24"/>
                <w:szCs w:val="24"/>
                <w:u w:val="none" w:color="auto"/>
                <w:lang w:eastAsia="zh-CN"/>
              </w:rPr>
              <w:t>有机</w:t>
            </w:r>
            <w:r>
              <w:rPr>
                <w:rFonts w:hint="eastAsia"/>
                <w:sz w:val="24"/>
                <w:szCs w:val="24"/>
                <w:u w:val="none" w:color="auto"/>
              </w:rPr>
              <w:t>废气净化采用活性炭吸附处理，活性炭是国内最为有效的办法。吸附作用是一种界面现象。所谓吸附，是当两相存在时，在相与相的界面附近的浓度与相内部不一样的现象，吸附的物质称作吸附剂或吸附载体。活性炭的吸附是用活性炭作为载体的吸附。吸附的作用力是吸附载体与吸附物质（有机废气）之间在能量方面的相互作用，承担这种相互作用的是电子。吸附载体表面上的原子与吸附质（有机废气）分子互相接近时，即使是无极性，也会瞬时性地造成电子分布的不对称而形成电极，并诱导与其相对应的原子或分子产生分电极。在这两个分电极之间，便产生微弱的静电相互作用力。活性炭也能通过使用氧化剂、还原剂进行处理，让比表面积及比孔容积大，单位重量的吸附量也大。活性炭应定期更换</w:t>
            </w:r>
            <w:r>
              <w:rPr>
                <w:rFonts w:hint="eastAsia"/>
                <w:sz w:val="24"/>
                <w:szCs w:val="24"/>
                <w:u w:val="none" w:color="auto"/>
                <w:lang w:eastAsia="zh-CN"/>
              </w:rPr>
              <w:t>。</w:t>
            </w:r>
          </w:p>
          <w:p>
            <w:pPr>
              <w:pStyle w:val="172"/>
              <w:spacing w:line="360" w:lineRule="auto"/>
              <w:ind w:firstLine="480"/>
              <w:rPr>
                <w:rFonts w:hint="eastAsia"/>
                <w:b/>
                <w:sz w:val="24"/>
                <w:szCs w:val="24"/>
                <w:u w:val="none" w:color="auto"/>
              </w:rPr>
            </w:pPr>
          </w:p>
          <w:p>
            <w:pPr>
              <w:pStyle w:val="172"/>
              <w:spacing w:line="360" w:lineRule="auto"/>
              <w:ind w:firstLine="480"/>
              <w:rPr>
                <w:rFonts w:hint="default" w:ascii="Times New Roman" w:hAnsi="Times New Roman" w:cs="Times New Roman"/>
                <w:color w:val="auto"/>
                <w:sz w:val="24"/>
                <w:szCs w:val="24"/>
                <w:u w:val="none" w:color="auto"/>
              </w:rPr>
            </w:pPr>
            <w:r>
              <w:rPr>
                <w:rFonts w:hint="eastAsia"/>
                <w:b/>
                <w:sz w:val="24"/>
                <w:szCs w:val="24"/>
                <w:u w:val="none" w:color="auto"/>
              </w:rPr>
              <w:t>UV 光解净化：</w:t>
            </w:r>
            <w:r>
              <w:rPr>
                <w:rFonts w:hint="eastAsia"/>
                <w:sz w:val="24"/>
                <w:szCs w:val="24"/>
                <w:u w:val="none" w:color="auto"/>
              </w:rPr>
              <w:t>为保证处理效率，利用排风系统输入到 UV 光解设备净化设备。其工作原理为：利用特制的高能高臭氧 UV 紫外线光束照射气体，裂解苯、甲苯、二甲苯、有机废气等的分子键，使呈游离状态的污染物分子与臭氧（高能高臭氧 UV 紫外线光束分解空气中的氧分子产生游离氧，即活性氧，因游离氧所携正负电子部平衡所以需与氧分子结合，进而产生臭氧。氧化结合成小分子无害或低害的化合物，如CO</w:t>
            </w:r>
            <w:r>
              <w:rPr>
                <w:rFonts w:hint="eastAsia"/>
                <w:sz w:val="24"/>
                <w:szCs w:val="24"/>
                <w:u w:val="none" w:color="auto"/>
                <w:vertAlign w:val="subscript"/>
              </w:rPr>
              <w:t>2</w:t>
            </w:r>
            <w:r>
              <w:rPr>
                <w:rFonts w:hint="eastAsia"/>
                <w:sz w:val="24"/>
                <w:szCs w:val="24"/>
                <w:u w:val="none" w:color="auto"/>
              </w:rPr>
              <w:t>、H</w:t>
            </w:r>
            <w:r>
              <w:rPr>
                <w:rFonts w:hint="eastAsia"/>
                <w:sz w:val="24"/>
                <w:szCs w:val="24"/>
                <w:u w:val="none" w:color="auto"/>
                <w:vertAlign w:val="subscript"/>
              </w:rPr>
              <w:t>2</w:t>
            </w:r>
            <w:r>
              <w:rPr>
                <w:rFonts w:hint="eastAsia"/>
                <w:sz w:val="24"/>
                <w:szCs w:val="24"/>
                <w:u w:val="none" w:color="auto"/>
              </w:rPr>
              <w:t>O。该法不产生危险废物，而且低能耗，处理效率高</w:t>
            </w:r>
            <w:r>
              <w:rPr>
                <w:rFonts w:hint="eastAsia"/>
                <w:color w:val="auto"/>
                <w:sz w:val="24"/>
                <w:szCs w:val="24"/>
                <w:u w:val="none" w:color="auto"/>
              </w:rPr>
              <w:t>。因此本项目各项废气治理措施切实可行</w:t>
            </w:r>
            <w:r>
              <w:rPr>
                <w:rFonts w:hint="default" w:ascii="Times New Roman" w:hAnsi="Times New Roman" w:cs="Times New Roman"/>
                <w:color w:val="auto"/>
                <w:sz w:val="24"/>
                <w:szCs w:val="24"/>
                <w:u w:val="none" w:color="auto"/>
              </w:rPr>
              <w:t>。</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由工程分析可知，</w:t>
            </w:r>
            <w:r>
              <w:rPr>
                <w:rFonts w:hint="eastAsia" w:cs="Times New Roman"/>
                <w:color w:val="auto"/>
                <w:kern w:val="0"/>
                <w:sz w:val="24"/>
                <w:szCs w:val="24"/>
                <w:u w:val="none" w:color="auto"/>
                <w:lang w:val="en-US" w:eastAsia="zh-CN" w:bidi="ar"/>
              </w:rPr>
              <w:t>烘干固化废气经活性炭+</w:t>
            </w:r>
            <w:r>
              <w:rPr>
                <w:rFonts w:hint="default" w:ascii="Times New Roman" w:hAnsi="Times New Roman" w:cs="Times New Roman"/>
                <w:color w:val="auto"/>
                <w:sz w:val="24"/>
                <w:szCs w:val="24"/>
                <w:u w:val="none" w:color="auto"/>
              </w:rPr>
              <w:t>UV光解系统处理后有组织排放的VOCs满足</w:t>
            </w:r>
            <w:r>
              <w:rPr>
                <w:rFonts w:hint="default" w:ascii="Times New Roman" w:hAnsi="Times New Roman" w:eastAsia="宋体" w:cs="Times New Roman"/>
                <w:color w:val="auto"/>
                <w:kern w:val="0"/>
                <w:sz w:val="24"/>
                <w:szCs w:val="24"/>
                <w:u w:val="none" w:color="auto"/>
                <w:lang w:val="en-US" w:eastAsia="zh-CN" w:bidi="ar"/>
              </w:rPr>
              <w:t>《表面涂装（汽车制造及维修）挥发性有机物、 镍排放标准》（DB43/1356-2017）表1中排放标准</w:t>
            </w:r>
            <w:r>
              <w:rPr>
                <w:rFonts w:hint="default" w:ascii="Times New Roman" w:hAnsi="Times New Roman" w:cs="Times New Roman"/>
                <w:color w:val="auto"/>
                <w:sz w:val="24"/>
                <w:szCs w:val="24"/>
                <w:u w:val="none" w:color="auto"/>
              </w:rPr>
              <w:t>。</w:t>
            </w:r>
          </w:p>
          <w:p>
            <w:pPr>
              <w:pStyle w:val="172"/>
              <w:spacing w:line="360" w:lineRule="auto"/>
              <w:ind w:firstLine="48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综上分析可知，本项目有机废气的处理措施合理可行。</w:t>
            </w:r>
          </w:p>
          <w:p>
            <w:pPr>
              <w:spacing w:line="360" w:lineRule="auto"/>
              <w:ind w:firstLine="462" w:firstLineChars="200"/>
              <w:rPr>
                <w:rFonts w:hint="default" w:ascii="Times New Roman" w:hAnsi="Times New Roman" w:cs="Times New Roman"/>
                <w:bCs/>
                <w:color w:val="auto"/>
                <w:sz w:val="24"/>
                <w:szCs w:val="24"/>
                <w:u w:val="none" w:color="auto"/>
              </w:rPr>
            </w:pPr>
            <w:r>
              <w:rPr>
                <w:rFonts w:hint="default" w:ascii="Times New Roman" w:hAnsi="Times New Roman" w:cs="Times New Roman"/>
                <w:color w:val="auto"/>
                <w:sz w:val="24"/>
                <w:szCs w:val="24"/>
                <w:u w:val="none" w:color="auto"/>
              </w:rPr>
              <w:t>（5）要求与建议</w:t>
            </w:r>
            <w:r>
              <w:rPr>
                <w:rFonts w:hint="default" w:ascii="Times New Roman" w:hAnsi="Times New Roman" w:cs="Times New Roman"/>
                <w:bCs/>
                <w:color w:val="auto"/>
                <w:sz w:val="24"/>
                <w:szCs w:val="24"/>
                <w:u w:val="none" w:color="auto"/>
              </w:rPr>
              <w:t xml:space="preserve"> </w:t>
            </w:r>
          </w:p>
          <w:p>
            <w:pPr>
              <w:spacing w:line="360" w:lineRule="auto"/>
              <w:ind w:firstLine="462" w:firstLineChars="200"/>
              <w:rPr>
                <w:rFonts w:hint="default" w:ascii="Times New Roman" w:hAnsi="Times New Roman" w:cs="Times New Roman"/>
                <w:bCs/>
                <w:color w:val="auto"/>
                <w:sz w:val="24"/>
                <w:szCs w:val="24"/>
                <w:u w:val="none" w:color="auto"/>
              </w:rPr>
            </w:pPr>
            <w:r>
              <w:rPr>
                <w:rFonts w:hint="default" w:ascii="Times New Roman" w:hAnsi="Times New Roman" w:cs="Times New Roman"/>
                <w:bCs/>
                <w:color w:val="auto"/>
                <w:sz w:val="24"/>
                <w:szCs w:val="24"/>
                <w:u w:val="none" w:color="auto"/>
              </w:rPr>
              <w:t>根据《挥发性有机物（VOCs）污染防治技术政策》中（十）在涂装、印刷、粘合、工业清洗等含VOCs产品的使用过程中的VOCs污染防治技术措施包括：①根据涂装工艺的不同，鼓励使用水性涂料、高固份涂料、粉末涂料、紫外光固化（UV）涂料等环保型涂料；推广采用静电喷涂、淋涂、辊涂、浸涂等效率较高的涂装工艺；应尽量避免无VOCs净化、回收措施的露天喷涂作业；②含VOCs产品的使用过程中，应采取废气收集措施，提高废气收集效率，减少废气的无组织排放与逸散，并对收集后的废气进行回收或处理后达标排放。</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根据《“十三五”挥发性有机物污染防治工作方案》中（二）加快实施工业源VOCs染防治3.加大工业涂装VOCs 治理力度（6）钢结构制造行业，大力推广使用高固体分涂料，到2020年底前，使用比例达到50%以上；试点推行水性涂料。大力推广高压无气喷涂、空气辅助无气喷涂、热喷涂等涂装技术，限制空气喷涂使用。逐步淘汰钢结构露天喷涂，推进钢结构制造企业在车间内作业，建设废气收集与治理设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在今后的生产运营中，根据企业的实际情况，积极采取新技术，尽可能产品大多使用粉末涂料，同时项目采取密闭式的静电喷涂效率较高的涂装工艺；与此同时，项目在原材料的采购过程中，采购含挥发性有机物较少的材料，在源头上减少挥发性有机物的产生因子。</w:t>
            </w:r>
          </w:p>
          <w:p>
            <w:pPr>
              <w:spacing w:line="360" w:lineRule="auto"/>
              <w:ind w:firstLine="462" w:firstLineChars="200"/>
              <w:rPr>
                <w:rFonts w:hint="default" w:ascii="Times New Roman" w:hAnsi="Times New Roman" w:cs="Times New Roman"/>
                <w:color w:val="auto"/>
                <w:sz w:val="24"/>
                <w:szCs w:val="24"/>
                <w:u w:val="none" w:color="auto"/>
              </w:rPr>
            </w:pPr>
          </w:p>
          <w:p>
            <w:pPr>
              <w:spacing w:line="360" w:lineRule="auto"/>
              <w:ind w:firstLine="462" w:firstLineChars="200"/>
              <w:rPr>
                <w:rFonts w:hint="eastAsia" w:ascii="Times New Roman" w:hAnsi="Times New Roman" w:eastAsia="宋体" w:cs="Times New Roman"/>
                <w:color w:val="auto"/>
                <w:sz w:val="24"/>
                <w:szCs w:val="24"/>
                <w:u w:val="none" w:color="auto"/>
                <w:lang w:eastAsia="zh-CN"/>
              </w:rPr>
            </w:pPr>
          </w:p>
          <w:p>
            <w:pPr>
              <w:numPr>
                <w:ilvl w:val="0"/>
                <w:numId w:val="10"/>
              </w:numPr>
              <w:adjustRightInd w:val="0"/>
              <w:snapToGrid w:val="0"/>
              <w:spacing w:line="360" w:lineRule="auto"/>
              <w:ind w:firstLine="46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地表水环境影响分析</w:t>
            </w:r>
          </w:p>
          <w:p>
            <w:pPr>
              <w:pStyle w:val="33"/>
              <w:adjustRightInd w:val="0"/>
              <w:snapToGrid w:val="0"/>
              <w:spacing w:line="360" w:lineRule="auto"/>
              <w:ind w:left="4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根据工程分析内容可知，本项目产生的废水主要来自于员工的生活污水。</w:t>
            </w:r>
          </w:p>
          <w:p>
            <w:pPr>
              <w:snapToGrid w:val="0"/>
              <w:spacing w:line="360" w:lineRule="auto"/>
              <w:ind w:firstLine="453" w:firstLineChars="196"/>
              <w:rPr>
                <w:rFonts w:hint="default" w:ascii="Times New Roman" w:hAnsi="Times New Roman" w:cs="Times New Roman"/>
                <w:color w:val="auto"/>
                <w:sz w:val="24"/>
                <w:szCs w:val="24"/>
                <w:u w:val="single" w:color="auto"/>
              </w:rPr>
            </w:pPr>
            <w:r>
              <w:rPr>
                <w:sz w:val="24"/>
                <w:u w:val="single" w:color="auto"/>
              </w:rPr>
              <w:t>项目厂区排水管网按雨污分流考虑。雨水经屋面雨水斗汇集后排入工业区雨水管网；污水经处理后接入工业区污水管网。目前金龙新区工业区污水管网已建设，但污水处理厂还在筹建中，因此在金龙新区工业区污水管网接入湘阴县第三污水处理厂之前，项目污水通过化粪池处理后排入园区污水管网再进入金龙新区人工湿地处理达《污水综合排放标准》（GB 8978-1996）表4中一级标准后经</w:t>
            </w:r>
            <w:r>
              <w:rPr>
                <w:rFonts w:hint="eastAsia"/>
                <w:sz w:val="24"/>
                <w:u w:val="single" w:color="auto"/>
                <w:lang w:eastAsia="zh-CN"/>
              </w:rPr>
              <w:t>洋沙河</w:t>
            </w:r>
            <w:r>
              <w:rPr>
                <w:sz w:val="24"/>
                <w:u w:val="singl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default" w:ascii="Times New Roman" w:hAnsi="Times New Roman" w:cs="Times New Roman"/>
                <w:sz w:val="24"/>
                <w:szCs w:val="24"/>
                <w:u w:val="single" w:color="auto"/>
              </w:rPr>
              <w:t>。因此对区域水环境影响较小</w:t>
            </w:r>
            <w:r>
              <w:rPr>
                <w:rFonts w:hint="default" w:ascii="Times New Roman" w:hAnsi="Times New Roman" w:cs="Times New Roman"/>
                <w:color w:val="auto"/>
                <w:sz w:val="24"/>
                <w:szCs w:val="24"/>
                <w:u w:val="single" w:color="auto"/>
              </w:rPr>
              <w:t>。</w:t>
            </w:r>
          </w:p>
          <w:p>
            <w:pPr>
              <w:pStyle w:val="183"/>
              <w:keepNext w:val="0"/>
              <w:keepLines w:val="0"/>
              <w:pageBreakBefore w:val="0"/>
              <w:widowControl w:val="0"/>
              <w:kinsoku/>
              <w:wordWrap/>
              <w:overflowPunct/>
              <w:topLinePunct w:val="0"/>
              <w:autoSpaceDE/>
              <w:autoSpaceDN/>
              <w:bidi w:val="0"/>
              <w:adjustRightInd/>
              <w:snapToGrid/>
              <w:spacing w:line="360" w:lineRule="auto"/>
              <w:ind w:left="0" w:right="0"/>
              <w:jc w:val="both"/>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地表水评价等级确定</w:t>
            </w:r>
          </w:p>
          <w:p>
            <w:pPr>
              <w:pStyle w:val="33"/>
              <w:adjustRightInd w:val="0"/>
              <w:snapToGrid w:val="0"/>
              <w:spacing w:line="360" w:lineRule="auto"/>
              <w:ind w:left="0" w:leftChars="0"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val="en-US" w:eastAsia="zh-CN"/>
              </w:rPr>
              <w:t>根据《环境评价技术导则地面 水环境》（HJ/T2.3-2018）分级原则，结合本项目的工程特点和项目所在地的环境特征，确定项目地表水环境影响评价等级为</w:t>
            </w:r>
            <w:r>
              <w:rPr>
                <w:rFonts w:hint="default" w:ascii="Times New Roman" w:hAnsi="Times New Roman" w:cs="Times New Roman"/>
                <w:b w:val="0"/>
                <w:bCs w:val="0"/>
                <w:color w:val="auto"/>
                <w:sz w:val="24"/>
                <w:szCs w:val="24"/>
                <w:u w:val="single" w:color="auto"/>
                <w:lang w:val="en-US" w:eastAsia="zh-CN"/>
              </w:rPr>
              <w:t>三级</w:t>
            </w:r>
            <w:r>
              <w:rPr>
                <w:rFonts w:hint="eastAsia" w:cs="Times New Roman"/>
                <w:b w:val="0"/>
                <w:bCs w:val="0"/>
                <w:color w:val="auto"/>
                <w:sz w:val="24"/>
                <w:szCs w:val="24"/>
                <w:u w:val="single" w:color="auto"/>
                <w:lang w:val="en-US" w:eastAsia="zh-CN"/>
              </w:rPr>
              <w:t>B。需对其进行简单分析</w:t>
            </w:r>
            <w:r>
              <w:rPr>
                <w:rFonts w:hint="eastAsia" w:ascii="Times New Roman" w:hAnsi="Times New Roman"/>
                <w:color w:val="auto"/>
                <w:sz w:val="24"/>
                <w:highlight w:val="none"/>
                <w:u w:val="single" w:color="auto"/>
                <w:lang w:val="en-US" w:eastAsia="zh-CN"/>
              </w:rPr>
              <w:t>。</w:t>
            </w:r>
          </w:p>
          <w:p>
            <w:pPr>
              <w:pStyle w:val="172"/>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①湖南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w:t>
            </w:r>
            <w:r>
              <w:rPr>
                <w:rFonts w:hint="eastAsia" w:cs="Times New Roman"/>
                <w:color w:val="auto"/>
                <w:sz w:val="24"/>
                <w:szCs w:val="24"/>
                <w:u w:val="single" w:color="auto"/>
                <w:lang w:eastAsia="zh-CN"/>
              </w:rPr>
              <w:t>（湘阴县第三污水处理厂）</w:t>
            </w:r>
            <w:r>
              <w:rPr>
                <w:rFonts w:hint="default" w:ascii="Times New Roman" w:hAnsi="Times New Roman" w:cs="Times New Roman"/>
                <w:color w:val="auto"/>
                <w:sz w:val="24"/>
                <w:szCs w:val="24"/>
                <w:u w:val="single" w:color="auto"/>
              </w:rPr>
              <w:t>未运行前，项目</w:t>
            </w:r>
            <w:r>
              <w:rPr>
                <w:rFonts w:hint="default" w:ascii="Times New Roman" w:hAnsi="Times New Roman" w:cs="Times New Roman"/>
                <w:color w:val="auto"/>
                <w:sz w:val="24"/>
                <w:szCs w:val="24"/>
                <w:u w:val="single" w:color="auto"/>
                <w:lang w:eastAsia="zh-CN"/>
              </w:rPr>
              <w:t>生活污水</w:t>
            </w:r>
            <w:r>
              <w:rPr>
                <w:rFonts w:hint="default" w:ascii="Times New Roman" w:hAnsi="Times New Roman" w:cs="Times New Roman"/>
                <w:color w:val="auto"/>
                <w:sz w:val="24"/>
                <w:szCs w:val="24"/>
                <w:u w:val="single" w:color="auto"/>
              </w:rPr>
              <w:t>经</w:t>
            </w:r>
            <w:r>
              <w:rPr>
                <w:sz w:val="24"/>
                <w:u w:val="single" w:color="auto"/>
              </w:rPr>
              <w:t>通过化粪池处理后排入园区污水管网再进入金龙新区人工湿地处理达《污水综合排放标准》（GB 8978-1996）表4中一级标准后经</w:t>
            </w:r>
            <w:r>
              <w:rPr>
                <w:rFonts w:hint="eastAsia"/>
                <w:sz w:val="24"/>
                <w:u w:val="single" w:color="auto"/>
                <w:lang w:eastAsia="zh-CN"/>
              </w:rPr>
              <w:t>洋沙河</w:t>
            </w:r>
            <w:r>
              <w:rPr>
                <w:sz w:val="24"/>
                <w:u w:val="single" w:color="auto"/>
              </w:rPr>
              <w:t>汇入湘江</w:t>
            </w:r>
            <w:r>
              <w:rPr>
                <w:rFonts w:hint="default" w:ascii="Times New Roman" w:hAnsi="Times New Roman" w:cs="Times New Roman"/>
                <w:color w:val="auto"/>
                <w:sz w:val="24"/>
                <w:szCs w:val="24"/>
                <w:u w:val="single" w:color="auto"/>
              </w:rPr>
              <w:t>；</w:t>
            </w:r>
          </w:p>
          <w:p>
            <w:pPr>
              <w:pStyle w:val="172"/>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②湖南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w:t>
            </w:r>
            <w:r>
              <w:rPr>
                <w:rFonts w:hint="eastAsia" w:cs="Times New Roman"/>
                <w:color w:val="auto"/>
                <w:sz w:val="24"/>
                <w:szCs w:val="24"/>
                <w:u w:val="single" w:color="auto"/>
                <w:lang w:eastAsia="zh-CN"/>
              </w:rPr>
              <w:t>（湘阴县第三污水处理厂）</w:t>
            </w:r>
            <w:r>
              <w:rPr>
                <w:rFonts w:hint="default" w:ascii="Times New Roman" w:hAnsi="Times New Roman" w:cs="Times New Roman"/>
                <w:color w:val="auto"/>
                <w:sz w:val="24"/>
                <w:szCs w:val="24"/>
                <w:u w:val="single" w:color="auto"/>
              </w:rPr>
              <w:t>运营后，项目生活污水预处理达到</w:t>
            </w:r>
            <w:r>
              <w:rPr>
                <w:rFonts w:hint="default" w:ascii="Times New Roman" w:hAnsi="Times New Roman" w:cs="Times New Roman"/>
                <w:color w:val="auto"/>
                <w:sz w:val="24"/>
                <w:szCs w:val="24"/>
                <w:u w:val="single" w:color="auto"/>
                <w:lang w:eastAsia="zh-CN"/>
              </w:rPr>
              <w:t>金龙镇污水处理厂进水</w:t>
            </w:r>
            <w:r>
              <w:rPr>
                <w:rFonts w:hint="default" w:ascii="Times New Roman" w:hAnsi="Times New Roman" w:cs="Times New Roman"/>
                <w:color w:val="auto"/>
                <w:sz w:val="24"/>
                <w:szCs w:val="24"/>
                <w:u w:val="single" w:color="auto"/>
                <w:lang w:val="en-US" w:eastAsia="zh-CN"/>
              </w:rPr>
              <w:t>标准</w:t>
            </w:r>
            <w:r>
              <w:rPr>
                <w:rFonts w:hint="default" w:ascii="Times New Roman" w:hAnsi="Times New Roman" w:cs="Times New Roman"/>
                <w:color w:val="auto"/>
                <w:sz w:val="24"/>
                <w:szCs w:val="24"/>
                <w:u w:val="single" w:color="auto"/>
              </w:rPr>
              <w:t>后，经管网汇入金龙镇污水处理厂处理达标</w:t>
            </w:r>
            <w:r>
              <w:rPr>
                <w:rFonts w:hint="default" w:ascii="Times New Roman" w:hAnsi="Times New Roman" w:cs="Times New Roman"/>
                <w:color w:val="auto"/>
                <w:sz w:val="24"/>
                <w:szCs w:val="24"/>
                <w:u w:val="single" w:color="auto"/>
                <w:lang w:eastAsia="zh-CN"/>
              </w:rPr>
              <w:t>后</w:t>
            </w:r>
            <w:r>
              <w:rPr>
                <w:rFonts w:hint="default" w:ascii="Times New Roman" w:hAnsi="Times New Roman" w:cs="Times New Roman"/>
                <w:color w:val="auto"/>
                <w:sz w:val="24"/>
                <w:szCs w:val="24"/>
                <w:u w:val="single" w:color="auto"/>
              </w:rPr>
              <w:t>排放</w:t>
            </w:r>
            <w:r>
              <w:rPr>
                <w:rFonts w:hint="default" w:ascii="Times New Roman" w:hAnsi="Times New Roman" w:cs="Times New Roman"/>
                <w:color w:val="auto"/>
                <w:sz w:val="24"/>
                <w:szCs w:val="24"/>
                <w:u w:val="single" w:color="auto"/>
                <w:lang w:eastAsia="zh-CN"/>
              </w:rPr>
              <w:t>至洋沙河，最终汇入湘江。</w:t>
            </w:r>
          </w:p>
          <w:p>
            <w:pPr>
              <w:adjustRightInd w:val="0"/>
              <w:snapToGrid w:val="0"/>
              <w:spacing w:line="360" w:lineRule="auto"/>
              <w:ind w:firstLine="462" w:firstLineChars="200"/>
              <w:rPr>
                <w:b/>
                <w:u w:val="single" w:color="auto"/>
              </w:rPr>
            </w:pPr>
            <w:r>
              <w:rPr>
                <w:rFonts w:hint="eastAsia"/>
                <w:b/>
                <w:bCs/>
                <w:sz w:val="24"/>
                <w:u w:val="single" w:color="auto"/>
              </w:rPr>
              <w:t>人工湿地</w:t>
            </w:r>
            <w:r>
              <w:rPr>
                <w:b/>
                <w:bCs/>
                <w:sz w:val="24"/>
                <w:u w:val="single" w:color="auto"/>
              </w:rPr>
              <w:t>可行性分析</w:t>
            </w:r>
          </w:p>
          <w:p>
            <w:pPr>
              <w:keepNext w:val="0"/>
              <w:keepLines w:val="0"/>
              <w:pageBreakBefore w:val="0"/>
              <w:widowControl w:val="0"/>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1"/>
                <w:u w:val="single" w:color="auto"/>
              </w:rPr>
              <w:t>项目全厂废水</w:t>
            </w:r>
            <w:r>
              <w:rPr>
                <w:rFonts w:hint="eastAsia" w:cs="Times New Roman"/>
                <w:color w:val="auto"/>
                <w:sz w:val="24"/>
                <w:szCs w:val="21"/>
                <w:u w:val="single" w:color="auto"/>
                <w:lang w:eastAsia="zh-CN"/>
              </w:rPr>
              <w:t>排放</w:t>
            </w:r>
            <w:r>
              <w:rPr>
                <w:rFonts w:hint="default" w:ascii="Times New Roman" w:hAnsi="Times New Roman" w:cs="Times New Roman"/>
                <w:color w:val="auto"/>
                <w:sz w:val="24"/>
                <w:szCs w:val="21"/>
                <w:u w:val="single" w:color="auto"/>
              </w:rPr>
              <w:t>量为</w:t>
            </w:r>
            <w:r>
              <w:rPr>
                <w:rFonts w:hint="eastAsia" w:cs="Times New Roman"/>
                <w:color w:val="auto"/>
                <w:sz w:val="24"/>
                <w:szCs w:val="21"/>
                <w:u w:val="single" w:color="auto"/>
                <w:lang w:val="en-US" w:eastAsia="zh-CN"/>
              </w:rPr>
              <w:t>6000</w:t>
            </w:r>
            <w:r>
              <w:rPr>
                <w:rFonts w:hint="default" w:ascii="Times New Roman" w:hAnsi="Times New Roman" w:cs="Times New Roman"/>
                <w:color w:val="auto"/>
                <w:sz w:val="24"/>
                <w:szCs w:val="21"/>
                <w:u w:val="single" w:color="auto"/>
                <w:lang w:val="en-US" w:eastAsia="zh-CN"/>
              </w:rPr>
              <w:t>t</w:t>
            </w:r>
            <w:r>
              <w:rPr>
                <w:rFonts w:hint="default" w:ascii="Times New Roman" w:hAnsi="Times New Roman" w:cs="Times New Roman"/>
                <w:color w:val="auto"/>
                <w:sz w:val="24"/>
                <w:szCs w:val="21"/>
                <w:u w:val="single" w:color="auto"/>
              </w:rPr>
              <w:t>/</w:t>
            </w:r>
            <w:r>
              <w:rPr>
                <w:rFonts w:hint="default" w:ascii="Times New Roman" w:hAnsi="Times New Roman" w:cs="Times New Roman"/>
                <w:color w:val="auto"/>
                <w:sz w:val="24"/>
                <w:szCs w:val="21"/>
                <w:u w:val="single" w:color="auto"/>
                <w:lang w:val="en-US" w:eastAsia="zh-CN"/>
              </w:rPr>
              <w:t>a</w:t>
            </w:r>
            <w:r>
              <w:rPr>
                <w:rFonts w:hint="eastAsia" w:ascii="Times New Roman" w:hAnsi="Times New Roman" w:cs="Times New Roman"/>
                <w:color w:val="auto"/>
                <w:sz w:val="24"/>
                <w:szCs w:val="21"/>
                <w:u w:val="single" w:color="auto"/>
                <w:lang w:val="en-US" w:eastAsia="zh-CN"/>
              </w:rPr>
              <w:t>，主要为生活污水，</w:t>
            </w:r>
            <w:r>
              <w:rPr>
                <w:sz w:val="24"/>
                <w:u w:val="single" w:color="auto"/>
              </w:rPr>
              <w:t>人工湿地是由人工建造和控制运行的与沼泽地类似的地面，将污水、污泥有控制的投配到经人工建造的湿地上，污水与污泥在沿一定方向流动的过程中，主要利用土壤、人工介质、植物、微生物的物理、化学、生物三重协同作用，对污水、污泥进行处理的一种技术。其作用机理包括吸附、滞留、过滤、氧化还原、沉淀、微生物分解、转化、植物遮蔽、残留物积累、蒸腾水分和养分吸收及各类动物的作用</w:t>
            </w:r>
            <w:r>
              <w:rPr>
                <w:rFonts w:hint="eastAsia"/>
                <w:sz w:val="24"/>
                <w:u w:val="single" w:color="auto"/>
              </w:rPr>
              <w:t>，本项目污水依托</w:t>
            </w:r>
            <w:r>
              <w:rPr>
                <w:sz w:val="24"/>
                <w:u w:val="single" w:color="auto"/>
              </w:rPr>
              <w:t>金龙新区人工湿地处理达《污水综合排放标准》（GB 8978-1996）表4中一级标准后经</w:t>
            </w:r>
            <w:r>
              <w:rPr>
                <w:rFonts w:hint="eastAsia"/>
                <w:sz w:val="24"/>
                <w:u w:val="single" w:color="auto"/>
                <w:lang w:eastAsia="zh-CN"/>
              </w:rPr>
              <w:t>洋沙河</w:t>
            </w:r>
            <w:r>
              <w:rPr>
                <w:sz w:val="24"/>
                <w:u w:val="single" w:color="auto"/>
              </w:rPr>
              <w:t>汇入湘江</w:t>
            </w:r>
            <w:r>
              <w:rPr>
                <w:rFonts w:hint="eastAsia"/>
                <w:sz w:val="24"/>
                <w:u w:val="single" w:color="auto"/>
              </w:rPr>
              <w:t>，对当地地表水体影响不大</w:t>
            </w:r>
            <w:r>
              <w:rPr>
                <w:rFonts w:hint="default" w:ascii="Times New Roman" w:hAnsi="Times New Roman" w:cs="Times New Roman"/>
                <w:color w:val="auto"/>
                <w:sz w:val="24"/>
                <w:szCs w:val="24"/>
                <w:u w:val="single" w:color="auto"/>
              </w:rPr>
              <w:t>。</w:t>
            </w:r>
          </w:p>
          <w:p>
            <w:pPr>
              <w:snapToGrid/>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eastAsia="宋体" w:cs="Times New Roman"/>
                <w:iCs w:val="0"/>
                <w:color w:val="auto"/>
                <w:kern w:val="2"/>
                <w:sz w:val="24"/>
                <w:szCs w:val="24"/>
                <w:u w:val="single" w:color="auto"/>
                <w:lang w:val="en-US" w:eastAsia="zh-CN" w:bidi="ar-SA"/>
              </w:rPr>
              <w:t>综上所述，所排污水经以上措施处理后，可以符合相关的排放要求。只要加强管理， 确保处理效率，其外排废水不会对项目周围的水体环境造成明显不利影响</w:t>
            </w:r>
            <w:r>
              <w:rPr>
                <w:rFonts w:hint="default" w:ascii="Times New Roman" w:hAnsi="Times New Roman" w:cs="Times New Roman"/>
                <w:color w:val="auto"/>
                <w:sz w:val="24"/>
                <w:szCs w:val="24"/>
                <w:u w:val="single" w:color="auto"/>
              </w:rPr>
              <w:t>。</w:t>
            </w:r>
          </w:p>
          <w:p>
            <w:pPr>
              <w:pStyle w:val="185"/>
              <w:spacing w:line="360" w:lineRule="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污水进入湖南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w:t>
            </w:r>
            <w:r>
              <w:rPr>
                <w:rFonts w:hint="eastAsia" w:cs="Times New Roman"/>
                <w:color w:val="auto"/>
                <w:sz w:val="24"/>
                <w:szCs w:val="24"/>
                <w:u w:val="single" w:color="auto"/>
                <w:lang w:eastAsia="zh-CN"/>
              </w:rPr>
              <w:t>（湘阴县第三污水处理厂）</w:t>
            </w:r>
            <w:r>
              <w:rPr>
                <w:rFonts w:hint="default" w:ascii="Times New Roman" w:hAnsi="Times New Roman" w:cs="Times New Roman"/>
                <w:color w:val="auto"/>
                <w:sz w:val="24"/>
                <w:szCs w:val="24"/>
                <w:u w:val="single" w:color="auto"/>
              </w:rPr>
              <w:t>可行性分析</w:t>
            </w:r>
          </w:p>
          <w:p>
            <w:pPr>
              <w:pStyle w:val="172"/>
              <w:spacing w:line="360" w:lineRule="auto"/>
              <w:ind w:firstLine="462" w:firstLineChars="200"/>
              <w:rPr>
                <w:rFonts w:hint="default" w:ascii="Times New Roman" w:hAnsi="Times New Roman" w:cs="Times New Roman"/>
                <w:color w:val="auto"/>
                <w:sz w:val="24"/>
                <w:szCs w:val="24"/>
                <w:u w:val="single" w:color="auto"/>
              </w:rPr>
            </w:pPr>
            <w:r>
              <w:rPr>
                <w:rFonts w:hint="eastAsia" w:ascii="宋体" w:hAnsi="宋体"/>
                <w:color w:val="auto"/>
                <w:sz w:val="24"/>
                <w:u w:val="single" w:color="auto"/>
              </w:rPr>
              <w:t>湖南湘阴县第三污水处理厂位于湖南</w:t>
            </w:r>
            <w:r>
              <w:rPr>
                <w:rFonts w:hint="eastAsia"/>
                <w:snapToGrid w:val="0"/>
                <w:color w:val="auto"/>
                <w:sz w:val="24"/>
                <w:u w:val="single" w:color="auto"/>
              </w:rPr>
              <w:t>金龙镇金华村</w:t>
            </w:r>
            <w:r>
              <w:rPr>
                <w:rFonts w:hint="eastAsia" w:ascii="宋体" w:hAnsi="宋体"/>
                <w:color w:val="auto"/>
                <w:sz w:val="24"/>
                <w:u w:val="single" w:color="auto"/>
              </w:rPr>
              <w:t>，处理能力为</w:t>
            </w:r>
            <w:r>
              <w:rPr>
                <w:rFonts w:hint="eastAsia"/>
                <w:color w:val="auto"/>
                <w:sz w:val="24"/>
                <w:u w:val="single" w:color="auto"/>
              </w:rPr>
              <w:t>2</w:t>
            </w:r>
            <w:r>
              <w:rPr>
                <w:rFonts w:hint="eastAsia" w:ascii="宋体" w:hAnsi="宋体"/>
                <w:color w:val="auto"/>
                <w:sz w:val="24"/>
                <w:u w:val="single" w:color="auto"/>
              </w:rPr>
              <w:t>万</w:t>
            </w:r>
            <w:r>
              <w:rPr>
                <w:rFonts w:hint="eastAsia"/>
                <w:color w:val="auto"/>
                <w:sz w:val="24"/>
                <w:u w:val="single" w:color="auto"/>
              </w:rPr>
              <w:t>t/d</w:t>
            </w:r>
            <w:r>
              <w:rPr>
                <w:rFonts w:hint="eastAsia" w:ascii="宋体" w:hAnsi="宋体"/>
                <w:color w:val="auto"/>
                <w:sz w:val="24"/>
                <w:u w:val="single" w:color="auto"/>
              </w:rPr>
              <w:t>，采用卡鲁塞尔氧化沟工艺，污水经进水泵房提升后，进入细格栅间及涡流沉砂池处理，然后进入氧化沟进行生物处理，再进入二沉池进行泥水分离后达标排放。二沉池泥水分离过程中产生的污泥一部分通过回流泵房进入氧化沟循环利用，一部分以剩余污泥的形式进入脱水车间经脱水后形成干污泥，再外运填埋处理。湖南湘阴县第三污水处理厂主要收集金龙镇区域和金龙工业小区，项目建成后将接纳金龙镇区域生活污水和金龙工业小区工业污水</w:t>
            </w:r>
            <w:r>
              <w:rPr>
                <w:rFonts w:hint="default" w:ascii="Times New Roman" w:hAnsi="Times New Roman" w:cs="Times New Roman"/>
                <w:color w:val="auto"/>
                <w:sz w:val="24"/>
                <w:szCs w:val="24"/>
                <w:u w:val="single" w:color="auto"/>
              </w:rPr>
              <w:t>。</w:t>
            </w:r>
          </w:p>
          <w:p>
            <w:pPr>
              <w:pStyle w:val="172"/>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w:t>
            </w:r>
            <w:r>
              <w:rPr>
                <w:rFonts w:hint="eastAsia" w:cs="Times New Roman"/>
                <w:color w:val="auto"/>
                <w:sz w:val="24"/>
                <w:szCs w:val="24"/>
                <w:u w:val="single" w:color="auto"/>
                <w:lang w:eastAsia="zh-CN"/>
              </w:rPr>
              <w:t>（湘阴县第三污水处理厂）</w:t>
            </w:r>
            <w:r>
              <w:rPr>
                <w:rFonts w:hint="default" w:ascii="Times New Roman" w:hAnsi="Times New Roman" w:cs="Times New Roman"/>
                <w:color w:val="auto"/>
                <w:sz w:val="24"/>
                <w:szCs w:val="24"/>
                <w:u w:val="single" w:color="auto"/>
              </w:rPr>
              <w:t>主要收集金龙新区工业园区、金龙镇的生活污水和工业废水。根据调查，本项目位于湖南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金龙新区污水处理厂东侧1</w:t>
            </w:r>
            <w:r>
              <w:rPr>
                <w:rFonts w:hint="default" w:ascii="Times New Roman" w:hAnsi="Times New Roman" w:cs="Times New Roman"/>
                <w:color w:val="auto"/>
                <w:sz w:val="24"/>
                <w:szCs w:val="24"/>
                <w:u w:val="single" w:color="auto"/>
                <w:lang w:val="en-US" w:eastAsia="zh-CN"/>
              </w:rPr>
              <w:t>5</w:t>
            </w:r>
            <w:r>
              <w:rPr>
                <w:rFonts w:hint="default" w:ascii="Times New Roman" w:hAnsi="Times New Roman" w:cs="Times New Roman"/>
                <w:color w:val="auto"/>
                <w:sz w:val="24"/>
                <w:szCs w:val="24"/>
                <w:u w:val="single" w:color="auto"/>
              </w:rPr>
              <w:t>00m处，属于该污水处理厂纳污区域。</w:t>
            </w:r>
          </w:p>
          <w:p>
            <w:pPr>
              <w:pStyle w:val="172"/>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项目处于湖南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w:t>
            </w:r>
            <w:r>
              <w:rPr>
                <w:rFonts w:hint="eastAsia" w:cs="Times New Roman"/>
                <w:color w:val="auto"/>
                <w:sz w:val="24"/>
                <w:szCs w:val="24"/>
                <w:u w:val="single" w:color="auto"/>
                <w:lang w:eastAsia="zh-CN"/>
              </w:rPr>
              <w:t>（湘阴县第三污水处理厂）</w:t>
            </w:r>
            <w:r>
              <w:rPr>
                <w:rFonts w:hint="default" w:ascii="Times New Roman" w:hAnsi="Times New Roman" w:cs="Times New Roman"/>
                <w:color w:val="auto"/>
                <w:sz w:val="24"/>
                <w:szCs w:val="24"/>
                <w:u w:val="single" w:color="auto"/>
              </w:rPr>
              <w:t>纳污范围内，区域污水管网正在加紧建设中。项目建成营运后，污水排放量为</w:t>
            </w:r>
            <w:r>
              <w:rPr>
                <w:rFonts w:hint="eastAsia" w:cs="Times New Roman"/>
                <w:color w:val="auto"/>
                <w:sz w:val="24"/>
                <w:szCs w:val="24"/>
                <w:u w:val="single" w:color="auto"/>
                <w:lang w:val="en-US" w:eastAsia="zh-CN"/>
              </w:rPr>
              <w:t>20</w:t>
            </w:r>
            <w:r>
              <w:rPr>
                <w:rFonts w:hint="default" w:ascii="Times New Roman" w:hAnsi="Times New Roman" w:cs="Times New Roman"/>
                <w:color w:val="auto"/>
                <w:sz w:val="24"/>
                <w:szCs w:val="24"/>
                <w:u w:val="single" w:color="auto"/>
              </w:rPr>
              <w:t>m</w:t>
            </w:r>
            <w:r>
              <w:rPr>
                <w:rFonts w:hint="default" w:ascii="Times New Roman" w:hAnsi="Times New Roman" w:cs="Times New Roman"/>
                <w:color w:val="auto"/>
                <w:sz w:val="24"/>
                <w:szCs w:val="24"/>
                <w:u w:val="single" w:color="auto"/>
                <w:vertAlign w:val="superscript"/>
              </w:rPr>
              <w:t>3</w:t>
            </w:r>
            <w:r>
              <w:rPr>
                <w:rFonts w:hint="default" w:ascii="Times New Roman" w:hAnsi="Times New Roman" w:cs="Times New Roman"/>
                <w:color w:val="auto"/>
                <w:sz w:val="24"/>
                <w:szCs w:val="24"/>
                <w:u w:val="single" w:color="auto"/>
              </w:rPr>
              <w:t>/d，主要来自于管理人员的生活</w:t>
            </w:r>
            <w:r>
              <w:rPr>
                <w:rFonts w:hint="default" w:ascii="Times New Roman" w:hAnsi="Times New Roman" w:cs="Times New Roman"/>
                <w:color w:val="auto"/>
                <w:sz w:val="24"/>
                <w:szCs w:val="24"/>
                <w:u w:val="single" w:color="auto"/>
                <w:lang w:eastAsia="zh-CN"/>
              </w:rPr>
              <w:t>污水</w:t>
            </w:r>
            <w:r>
              <w:rPr>
                <w:rFonts w:hint="default" w:ascii="Times New Roman" w:hAnsi="Times New Roman" w:cs="Times New Roman"/>
                <w:color w:val="auto"/>
                <w:sz w:val="24"/>
                <w:szCs w:val="24"/>
                <w:u w:val="single" w:color="auto"/>
              </w:rPr>
              <w:t>，主要污染物为COD</w:t>
            </w:r>
            <w:r>
              <w:rPr>
                <w:rFonts w:hint="default" w:ascii="Times New Roman" w:hAnsi="Times New Roman" w:cs="Times New Roman"/>
                <w:color w:val="auto"/>
                <w:sz w:val="24"/>
                <w:szCs w:val="24"/>
                <w:u w:val="single" w:color="auto"/>
                <w:vertAlign w:val="subscript"/>
              </w:rPr>
              <w:t>Cr</w:t>
            </w:r>
            <w:r>
              <w:rPr>
                <w:rFonts w:hint="default" w:ascii="Times New Roman" w:hAnsi="Times New Roman" w:cs="Times New Roman"/>
                <w:color w:val="auto"/>
                <w:sz w:val="24"/>
                <w:szCs w:val="24"/>
                <w:u w:val="single" w:color="auto"/>
              </w:rPr>
              <w:t>、BOD</w:t>
            </w:r>
            <w:r>
              <w:rPr>
                <w:rFonts w:hint="default" w:ascii="Times New Roman" w:hAnsi="Times New Roman" w:cs="Times New Roman"/>
                <w:color w:val="auto"/>
                <w:sz w:val="24"/>
                <w:szCs w:val="24"/>
                <w:u w:val="single" w:color="auto"/>
                <w:vertAlign w:val="subscript"/>
              </w:rPr>
              <w:t>5</w:t>
            </w:r>
            <w:r>
              <w:rPr>
                <w:rFonts w:hint="default" w:ascii="Times New Roman" w:hAnsi="Times New Roman" w:cs="Times New Roman"/>
                <w:color w:val="auto"/>
                <w:sz w:val="24"/>
                <w:szCs w:val="24"/>
                <w:u w:val="single" w:color="auto"/>
              </w:rPr>
              <w:t>、NH</w:t>
            </w:r>
            <w:r>
              <w:rPr>
                <w:rFonts w:hint="default" w:ascii="Times New Roman" w:hAnsi="Times New Roman" w:cs="Times New Roman"/>
                <w:color w:val="auto"/>
                <w:sz w:val="24"/>
                <w:szCs w:val="24"/>
                <w:u w:val="single" w:color="auto"/>
                <w:vertAlign w:val="subscript"/>
              </w:rPr>
              <w:t>3</w:t>
            </w:r>
            <w:r>
              <w:rPr>
                <w:rFonts w:hint="default" w:ascii="Times New Roman" w:hAnsi="Times New Roman" w:cs="Times New Roman"/>
                <w:color w:val="auto"/>
                <w:sz w:val="24"/>
                <w:szCs w:val="24"/>
                <w:u w:val="single" w:color="auto"/>
              </w:rPr>
              <w:t>-N、SS、动植物油，均为工业园污水处理厂常规处理项目。污水经</w:t>
            </w:r>
            <w:r>
              <w:rPr>
                <w:rFonts w:hint="default" w:ascii="Times New Roman" w:hAnsi="Times New Roman" w:cs="Times New Roman"/>
                <w:color w:val="auto"/>
                <w:sz w:val="24"/>
                <w:szCs w:val="24"/>
                <w:u w:val="single" w:color="auto"/>
                <w:lang w:eastAsia="zh-CN"/>
              </w:rPr>
              <w:t>化粪池</w:t>
            </w:r>
            <w:r>
              <w:rPr>
                <w:rFonts w:hint="default" w:ascii="Times New Roman" w:hAnsi="Times New Roman" w:cs="Times New Roman"/>
                <w:color w:val="auto"/>
                <w:sz w:val="24"/>
                <w:szCs w:val="24"/>
                <w:u w:val="single" w:color="auto"/>
              </w:rPr>
              <w:t>处理后进入园区污水管网汇入湖南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金龙新区污水处理厂，不会对该厂水质、水量造成冲击。因此，本项目污水纳入工业园污水处理厂集中处理是可行可靠的。</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single" w:color="auto"/>
              </w:rPr>
              <w:t>项目废水经湖南</w:t>
            </w:r>
            <w:r>
              <w:rPr>
                <w:rFonts w:hint="default" w:ascii="Times New Roman" w:hAnsi="Times New Roman" w:cs="Times New Roman"/>
                <w:color w:val="auto"/>
                <w:sz w:val="24"/>
                <w:szCs w:val="24"/>
                <w:u w:val="single" w:color="auto"/>
                <w:lang w:eastAsia="zh-CN"/>
              </w:rPr>
              <w:t>湘阴县</w:t>
            </w:r>
            <w:r>
              <w:rPr>
                <w:rFonts w:hint="default" w:ascii="Times New Roman" w:hAnsi="Times New Roman" w:cs="Times New Roman"/>
                <w:color w:val="auto"/>
                <w:sz w:val="24"/>
                <w:szCs w:val="24"/>
                <w:u w:val="single" w:color="auto"/>
              </w:rPr>
              <w:t>金龙新区污水处理厂处理后，达到《城镇污水处理厂污染物排放标准》（GB18918-2002）中的一级标准（A标准）后排入</w:t>
            </w:r>
            <w:r>
              <w:rPr>
                <w:rFonts w:hint="default" w:ascii="Times New Roman" w:hAnsi="Times New Roman" w:cs="Times New Roman"/>
                <w:color w:val="auto"/>
                <w:sz w:val="24"/>
                <w:szCs w:val="24"/>
                <w:u w:val="single" w:color="auto"/>
                <w:lang w:eastAsia="zh-CN"/>
              </w:rPr>
              <w:t>洋沙河，最终汇入</w:t>
            </w:r>
            <w:r>
              <w:rPr>
                <w:rFonts w:hint="default" w:ascii="Times New Roman" w:hAnsi="Times New Roman" w:cs="Times New Roman"/>
                <w:color w:val="auto"/>
                <w:sz w:val="24"/>
                <w:szCs w:val="24"/>
                <w:u w:val="single" w:color="auto"/>
              </w:rPr>
              <w:t>湘江。因此，项目废水达标排放后对湘江水质影响较小</w:t>
            </w:r>
            <w:r>
              <w:rPr>
                <w:rFonts w:hint="default" w:ascii="Times New Roman" w:hAnsi="Times New Roman" w:cs="Times New Roman"/>
                <w:color w:val="auto"/>
                <w:sz w:val="24"/>
                <w:szCs w:val="24"/>
                <w:u w:val="none" w:color="auto"/>
              </w:rPr>
              <w:t>。</w:t>
            </w:r>
          </w:p>
          <w:p>
            <w:pPr>
              <w:widowControl/>
              <w:spacing w:line="360" w:lineRule="auto"/>
              <w:ind w:firstLine="462" w:firstLineChars="200"/>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sz w:val="24"/>
                <w:szCs w:val="24"/>
                <w:u w:val="none" w:color="auto"/>
              </w:rPr>
              <w:t>故本项目</w:t>
            </w:r>
            <w:r>
              <w:rPr>
                <w:rFonts w:hint="default" w:ascii="Times New Roman" w:hAnsi="Times New Roman" w:cs="Times New Roman"/>
                <w:color w:val="auto"/>
                <w:sz w:val="24"/>
                <w:szCs w:val="24"/>
                <w:u w:val="none" w:color="auto"/>
                <w:lang w:eastAsia="zh-CN"/>
              </w:rPr>
              <w:t>生活污水</w:t>
            </w:r>
            <w:r>
              <w:rPr>
                <w:rFonts w:hint="default" w:ascii="Times New Roman" w:hAnsi="Times New Roman" w:cs="Times New Roman"/>
                <w:color w:val="auto"/>
                <w:sz w:val="24"/>
                <w:szCs w:val="24"/>
                <w:u w:val="none" w:color="auto"/>
              </w:rPr>
              <w:t>通过上述措施处理后可达标排放，不会对周边环境造成明显的影响</w:t>
            </w:r>
            <w:r>
              <w:rPr>
                <w:rFonts w:hint="default" w:ascii="Times New Roman" w:hAnsi="Times New Roman" w:cs="Times New Roman"/>
                <w:color w:val="auto"/>
                <w:kern w:val="0"/>
                <w:sz w:val="24"/>
                <w:szCs w:val="24"/>
                <w:u w:val="none" w:color="auto"/>
              </w:rPr>
              <w:t>。</w:t>
            </w: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default" w:ascii="Times New Roman" w:hAnsi="Times New Roman" w:cs="Times New Roman"/>
                <w:b w:val="0"/>
                <w:bCs w:val="0"/>
                <w:color w:val="auto"/>
                <w:sz w:val="24"/>
                <w:szCs w:val="24"/>
                <w:u w:val="none" w:color="auto"/>
                <w:lang w:val="en-US" w:eastAsia="zh-CN"/>
              </w:rPr>
            </w:pPr>
            <w:r>
              <w:rPr>
                <w:rFonts w:hint="eastAsia" w:cs="Times New Roman"/>
                <w:b w:val="0"/>
                <w:bCs w:val="0"/>
                <w:color w:val="auto"/>
                <w:sz w:val="24"/>
                <w:szCs w:val="24"/>
                <w:u w:val="none" w:color="auto"/>
                <w:lang w:val="en-US" w:eastAsia="zh-CN"/>
              </w:rPr>
              <w:t>（4）</w:t>
            </w:r>
            <w:r>
              <w:rPr>
                <w:rFonts w:hint="default" w:ascii="Times New Roman" w:hAnsi="Times New Roman" w:cs="Times New Roman"/>
                <w:b w:val="0"/>
                <w:bCs w:val="0"/>
                <w:color w:val="auto"/>
                <w:sz w:val="24"/>
                <w:szCs w:val="24"/>
                <w:u w:val="none" w:color="auto"/>
                <w:lang w:val="en-US" w:eastAsia="zh-CN"/>
              </w:rPr>
              <w:t>污染物排放量核算表</w:t>
            </w:r>
          </w:p>
          <w:p>
            <w:pPr>
              <w:spacing w:line="360" w:lineRule="auto"/>
              <w:ind w:firstLine="462" w:firstLineChars="200"/>
              <w:jc w:val="both"/>
              <w:rPr>
                <w:rFonts w:hint="default" w:ascii="Times New Roman" w:hAnsi="Times New Roman" w:cs="Times New Roman"/>
                <w:color w:val="auto"/>
                <w:sz w:val="24"/>
                <w:szCs w:val="32"/>
                <w:u w:val="none" w:color="auto"/>
                <w:lang w:eastAsia="zh-CN"/>
              </w:rPr>
            </w:pPr>
            <w:r>
              <w:rPr>
                <w:rFonts w:hint="default" w:ascii="Times New Roman" w:hAnsi="Times New Roman" w:cs="Times New Roman"/>
                <w:b w:val="0"/>
                <w:bCs w:val="0"/>
                <w:color w:val="auto"/>
                <w:sz w:val="24"/>
                <w:szCs w:val="24"/>
                <w:u w:val="none" w:color="auto"/>
                <w:lang w:val="en-US" w:eastAsia="zh-CN"/>
              </w:rPr>
              <w:t>综上，</w:t>
            </w:r>
            <w:r>
              <w:rPr>
                <w:rFonts w:hint="default" w:ascii="Times New Roman" w:hAnsi="Times New Roman" w:cs="Times New Roman"/>
                <w:b w:val="0"/>
                <w:bCs w:val="0"/>
                <w:color w:val="auto"/>
                <w:sz w:val="24"/>
                <w:szCs w:val="24"/>
                <w:u w:val="none" w:color="auto"/>
              </w:rPr>
              <w:t xml:space="preserve">根据《环境评价技术导则  </w:t>
            </w:r>
            <w:r>
              <w:rPr>
                <w:rFonts w:hint="eastAsia" w:cs="Times New Roman"/>
                <w:b w:val="0"/>
                <w:bCs w:val="0"/>
                <w:color w:val="auto"/>
                <w:sz w:val="24"/>
                <w:szCs w:val="24"/>
                <w:u w:val="none" w:color="auto"/>
                <w:lang w:eastAsia="zh-CN"/>
              </w:rPr>
              <w:t>地表水</w:t>
            </w:r>
            <w:r>
              <w:rPr>
                <w:rFonts w:hint="default" w:ascii="Times New Roman" w:hAnsi="Times New Roman" w:cs="Times New Roman"/>
                <w:b w:val="0"/>
                <w:bCs w:val="0"/>
                <w:color w:val="auto"/>
                <w:sz w:val="24"/>
                <w:szCs w:val="24"/>
                <w:u w:val="none" w:color="auto"/>
              </w:rPr>
              <w:t>环境》</w:t>
            </w:r>
            <w:r>
              <w:rPr>
                <w:rFonts w:hint="default" w:ascii="Times New Roman" w:hAnsi="Times New Roman" w:cs="Times New Roman"/>
                <w:b w:val="0"/>
                <w:bCs w:val="0"/>
                <w:color w:val="auto"/>
                <w:sz w:val="24"/>
                <w:szCs w:val="24"/>
                <w:highlight w:val="none"/>
                <w:u w:val="none" w:color="auto"/>
              </w:rPr>
              <w:t>（HJ2.</w:t>
            </w:r>
            <w:r>
              <w:rPr>
                <w:rFonts w:hint="eastAsia" w:cs="Times New Roman"/>
                <w:b w:val="0"/>
                <w:bCs w:val="0"/>
                <w:color w:val="auto"/>
                <w:sz w:val="24"/>
                <w:szCs w:val="24"/>
                <w:highlight w:val="none"/>
                <w:u w:val="none" w:color="auto"/>
                <w:lang w:val="en-US" w:eastAsia="zh-CN"/>
              </w:rPr>
              <w:t>3</w:t>
            </w:r>
            <w:r>
              <w:rPr>
                <w:rFonts w:hint="default" w:ascii="Times New Roman" w:hAnsi="Times New Roman" w:cs="Times New Roman"/>
                <w:b w:val="0"/>
                <w:bCs w:val="0"/>
                <w:color w:val="auto"/>
                <w:sz w:val="24"/>
                <w:szCs w:val="24"/>
                <w:highlight w:val="none"/>
                <w:u w:val="none" w:color="auto"/>
              </w:rPr>
              <w:t>-20</w:t>
            </w:r>
            <w:r>
              <w:rPr>
                <w:rFonts w:hint="default" w:ascii="Times New Roman" w:hAnsi="Times New Roman" w:cs="Times New Roman"/>
                <w:b w:val="0"/>
                <w:bCs w:val="0"/>
                <w:color w:val="auto"/>
                <w:sz w:val="24"/>
                <w:szCs w:val="24"/>
                <w:highlight w:val="none"/>
                <w:u w:val="none" w:color="auto"/>
                <w:lang w:val="en-US" w:eastAsia="zh-CN"/>
              </w:rPr>
              <w:t>1</w:t>
            </w:r>
            <w:r>
              <w:rPr>
                <w:rFonts w:hint="default" w:ascii="Times New Roman" w:hAnsi="Times New Roman" w:cs="Times New Roman"/>
                <w:b w:val="0"/>
                <w:bCs w:val="0"/>
                <w:color w:val="auto"/>
                <w:sz w:val="24"/>
                <w:szCs w:val="24"/>
                <w:highlight w:val="none"/>
                <w:u w:val="none" w:color="auto"/>
              </w:rPr>
              <w:t>8）</w:t>
            </w:r>
            <w:r>
              <w:rPr>
                <w:rFonts w:hint="default" w:ascii="Times New Roman" w:hAnsi="Times New Roman" w:cs="Times New Roman"/>
                <w:b w:val="0"/>
                <w:bCs w:val="0"/>
                <w:color w:val="auto"/>
                <w:sz w:val="24"/>
                <w:szCs w:val="24"/>
                <w:highlight w:val="none"/>
                <w:u w:val="none" w:color="auto"/>
                <w:lang w:val="en-US" w:eastAsia="zh-CN"/>
              </w:rPr>
              <w:t>要求</w:t>
            </w:r>
            <w:r>
              <w:rPr>
                <w:rFonts w:hint="default" w:ascii="Times New Roman" w:hAnsi="Times New Roman" w:cs="Times New Roman"/>
                <w:b w:val="0"/>
                <w:bCs w:val="0"/>
                <w:color w:val="auto"/>
                <w:sz w:val="24"/>
                <w:szCs w:val="24"/>
                <w:highlight w:val="none"/>
                <w:u w:val="none" w:color="auto"/>
                <w:lang w:eastAsia="zh-CN"/>
              </w:rPr>
              <w:t>，</w:t>
            </w:r>
            <w:r>
              <w:rPr>
                <w:rFonts w:hint="eastAsia" w:cs="Times New Roman"/>
                <w:b w:val="0"/>
                <w:bCs w:val="0"/>
                <w:color w:val="auto"/>
                <w:sz w:val="24"/>
                <w:szCs w:val="24"/>
                <w:u w:val="none" w:color="auto"/>
                <w:lang w:val="en-US" w:eastAsia="zh-CN"/>
              </w:rPr>
              <w:t>水</w:t>
            </w:r>
            <w:r>
              <w:rPr>
                <w:rFonts w:hint="default" w:ascii="Times New Roman" w:hAnsi="Times New Roman" w:cs="Times New Roman"/>
                <w:b w:val="0"/>
                <w:bCs w:val="0"/>
                <w:color w:val="auto"/>
                <w:sz w:val="24"/>
                <w:szCs w:val="24"/>
                <w:u w:val="none" w:color="auto"/>
                <w:lang w:val="en-US" w:eastAsia="zh-CN"/>
              </w:rPr>
              <w:t>污染物排放核算表见下表：</w:t>
            </w:r>
          </w:p>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 xml:space="preserve">7-19 </w:t>
            </w:r>
            <w:r>
              <w:rPr>
                <w:rFonts w:hint="eastAsia" w:cs="Times New Roman"/>
                <w:color w:val="auto"/>
                <w:sz w:val="24"/>
                <w:szCs w:val="32"/>
                <w:u w:val="none" w:color="auto"/>
                <w:lang w:eastAsia="zh-CN"/>
              </w:rPr>
              <w:t>废水类别、污染物及污染治理设施信息表</w:t>
            </w:r>
          </w:p>
          <w:tbl>
            <w:tblPr>
              <w:tblStyle w:val="40"/>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23"/>
              <w:gridCol w:w="823"/>
              <w:gridCol w:w="824"/>
              <w:gridCol w:w="824"/>
              <w:gridCol w:w="825"/>
              <w:gridCol w:w="824"/>
              <w:gridCol w:w="824"/>
              <w:gridCol w:w="824"/>
              <w:gridCol w:w="824"/>
              <w:gridCol w:w="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82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序号</w:t>
                  </w:r>
                </w:p>
              </w:tc>
              <w:tc>
                <w:tcPr>
                  <w:tcW w:w="82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废水类别</w:t>
                  </w:r>
                </w:p>
              </w:tc>
              <w:tc>
                <w:tcPr>
                  <w:tcW w:w="82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污染物种类</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排放去向</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排放规律</w:t>
                  </w:r>
                </w:p>
              </w:tc>
              <w:tc>
                <w:tcPr>
                  <w:tcW w:w="2473" w:type="dxa"/>
                  <w:gridSpan w:val="3"/>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排放口编号</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排放口设置是否符合要求</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82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5"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污染治理设施编号</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污染治理设施名称</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污染治理设施工艺</w:t>
                  </w: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生活废水</w:t>
                  </w:r>
                </w:p>
              </w:tc>
              <w:tc>
                <w:tcPr>
                  <w:tcW w:w="82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both"/>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化学需氧量；氨氮</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洋沙河</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间断排放</w:t>
                  </w:r>
                </w:p>
              </w:tc>
              <w:tc>
                <w:tcPr>
                  <w:tcW w:w="825"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01</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化粪池</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sz w:val="22"/>
                      <w:szCs w:val="22"/>
                      <w:u w:val="none" w:color="auto"/>
                      <w:vertAlign w:val="baseline"/>
                      <w:lang w:eastAsia="zh-CN"/>
                    </w:rPr>
                  </w:pPr>
                  <w:r>
                    <w:rPr>
                      <w:rFonts w:hint="eastAsia"/>
                      <w:color w:val="auto"/>
                      <w:sz w:val="22"/>
                      <w:szCs w:val="22"/>
                      <w:u w:val="none" w:color="auto"/>
                      <w:vertAlign w:val="baseline"/>
                      <w:lang w:eastAsia="zh-CN"/>
                    </w:rPr>
                    <w:t>化粪</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符合</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企业总排</w:t>
                  </w:r>
                </w:p>
              </w:tc>
            </w:tr>
          </w:tbl>
          <w:p>
            <w:pPr>
              <w:pStyle w:val="38"/>
              <w:jc w:val="center"/>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7-20 </w:t>
            </w:r>
            <w:r>
              <w:rPr>
                <w:rFonts w:hint="eastAsia"/>
                <w:color w:val="auto"/>
                <w:sz w:val="24"/>
                <w:szCs w:val="32"/>
                <w:u w:val="none" w:color="auto"/>
                <w:lang w:eastAsia="zh-CN"/>
              </w:rPr>
              <w:t>废水直接排放口基本情况表</w:t>
            </w:r>
          </w:p>
          <w:tbl>
            <w:tblPr>
              <w:tblStyle w:val="40"/>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6"/>
              <w:gridCol w:w="824"/>
              <w:gridCol w:w="1253"/>
              <w:gridCol w:w="1151"/>
              <w:gridCol w:w="967"/>
              <w:gridCol w:w="632"/>
              <w:gridCol w:w="618"/>
              <w:gridCol w:w="452"/>
              <w:gridCol w:w="717"/>
              <w:gridCol w:w="868"/>
              <w:gridCol w:w="11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3" w:hRule="atLeast"/>
              </w:trPr>
              <w:tc>
                <w:tcPr>
                  <w:tcW w:w="446"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序号</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排放口编号</w:t>
                  </w:r>
                </w:p>
              </w:tc>
              <w:tc>
                <w:tcPr>
                  <w:tcW w:w="2404" w:type="dxa"/>
                  <w:gridSpan w:val="2"/>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排放口地理坐标</w:t>
                  </w:r>
                </w:p>
              </w:tc>
              <w:tc>
                <w:tcPr>
                  <w:tcW w:w="967"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废水排放量</w:t>
                  </w:r>
                  <w:r>
                    <w:rPr>
                      <w:rFonts w:hint="eastAsia"/>
                      <w:color w:val="auto"/>
                      <w:sz w:val="22"/>
                      <w:szCs w:val="22"/>
                      <w:u w:val="none" w:color="auto"/>
                      <w:vertAlign w:val="baseline"/>
                      <w:lang w:val="en-US" w:eastAsia="zh-CN"/>
                    </w:rPr>
                    <w:t>/（万t/a）</w:t>
                  </w:r>
                </w:p>
              </w:tc>
              <w:tc>
                <w:tcPr>
                  <w:tcW w:w="63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排放去向</w:t>
                  </w:r>
                </w:p>
              </w:tc>
              <w:tc>
                <w:tcPr>
                  <w:tcW w:w="61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排放规律</w:t>
                  </w:r>
                </w:p>
              </w:tc>
              <w:tc>
                <w:tcPr>
                  <w:tcW w:w="45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间歇排放时段</w:t>
                  </w:r>
                </w:p>
              </w:tc>
              <w:tc>
                <w:tcPr>
                  <w:tcW w:w="2729" w:type="dxa"/>
                  <w:gridSpan w:val="3"/>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汇入受纳自然水体处地理坐标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446"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125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经度</w:t>
                  </w:r>
                </w:p>
              </w:tc>
              <w:tc>
                <w:tcPr>
                  <w:tcW w:w="1151"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维度</w:t>
                  </w:r>
                </w:p>
              </w:tc>
              <w:tc>
                <w:tcPr>
                  <w:tcW w:w="967"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3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1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45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717"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名称</w:t>
                  </w:r>
                </w:p>
              </w:tc>
              <w:tc>
                <w:tcPr>
                  <w:tcW w:w="868"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污染物</w:t>
                  </w:r>
                </w:p>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种类</w:t>
                  </w:r>
                </w:p>
              </w:tc>
              <w:tc>
                <w:tcPr>
                  <w:tcW w:w="114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国家或地方污染物排放标准浓度限值</w:t>
                  </w:r>
                  <w:r>
                    <w:rPr>
                      <w:rFonts w:hint="eastAsia"/>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446"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125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112.937629</w:t>
                  </w:r>
                </w:p>
              </w:tc>
              <w:tc>
                <w:tcPr>
                  <w:tcW w:w="1151"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28.529785</w:t>
                  </w:r>
                </w:p>
              </w:tc>
              <w:tc>
                <w:tcPr>
                  <w:tcW w:w="967"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0.06</w:t>
                  </w:r>
                </w:p>
              </w:tc>
              <w:tc>
                <w:tcPr>
                  <w:tcW w:w="63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外排</w:t>
                  </w:r>
                </w:p>
              </w:tc>
              <w:tc>
                <w:tcPr>
                  <w:tcW w:w="61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间接排放</w:t>
                  </w:r>
                </w:p>
              </w:tc>
              <w:tc>
                <w:tcPr>
                  <w:tcW w:w="45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w:t>
                  </w:r>
                </w:p>
              </w:tc>
              <w:tc>
                <w:tcPr>
                  <w:tcW w:w="717"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湘阴县第三污水处理厂</w:t>
                  </w:r>
                </w:p>
              </w:tc>
              <w:tc>
                <w:tcPr>
                  <w:tcW w:w="868"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化学需</w:t>
                  </w:r>
                </w:p>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2"/>
                      <w:szCs w:val="22"/>
                      <w:u w:val="none" w:color="auto"/>
                      <w:vertAlign w:val="baseline"/>
                      <w:lang w:val="en-US" w:eastAsia="zh-CN" w:bidi="ar-SA"/>
                    </w:rPr>
                  </w:pPr>
                  <w:r>
                    <w:rPr>
                      <w:rFonts w:hint="eastAsia"/>
                      <w:color w:val="auto"/>
                      <w:sz w:val="22"/>
                      <w:szCs w:val="22"/>
                      <w:u w:val="none" w:color="auto"/>
                      <w:vertAlign w:val="baseline"/>
                      <w:lang w:eastAsia="zh-CN"/>
                    </w:rPr>
                    <w:t>氧量</w:t>
                  </w:r>
                </w:p>
              </w:tc>
              <w:tc>
                <w:tcPr>
                  <w:tcW w:w="114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446"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125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1151"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967"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63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61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45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717"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868"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氨氮</w:t>
                  </w:r>
                </w:p>
              </w:tc>
              <w:tc>
                <w:tcPr>
                  <w:tcW w:w="114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8</w:t>
                  </w:r>
                </w:p>
              </w:tc>
            </w:tr>
          </w:tbl>
          <w:p>
            <w:pPr>
              <w:pStyle w:val="38"/>
              <w:ind w:firstLine="3003" w:firstLineChars="1300"/>
              <w:jc w:val="both"/>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7-21 </w:t>
            </w:r>
            <w:r>
              <w:rPr>
                <w:rFonts w:hint="eastAsia"/>
                <w:color w:val="auto"/>
                <w:sz w:val="24"/>
                <w:szCs w:val="32"/>
                <w:u w:val="none" w:color="auto"/>
                <w:lang w:eastAsia="zh-CN"/>
              </w:rPr>
              <w:t>废水污染物排放执行标准表</w:t>
            </w:r>
          </w:p>
          <w:tbl>
            <w:tblPr>
              <w:tblStyle w:val="40"/>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568"/>
              <w:gridCol w:w="1282"/>
              <w:gridCol w:w="2686"/>
              <w:gridCol w:w="2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73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156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28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5490" w:type="dxa"/>
                  <w:gridSpan w:val="2"/>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73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56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686"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名称</w:t>
                  </w:r>
                </w:p>
              </w:tc>
              <w:tc>
                <w:tcPr>
                  <w:tcW w:w="280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eastAsia="zh-CN"/>
                    </w:rPr>
                    <w:t>浓度限值</w:t>
                  </w:r>
                  <w:r>
                    <w:rPr>
                      <w:rFonts w:hint="default" w:ascii="Times New Roman" w:hAnsi="Times New Roman" w:cs="Times New Roman"/>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73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156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28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w:t>
                  </w:r>
                </w:p>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氧量</w:t>
                  </w:r>
                </w:p>
              </w:tc>
              <w:tc>
                <w:tcPr>
                  <w:tcW w:w="2686"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szCs w:val="21"/>
                      <w:u w:val="none" w:color="auto"/>
                    </w:rPr>
                    <w:t>《城镇污水处理厂污染物排放标准（GB18918—2002）》中一级标准的A类标准</w:t>
                  </w:r>
                </w:p>
              </w:tc>
              <w:tc>
                <w:tcPr>
                  <w:tcW w:w="280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73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156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686"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80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r>
          </w:tbl>
          <w:p>
            <w:pPr>
              <w:jc w:val="center"/>
              <w:rPr>
                <w:rFonts w:hint="eastAsia" w:cs="Times New Roman"/>
                <w:color w:val="auto"/>
                <w:sz w:val="24"/>
                <w:szCs w:val="32"/>
                <w:u w:val="none" w:color="auto"/>
                <w:lang w:eastAsia="zh-CN"/>
              </w:rPr>
            </w:pPr>
          </w:p>
          <w:p>
            <w:pPr>
              <w:jc w:val="center"/>
              <w:rPr>
                <w:rFonts w:hint="eastAsia" w:cs="Times New Roman"/>
                <w:color w:val="auto"/>
                <w:sz w:val="24"/>
                <w:szCs w:val="32"/>
                <w:u w:val="none" w:color="auto"/>
                <w:lang w:eastAsia="zh-CN"/>
              </w:rPr>
            </w:pPr>
          </w:p>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7-22</w:t>
            </w:r>
            <w:r>
              <w:rPr>
                <w:rFonts w:hint="default" w:ascii="Times New Roman" w:hAnsi="Times New Roman" w:cs="Times New Roman"/>
                <w:color w:val="auto"/>
                <w:sz w:val="24"/>
                <w:szCs w:val="32"/>
                <w:u w:val="none" w:color="auto"/>
                <w:lang w:eastAsia="zh-CN"/>
              </w:rPr>
              <w:t>废水污染物排放信息表</w:t>
            </w:r>
          </w:p>
          <w:tbl>
            <w:tblPr>
              <w:tblStyle w:val="40"/>
              <w:tblW w:w="907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74"/>
              <w:gridCol w:w="1549"/>
              <w:gridCol w:w="1549"/>
              <w:gridCol w:w="1550"/>
              <w:gridCol w:w="22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15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排放浓度（</w:t>
                  </w:r>
                  <w:r>
                    <w:rPr>
                      <w:rFonts w:hint="default" w:ascii="Times New Roman" w:hAnsi="Times New Roman" w:cs="Times New Roman"/>
                      <w:color w:val="auto"/>
                      <w:sz w:val="22"/>
                      <w:szCs w:val="22"/>
                      <w:u w:val="none" w:color="auto"/>
                      <w:vertAlign w:val="baseline"/>
                      <w:lang w:val="en-US" w:eastAsia="zh-CN"/>
                    </w:rPr>
                    <w:t>mg/L</w:t>
                  </w:r>
                  <w:r>
                    <w:rPr>
                      <w:rFonts w:hint="default" w:ascii="Times New Roman" w:hAnsi="Times New Roman" w:cs="Times New Roman"/>
                      <w:color w:val="auto"/>
                      <w:sz w:val="22"/>
                      <w:szCs w:val="22"/>
                      <w:u w:val="none" w:color="auto"/>
                      <w:vertAlign w:val="baseline"/>
                      <w:lang w:eastAsia="zh-CN"/>
                    </w:rPr>
                    <w:t>）</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年排放量（</w:t>
                  </w:r>
                  <w:r>
                    <w:rPr>
                      <w:rFonts w:hint="default" w:ascii="Times New Roman" w:hAnsi="Times New Roman" w:cs="Times New Roman"/>
                      <w:color w:val="auto"/>
                      <w:sz w:val="22"/>
                      <w:szCs w:val="22"/>
                      <w:u w:val="none" w:color="auto"/>
                      <w:vertAlign w:val="baseline"/>
                      <w:lang w:val="en-US" w:eastAsia="zh-CN"/>
                    </w:rPr>
                    <w:t>t/a</w:t>
                  </w:r>
                  <w:r>
                    <w:rPr>
                      <w:rFonts w:hint="default" w:ascii="Times New Roman" w:hAnsi="Times New Roman" w:cs="Times New Roman"/>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1" w:hRule="atLeast"/>
              </w:trPr>
              <w:tc>
                <w:tcPr>
                  <w:tcW w:w="21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15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1" w:hRule="atLeast"/>
              </w:trPr>
              <w:tc>
                <w:tcPr>
                  <w:tcW w:w="21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w:t>
                  </w:r>
                  <w:r>
                    <w:rPr>
                      <w:rFonts w:hint="eastAsia" w:cs="Times New Roman"/>
                      <w:color w:val="auto"/>
                      <w:sz w:val="22"/>
                      <w:szCs w:val="22"/>
                      <w:u w:val="none" w:color="auto"/>
                      <w:vertAlign w:val="baseline"/>
                      <w:lang w:val="en-US" w:eastAsia="zh-CN"/>
                    </w:rPr>
                    <w:t>1</w:t>
                  </w:r>
                </w:p>
              </w:tc>
              <w:tc>
                <w:tcPr>
                  <w:tcW w:w="15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15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2174"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全厂排放口合计</w:t>
                  </w:r>
                </w:p>
              </w:tc>
              <w:tc>
                <w:tcPr>
                  <w:tcW w:w="4648"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4"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p>
              </w:tc>
              <w:tc>
                <w:tcPr>
                  <w:tcW w:w="4648"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2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0.048</w:t>
                  </w:r>
                </w:p>
              </w:tc>
            </w:tr>
          </w:tbl>
          <w:p>
            <w:pPr>
              <w:pStyle w:val="33"/>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3、声环境影响分析</w:t>
            </w:r>
          </w:p>
          <w:p>
            <w:pPr>
              <w:spacing w:line="360" w:lineRule="auto"/>
              <w:ind w:firstLine="478" w:firstLineChars="200"/>
              <w:rPr>
                <w:rFonts w:hint="default" w:ascii="Times New Roman" w:hAnsi="Times New Roman" w:cs="Times New Roman"/>
                <w:color w:val="auto"/>
                <w:spacing w:val="4"/>
                <w:sz w:val="24"/>
                <w:u w:val="none" w:color="auto"/>
              </w:rPr>
            </w:pPr>
            <w:r>
              <w:rPr>
                <w:rFonts w:hint="default" w:ascii="Times New Roman" w:hAnsi="Times New Roman" w:cs="Times New Roman"/>
                <w:color w:val="auto"/>
                <w:spacing w:val="4"/>
                <w:sz w:val="24"/>
                <w:u w:val="none" w:color="auto"/>
              </w:rPr>
              <w:t>本项目主要噪声污染源为</w:t>
            </w:r>
            <w:r>
              <w:rPr>
                <w:rFonts w:hint="eastAsia" w:cs="Times New Roman"/>
                <w:color w:val="auto"/>
                <w:spacing w:val="4"/>
                <w:sz w:val="24"/>
                <w:u w:val="none" w:color="auto"/>
                <w:lang w:eastAsia="zh-CN"/>
              </w:rPr>
              <w:t>生产</w:t>
            </w:r>
            <w:r>
              <w:rPr>
                <w:rFonts w:hint="default" w:ascii="Times New Roman" w:hAnsi="Times New Roman" w:cs="Times New Roman"/>
                <w:color w:val="auto"/>
                <w:spacing w:val="4"/>
                <w:sz w:val="24"/>
                <w:u w:val="none" w:color="auto"/>
              </w:rPr>
              <w:t>设备运行时产生的机械噪声，声压级为65～</w:t>
            </w:r>
            <w:r>
              <w:rPr>
                <w:rFonts w:hint="default" w:ascii="Times New Roman" w:hAnsi="Times New Roman" w:cs="Times New Roman"/>
                <w:color w:val="auto"/>
                <w:spacing w:val="4"/>
                <w:sz w:val="24"/>
                <w:u w:val="none" w:color="auto"/>
                <w:lang w:val="en-US" w:eastAsia="zh-CN"/>
              </w:rPr>
              <w:t>9</w:t>
            </w:r>
            <w:r>
              <w:rPr>
                <w:rFonts w:hint="default" w:ascii="Times New Roman" w:hAnsi="Times New Roman" w:cs="Times New Roman"/>
                <w:color w:val="auto"/>
                <w:spacing w:val="4"/>
                <w:sz w:val="24"/>
                <w:u w:val="none" w:color="auto"/>
              </w:rPr>
              <w:t>0dB（A）。各类设备均安装在厂房内，</w:t>
            </w:r>
            <w:r>
              <w:rPr>
                <w:rFonts w:hint="default" w:ascii="Times New Roman" w:hAnsi="Times New Roman" w:cs="Times New Roman"/>
                <w:color w:val="auto"/>
                <w:spacing w:val="4"/>
                <w:sz w:val="24"/>
                <w:u w:val="none" w:color="auto"/>
                <w:lang w:val="en-US" w:eastAsia="zh-CN"/>
              </w:rPr>
              <w:t>夜间不生产，</w:t>
            </w:r>
            <w:r>
              <w:rPr>
                <w:rFonts w:hint="default" w:ascii="Times New Roman" w:hAnsi="Times New Roman" w:cs="Times New Roman"/>
                <w:color w:val="auto"/>
                <w:spacing w:val="4"/>
                <w:sz w:val="24"/>
                <w:u w:val="none" w:color="auto"/>
              </w:rPr>
              <w:t>在采取</w:t>
            </w:r>
            <w:r>
              <w:rPr>
                <w:rFonts w:hint="default" w:ascii="Times New Roman" w:hAnsi="Times New Roman" w:cs="Times New Roman"/>
                <w:bCs/>
                <w:color w:val="auto"/>
                <w:sz w:val="24"/>
                <w:u w:val="none" w:color="auto"/>
              </w:rPr>
              <w:t>基础减震、厂房隔声措施，并通</w:t>
            </w:r>
            <w:r>
              <w:rPr>
                <w:rFonts w:hint="default" w:ascii="Times New Roman" w:hAnsi="Times New Roman" w:cs="Times New Roman"/>
                <w:color w:val="auto"/>
                <w:sz w:val="24"/>
                <w:u w:val="none" w:color="auto"/>
              </w:rPr>
              <w:t>厂界</w:t>
            </w:r>
            <w:r>
              <w:rPr>
                <w:rFonts w:hint="default" w:ascii="Times New Roman" w:hAnsi="Times New Roman" w:cs="Times New Roman"/>
                <w:bCs/>
                <w:color w:val="auto"/>
                <w:sz w:val="24"/>
                <w:u w:val="none" w:color="auto"/>
              </w:rPr>
              <w:t>距离衰减</w:t>
            </w:r>
            <w:r>
              <w:rPr>
                <w:rFonts w:hint="default" w:ascii="Times New Roman" w:hAnsi="Times New Roman" w:cs="Times New Roman"/>
                <w:color w:val="auto"/>
                <w:spacing w:val="4"/>
                <w:sz w:val="24"/>
                <w:u w:val="none" w:color="auto"/>
              </w:rPr>
              <w:t>。</w:t>
            </w:r>
          </w:p>
          <w:p>
            <w:pPr>
              <w:snapToGrid w:val="0"/>
              <w:spacing w:line="520" w:lineRule="exact"/>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由于本项目属于新建，故本次声环境影响采用预测模式进行评价。项目生产设备噪声和辅助设备噪声为连续噪声。环评采用点声源衰减公式进行预测： </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L=L0-20lgr/r0—△L</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式中：L——预测点噪声值，dB(A)；</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L0——距声源距离r。处的噪声值；</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r——预测点与声源间的距离，m；</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r0——噪声值为L。处于声源之间的距离；</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△L——墙体隔音衰减因素，生产车间墙体为轻钢结构，取10dB(A)。</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噪声值叠加计算公式：</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drawing>
                <wp:anchor distT="0" distB="0" distL="114300" distR="114300" simplePos="0" relativeHeight="3485563904" behindDoc="0" locked="0" layoutInCell="1" allowOverlap="1">
                  <wp:simplePos x="0" y="0"/>
                  <wp:positionH relativeFrom="column">
                    <wp:posOffset>1861185</wp:posOffset>
                  </wp:positionH>
                  <wp:positionV relativeFrom="paragraph">
                    <wp:posOffset>13335</wp:posOffset>
                  </wp:positionV>
                  <wp:extent cx="2114550" cy="619125"/>
                  <wp:effectExtent l="0" t="0" r="0" b="9525"/>
                  <wp:wrapSquare wrapText="bothSides"/>
                  <wp:docPr id="106"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1"/>
                          <pic:cNvPicPr>
                            <a:picLocks noChangeAspect="1"/>
                          </pic:cNvPicPr>
                        </pic:nvPicPr>
                        <pic:blipFill>
                          <a:blip r:embed="rId17"/>
                          <a:stretch>
                            <a:fillRect/>
                          </a:stretch>
                        </pic:blipFill>
                        <pic:spPr>
                          <a:xfrm>
                            <a:off x="0" y="0"/>
                            <a:ext cx="2114550" cy="619125"/>
                          </a:xfrm>
                          <a:prstGeom prst="rect">
                            <a:avLst/>
                          </a:prstGeom>
                          <a:noFill/>
                          <a:ln>
                            <a:noFill/>
                          </a:ln>
                        </pic:spPr>
                      </pic:pic>
                    </a:graphicData>
                  </a:graphic>
                </wp:anchor>
              </w:drawing>
            </w:r>
          </w:p>
          <w:p>
            <w:pPr>
              <w:snapToGrid w:val="0"/>
              <w:spacing w:line="520" w:lineRule="exact"/>
              <w:jc w:val="center"/>
              <w:rPr>
                <w:rFonts w:hint="default" w:ascii="Times New Roman" w:hAnsi="Times New Roman" w:cs="Times New Roman"/>
                <w:color w:val="auto"/>
                <w:sz w:val="24"/>
                <w:u w:val="none" w:color="auto"/>
              </w:rPr>
            </w:pPr>
          </w:p>
          <w:p>
            <w:pPr>
              <w:snapToGrid w:val="0"/>
              <w:spacing w:line="360" w:lineRule="auto"/>
              <w:jc w:val="center"/>
              <w:rPr>
                <w:rFonts w:hint="default" w:ascii="Times New Roman" w:hAnsi="Times New Roman" w:cs="Times New Roman"/>
                <w:b/>
                <w:bCs/>
                <w:color w:val="auto"/>
                <w:sz w:val="24"/>
                <w:u w:val="none" w:color="auto"/>
              </w:rPr>
            </w:pPr>
            <w:r>
              <w:rPr>
                <w:rFonts w:hint="default" w:ascii="Times New Roman" w:hAnsi="Times New Roman" w:cs="Times New Roman"/>
                <w:color w:val="auto"/>
                <w:sz w:val="24"/>
                <w:u w:val="none" w:color="auto"/>
              </w:rPr>
              <w:t>计算得 Lr=83.55 dB（A），设备运转噪声随距离衰减后的值见表7-</w:t>
            </w:r>
            <w:r>
              <w:rPr>
                <w:rFonts w:hint="default" w:ascii="Times New Roman" w:hAnsi="Times New Roman" w:cs="Times New Roman"/>
                <w:color w:val="auto"/>
                <w:sz w:val="24"/>
                <w:u w:val="none" w:color="auto"/>
                <w:lang w:val="en-US" w:eastAsia="zh-CN"/>
              </w:rPr>
              <w:t>1</w:t>
            </w:r>
            <w:r>
              <w:rPr>
                <w:rFonts w:hint="eastAsia" w:cs="Times New Roman"/>
                <w:color w:val="auto"/>
                <w:sz w:val="24"/>
                <w:u w:val="none" w:color="auto"/>
                <w:lang w:val="en-US" w:eastAsia="zh-CN"/>
              </w:rPr>
              <w:t>7</w:t>
            </w:r>
            <w:r>
              <w:rPr>
                <w:rFonts w:hint="default" w:ascii="Times New Roman" w:hAnsi="Times New Roman" w:cs="Times New Roman"/>
                <w:color w:val="auto"/>
                <w:sz w:val="24"/>
                <w:u w:val="none" w:color="auto"/>
              </w:rPr>
              <w:t>。</w:t>
            </w:r>
          </w:p>
          <w:p>
            <w:pPr>
              <w:spacing w:line="360" w:lineRule="auto"/>
              <w:ind w:firstLine="482" w:firstLineChars="200"/>
              <w:rPr>
                <w:rFonts w:hint="eastAsia" w:hAnsi="宋体"/>
                <w:color w:val="auto"/>
                <w:spacing w:val="5"/>
                <w:sz w:val="24"/>
                <w:u w:val="none" w:color="auto"/>
              </w:rPr>
            </w:pPr>
            <w:r>
              <w:rPr>
                <w:rFonts w:hint="eastAsia" w:hAnsi="宋体"/>
                <w:color w:val="auto"/>
                <w:spacing w:val="5"/>
                <w:sz w:val="24"/>
                <w:u w:val="none" w:color="auto"/>
              </w:rPr>
              <w:t>项目高噪声设备所在车间距离东厂界、南厂界、西厂界、北厂界的距离分别约为7m、</w:t>
            </w:r>
            <w:r>
              <w:rPr>
                <w:rFonts w:hint="eastAsia" w:hAnsi="宋体"/>
                <w:color w:val="auto"/>
                <w:spacing w:val="5"/>
                <w:sz w:val="24"/>
                <w:u w:val="none" w:color="auto"/>
                <w:lang w:val="en-US" w:eastAsia="zh-CN"/>
              </w:rPr>
              <w:t>28</w:t>
            </w:r>
            <w:r>
              <w:rPr>
                <w:rFonts w:hint="eastAsia" w:hAnsi="宋体"/>
                <w:color w:val="auto"/>
                <w:spacing w:val="5"/>
                <w:sz w:val="24"/>
                <w:u w:val="none" w:color="auto"/>
              </w:rPr>
              <w:t>m、</w:t>
            </w:r>
            <w:r>
              <w:rPr>
                <w:rFonts w:hint="eastAsia" w:hAnsi="宋体"/>
                <w:color w:val="auto"/>
                <w:spacing w:val="5"/>
                <w:sz w:val="24"/>
                <w:u w:val="none" w:color="auto"/>
                <w:lang w:val="en-US" w:eastAsia="zh-CN"/>
              </w:rPr>
              <w:t>23</w:t>
            </w:r>
            <w:r>
              <w:rPr>
                <w:rFonts w:hint="eastAsia" w:hAnsi="宋体"/>
                <w:color w:val="auto"/>
                <w:spacing w:val="5"/>
                <w:sz w:val="24"/>
                <w:u w:val="none" w:color="auto"/>
              </w:rPr>
              <w:t>m、</w:t>
            </w:r>
            <w:r>
              <w:rPr>
                <w:rFonts w:hint="eastAsia" w:hAnsi="宋体"/>
                <w:color w:val="auto"/>
                <w:spacing w:val="5"/>
                <w:sz w:val="24"/>
                <w:u w:val="none" w:color="auto"/>
                <w:lang w:val="en-US" w:eastAsia="zh-CN"/>
              </w:rPr>
              <w:t>35</w:t>
            </w:r>
            <w:r>
              <w:rPr>
                <w:rFonts w:hint="eastAsia" w:hAnsi="宋体"/>
                <w:color w:val="auto"/>
                <w:spacing w:val="5"/>
                <w:sz w:val="24"/>
                <w:u w:val="none" w:color="auto"/>
              </w:rPr>
              <w:t>m。</w:t>
            </w:r>
          </w:p>
          <w:p>
            <w:pPr>
              <w:spacing w:line="360" w:lineRule="auto"/>
              <w:ind w:firstLine="462" w:firstLineChars="200"/>
              <w:rPr>
                <w:rFonts w:hint="eastAsia" w:hAnsi="宋体"/>
                <w:color w:val="auto"/>
                <w:spacing w:val="5"/>
                <w:sz w:val="24"/>
                <w:u w:val="none" w:color="auto"/>
              </w:rPr>
            </w:pPr>
            <w:r>
              <w:rPr>
                <w:rFonts w:hAnsi="宋体"/>
                <w:color w:val="auto"/>
                <w:sz w:val="24"/>
                <w:u w:val="none" w:color="auto"/>
              </w:rPr>
              <w:t>根据以上预测模式计算，</w:t>
            </w:r>
            <w:r>
              <w:rPr>
                <w:rFonts w:hint="eastAsia" w:hAnsi="宋体"/>
                <w:color w:val="auto"/>
                <w:sz w:val="24"/>
                <w:u w:val="none" w:color="auto"/>
              </w:rPr>
              <w:t>项目各预测点噪声贡献值与现状噪声叠加后噪声见下表。</w:t>
            </w:r>
          </w:p>
          <w:p>
            <w:pPr>
              <w:spacing w:line="360" w:lineRule="auto"/>
              <w:jc w:val="center"/>
              <w:rPr>
                <w:rFonts w:hint="eastAsia" w:hAnsi="宋体"/>
                <w:b/>
                <w:color w:val="auto"/>
                <w:sz w:val="24"/>
                <w:u w:val="none" w:color="auto"/>
              </w:rPr>
            </w:pPr>
          </w:p>
          <w:p>
            <w:pPr>
              <w:spacing w:line="360" w:lineRule="auto"/>
              <w:jc w:val="center"/>
              <w:rPr>
                <w:rFonts w:hint="eastAsia" w:hAnsi="宋体"/>
                <w:b/>
                <w:color w:val="auto"/>
                <w:sz w:val="24"/>
                <w:u w:val="none" w:color="auto"/>
              </w:rPr>
            </w:pPr>
            <w:r>
              <w:rPr>
                <w:rFonts w:hint="eastAsia" w:hAnsi="宋体"/>
                <w:b/>
                <w:color w:val="auto"/>
                <w:sz w:val="24"/>
                <w:u w:val="none" w:color="auto"/>
              </w:rPr>
              <w:t>表7-</w:t>
            </w:r>
            <w:r>
              <w:rPr>
                <w:rFonts w:hint="eastAsia" w:hAnsi="宋体"/>
                <w:b/>
                <w:color w:val="auto"/>
                <w:sz w:val="24"/>
                <w:u w:val="none" w:color="auto"/>
                <w:lang w:val="en-US" w:eastAsia="zh-CN"/>
              </w:rPr>
              <w:t>23</w:t>
            </w:r>
            <w:r>
              <w:rPr>
                <w:rFonts w:hint="eastAsia" w:hAnsi="宋体"/>
                <w:b/>
                <w:color w:val="auto"/>
                <w:sz w:val="24"/>
                <w:u w:val="none" w:color="auto"/>
              </w:rPr>
              <w:t xml:space="preserve"> 项目厂界噪声预测值  单位：</w:t>
            </w:r>
            <w:r>
              <w:rPr>
                <w:b/>
                <w:color w:val="auto"/>
                <w:sz w:val="24"/>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p>
          <w:tbl>
            <w:tblPr>
              <w:tblStyle w:val="39"/>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52"/>
              <w:gridCol w:w="936"/>
              <w:gridCol w:w="1688"/>
              <w:gridCol w:w="1137"/>
              <w:gridCol w:w="1137"/>
              <w:gridCol w:w="1135"/>
              <w:gridCol w:w="1137"/>
              <w:gridCol w:w="11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1" w:hRule="atLeast"/>
                <w:jc w:val="center"/>
              </w:trPr>
              <w:tc>
                <w:tcPr>
                  <w:tcW w:w="415" w:type="pct"/>
                  <w:vMerge w:val="restar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516" w:type="pct"/>
                  <w:vMerge w:val="restar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点位</w:t>
                  </w:r>
                </w:p>
              </w:tc>
              <w:tc>
                <w:tcPr>
                  <w:tcW w:w="931" w:type="pct"/>
                  <w:vMerge w:val="restar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预测点距本项目边界水平距离</w:t>
                  </w:r>
                </w:p>
              </w:tc>
              <w:tc>
                <w:tcPr>
                  <w:tcW w:w="1254" w:type="pct"/>
                  <w:gridSpan w:val="2"/>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背景值</w:t>
                  </w:r>
                </w:p>
              </w:tc>
              <w:tc>
                <w:tcPr>
                  <w:tcW w:w="626" w:type="pct"/>
                  <w:vMerge w:val="restar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贡献值</w:t>
                  </w:r>
                </w:p>
              </w:tc>
              <w:tc>
                <w:tcPr>
                  <w:tcW w:w="1254" w:type="pct"/>
                  <w:gridSpan w:val="2"/>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预测</w:t>
                  </w:r>
                  <w:r>
                    <w:rPr>
                      <w:rFonts w:hint="default" w:ascii="Times New Roman" w:hAnsi="Times New Roman" w:cs="Times New Roman"/>
                      <w:color w:val="auto"/>
                      <w:sz w:val="22"/>
                      <w:szCs w:val="22"/>
                      <w:u w:val="none" w:color="auto"/>
                    </w:rPr>
                    <w:t>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1" w:hRule="atLeast"/>
                <w:jc w:val="center"/>
              </w:trPr>
              <w:tc>
                <w:tcPr>
                  <w:tcW w:w="415" w:type="pct"/>
                  <w:vMerge w:val="continue"/>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p>
              </w:tc>
              <w:tc>
                <w:tcPr>
                  <w:tcW w:w="516" w:type="pct"/>
                  <w:vMerge w:val="continue"/>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p>
              </w:tc>
              <w:tc>
                <w:tcPr>
                  <w:tcW w:w="931" w:type="pct"/>
                  <w:vMerge w:val="continue"/>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夜间</w:t>
                  </w:r>
                </w:p>
              </w:tc>
              <w:tc>
                <w:tcPr>
                  <w:tcW w:w="626" w:type="pct"/>
                  <w:vMerge w:val="continue"/>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51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东场界</w:t>
                  </w:r>
                </w:p>
              </w:tc>
              <w:tc>
                <w:tcPr>
                  <w:tcW w:w="931"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7</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57.0</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40.1</w:t>
                  </w:r>
                </w:p>
              </w:tc>
              <w:tc>
                <w:tcPr>
                  <w:tcW w:w="62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60.0</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w:t>
                  </w:r>
                </w:p>
              </w:tc>
              <w:tc>
                <w:tcPr>
                  <w:tcW w:w="51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南场界</w:t>
                  </w:r>
                </w:p>
              </w:tc>
              <w:tc>
                <w:tcPr>
                  <w:tcW w:w="931"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28</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53.4</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41.4</w:t>
                  </w:r>
                </w:p>
              </w:tc>
              <w:tc>
                <w:tcPr>
                  <w:tcW w:w="62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56</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57.9</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3</w:t>
                  </w:r>
                </w:p>
              </w:tc>
              <w:tc>
                <w:tcPr>
                  <w:tcW w:w="51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西场界</w:t>
                  </w:r>
                </w:p>
              </w:tc>
              <w:tc>
                <w:tcPr>
                  <w:tcW w:w="931"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23</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50.8</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41.0</w:t>
                  </w:r>
                </w:p>
              </w:tc>
              <w:tc>
                <w:tcPr>
                  <w:tcW w:w="62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56</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w:t>
                  </w:r>
                  <w:r>
                    <w:rPr>
                      <w:rFonts w:hint="eastAsia" w:ascii="Times New Roman" w:hAnsi="Times New Roman" w:cs="Times New Roman"/>
                      <w:color w:val="auto"/>
                      <w:sz w:val="22"/>
                      <w:szCs w:val="22"/>
                      <w:u w:val="none" w:color="auto"/>
                      <w:lang w:val="en-US" w:eastAsia="zh-CN"/>
                    </w:rPr>
                    <w:t>2</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4</w:t>
                  </w:r>
                </w:p>
              </w:tc>
              <w:tc>
                <w:tcPr>
                  <w:tcW w:w="51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北场界</w:t>
                  </w:r>
                </w:p>
              </w:tc>
              <w:tc>
                <w:tcPr>
                  <w:tcW w:w="931"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35</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51.5</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39.5</w:t>
                  </w:r>
                </w:p>
              </w:tc>
              <w:tc>
                <w:tcPr>
                  <w:tcW w:w="62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56.5</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w:t>
                  </w:r>
                  <w:r>
                    <w:rPr>
                      <w:rFonts w:hint="eastAsia" w:ascii="Times New Roman" w:hAnsi="Times New Roman" w:cs="Times New Roman"/>
                      <w:color w:val="auto"/>
                      <w:sz w:val="22"/>
                      <w:szCs w:val="22"/>
                      <w:u w:val="none" w:color="auto"/>
                      <w:lang w:val="en-US" w:eastAsia="zh-CN"/>
                    </w:rPr>
                    <w:t>7</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39.5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8"/>
                  <w:tcBorders>
                    <w:tl2br w:val="nil"/>
                    <w:tr2bl w:val="nil"/>
                  </w:tcBorders>
                  <w:noWrap w:val="0"/>
                  <w:vAlign w:val="center"/>
                </w:tcPr>
                <w:p>
                  <w:pPr>
                    <w:pStyle w:val="184"/>
                    <w:spacing w:line="360" w:lineRule="auto"/>
                    <w:jc w:val="left"/>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排放限值：</w:t>
                  </w:r>
                  <w:r>
                    <w:rPr>
                      <w:rFonts w:hint="eastAsia" w:ascii="Times New Roman" w:hAnsi="Times New Roman"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lang w:val="en-US" w:eastAsia="zh-CN"/>
                    </w:rPr>
                    <w:t>类标准：昼间6</w:t>
                  </w:r>
                  <w:r>
                    <w:rPr>
                      <w:rFonts w:hint="eastAsia" w:ascii="Times New Roman" w:hAnsi="Times New Roman"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lang w:val="en-US" w:eastAsia="zh-CN"/>
                    </w:rPr>
                    <w:t>dB（A），夜间5</w:t>
                  </w:r>
                  <w:r>
                    <w:rPr>
                      <w:rFonts w:hint="eastAsia" w:ascii="Times New Roman" w:hAnsi="Times New Roman"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lang w:val="en-US" w:eastAsia="zh-CN"/>
                    </w:rPr>
                    <w:t>dB（A）。</w:t>
                  </w:r>
                </w:p>
              </w:tc>
            </w:tr>
          </w:tbl>
          <w:p>
            <w:pPr>
              <w:snapToGrid w:val="0"/>
              <w:spacing w:line="520" w:lineRule="exact"/>
              <w:ind w:firstLine="462" w:firstLineChars="200"/>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szCs w:val="24"/>
                <w:u w:val="none" w:color="auto"/>
              </w:rPr>
              <w:t>预测计算</w:t>
            </w:r>
            <w:r>
              <w:rPr>
                <w:rFonts w:hint="default" w:ascii="Times New Roman" w:hAnsi="Times New Roman" w:eastAsia="宋体" w:cs="Times New Roman"/>
                <w:color w:val="auto"/>
                <w:sz w:val="24"/>
                <w:szCs w:val="24"/>
                <w:u w:val="none" w:color="auto"/>
                <w:lang w:eastAsia="zh-CN"/>
              </w:rPr>
              <w:t>根据预测结果，厂界噪声</w:t>
            </w:r>
            <w:r>
              <w:rPr>
                <w:rFonts w:hint="eastAsia" w:cs="Times New Roman"/>
                <w:color w:val="auto"/>
                <w:sz w:val="24"/>
                <w:szCs w:val="24"/>
                <w:u w:val="none" w:color="auto"/>
                <w:lang w:eastAsia="zh-CN"/>
              </w:rPr>
              <w:t>预测值</w:t>
            </w:r>
            <w:r>
              <w:rPr>
                <w:rFonts w:hint="default" w:ascii="Times New Roman" w:hAnsi="Times New Roman" w:eastAsia="宋体" w:cs="Times New Roman"/>
                <w:color w:val="auto"/>
                <w:sz w:val="24"/>
                <w:szCs w:val="24"/>
                <w:u w:val="none" w:color="auto"/>
                <w:lang w:eastAsia="zh-CN"/>
              </w:rPr>
              <w:t>满足</w:t>
            </w:r>
            <w:r>
              <w:rPr>
                <w:rFonts w:hint="eastAsia" w:cs="Times New Roman"/>
                <w:color w:val="auto"/>
                <w:sz w:val="24"/>
                <w:szCs w:val="24"/>
                <w:u w:val="none" w:color="auto"/>
                <w:lang w:eastAsia="zh-CN"/>
              </w:rPr>
              <w:t>《工业企业厂界环境噪声排放标准》（</w:t>
            </w:r>
            <w:r>
              <w:rPr>
                <w:rFonts w:hint="default" w:ascii="Times New Roman" w:hAnsi="Times New Roman" w:eastAsia="宋体" w:cs="Times New Roman"/>
                <w:color w:val="auto"/>
                <w:sz w:val="24"/>
                <w:szCs w:val="24"/>
                <w:u w:val="none" w:color="auto"/>
              </w:rPr>
              <w:t>GB12348-2008</w:t>
            </w:r>
            <w:r>
              <w:rPr>
                <w:rFonts w:hint="eastAsia"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中的</w:t>
            </w:r>
            <w:r>
              <w:rPr>
                <w:rFonts w:hint="eastAsia"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rPr>
              <w:t>类标准要求</w:t>
            </w:r>
            <w:r>
              <w:rPr>
                <w:rFonts w:hint="eastAsia" w:cs="Times New Roman"/>
                <w:color w:val="auto"/>
                <w:sz w:val="24"/>
                <w:szCs w:val="24"/>
                <w:u w:val="none" w:color="auto"/>
                <w:lang w:eastAsia="zh-CN"/>
              </w:rPr>
              <w:t>。</w:t>
            </w:r>
          </w:p>
          <w:p>
            <w:pPr>
              <w:spacing w:line="360" w:lineRule="auto"/>
              <w:ind w:firstLine="478"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pacing w:val="4"/>
                <w:sz w:val="24"/>
                <w:u w:val="none" w:color="auto"/>
              </w:rPr>
              <w:t>为最大程度减轻噪声对外环境的影响，建议建设单位采取如下噪声防治措施：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①设备选型时，在综合考虑性价比的基础上，购买的设备选用低噪声高性能的产品，从声源上降低设备本身噪声，同时在设备上安装减振设施；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②合理布局，主要产噪设备均布置在厂房及厂房内单独设备间内，利用厂房及隔音设施进行隔声；</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③加强设备的维护，安排专人负责设备的日常维护和保养，确保设备处于良好的运转状态，杜绝因</w:t>
            </w:r>
            <w:r>
              <w:rPr>
                <w:rFonts w:hint="default" w:ascii="Times New Roman" w:hAnsi="Times New Roman" w:cs="Times New Roman"/>
                <w:color w:val="auto"/>
                <w:sz w:val="24"/>
                <w:szCs w:val="24"/>
                <w:u w:val="none" w:color="auto"/>
                <w:lang w:eastAsia="zh-CN"/>
              </w:rPr>
              <w:t>设备</w:t>
            </w:r>
            <w:r>
              <w:rPr>
                <w:rFonts w:hint="default" w:ascii="Times New Roman" w:hAnsi="Times New Roman" w:cs="Times New Roman"/>
                <w:color w:val="auto"/>
                <w:sz w:val="24"/>
                <w:szCs w:val="24"/>
                <w:u w:val="none" w:color="auto"/>
              </w:rPr>
              <w:t>不正常运转时产生的高噪声现象；</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综上，在采取相应降噪措施后，对厂界外声环境产生的影响极小。</w:t>
            </w:r>
          </w:p>
          <w:p>
            <w:pPr>
              <w:adjustRightInd w:val="0"/>
              <w:snapToGrid w:val="0"/>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4、固体废物影响分析</w:t>
            </w:r>
          </w:p>
          <w:p>
            <w:pPr>
              <w:pStyle w:val="33"/>
              <w:spacing w:line="360" w:lineRule="auto"/>
              <w:ind w:left="0" w:leftChars="0" w:firstLine="462" w:firstLineChars="200"/>
              <w:rPr>
                <w:rFonts w:ascii="宋体" w:hAnsi="宋体"/>
                <w:color w:val="auto"/>
                <w:sz w:val="24"/>
                <w:szCs w:val="32"/>
                <w:u w:val="single" w:color="auto"/>
              </w:rPr>
            </w:pPr>
            <w:r>
              <w:rPr>
                <w:rFonts w:hint="eastAsia" w:ascii="宋体" w:hAnsi="宋体"/>
                <w:color w:val="auto"/>
                <w:sz w:val="24"/>
                <w:szCs w:val="32"/>
                <w:u w:val="single" w:color="auto"/>
              </w:rPr>
              <w:t>本项目产生的固体废物有</w:t>
            </w:r>
            <w:r>
              <w:rPr>
                <w:rFonts w:hint="eastAsia" w:ascii="宋体" w:hAnsi="宋体"/>
                <w:color w:val="auto"/>
                <w:sz w:val="24"/>
                <w:szCs w:val="32"/>
                <w:u w:val="single" w:color="auto"/>
                <w:lang w:eastAsia="zh-CN"/>
              </w:rPr>
              <w:t>废金属边角料</w:t>
            </w:r>
            <w:r>
              <w:rPr>
                <w:rFonts w:hint="eastAsia" w:ascii="宋体" w:hAnsi="宋体"/>
                <w:color w:val="auto"/>
                <w:sz w:val="24"/>
                <w:szCs w:val="32"/>
                <w:u w:val="single" w:color="auto"/>
              </w:rPr>
              <w:t>、废</w:t>
            </w:r>
            <w:r>
              <w:rPr>
                <w:rFonts w:hint="eastAsia" w:ascii="宋体" w:hAnsi="宋体"/>
                <w:color w:val="auto"/>
                <w:sz w:val="24"/>
                <w:szCs w:val="32"/>
                <w:u w:val="single" w:color="auto"/>
                <w:lang w:eastAsia="zh-CN"/>
              </w:rPr>
              <w:t>水性</w:t>
            </w:r>
            <w:r>
              <w:rPr>
                <w:rFonts w:hint="eastAsia" w:ascii="宋体" w:hAnsi="宋体"/>
                <w:color w:val="auto"/>
                <w:sz w:val="24"/>
                <w:szCs w:val="32"/>
                <w:u w:val="single" w:color="auto"/>
              </w:rPr>
              <w:t>漆</w:t>
            </w:r>
            <w:r>
              <w:rPr>
                <w:rFonts w:hint="eastAsia" w:ascii="宋体" w:hAnsi="宋体"/>
                <w:color w:val="auto"/>
                <w:sz w:val="24"/>
                <w:szCs w:val="32"/>
                <w:u w:val="single" w:color="auto"/>
                <w:lang w:eastAsia="zh-CN"/>
              </w:rPr>
              <w:t>包装物</w:t>
            </w:r>
            <w:r>
              <w:rPr>
                <w:rFonts w:hint="eastAsia" w:ascii="宋体" w:hAnsi="宋体"/>
                <w:color w:val="auto"/>
                <w:sz w:val="24"/>
                <w:szCs w:val="32"/>
                <w:u w:val="single" w:color="auto"/>
              </w:rPr>
              <w:t>、漆渣、生活垃圾</w:t>
            </w:r>
            <w:r>
              <w:rPr>
                <w:rFonts w:hint="eastAsia" w:ascii="宋体" w:hAnsi="宋体"/>
                <w:color w:val="auto"/>
                <w:sz w:val="24"/>
                <w:szCs w:val="32"/>
                <w:u w:val="single" w:color="auto"/>
                <w:lang w:eastAsia="zh-CN"/>
              </w:rPr>
              <w:t>、水帘废水池沉渣、喷塑过程中收集的粉尘、废润滑油、含油抹布、除尘器收集的粉尘、废液压油、废活性炭、废稀释剂桶、废绝缘漆桶、废油桶、废灯管</w:t>
            </w:r>
            <w:r>
              <w:rPr>
                <w:rFonts w:hint="eastAsia" w:ascii="宋体" w:hAnsi="宋体"/>
                <w:color w:val="auto"/>
                <w:sz w:val="24"/>
                <w:szCs w:val="32"/>
                <w:u w:val="single" w:color="auto"/>
              </w:rPr>
              <w:t>等。</w:t>
            </w:r>
          </w:p>
          <w:p>
            <w:pPr>
              <w:pStyle w:val="33"/>
              <w:spacing w:line="360" w:lineRule="auto"/>
              <w:ind w:left="0" w:leftChars="0" w:firstLine="462" w:firstLineChars="200"/>
              <w:jc w:val="left"/>
              <w:rPr>
                <w:rFonts w:hint="default" w:ascii="Times New Roman" w:hAnsi="Times New Roman" w:eastAsia="宋体" w:cs="Times New Roman"/>
                <w:color w:val="auto"/>
                <w:sz w:val="24"/>
                <w:u w:val="single" w:color="auto"/>
                <w:lang w:val="en-US" w:eastAsia="zh-CN"/>
              </w:rPr>
            </w:pPr>
            <w:r>
              <w:rPr>
                <w:rFonts w:hint="eastAsia" w:cs="Times New Roman"/>
                <w:color w:val="auto"/>
                <w:sz w:val="24"/>
                <w:szCs w:val="32"/>
                <w:u w:val="single" w:color="auto"/>
                <w:lang w:eastAsia="zh-CN"/>
              </w:rPr>
              <w:t>本项目在生产加工过程中会产生少量边角料</w:t>
            </w:r>
            <w:r>
              <w:rPr>
                <w:rFonts w:hint="default" w:ascii="Times New Roman" w:hAnsi="Times New Roman" w:cs="Times New Roman"/>
                <w:color w:val="auto"/>
                <w:sz w:val="24"/>
                <w:szCs w:val="32"/>
                <w:u w:val="single" w:color="auto"/>
              </w:rPr>
              <w:t>，</w:t>
            </w:r>
            <w:r>
              <w:rPr>
                <w:rFonts w:hint="eastAsia" w:cs="Times New Roman"/>
                <w:color w:val="auto"/>
                <w:sz w:val="24"/>
                <w:szCs w:val="32"/>
                <w:u w:val="single" w:color="auto"/>
                <w:lang w:eastAsia="zh-CN"/>
              </w:rPr>
              <w:t>废边角料</w:t>
            </w:r>
            <w:r>
              <w:rPr>
                <w:rFonts w:hint="default" w:ascii="Times New Roman" w:hAnsi="Times New Roman" w:cs="Times New Roman"/>
                <w:color w:val="auto"/>
                <w:sz w:val="24"/>
                <w:u w:val="single" w:color="auto"/>
              </w:rPr>
              <w:t>收集后均外售</w:t>
            </w:r>
            <w:r>
              <w:rPr>
                <w:rFonts w:hint="eastAsia" w:cs="Times New Roman"/>
                <w:color w:val="auto"/>
                <w:sz w:val="24"/>
                <w:u w:val="single" w:color="auto"/>
                <w:lang w:eastAsia="zh-CN"/>
              </w:rPr>
              <w:t>物资回收公司</w:t>
            </w:r>
            <w:r>
              <w:rPr>
                <w:rFonts w:hint="default" w:ascii="Times New Roman" w:hAnsi="Times New Roman" w:cs="Times New Roman"/>
                <w:color w:val="auto"/>
                <w:sz w:val="24"/>
                <w:u w:val="single" w:color="auto"/>
              </w:rPr>
              <w:t>。</w:t>
            </w:r>
            <w:r>
              <w:rPr>
                <w:rFonts w:hint="default" w:ascii="Times New Roman" w:hAnsi="Times New Roman" w:cs="Times New Roman"/>
                <w:color w:val="auto"/>
                <w:sz w:val="24"/>
                <w:szCs w:val="24"/>
                <w:u w:val="single" w:color="auto"/>
              </w:rPr>
              <w:t>生活垃圾</w:t>
            </w:r>
            <w:r>
              <w:rPr>
                <w:rFonts w:hint="eastAsia" w:cs="Times New Roman"/>
                <w:color w:val="auto"/>
                <w:sz w:val="24"/>
                <w:szCs w:val="24"/>
                <w:u w:val="single" w:color="auto"/>
                <w:lang w:eastAsia="zh-CN"/>
              </w:rPr>
              <w:t>、除尘器收集的粉尘</w:t>
            </w:r>
            <w:r>
              <w:rPr>
                <w:rFonts w:hint="default" w:ascii="Times New Roman" w:hAnsi="Times New Roman" w:cs="Times New Roman"/>
                <w:color w:val="auto"/>
                <w:sz w:val="24"/>
                <w:szCs w:val="24"/>
                <w:u w:val="single" w:color="auto"/>
              </w:rPr>
              <w:t>集中收集后交环卫部门统一清运处理。</w:t>
            </w:r>
            <w:r>
              <w:rPr>
                <w:rFonts w:hint="default" w:ascii="Times New Roman" w:hAnsi="Times New Roman" w:cs="Times New Roman"/>
                <w:color w:val="auto"/>
                <w:sz w:val="24"/>
                <w:u w:val="single" w:color="auto"/>
                <w:lang w:eastAsia="zh-CN"/>
              </w:rPr>
              <w:t>本项目</w:t>
            </w:r>
            <w:r>
              <w:rPr>
                <w:rFonts w:hint="eastAsia" w:cs="Times New Roman"/>
                <w:color w:val="auto"/>
                <w:sz w:val="24"/>
                <w:u w:val="single" w:color="auto"/>
                <w:lang w:eastAsia="zh-CN"/>
              </w:rPr>
              <w:t>在喷塑过程中产生的粉尘经</w:t>
            </w:r>
            <w:r>
              <w:rPr>
                <w:rFonts w:hint="default" w:ascii="Times New Roman" w:hAnsi="Times New Roman" w:cs="Times New Roman"/>
                <w:color w:val="auto"/>
                <w:sz w:val="24"/>
                <w:u w:val="single" w:color="auto"/>
                <w:lang w:val="en-US" w:eastAsia="zh-CN"/>
              </w:rPr>
              <w:t>收集后</w:t>
            </w:r>
            <w:r>
              <w:rPr>
                <w:rFonts w:hint="eastAsia" w:cs="Times New Roman"/>
                <w:color w:val="auto"/>
                <w:sz w:val="24"/>
                <w:u w:val="single" w:color="auto"/>
                <w:lang w:val="en-US" w:eastAsia="zh-CN"/>
              </w:rPr>
              <w:t>回用于生产</w:t>
            </w:r>
            <w:r>
              <w:rPr>
                <w:rFonts w:hint="default" w:ascii="Times New Roman" w:hAnsi="Times New Roman" w:cs="Times New Roman"/>
                <w:color w:val="auto"/>
                <w:sz w:val="24"/>
                <w:u w:val="single" w:color="auto"/>
                <w:lang w:val="en-US" w:eastAsia="zh-CN"/>
              </w:rPr>
              <w:t>。</w:t>
            </w:r>
          </w:p>
          <w:p>
            <w:pPr>
              <w:pStyle w:val="33"/>
              <w:spacing w:line="360" w:lineRule="auto"/>
              <w:ind w:left="0" w:leftChars="0" w:firstLine="462" w:firstLineChars="200"/>
              <w:rPr>
                <w:rFonts w:hint="eastAsia"/>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根据《国家危险废物名录》中判定</w:t>
            </w:r>
            <w:r>
              <w:rPr>
                <w:rFonts w:hint="default" w:ascii="Times New Roman" w:hAnsi="Times New Roman" w:cs="Times New Roman"/>
                <w:color w:val="auto"/>
                <w:sz w:val="24"/>
                <w:szCs w:val="32"/>
                <w:u w:val="single" w:color="auto"/>
              </w:rPr>
              <w:t>废</w:t>
            </w:r>
            <w:r>
              <w:rPr>
                <w:rFonts w:hint="default" w:ascii="Times New Roman" w:hAnsi="Times New Roman" w:cs="Times New Roman"/>
                <w:color w:val="auto"/>
                <w:sz w:val="24"/>
                <w:szCs w:val="32"/>
                <w:u w:val="single" w:color="auto"/>
                <w:lang w:eastAsia="zh-CN"/>
              </w:rPr>
              <w:t>水性</w:t>
            </w:r>
            <w:r>
              <w:rPr>
                <w:rFonts w:hint="default" w:ascii="Times New Roman" w:hAnsi="Times New Roman" w:cs="Times New Roman"/>
                <w:color w:val="auto"/>
                <w:sz w:val="24"/>
                <w:szCs w:val="32"/>
                <w:u w:val="single" w:color="auto"/>
              </w:rPr>
              <w:t>漆</w:t>
            </w:r>
            <w:r>
              <w:rPr>
                <w:rFonts w:hint="default" w:ascii="Times New Roman" w:hAnsi="Times New Roman" w:cs="Times New Roman"/>
                <w:color w:val="auto"/>
                <w:sz w:val="24"/>
                <w:szCs w:val="32"/>
                <w:u w:val="single" w:color="auto"/>
                <w:lang w:eastAsia="zh-CN"/>
              </w:rPr>
              <w:t>包装物不属于危险废物，为一般固废</w:t>
            </w:r>
            <w:r>
              <w:rPr>
                <w:rFonts w:hint="eastAsia" w:cs="Times New Roman"/>
                <w:color w:val="auto"/>
                <w:sz w:val="24"/>
                <w:szCs w:val="24"/>
                <w:u w:val="single" w:color="auto"/>
                <w:lang w:val="en-US" w:eastAsia="zh-CN"/>
              </w:rPr>
              <w:t>，</w:t>
            </w:r>
            <w:r>
              <w:rPr>
                <w:rFonts w:hint="eastAsia"/>
                <w:color w:val="auto"/>
                <w:sz w:val="24"/>
                <w:szCs w:val="24"/>
                <w:u w:val="single" w:color="auto"/>
                <w:lang w:val="en-US" w:eastAsia="zh-CN"/>
              </w:rPr>
              <w:t>均收集后交由环卫部门进行处理</w:t>
            </w:r>
            <w:r>
              <w:rPr>
                <w:rFonts w:hint="eastAsia" w:cs="Times New Roman"/>
                <w:color w:val="auto"/>
                <w:sz w:val="24"/>
                <w:highlight w:val="none"/>
                <w:u w:val="single" w:color="auto"/>
                <w:lang w:eastAsia="zh-CN"/>
              </w:rPr>
              <w:t>。</w:t>
            </w:r>
          </w:p>
          <w:p>
            <w:pPr>
              <w:spacing w:line="360" w:lineRule="auto"/>
              <w:ind w:firstLine="462" w:firstLineChars="200"/>
              <w:jc w:val="left"/>
              <w:rPr>
                <w:rFonts w:hint="default" w:ascii="Times New Roman" w:hAnsi="Times New Roman" w:cs="Times New Roman"/>
                <w:color w:val="auto"/>
                <w:sz w:val="24"/>
                <w:szCs w:val="24"/>
                <w:u w:val="single" w:color="auto"/>
              </w:rPr>
            </w:pPr>
            <w:r>
              <w:rPr>
                <w:rFonts w:hint="eastAsia" w:hAnsi="宋体"/>
                <w:color w:val="auto"/>
                <w:sz w:val="24"/>
                <w:u w:val="single" w:color="auto"/>
                <w:lang w:eastAsia="zh-CN"/>
              </w:rPr>
              <w:t>项目生产过程中产生的危险废物主要为</w:t>
            </w:r>
            <w:r>
              <w:rPr>
                <w:rFonts w:hint="eastAsia" w:ascii="宋体" w:hAnsi="宋体"/>
                <w:color w:val="auto"/>
                <w:sz w:val="24"/>
                <w:szCs w:val="32"/>
                <w:u w:val="single" w:color="auto"/>
                <w:lang w:eastAsia="zh-CN"/>
              </w:rPr>
              <w:t>废润滑油、含油抹布、废液压油、废活性炭、废稀释剂桶、废绝缘漆桶、废油桶、水帘废水池沉渣、漆渣</w:t>
            </w:r>
            <w:r>
              <w:rPr>
                <w:rFonts w:hint="eastAsia" w:hAnsi="宋体"/>
                <w:color w:val="auto"/>
                <w:sz w:val="24"/>
                <w:u w:val="single" w:color="auto"/>
                <w:lang w:val="en-US" w:eastAsia="zh-CN"/>
              </w:rPr>
              <w:t>、废灯管需收集于危险废物储存间，再交由有资质单位进行处理</w:t>
            </w:r>
            <w:r>
              <w:rPr>
                <w:rFonts w:hint="default" w:ascii="Times New Roman" w:hAnsi="Times New Roman" w:cs="Times New Roman"/>
                <w:color w:val="auto"/>
                <w:sz w:val="24"/>
                <w:szCs w:val="24"/>
                <w:u w:val="single" w:color="auto"/>
              </w:rPr>
              <w:t>。</w:t>
            </w:r>
          </w:p>
          <w:p>
            <w:pPr>
              <w:keepNext w:val="0"/>
              <w:keepLines w:val="0"/>
              <w:pageBreakBefore w:val="0"/>
              <w:widowControl w:val="0"/>
              <w:kinsoku/>
              <w:wordWrap/>
              <w:overflowPunct/>
              <w:topLinePunct w:val="0"/>
              <w:autoSpaceDE/>
              <w:autoSpaceDN/>
              <w:bidi w:val="0"/>
              <w:spacing w:line="360" w:lineRule="auto"/>
              <w:ind w:firstLine="512"/>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固体废物在外售前，分类放入仓库暂存，避免下雨冲刷，污染环境，并做好防渗措施，避免因雨水淋溶而污染区域地表水和地下水。</w:t>
            </w:r>
          </w:p>
          <w:p>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rPr>
              <w:t>一般固体废物暂存库建设要求：（1）为防止雨水径流进入暂存场地，场地周边应设置导流渠和集水池；（2）为加强监督管理，暂存场地应按环境《保护图形标志--固体废物贮存(处置)场》(GB 15562.2-1995) 设置环境保护图形标志</w:t>
            </w:r>
            <w:r>
              <w:rPr>
                <w:rFonts w:hint="default" w:ascii="Times New Roman" w:hAnsi="Times New Roman" w:cs="Times New Roman"/>
                <w:color w:val="auto"/>
                <w:sz w:val="24"/>
                <w:szCs w:val="24"/>
                <w:u w:val="single" w:color="auto"/>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eastAsia="zh-CN"/>
              </w:rPr>
              <w:t>危险废物储存间设置于项目</w:t>
            </w:r>
            <w:r>
              <w:rPr>
                <w:rFonts w:hint="eastAsia" w:cs="Times New Roman"/>
                <w:color w:val="auto"/>
                <w:sz w:val="24"/>
                <w:szCs w:val="24"/>
                <w:u w:val="single" w:color="auto"/>
                <w:lang w:val="en-US" w:eastAsia="zh-CN"/>
              </w:rPr>
              <w:t>4#</w:t>
            </w:r>
            <w:r>
              <w:rPr>
                <w:rFonts w:hint="default" w:ascii="Times New Roman" w:hAnsi="Times New Roman" w:cs="Times New Roman"/>
                <w:color w:val="auto"/>
                <w:sz w:val="24"/>
                <w:szCs w:val="24"/>
                <w:u w:val="single" w:color="auto"/>
                <w:lang w:eastAsia="zh-CN"/>
              </w:rPr>
              <w:t>车间</w:t>
            </w:r>
            <w:r>
              <w:rPr>
                <w:rFonts w:hint="eastAsia" w:cs="Times New Roman"/>
                <w:color w:val="auto"/>
                <w:sz w:val="24"/>
                <w:szCs w:val="24"/>
                <w:u w:val="single" w:color="auto"/>
                <w:lang w:eastAsia="zh-CN"/>
              </w:rPr>
              <w:t>东南</w:t>
            </w:r>
            <w:r>
              <w:rPr>
                <w:rFonts w:hint="default" w:ascii="Times New Roman" w:hAnsi="Times New Roman" w:cs="Times New Roman"/>
                <w:color w:val="auto"/>
                <w:sz w:val="24"/>
                <w:szCs w:val="24"/>
                <w:u w:val="single" w:color="auto"/>
                <w:lang w:eastAsia="zh-CN"/>
              </w:rPr>
              <w:t>角处，且危险废物储存区建设要求：</w:t>
            </w:r>
            <w:r>
              <w:rPr>
                <w:rFonts w:hint="default" w:ascii="Times New Roman" w:hAnsi="Times New Roman" w:cs="Times New Roman"/>
                <w:color w:val="auto"/>
                <w:sz w:val="24"/>
                <w:szCs w:val="24"/>
                <w:u w:val="single" w:color="auto"/>
              </w:rPr>
              <w:t>根据国家《危险废物贮存污染控制标准》（GB18597-2001）的有关规定，危险废物在厂内存放期间，储存间地面进行防渗处理，同时采取“防扬散、防流失、防渗漏”的三防措施，用标签明示危险废物种类，在堆放场地处设置标志，并远离电源、火源，并设专人管理。</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rPr>
              <w:t>危险废物不可以随意排放、放置和转移，由专人负责管理其入、完善出入登记台帐，应集中收集后交由具有危险废物经营许可证的单位统一处理，并签订危废处理协议。盛装危险废物的容器和胶带必须贴符合《危险废物贮存污染控制标准》（GB18597-2001）附录A所示的标签等，防止造成二次污染。</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single" w:color="auto"/>
              </w:rPr>
              <w:t>采取上述措施后，本工程固体废物可得到妥善的处理，对周围环境造影响较小</w:t>
            </w:r>
            <w:r>
              <w:rPr>
                <w:rFonts w:hint="default" w:ascii="Times New Roman" w:hAnsi="Times New Roman" w:cs="Times New Roman"/>
                <w:color w:val="auto"/>
                <w:sz w:val="24"/>
                <w:szCs w:val="24"/>
                <w:u w:val="none" w:color="auto"/>
              </w:rPr>
              <w:t>。</w:t>
            </w:r>
          </w:p>
          <w:p>
            <w:pPr>
              <w:pStyle w:val="185"/>
              <w:spacing w:line="360" w:lineRule="auto"/>
              <w:rPr>
                <w:rFonts w:hint="default"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5、土壤环境质量分析</w:t>
            </w:r>
          </w:p>
          <w:p>
            <w:pPr>
              <w:keepNext w:val="0"/>
              <w:keepLines w:val="0"/>
              <w:pageBreakBefore w:val="0"/>
              <w:widowControl w:val="0"/>
              <w:kinsoku/>
              <w:wordWrap/>
              <w:overflowPunct/>
              <w:topLinePunct w:val="0"/>
              <w:autoSpaceDE/>
              <w:autoSpaceDN/>
              <w:bidi w:val="0"/>
              <w:adjustRightInd w:val="0"/>
              <w:snapToGrid w:val="0"/>
              <w:spacing w:line="360" w:lineRule="auto"/>
              <w:ind w:firstLine="693" w:firstLineChars="300"/>
              <w:textAlignment w:val="auto"/>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根据《环境影响评价技术导则---土壤环境》（HJ964-2018）中可知，本项目属于污染影响型，本项目为</w:t>
            </w:r>
            <w:r>
              <w:rPr>
                <w:rFonts w:hint="eastAsia" w:cs="Times New Roman"/>
                <w:color w:val="auto"/>
                <w:sz w:val="24"/>
                <w:szCs w:val="24"/>
                <w:u w:val="none" w:color="auto"/>
                <w:lang w:val="en-US" w:eastAsia="zh-CN"/>
              </w:rPr>
              <w:t>金属制品生产</w:t>
            </w:r>
            <w:r>
              <w:rPr>
                <w:rFonts w:hint="eastAsia" w:ascii="Times New Roman" w:hAnsi="Times New Roman" w:eastAsia="宋体" w:cs="Times New Roman"/>
                <w:color w:val="auto"/>
                <w:sz w:val="24"/>
                <w:szCs w:val="24"/>
                <w:u w:val="none" w:color="auto"/>
                <w:lang w:val="en-US" w:eastAsia="zh-CN"/>
              </w:rPr>
              <w:t>项目，土壤环境影响评价项目类别中，属于“</w:t>
            </w:r>
            <w:r>
              <w:rPr>
                <w:rFonts w:hint="eastAsia" w:cs="Times New Roman"/>
                <w:color w:val="auto"/>
                <w:sz w:val="24"/>
                <w:szCs w:val="24"/>
                <w:u w:val="none" w:color="auto"/>
                <w:lang w:val="en-US" w:eastAsia="zh-CN"/>
              </w:rPr>
              <w:t>设备制造、金属制品、汽车制造及其他用品制作中</w:t>
            </w:r>
            <w:r>
              <w:rPr>
                <w:rFonts w:hint="eastAsia" w:ascii="Times New Roman" w:hAnsi="Times New Roman" w:eastAsia="宋体" w:cs="Times New Roman"/>
                <w:color w:val="auto"/>
                <w:sz w:val="24"/>
                <w:szCs w:val="24"/>
                <w:u w:val="none" w:color="auto"/>
                <w:lang w:val="en-US" w:eastAsia="zh-CN"/>
              </w:rPr>
              <w:t>的</w:t>
            </w:r>
            <w:r>
              <w:rPr>
                <w:rFonts w:hint="eastAsia" w:cs="Times New Roman"/>
                <w:color w:val="auto"/>
                <w:sz w:val="24"/>
                <w:szCs w:val="24"/>
                <w:u w:val="none" w:color="auto"/>
                <w:lang w:val="en-US" w:eastAsia="zh-CN"/>
              </w:rPr>
              <w:t>其他</w:t>
            </w:r>
            <w:r>
              <w:rPr>
                <w:rFonts w:hint="eastAsia" w:ascii="Times New Roman" w:hAnsi="Times New Roman" w:eastAsia="宋体" w:cs="Times New Roman"/>
                <w:color w:val="auto"/>
                <w:sz w:val="24"/>
                <w:szCs w:val="24"/>
                <w:u w:val="none" w:color="auto"/>
                <w:lang w:val="en-US" w:eastAsia="zh-CN"/>
              </w:rPr>
              <w:t>”，因此类别为</w:t>
            </w:r>
            <w:r>
              <w:rPr>
                <w:rFonts w:hint="eastAsia" w:ascii="Times New Roman" w:hAnsi="Times New Roman" w:eastAsia="宋体" w:cs="Times New Roman"/>
                <w:color w:val="auto"/>
                <w:sz w:val="24"/>
                <w:szCs w:val="24"/>
                <w:u w:val="none" w:color="auto"/>
                <w:lang w:val="en-US" w:eastAsia="zh-CN"/>
              </w:rPr>
              <w:fldChar w:fldCharType="begin"/>
            </w:r>
            <w:r>
              <w:rPr>
                <w:rFonts w:hint="eastAsia" w:ascii="Times New Roman" w:hAnsi="Times New Roman" w:eastAsia="宋体" w:cs="Times New Roman"/>
                <w:color w:val="auto"/>
                <w:sz w:val="24"/>
                <w:szCs w:val="24"/>
                <w:u w:val="none" w:color="auto"/>
                <w:lang w:val="en-US" w:eastAsia="zh-CN"/>
              </w:rPr>
              <w:instrText xml:space="preserve"> = 3 \* ROMAN \* MERGEFORMAT </w:instrText>
            </w:r>
            <w:r>
              <w:rPr>
                <w:rFonts w:hint="eastAsia" w:ascii="Times New Roman" w:hAnsi="Times New Roman" w:eastAsia="宋体" w:cs="Times New Roman"/>
                <w:color w:val="auto"/>
                <w:sz w:val="24"/>
                <w:szCs w:val="24"/>
                <w:u w:val="none" w:color="auto"/>
                <w:lang w:val="en-US" w:eastAsia="zh-CN"/>
              </w:rPr>
              <w:fldChar w:fldCharType="separate"/>
            </w:r>
            <w:r>
              <w:t>III</w:t>
            </w:r>
            <w:r>
              <w:rPr>
                <w:rFonts w:hint="eastAsia" w:ascii="Times New Roman" w:hAnsi="Times New Roman" w:eastAsia="宋体" w:cs="Times New Roman"/>
                <w:color w:val="auto"/>
                <w:sz w:val="24"/>
                <w:szCs w:val="24"/>
                <w:u w:val="none" w:color="auto"/>
                <w:lang w:val="en-US" w:eastAsia="zh-CN"/>
              </w:rPr>
              <w:fldChar w:fldCharType="end"/>
            </w:r>
            <w:r>
              <w:rPr>
                <w:rFonts w:hint="eastAsia" w:ascii="Times New Roman" w:hAnsi="Times New Roman" w:eastAsia="宋体" w:cs="Times New Roman"/>
                <w:color w:val="auto"/>
                <w:sz w:val="24"/>
                <w:szCs w:val="24"/>
                <w:u w:val="none" w:color="auto"/>
                <w:lang w:val="en-US" w:eastAsia="zh-CN"/>
              </w:rPr>
              <w:t>类，项目位于工业园内，周边均为工厂等，对照敏感程度分类表可知，本项目为“不敏感”，</w:t>
            </w:r>
            <w:r>
              <w:rPr>
                <w:rFonts w:hint="eastAsia" w:cs="Times New Roman"/>
                <w:color w:val="auto"/>
                <w:sz w:val="24"/>
                <w:szCs w:val="24"/>
                <w:u w:val="none" w:color="auto"/>
                <w:lang w:val="en-US" w:eastAsia="zh-CN"/>
              </w:rPr>
              <w:t>本项目占地面积为</w:t>
            </w:r>
            <w:r>
              <w:rPr>
                <w:rFonts w:hint="eastAsia" w:cs="Times New Roman"/>
                <w:color w:val="auto"/>
                <w:spacing w:val="-6"/>
                <w:sz w:val="24"/>
                <w:u w:val="none" w:color="auto"/>
                <w:lang w:val="en-US" w:eastAsia="zh-CN"/>
              </w:rPr>
              <w:t>72559.62m</w:t>
            </w:r>
            <w:r>
              <w:rPr>
                <w:rFonts w:hint="eastAsia" w:cs="Times New Roman"/>
                <w:color w:val="auto"/>
                <w:spacing w:val="-6"/>
                <w:sz w:val="24"/>
                <w:u w:val="none" w:color="auto"/>
                <w:vertAlign w:val="superscript"/>
                <w:lang w:val="en-US" w:eastAsia="zh-CN"/>
              </w:rPr>
              <w:t>2</w:t>
            </w:r>
            <w:r>
              <w:rPr>
                <w:rFonts w:hint="eastAsia" w:cs="Times New Roman"/>
                <w:color w:val="auto"/>
                <w:spacing w:val="-6"/>
                <w:sz w:val="24"/>
                <w:u w:val="none" w:color="auto"/>
                <w:lang w:val="en-US" w:eastAsia="zh-CN"/>
              </w:rPr>
              <w:t>，对照建设项目占地规模可知，项目属于中型，</w:t>
            </w:r>
            <w:r>
              <w:rPr>
                <w:rFonts w:hint="eastAsia" w:ascii="Times New Roman" w:hAnsi="Times New Roman" w:eastAsia="宋体" w:cs="Times New Roman"/>
                <w:color w:val="auto"/>
                <w:sz w:val="24"/>
                <w:szCs w:val="24"/>
                <w:u w:val="none" w:color="auto"/>
                <w:lang w:val="en-US" w:eastAsia="zh-CN"/>
              </w:rPr>
              <w:t>对照土壤分级表可知，本项目</w:t>
            </w:r>
            <w:r>
              <w:rPr>
                <w:rFonts w:hint="eastAsia" w:cs="Times New Roman"/>
                <w:color w:val="auto"/>
                <w:sz w:val="24"/>
                <w:szCs w:val="24"/>
                <w:u w:val="none" w:color="auto"/>
                <w:lang w:val="en-US" w:eastAsia="zh-CN"/>
              </w:rPr>
              <w:t>可不开展土壤环境评价工作</w:t>
            </w:r>
            <w:r>
              <w:rPr>
                <w:rFonts w:hint="eastAsia" w:ascii="Times New Roman" w:hAnsi="Times New Roman" w:eastAsia="宋体" w:cs="Times New Roman"/>
                <w:color w:val="auto"/>
                <w:sz w:val="24"/>
                <w:szCs w:val="24"/>
                <w:u w:val="none" w:color="auto"/>
                <w:lang w:val="en-US" w:eastAsia="zh-CN"/>
              </w:rPr>
              <w:t>。</w:t>
            </w:r>
          </w:p>
          <w:p>
            <w:pPr>
              <w:pStyle w:val="185"/>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、环境风险分析及防范措施</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风险评价的目的是分析和预测建设项目存在的潜在危险、有害因素，建设项目建设和运行期间可能发生的突发性事件或事故，引起有毒有害和易燃易爆等物质泄漏，所造成的人身安全与环境影响和损害程度，提出合理可行的防范、应急与减缓措施，以使建设项目事故率、损失和环境影响达到可接受水平。</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《建设项目环境风险评价技术导则》（HJ/T169-20</w:t>
            </w:r>
            <w:r>
              <w:rPr>
                <w:rFonts w:hint="default" w:ascii="Times New Roman" w:hAnsi="Times New Roman" w:cs="Times New Roman"/>
                <w:color w:val="auto"/>
                <w:sz w:val="24"/>
                <w:szCs w:val="24"/>
                <w:u w:val="none" w:color="auto"/>
                <w:lang w:val="en-US" w:eastAsia="zh-CN"/>
              </w:rPr>
              <w:t>18</w:t>
            </w:r>
            <w:r>
              <w:rPr>
                <w:rFonts w:hint="default" w:ascii="Times New Roman" w:hAnsi="Times New Roman" w:cs="Times New Roman"/>
                <w:color w:val="auto"/>
                <w:sz w:val="24"/>
                <w:szCs w:val="24"/>
                <w:u w:val="none" w:color="auto"/>
              </w:rPr>
              <w:t>）适用于涉及有毒有害和易燃易爆物质的生产、使用和贮运等的新建、改建、扩建和技术改造项目，本次评价以该导则为基准，通过对工程的风险识别、分析和后果预测，提出本项目的风险防范措施和应急预案，把项目环境风险尽可能降低至可接受水平。</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color w:val="auto"/>
                <w:sz w:val="24"/>
                <w:szCs w:val="24"/>
                <w:u w:val="none" w:color="auto"/>
                <w:lang w:val="en-US" w:eastAsia="zh-CN"/>
              </w:rPr>
              <w:t>本次环境风险评价采用《建设项目环境风险评价技术导则》（HJ169-2018）中要求对建设项目的环境风险进行分析、计算和评估，提出环境风险预防、控制、减缓措施，明确环境风险监控及应急建议要求，为建设项目环境风险防控提供科学依据。</w:t>
            </w:r>
          </w:p>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bCs/>
                <w:color w:val="auto"/>
                <w:sz w:val="24"/>
                <w:u w:val="none" w:color="auto"/>
                <w:lang w:val="en-US" w:eastAsia="zh-CN"/>
              </w:rPr>
              <w:t>风险调查</w:t>
            </w:r>
          </w:p>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val="0"/>
                <w:bCs w:val="0"/>
                <w:color w:val="auto"/>
                <w:sz w:val="24"/>
                <w:u w:val="none" w:color="auto"/>
                <w:lang w:val="en-US" w:eastAsia="zh-CN"/>
              </w:rPr>
              <w:t>通过对项目进行分析，可判断项目营运期</w:t>
            </w:r>
            <w:r>
              <w:rPr>
                <w:rFonts w:hint="eastAsia" w:ascii="Times New Roman" w:hAnsi="Times New Roman" w:cs="Times New Roman"/>
                <w:b w:val="0"/>
                <w:bCs w:val="0"/>
                <w:color w:val="auto"/>
                <w:sz w:val="24"/>
                <w:u w:val="none" w:color="auto"/>
                <w:lang w:val="en-US" w:eastAsia="zh-CN"/>
              </w:rPr>
              <w:t>有组织废气超标排放、绝缘漆、稀释剂、水性漆、油类物质、液化石油气</w:t>
            </w:r>
            <w:r>
              <w:rPr>
                <w:rFonts w:hint="default" w:ascii="Times New Roman" w:hAnsi="Times New Roman" w:cs="Times New Roman"/>
                <w:b w:val="0"/>
                <w:bCs w:val="0"/>
                <w:color w:val="auto"/>
                <w:sz w:val="24"/>
                <w:u w:val="none" w:color="auto"/>
                <w:lang w:val="en-US" w:eastAsia="zh-CN"/>
              </w:rPr>
              <w:t>泄漏风险等。</w:t>
            </w:r>
          </w:p>
          <w:p>
            <w:pPr>
              <w:pStyle w:val="172"/>
              <w:spacing w:line="360" w:lineRule="auto"/>
              <w:ind w:firstLine="48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eastAsia="zh-CN"/>
              </w:rPr>
              <w:t>环境风险分析</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（1）物质识别</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default" w:ascii="Times New Roman" w:hAnsi="Times New Roman" w:cs="Times New Roman"/>
                <w:color w:val="auto"/>
                <w:sz w:val="24"/>
                <w:szCs w:val="24"/>
                <w:u w:val="none" w:color="auto"/>
                <w:lang w:eastAsia="zh-CN"/>
              </w:rPr>
              <w:t>原料成分为</w:t>
            </w:r>
            <w:r>
              <w:rPr>
                <w:rFonts w:hint="eastAsia" w:cs="Times New Roman"/>
                <w:b w:val="0"/>
                <w:bCs w:val="0"/>
                <w:color w:val="auto"/>
                <w:sz w:val="24"/>
                <w:u w:val="none" w:color="auto"/>
                <w:lang w:val="en-US" w:eastAsia="zh-CN"/>
              </w:rPr>
              <w:t>绝缘漆</w:t>
            </w:r>
            <w:r>
              <w:rPr>
                <w:rFonts w:hint="eastAsia" w:ascii="Times New Roman" w:hAnsi="Times New Roman" w:cs="Times New Roman"/>
                <w:b w:val="0"/>
                <w:bCs w:val="0"/>
                <w:color w:val="auto"/>
                <w:sz w:val="24"/>
                <w:u w:val="none" w:color="auto"/>
                <w:lang w:val="en-US" w:eastAsia="zh-CN"/>
              </w:rPr>
              <w:t>、稀释剂、水性漆、油类物质</w:t>
            </w:r>
            <w:r>
              <w:rPr>
                <w:rFonts w:hint="eastAsia" w:cs="Times New Roman"/>
                <w:b w:val="0"/>
                <w:bCs w:val="0"/>
                <w:color w:val="auto"/>
                <w:sz w:val="24"/>
                <w:u w:val="none" w:color="auto"/>
                <w:lang w:val="en-US" w:eastAsia="zh-CN"/>
              </w:rPr>
              <w:t>、液化石油气</w:t>
            </w:r>
            <w:r>
              <w:rPr>
                <w:rFonts w:hint="default" w:ascii="Times New Roman" w:hAnsi="Times New Roman" w:cs="Times New Roman"/>
                <w:color w:val="auto"/>
                <w:sz w:val="24"/>
                <w:szCs w:val="24"/>
                <w:u w:val="none" w:color="auto"/>
              </w:rPr>
              <w:t>，属于可燃，易发生火灾。易燃、易爆及危险物质，</w:t>
            </w:r>
            <w:r>
              <w:rPr>
                <w:rFonts w:hint="default" w:ascii="Times New Roman" w:hAnsi="Times New Roman" w:cs="Times New Roman"/>
                <w:color w:val="auto"/>
                <w:sz w:val="24"/>
                <w:szCs w:val="24"/>
                <w:u w:val="none" w:color="auto"/>
                <w:lang w:eastAsia="zh-CN"/>
              </w:rPr>
              <w:t>本项目的危险废物有</w:t>
            </w:r>
            <w:r>
              <w:rPr>
                <w:rFonts w:hint="eastAsia" w:ascii="宋体" w:hAnsi="宋体"/>
                <w:color w:val="auto"/>
                <w:sz w:val="24"/>
                <w:szCs w:val="32"/>
                <w:u w:val="none" w:color="auto"/>
                <w:lang w:eastAsia="zh-CN"/>
              </w:rPr>
              <w:t>废润滑油、含油抹布、废液压油、废活性炭、废稀释剂桶、废绝缘漆桶、废油桶</w:t>
            </w:r>
            <w:r>
              <w:rPr>
                <w:rFonts w:hint="eastAsia" w:cs="Times New Roman"/>
                <w:color w:val="auto"/>
                <w:sz w:val="24"/>
                <w:szCs w:val="24"/>
                <w:u w:val="none" w:color="auto"/>
                <w:lang w:val="en-US" w:eastAsia="zh-CN"/>
              </w:rPr>
              <w:t>等</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详见下表。</w:t>
            </w:r>
          </w:p>
          <w:p>
            <w:pPr>
              <w:pStyle w:val="186"/>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24</w:t>
            </w:r>
            <w:r>
              <w:rPr>
                <w:rFonts w:hint="default" w:ascii="Times New Roman" w:hAnsi="Times New Roman" w:cs="Times New Roman"/>
                <w:color w:val="auto"/>
                <w:sz w:val="24"/>
                <w:szCs w:val="24"/>
                <w:u w:val="none" w:color="auto"/>
              </w:rPr>
              <w:t xml:space="preserve">  物质危险性识别表</w:t>
            </w:r>
          </w:p>
          <w:tbl>
            <w:tblPr>
              <w:tblStyle w:val="39"/>
              <w:tblW w:w="90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21"/>
              <w:gridCol w:w="2685"/>
              <w:gridCol w:w="1983"/>
              <w:gridCol w:w="24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品名</w:t>
                  </w:r>
                </w:p>
              </w:tc>
              <w:tc>
                <w:tcPr>
                  <w:tcW w:w="2685"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主（次）危险性类别</w:t>
                  </w:r>
                </w:p>
              </w:tc>
              <w:tc>
                <w:tcPr>
                  <w:tcW w:w="198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类别</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是否是环境风险物质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绝缘漆</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稀释剂</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水性漆</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油类物质</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危险废物</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危废</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液化石油气</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w:t>
                  </w:r>
                </w:p>
              </w:tc>
            </w:tr>
          </w:tbl>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w:t>
            </w:r>
            <w:r>
              <w:rPr>
                <w:rFonts w:hint="default" w:ascii="Times New Roman" w:hAnsi="Times New Roman" w:eastAsia="宋体" w:cs="Times New Roman"/>
                <w:color w:val="auto"/>
                <w:kern w:val="0"/>
                <w:sz w:val="24"/>
                <w:szCs w:val="24"/>
                <w:u w:val="none" w:color="auto"/>
                <w:lang w:val="en-US" w:eastAsia="zh-CN" w:bidi="ar"/>
              </w:rPr>
              <w:t>风险潜势初判</w:t>
            </w:r>
          </w:p>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eastAsia="宋体" w:cs="Times New Roman"/>
                <w:color w:val="auto"/>
                <w:kern w:val="0"/>
                <w:sz w:val="24"/>
                <w:szCs w:val="24"/>
                <w:u w:val="none" w:color="auto"/>
                <w:lang w:val="en-US" w:eastAsia="zh-CN" w:bidi="ar"/>
              </w:rPr>
              <w:t>根据建设项目环境风险评价技术导则附录</w:t>
            </w:r>
            <w:r>
              <w:rPr>
                <w:rFonts w:hint="default" w:ascii="Times New Roman" w:hAnsi="Times New Roman" w:eastAsia="TimesNewRomanPSMT" w:cs="Times New Roman"/>
                <w:color w:val="auto"/>
                <w:kern w:val="0"/>
                <w:sz w:val="24"/>
                <w:szCs w:val="24"/>
                <w:u w:val="none" w:color="auto"/>
                <w:lang w:val="en-US" w:eastAsia="zh-CN" w:bidi="ar"/>
              </w:rPr>
              <w:t>B.1</w:t>
            </w:r>
            <w:r>
              <w:rPr>
                <w:rFonts w:hint="default" w:ascii="Times New Roman" w:hAnsi="Times New Roman" w:eastAsia="宋体" w:cs="Times New Roman"/>
                <w:color w:val="auto"/>
                <w:kern w:val="0"/>
                <w:sz w:val="24"/>
                <w:szCs w:val="24"/>
                <w:u w:val="none" w:color="auto"/>
                <w:lang w:val="en-US" w:eastAsia="zh-CN" w:bidi="ar"/>
              </w:rPr>
              <w:t>和</w:t>
            </w:r>
            <w:r>
              <w:rPr>
                <w:rFonts w:hint="default" w:ascii="Times New Roman" w:hAnsi="Times New Roman" w:eastAsia="TimesNewRomanPSMT" w:cs="Times New Roman"/>
                <w:color w:val="auto"/>
                <w:kern w:val="0"/>
                <w:sz w:val="24"/>
                <w:szCs w:val="24"/>
                <w:u w:val="none" w:color="auto"/>
                <w:lang w:val="en-US" w:eastAsia="zh-CN" w:bidi="ar"/>
              </w:rPr>
              <w:t>B.2</w:t>
            </w:r>
            <w:r>
              <w:rPr>
                <w:rFonts w:hint="eastAsia" w:ascii="Times New Roman" w:hAnsi="Times New Roman" w:eastAsia="TimesNewRomanPSMT" w:cs="Times New Roman"/>
                <w:color w:val="auto"/>
                <w:kern w:val="0"/>
                <w:sz w:val="24"/>
                <w:szCs w:val="24"/>
                <w:u w:val="none" w:color="auto"/>
                <w:lang w:val="en-US" w:eastAsia="zh-CN" w:bidi="ar"/>
              </w:rPr>
              <w:t>，具体详见下表</w:t>
            </w:r>
            <w:r>
              <w:rPr>
                <w:rFonts w:hint="default" w:ascii="Times New Roman" w:hAnsi="Times New Roman" w:eastAsia="宋体" w:cs="Times New Roman"/>
                <w:color w:val="auto"/>
                <w:kern w:val="0"/>
                <w:sz w:val="24"/>
                <w:szCs w:val="24"/>
                <w:u w:val="none" w:color="auto"/>
                <w:lang w:val="en-US" w:eastAsia="zh-CN" w:bidi="ar"/>
              </w:rPr>
              <w:t>。</w:t>
            </w:r>
          </w:p>
          <w:p>
            <w:pPr>
              <w:keepNext w:val="0"/>
              <w:keepLines w:val="0"/>
              <w:widowControl/>
              <w:suppressLineNumbers w:val="0"/>
              <w:jc w:val="center"/>
              <w:rPr>
                <w:b w:val="0"/>
                <w:bCs w:val="0"/>
                <w:color w:val="auto"/>
                <w:sz w:val="24"/>
                <w:szCs w:val="24"/>
                <w:u w:val="none" w:color="auto"/>
              </w:rPr>
            </w:pPr>
            <w:r>
              <w:rPr>
                <w:rFonts w:hint="default" w:ascii="Times New Roman" w:hAnsi="Times New Roman" w:cs="Times New Roman"/>
                <w:b w:val="0"/>
                <w:bCs w:val="0"/>
                <w:color w:val="auto"/>
                <w:sz w:val="24"/>
                <w:szCs w:val="24"/>
                <w:u w:val="none" w:color="auto"/>
              </w:rPr>
              <w:t>表7-</w:t>
            </w:r>
            <w:r>
              <w:rPr>
                <w:rFonts w:hint="eastAsia" w:cs="Times New Roman"/>
                <w:b w:val="0"/>
                <w:bCs w:val="0"/>
                <w:color w:val="auto"/>
                <w:sz w:val="24"/>
                <w:szCs w:val="24"/>
                <w:u w:val="none" w:color="auto"/>
                <w:lang w:val="en-US" w:eastAsia="zh-CN"/>
              </w:rPr>
              <w:t>25</w:t>
            </w:r>
            <w:r>
              <w:rPr>
                <w:rFonts w:hint="eastAsia" w:ascii="宋体" w:hAnsi="宋体" w:eastAsia="宋体" w:cs="宋体"/>
                <w:b w:val="0"/>
                <w:bCs w:val="0"/>
                <w:color w:val="auto"/>
                <w:kern w:val="0"/>
                <w:sz w:val="24"/>
                <w:szCs w:val="24"/>
                <w:u w:val="none" w:color="auto"/>
                <w:lang w:val="en-US" w:eastAsia="zh-CN" w:bidi="ar"/>
              </w:rPr>
              <w:t>本项目突发环境事件风险物质贮存量及临界量一览表</w:t>
            </w:r>
          </w:p>
          <w:tbl>
            <w:tblPr>
              <w:tblStyle w:val="39"/>
              <w:tblW w:w="904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008"/>
              <w:gridCol w:w="1474"/>
              <w:gridCol w:w="2137"/>
              <w:gridCol w:w="2354"/>
              <w:gridCol w:w="207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08"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序号</w:t>
                  </w:r>
                </w:p>
              </w:tc>
              <w:tc>
                <w:tcPr>
                  <w:tcW w:w="1474"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名称</w:t>
                  </w:r>
                </w:p>
              </w:tc>
              <w:tc>
                <w:tcPr>
                  <w:tcW w:w="2137"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日常最大储存量（t）</w:t>
                  </w:r>
                </w:p>
              </w:tc>
              <w:tc>
                <w:tcPr>
                  <w:tcW w:w="2354"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临界量（t）</w:t>
                  </w:r>
                </w:p>
              </w:tc>
              <w:tc>
                <w:tcPr>
                  <w:tcW w:w="2076" w:type="dxa"/>
                  <w:noWrap w:val="0"/>
                  <w:vAlign w:val="center"/>
                </w:tcPr>
                <w:p>
                  <w:pPr>
                    <w:pStyle w:val="184"/>
                    <w:spacing w:line="360" w:lineRule="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qi/Qi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7" w:hRule="atLeast"/>
                <w:jc w:val="center"/>
              </w:trPr>
              <w:tc>
                <w:tcPr>
                  <w:tcW w:w="1008"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w:t>
                  </w:r>
                </w:p>
              </w:tc>
              <w:tc>
                <w:tcPr>
                  <w:tcW w:w="1474"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eastAsia="zh-CN"/>
                    </w:rPr>
                    <w:t>绝缘漆</w:t>
                  </w:r>
                </w:p>
              </w:tc>
              <w:tc>
                <w:tcPr>
                  <w:tcW w:w="2137" w:type="dxa"/>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0.3</w:t>
                  </w:r>
                </w:p>
              </w:tc>
              <w:tc>
                <w:tcPr>
                  <w:tcW w:w="2354" w:type="dxa"/>
                  <w:noWrap w:val="0"/>
                  <w:vAlign w:val="center"/>
                </w:tcPr>
                <w:p>
                  <w:pPr>
                    <w:pStyle w:val="184"/>
                    <w:spacing w:line="360" w:lineRule="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50</w:t>
                  </w:r>
                </w:p>
              </w:tc>
              <w:tc>
                <w:tcPr>
                  <w:tcW w:w="2076" w:type="dxa"/>
                  <w:noWrap w:val="0"/>
                  <w:vAlign w:val="center"/>
                </w:tcPr>
                <w:p>
                  <w:pPr>
                    <w:pStyle w:val="184"/>
                    <w:spacing w:line="360" w:lineRule="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0.006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7" w:hRule="atLeast"/>
                <w:jc w:val="center"/>
              </w:trPr>
              <w:tc>
                <w:tcPr>
                  <w:tcW w:w="1008" w:type="dxa"/>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2</w:t>
                  </w:r>
                </w:p>
              </w:tc>
              <w:tc>
                <w:tcPr>
                  <w:tcW w:w="1474"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稀释剂</w:t>
                  </w:r>
                </w:p>
              </w:tc>
              <w:tc>
                <w:tcPr>
                  <w:tcW w:w="2137" w:type="dxa"/>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0.05</w:t>
                  </w:r>
                </w:p>
              </w:tc>
              <w:tc>
                <w:tcPr>
                  <w:tcW w:w="2354" w:type="dxa"/>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10</w:t>
                  </w:r>
                </w:p>
              </w:tc>
              <w:tc>
                <w:tcPr>
                  <w:tcW w:w="2076" w:type="dxa"/>
                  <w:noWrap w:val="0"/>
                  <w:vAlign w:val="center"/>
                </w:tcPr>
                <w:p>
                  <w:pPr>
                    <w:pStyle w:val="184"/>
                    <w:spacing w:line="360" w:lineRule="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7" w:hRule="atLeast"/>
                <w:jc w:val="center"/>
              </w:trPr>
              <w:tc>
                <w:tcPr>
                  <w:tcW w:w="1008" w:type="dxa"/>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3</w:t>
                  </w:r>
                </w:p>
              </w:tc>
              <w:tc>
                <w:tcPr>
                  <w:tcW w:w="1474"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油类物质</w:t>
                  </w:r>
                </w:p>
              </w:tc>
              <w:tc>
                <w:tcPr>
                  <w:tcW w:w="2137" w:type="dxa"/>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0.5</w:t>
                  </w:r>
                </w:p>
              </w:tc>
              <w:tc>
                <w:tcPr>
                  <w:tcW w:w="2354" w:type="dxa"/>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2500</w:t>
                  </w:r>
                </w:p>
              </w:tc>
              <w:tc>
                <w:tcPr>
                  <w:tcW w:w="2076" w:type="dxa"/>
                  <w:noWrap w:val="0"/>
                  <w:vAlign w:val="center"/>
                </w:tcPr>
                <w:p>
                  <w:pPr>
                    <w:spacing w:line="360" w:lineRule="auto"/>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0.0002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57" w:hRule="atLeast"/>
                <w:jc w:val="center"/>
              </w:trPr>
              <w:tc>
                <w:tcPr>
                  <w:tcW w:w="1008" w:type="dxa"/>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4</w:t>
                  </w:r>
                </w:p>
              </w:tc>
              <w:tc>
                <w:tcPr>
                  <w:tcW w:w="1474"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液化石油气</w:t>
                  </w:r>
                </w:p>
              </w:tc>
              <w:tc>
                <w:tcPr>
                  <w:tcW w:w="2137" w:type="dxa"/>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0.5</w:t>
                  </w:r>
                </w:p>
              </w:tc>
              <w:tc>
                <w:tcPr>
                  <w:tcW w:w="2354" w:type="dxa"/>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10</w:t>
                  </w:r>
                </w:p>
              </w:tc>
              <w:tc>
                <w:tcPr>
                  <w:tcW w:w="2076" w:type="dxa"/>
                  <w:noWrap w:val="0"/>
                  <w:vAlign w:val="center"/>
                </w:tcPr>
                <w:p>
                  <w:pPr>
                    <w:spacing w:line="360" w:lineRule="auto"/>
                    <w:jc w:val="center"/>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0.05</w:t>
                  </w:r>
                </w:p>
              </w:tc>
            </w:tr>
          </w:tbl>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w:t>
            </w:r>
            <w:r>
              <w:rPr>
                <w:rFonts w:hint="eastAsia" w:cs="Times New Roman"/>
                <w:color w:val="auto"/>
                <w:sz w:val="24"/>
                <w:szCs w:val="24"/>
                <w:u w:val="none" w:color="auto"/>
                <w:lang w:eastAsia="zh-CN"/>
              </w:rPr>
              <w:t>上</w:t>
            </w:r>
            <w:r>
              <w:rPr>
                <w:rFonts w:hint="default" w:ascii="Times New Roman" w:hAnsi="Times New Roman" w:cs="Times New Roman"/>
                <w:color w:val="auto"/>
                <w:sz w:val="24"/>
                <w:szCs w:val="24"/>
                <w:u w:val="none" w:color="auto"/>
              </w:rPr>
              <w:t>表计算可知，项目</w:t>
            </w:r>
            <w:r>
              <w:rPr>
                <w:rFonts w:hint="default" w:ascii="Times New Roman" w:hAnsi="Times New Roman" w:cs="Times New Roman"/>
                <w:color w:val="auto"/>
                <w:sz w:val="24"/>
                <w:szCs w:val="24"/>
                <w:u w:val="none" w:color="auto"/>
                <w:lang w:val="en-US" w:eastAsia="zh-CN"/>
              </w:rPr>
              <w:t>qi/Qi</w:t>
            </w:r>
            <w:r>
              <w:rPr>
                <w:rFonts w:hint="eastAsia" w:ascii="Times New Roman" w:hAnsi="Times New Roman" w:cs="Times New Roman"/>
                <w:color w:val="auto"/>
                <w:sz w:val="24"/>
                <w:szCs w:val="24"/>
                <w:u w:val="none" w:color="auto"/>
                <w:lang w:val="en-US" w:eastAsia="zh-CN"/>
              </w:rPr>
              <w:t>=0.0612</w:t>
            </w:r>
            <w:r>
              <w:rPr>
                <w:rFonts w:hint="default" w:ascii="Times New Roman" w:hAnsi="Times New Roman" w:cs="Times New Roman"/>
                <w:color w:val="auto"/>
                <w:sz w:val="24"/>
                <w:szCs w:val="24"/>
                <w:u w:val="none" w:color="auto"/>
              </w:rPr>
              <w:t>＜1，</w:t>
            </w:r>
            <w:r>
              <w:rPr>
                <w:rFonts w:hint="default" w:ascii="Times New Roman" w:hAnsi="Times New Roman" w:cs="Times New Roman"/>
                <w:color w:val="auto"/>
                <w:sz w:val="24"/>
                <w:szCs w:val="24"/>
                <w:u w:val="none" w:color="auto"/>
                <w:lang w:val="en-US" w:eastAsia="zh-CN"/>
              </w:rPr>
              <w:t>则</w:t>
            </w:r>
            <w:r>
              <w:rPr>
                <w:rFonts w:hint="default" w:ascii="Times New Roman" w:hAnsi="Times New Roman" w:cs="Times New Roman"/>
                <w:b/>
                <w:bCs/>
                <w:color w:val="auto"/>
                <w:sz w:val="24"/>
                <w:szCs w:val="24"/>
                <w:u w:val="none" w:color="auto"/>
                <w:lang w:val="en-US" w:eastAsia="zh-CN"/>
              </w:rPr>
              <w:t>该项目环境风险潜势为Ⅰ</w:t>
            </w:r>
            <w:r>
              <w:rPr>
                <w:rFonts w:hint="default" w:ascii="Times New Roman" w:hAnsi="Times New Roman" w:cs="Times New Roman"/>
                <w:color w:val="auto"/>
                <w:sz w:val="24"/>
                <w:u w:val="none" w:color="auto"/>
                <w:lang w:val="en-US" w:eastAsia="zh-CN"/>
              </w:rPr>
              <w:t>，评价工作等级为简单分析</w:t>
            </w:r>
            <w:r>
              <w:rPr>
                <w:rFonts w:hint="default" w:ascii="Times New Roman" w:hAnsi="Times New Roman" w:cs="Times New Roman"/>
                <w:color w:val="auto"/>
                <w:sz w:val="24"/>
                <w:szCs w:val="24"/>
                <w:u w:val="none" w:color="auto"/>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本项目的环境风险评价工作等级为简单分析。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）项目营运期会用到</w:t>
            </w:r>
            <w:r>
              <w:rPr>
                <w:rFonts w:hint="eastAsia" w:cs="Times New Roman"/>
                <w:color w:val="auto"/>
                <w:kern w:val="0"/>
                <w:sz w:val="24"/>
                <w:szCs w:val="24"/>
                <w:u w:val="none" w:color="auto"/>
                <w:lang w:val="en-US" w:eastAsia="zh-CN" w:bidi="ar"/>
              </w:rPr>
              <w:t>油类物质</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绝缘漆</w:t>
            </w:r>
            <w:r>
              <w:rPr>
                <w:rFonts w:hint="eastAsia" w:ascii="Times New Roman" w:hAnsi="Times New Roman" w:eastAsia="宋体" w:cs="Times New Roman"/>
                <w:color w:val="auto"/>
                <w:kern w:val="0"/>
                <w:sz w:val="24"/>
                <w:szCs w:val="24"/>
                <w:u w:val="none" w:color="auto"/>
                <w:lang w:val="en-US" w:eastAsia="zh-CN" w:bidi="ar"/>
              </w:rPr>
              <w:t>、稀释剂、水性漆均用桶储存</w:t>
            </w:r>
            <w:r>
              <w:rPr>
                <w:rFonts w:hint="eastAsia" w:cs="Times New Roman"/>
                <w:color w:val="auto"/>
                <w:kern w:val="0"/>
                <w:sz w:val="24"/>
                <w:szCs w:val="24"/>
                <w:u w:val="none" w:color="auto"/>
                <w:lang w:val="en-US" w:eastAsia="zh-CN" w:bidi="ar"/>
              </w:rPr>
              <w:t>，液化石油气使用罐装</w:t>
            </w:r>
            <w:r>
              <w:rPr>
                <w:rFonts w:hint="eastAsia" w:ascii="Times New Roman" w:hAnsi="Times New Roman" w:eastAsia="宋体" w:cs="Times New Roman"/>
                <w:color w:val="auto"/>
                <w:kern w:val="0"/>
                <w:sz w:val="24"/>
                <w:szCs w:val="24"/>
                <w:u w:val="none" w:color="auto"/>
                <w:lang w:val="en-US" w:eastAsia="zh-CN" w:bidi="ar"/>
              </w:rPr>
              <w:t>，若</w:t>
            </w:r>
            <w:r>
              <w:rPr>
                <w:rFonts w:hint="eastAsia" w:cs="Times New Roman"/>
                <w:color w:val="auto"/>
                <w:kern w:val="0"/>
                <w:sz w:val="24"/>
                <w:szCs w:val="24"/>
                <w:u w:val="none" w:color="auto"/>
                <w:lang w:val="en-US" w:eastAsia="zh-CN" w:bidi="ar"/>
              </w:rPr>
              <w:t>油类物质</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绝缘漆</w:t>
            </w:r>
            <w:r>
              <w:rPr>
                <w:rFonts w:hint="eastAsia" w:ascii="Times New Roman" w:hAnsi="Times New Roman" w:eastAsia="宋体" w:cs="Times New Roman"/>
                <w:color w:val="auto"/>
                <w:kern w:val="0"/>
                <w:sz w:val="24"/>
                <w:szCs w:val="24"/>
                <w:u w:val="none" w:color="auto"/>
                <w:lang w:val="en-US" w:eastAsia="zh-CN" w:bidi="ar"/>
              </w:rPr>
              <w:t>、稀释剂、水性漆</w:t>
            </w:r>
            <w:r>
              <w:rPr>
                <w:rFonts w:hint="eastAsia" w:cs="Times New Roman"/>
                <w:color w:val="auto"/>
                <w:kern w:val="0"/>
                <w:sz w:val="24"/>
                <w:szCs w:val="24"/>
                <w:u w:val="none" w:color="auto"/>
                <w:lang w:val="en-US" w:eastAsia="zh-CN" w:bidi="ar"/>
              </w:rPr>
              <w:t>、液化石油气</w:t>
            </w:r>
            <w:r>
              <w:rPr>
                <w:rFonts w:hint="eastAsia" w:ascii="Times New Roman" w:hAnsi="Times New Roman" w:eastAsia="宋体" w:cs="Times New Roman"/>
                <w:color w:val="auto"/>
                <w:kern w:val="0"/>
                <w:sz w:val="24"/>
                <w:szCs w:val="24"/>
                <w:u w:val="none" w:color="auto"/>
                <w:lang w:val="en-US" w:eastAsia="zh-CN" w:bidi="ar"/>
              </w:rPr>
              <w:t>泄漏到环境中，其有机溶剂会挥发，可能污染大气环境。如泄漏经雨水管网进入洋沙河，将会对洋沙河水质造成影响；</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）本项目</w:t>
            </w:r>
            <w:r>
              <w:rPr>
                <w:rFonts w:hint="eastAsia" w:cs="Times New Roman"/>
                <w:color w:val="auto"/>
                <w:kern w:val="0"/>
                <w:sz w:val="24"/>
                <w:szCs w:val="24"/>
                <w:u w:val="none" w:color="auto"/>
                <w:lang w:val="en-US" w:eastAsia="zh-CN" w:bidi="ar"/>
              </w:rPr>
              <w:t>油类物质</w:t>
            </w:r>
            <w:r>
              <w:rPr>
                <w:rFonts w:hint="eastAsia" w:ascii="Times New Roman" w:hAnsi="Times New Roman" w:eastAsia="宋体" w:cs="Times New Roman"/>
                <w:color w:val="auto"/>
                <w:kern w:val="0"/>
                <w:sz w:val="24"/>
                <w:szCs w:val="24"/>
                <w:u w:val="none" w:color="auto"/>
                <w:lang w:val="en-US" w:eastAsia="zh-CN" w:bidi="ar"/>
              </w:rPr>
              <w:t>、稀释剂、水性漆</w:t>
            </w:r>
            <w:r>
              <w:rPr>
                <w:rFonts w:hint="eastAsia" w:cs="Times New Roman"/>
                <w:color w:val="auto"/>
                <w:kern w:val="0"/>
                <w:sz w:val="24"/>
                <w:szCs w:val="24"/>
                <w:u w:val="none" w:color="auto"/>
                <w:lang w:val="en-US" w:eastAsia="zh-CN" w:bidi="ar"/>
              </w:rPr>
              <w:t>、绝缘漆、液化石油气</w:t>
            </w:r>
            <w:r>
              <w:rPr>
                <w:rFonts w:hint="eastAsia" w:ascii="Times New Roman" w:hAnsi="Times New Roman" w:eastAsia="宋体" w:cs="Times New Roman"/>
                <w:color w:val="auto"/>
                <w:kern w:val="0"/>
                <w:sz w:val="24"/>
                <w:szCs w:val="24"/>
                <w:u w:val="none" w:color="auto"/>
                <w:lang w:val="en-US" w:eastAsia="zh-CN" w:bidi="ar"/>
              </w:rPr>
              <w:t>遇明火易燃，故本项目最大可信事故为遇明火导致</w:t>
            </w:r>
            <w:r>
              <w:rPr>
                <w:rFonts w:hint="eastAsia" w:cs="Times New Roman"/>
                <w:color w:val="auto"/>
                <w:kern w:val="0"/>
                <w:sz w:val="24"/>
                <w:szCs w:val="24"/>
                <w:u w:val="none" w:color="auto"/>
                <w:lang w:val="en-US" w:eastAsia="zh-CN" w:bidi="ar"/>
              </w:rPr>
              <w:t>油类物质</w:t>
            </w:r>
            <w:r>
              <w:rPr>
                <w:rFonts w:hint="eastAsia" w:ascii="Times New Roman" w:hAnsi="Times New Roman" w:eastAsia="宋体" w:cs="Times New Roman"/>
                <w:color w:val="auto"/>
                <w:kern w:val="0"/>
                <w:sz w:val="24"/>
                <w:szCs w:val="24"/>
                <w:u w:val="none" w:color="auto"/>
                <w:lang w:val="en-US" w:eastAsia="zh-CN" w:bidi="ar"/>
              </w:rPr>
              <w:t>、稀释剂、水性漆</w:t>
            </w:r>
            <w:r>
              <w:rPr>
                <w:rFonts w:hint="eastAsia" w:cs="Times New Roman"/>
                <w:color w:val="auto"/>
                <w:kern w:val="0"/>
                <w:sz w:val="24"/>
                <w:szCs w:val="24"/>
                <w:u w:val="none" w:color="auto"/>
                <w:lang w:val="en-US" w:eastAsia="zh-CN" w:bidi="ar"/>
              </w:rPr>
              <w:t>、液化石油气</w:t>
            </w:r>
            <w:r>
              <w:rPr>
                <w:rFonts w:hint="eastAsia" w:ascii="Times New Roman" w:hAnsi="Times New Roman" w:eastAsia="宋体" w:cs="Times New Roman"/>
                <w:color w:val="auto"/>
                <w:kern w:val="0"/>
                <w:sz w:val="24"/>
                <w:szCs w:val="24"/>
                <w:u w:val="none" w:color="auto"/>
                <w:lang w:val="en-US" w:eastAsia="zh-CN" w:bidi="ar"/>
              </w:rPr>
              <w:t>燃烧造成的火灾风险。</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（3）项目废气经处理后高空排放，如遇处理设备故障或者吸附效率低下导致废气超标排放，将对工业园大气环境造成影响。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 xml:space="preserve"> </w:t>
            </w:r>
            <w:r>
              <w:rPr>
                <w:rFonts w:hint="eastAsia" w:ascii="Times New Roman" w:hAnsi="Times New Roman" w:eastAsia="宋体" w:cs="Times New Roman"/>
                <w:color w:val="auto"/>
                <w:kern w:val="0"/>
                <w:sz w:val="24"/>
                <w:szCs w:val="24"/>
                <w:u w:val="none" w:color="auto"/>
                <w:lang w:val="en-US" w:eastAsia="zh-CN" w:bidi="ar"/>
              </w:rPr>
              <w:t xml:space="preserve">环境风险分析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环评参照过往已经发生的事故情况确定本次评价的最大可信事故为：</w:t>
            </w:r>
            <w:r>
              <w:rPr>
                <w:rFonts w:hint="eastAsia" w:cs="Times New Roman"/>
                <w:color w:val="auto"/>
                <w:kern w:val="0"/>
                <w:sz w:val="24"/>
                <w:szCs w:val="24"/>
                <w:u w:val="none" w:color="auto"/>
                <w:lang w:val="en-US" w:eastAsia="zh-CN" w:bidi="ar"/>
              </w:rPr>
              <w:t>油类物质</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绝缘漆</w:t>
            </w:r>
            <w:r>
              <w:rPr>
                <w:rFonts w:hint="eastAsia" w:ascii="Times New Roman" w:hAnsi="Times New Roman" w:eastAsia="宋体" w:cs="Times New Roman"/>
                <w:color w:val="auto"/>
                <w:kern w:val="0"/>
                <w:sz w:val="24"/>
                <w:szCs w:val="24"/>
                <w:u w:val="none" w:color="auto"/>
                <w:lang w:val="en-US" w:eastAsia="zh-CN" w:bidi="ar"/>
              </w:rPr>
              <w:t>、稀释剂、水性漆</w:t>
            </w:r>
            <w:r>
              <w:rPr>
                <w:rFonts w:hint="eastAsia" w:cs="Times New Roman"/>
                <w:color w:val="auto"/>
                <w:kern w:val="0"/>
                <w:sz w:val="24"/>
                <w:szCs w:val="24"/>
                <w:u w:val="none" w:color="auto"/>
                <w:lang w:val="en-US" w:eastAsia="zh-CN" w:bidi="ar"/>
              </w:rPr>
              <w:t>、液化石油气</w:t>
            </w:r>
            <w:r>
              <w:rPr>
                <w:rFonts w:hint="eastAsia" w:ascii="Times New Roman" w:hAnsi="Times New Roman" w:eastAsia="宋体" w:cs="Times New Roman"/>
                <w:color w:val="auto"/>
                <w:kern w:val="0"/>
                <w:sz w:val="24"/>
                <w:szCs w:val="24"/>
                <w:u w:val="none" w:color="auto"/>
                <w:lang w:val="en-US" w:eastAsia="zh-CN" w:bidi="ar"/>
              </w:rPr>
              <w:t xml:space="preserve">泄漏事故、废气超标排放。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）泄漏事故影响分析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本项目若管理操作不当或意外事故，如贮桶遇昼夜温差变化较大而导致泄漏，存在着</w:t>
            </w:r>
            <w:r>
              <w:rPr>
                <w:rFonts w:hint="eastAsia" w:cs="Times New Roman"/>
                <w:color w:val="auto"/>
                <w:kern w:val="0"/>
                <w:sz w:val="24"/>
                <w:szCs w:val="24"/>
                <w:u w:val="none" w:color="auto"/>
                <w:lang w:val="en-US" w:eastAsia="zh-CN" w:bidi="ar"/>
              </w:rPr>
              <w:t>油类物质</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绝缘漆</w:t>
            </w:r>
            <w:r>
              <w:rPr>
                <w:rFonts w:hint="eastAsia" w:ascii="Times New Roman" w:hAnsi="Times New Roman" w:eastAsia="宋体" w:cs="Times New Roman"/>
                <w:color w:val="auto"/>
                <w:kern w:val="0"/>
                <w:sz w:val="24"/>
                <w:szCs w:val="24"/>
                <w:u w:val="none" w:color="auto"/>
                <w:lang w:val="en-US" w:eastAsia="zh-CN" w:bidi="ar"/>
              </w:rPr>
              <w:t>、稀释剂、水性漆</w:t>
            </w:r>
            <w:r>
              <w:rPr>
                <w:rFonts w:hint="eastAsia" w:cs="Times New Roman"/>
                <w:color w:val="auto"/>
                <w:kern w:val="0"/>
                <w:sz w:val="24"/>
                <w:szCs w:val="24"/>
                <w:u w:val="none" w:color="auto"/>
                <w:lang w:val="en-US" w:eastAsia="zh-CN" w:bidi="ar"/>
              </w:rPr>
              <w:t>、液化石油气</w:t>
            </w:r>
            <w:r>
              <w:rPr>
                <w:rFonts w:hint="eastAsia" w:ascii="Times New Roman" w:hAnsi="Times New Roman" w:eastAsia="宋体" w:cs="Times New Roman"/>
                <w:color w:val="auto"/>
                <w:kern w:val="0"/>
                <w:sz w:val="24"/>
                <w:szCs w:val="24"/>
                <w:u w:val="none" w:color="auto"/>
                <w:lang w:val="en-US" w:eastAsia="zh-CN" w:bidi="ar"/>
              </w:rPr>
              <w:t xml:space="preserve">泄漏事故风险。这不仅会对周围环境产生较大的污染影响，甚至还要危及人身的生命安全。此外，储存、装卸过程可能造成的原料泄漏，除在大气中挥发而损耗外，其余部分会随着地面冲洗水进入污水管道，如果不做好清污分流，地面冲洗水有可能进入雨水管道，从而造成地表水体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 xml:space="preserve">）火灾事故影响分析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一旦发生火灾事故，有毒有害气体可通过热辐射、烟雾及冲击波等形式扩散至空气中，泄漏液体和消防水将进入排水系统以及渗透到土壤中，会造成财产损失和人员伤亡，以及水环境、土壤环境的污染。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（3）废气超标排放事故影响分析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本项目若管理操作不当或设备故障、处理能力低下，如风机、UV光解设备损坏、活性炭已饱和吸附效率低下导致废气超标排放。这不仅会对周围环境产生较大的污染影响，甚至还要危及人身的生命安全。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环境风险防范措施及应急要求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）火灾风险防范措施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a</w:t>
            </w:r>
            <w:r>
              <w:rPr>
                <w:rFonts w:hint="eastAsia" w:ascii="Times New Roman" w:hAnsi="Times New Roman" w:eastAsia="宋体" w:cs="Times New Roman"/>
                <w:color w:val="auto"/>
                <w:kern w:val="0"/>
                <w:sz w:val="24"/>
                <w:szCs w:val="24"/>
                <w:u w:val="none" w:color="auto"/>
                <w:lang w:val="en-US" w:eastAsia="zh-CN" w:bidi="ar"/>
              </w:rPr>
              <w:t xml:space="preserve">、火患往往起于细微之处，要格外注意用电的安全，合理布置电源电线的使用。不要同时使用大功率电器，也不要把所有电器设备的插头都插在一个接线板上，避免线路老化，短路发生火灾。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b</w:t>
            </w:r>
            <w:r>
              <w:rPr>
                <w:rFonts w:hint="eastAsia" w:ascii="Times New Roman" w:hAnsi="Times New Roman" w:eastAsia="宋体" w:cs="Times New Roman"/>
                <w:color w:val="auto"/>
                <w:kern w:val="0"/>
                <w:sz w:val="24"/>
                <w:szCs w:val="24"/>
                <w:u w:val="none" w:color="auto"/>
                <w:lang w:val="en-US" w:eastAsia="zh-CN" w:bidi="ar"/>
              </w:rPr>
              <w:t xml:space="preserve">、易燃物品贮存区禁止明火进入，严禁吸烟。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c</w:t>
            </w:r>
            <w:r>
              <w:rPr>
                <w:rFonts w:hint="eastAsia" w:ascii="Times New Roman" w:hAnsi="Times New Roman" w:eastAsia="宋体" w:cs="Times New Roman"/>
                <w:color w:val="auto"/>
                <w:kern w:val="0"/>
                <w:sz w:val="24"/>
                <w:szCs w:val="24"/>
                <w:u w:val="none" w:color="auto"/>
                <w:lang w:val="en-US" w:eastAsia="zh-CN" w:bidi="ar"/>
              </w:rPr>
              <w:t xml:space="preserve">、生产厂房、易燃物品贮存区须确保全面通风、配备相应品种和数量的消防器材，预留必要的安全间距，远离火种和热源，防止阳光直射。车间工作人员及相关责任人均应熟悉其放置地点，用法，而且要经常检查，消防通道保持畅通。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d</w:t>
            </w:r>
            <w:r>
              <w:rPr>
                <w:rFonts w:hint="eastAsia" w:ascii="Times New Roman" w:hAnsi="Times New Roman" w:eastAsia="宋体" w:cs="Times New Roman"/>
                <w:color w:val="auto"/>
                <w:kern w:val="0"/>
                <w:sz w:val="24"/>
                <w:szCs w:val="24"/>
                <w:u w:val="none" w:color="auto"/>
                <w:lang w:val="en-US" w:eastAsia="zh-CN" w:bidi="ar"/>
              </w:rPr>
              <w:t xml:space="preserve">、应加强消防设施及消防教育建设，对重要场所需要重点防范，制定严格的操作规范，避免火灾等事故发生。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e</w:t>
            </w:r>
            <w:r>
              <w:rPr>
                <w:rFonts w:hint="eastAsia" w:ascii="Times New Roman" w:hAnsi="Times New Roman" w:eastAsia="宋体" w:cs="Times New Roman"/>
                <w:color w:val="auto"/>
                <w:kern w:val="0"/>
                <w:sz w:val="24"/>
                <w:szCs w:val="24"/>
                <w:u w:val="none" w:color="auto"/>
                <w:lang w:val="en-US" w:eastAsia="zh-CN" w:bidi="ar"/>
              </w:rPr>
              <w:t xml:space="preserve">、确保安全出口和疏散通道畅通无阻。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f</w:t>
            </w:r>
            <w:r>
              <w:rPr>
                <w:rFonts w:hint="eastAsia" w:ascii="Times New Roman" w:hAnsi="Times New Roman" w:eastAsia="宋体" w:cs="Times New Roman"/>
                <w:color w:val="auto"/>
                <w:kern w:val="0"/>
                <w:sz w:val="24"/>
                <w:szCs w:val="24"/>
                <w:u w:val="none" w:color="auto"/>
                <w:lang w:val="en-US" w:eastAsia="zh-CN" w:bidi="ar"/>
              </w:rPr>
              <w:t>、加强电气防火安全管理，消除火灾隐患，不得超负荷用电，不得擅自拉接临时电线。</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g</w:t>
            </w:r>
            <w:r>
              <w:rPr>
                <w:rFonts w:hint="eastAsia" w:ascii="Times New Roman" w:hAnsi="Times New Roman" w:eastAsia="宋体" w:cs="Times New Roman"/>
                <w:color w:val="auto"/>
                <w:kern w:val="0"/>
                <w:sz w:val="24"/>
                <w:szCs w:val="24"/>
                <w:u w:val="none" w:color="auto"/>
                <w:lang w:val="en-US" w:eastAsia="zh-CN" w:bidi="ar"/>
              </w:rPr>
              <w:t xml:space="preserve">、对于电器的使用，应当养成随手断电、随手关灯的好习惯。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h</w:t>
            </w:r>
            <w:r>
              <w:rPr>
                <w:rFonts w:hint="eastAsia" w:ascii="Times New Roman" w:hAnsi="Times New Roman" w:eastAsia="宋体" w:cs="Times New Roman"/>
                <w:color w:val="auto"/>
                <w:kern w:val="0"/>
                <w:sz w:val="24"/>
                <w:szCs w:val="24"/>
                <w:u w:val="none" w:color="auto"/>
                <w:lang w:val="en-US" w:eastAsia="zh-CN" w:bidi="ar"/>
              </w:rPr>
              <w:t>、定期对操作人员进行安全生产与安全知识培训，并制定严格的安全操作规程</w:t>
            </w:r>
            <w:r>
              <w:rPr>
                <w:rFonts w:hint="eastAsia" w:cs="Times New Roman"/>
                <w:color w:val="auto"/>
                <w:kern w:val="0"/>
                <w:sz w:val="24"/>
                <w:szCs w:val="24"/>
                <w:u w:val="none" w:color="auto"/>
                <w:lang w:val="en-US" w:eastAsia="zh-CN" w:bidi="ar"/>
              </w:rPr>
              <w:t>，</w:t>
            </w:r>
            <w:r>
              <w:rPr>
                <w:rFonts w:hint="eastAsia" w:ascii="Times New Roman" w:hAnsi="Times New Roman" w:eastAsia="宋体" w:cs="Times New Roman"/>
                <w:color w:val="auto"/>
                <w:kern w:val="0"/>
                <w:sz w:val="24"/>
                <w:szCs w:val="24"/>
                <w:u w:val="none" w:color="auto"/>
                <w:lang w:val="en-US" w:eastAsia="zh-CN" w:bidi="ar"/>
              </w:rPr>
              <w:t xml:space="preserve">切实加强生产过程中的温度控制，保证劳动安全，防止意外事故的发生。应加强消防设施及消防教育建设，对厂区等重要场所需要重点防范，制定严格的操作规范，避免火灾等事故发生。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i</w:t>
            </w:r>
            <w:r>
              <w:rPr>
                <w:rFonts w:hint="eastAsia" w:ascii="Times New Roman" w:hAnsi="Times New Roman" w:eastAsia="宋体" w:cs="Times New Roman"/>
                <w:color w:val="auto"/>
                <w:kern w:val="0"/>
                <w:sz w:val="24"/>
                <w:szCs w:val="24"/>
                <w:u w:val="none" w:color="auto"/>
                <w:lang w:val="en-US" w:eastAsia="zh-CN" w:bidi="ar"/>
              </w:rPr>
              <w:t xml:space="preserve">、火灾发生时，先把总电源关掉，按响警铃以警示车间内其他人员，同时联络消防队，利用灭火器尽量灭火，如果无效，应该马上离开现场到安全地点集合，在离开时要确保所有人都已经离开车间，再把门窗关上。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j</w:t>
            </w:r>
            <w:r>
              <w:rPr>
                <w:rFonts w:hint="eastAsia" w:ascii="Times New Roman" w:hAnsi="Times New Roman" w:eastAsia="宋体" w:cs="Times New Roman"/>
                <w:color w:val="auto"/>
                <w:kern w:val="0"/>
                <w:sz w:val="24"/>
                <w:szCs w:val="24"/>
                <w:u w:val="none" w:color="auto"/>
                <w:lang w:val="en-US" w:eastAsia="zh-CN" w:bidi="ar"/>
              </w:rPr>
              <w:t xml:space="preserve">、为了减轻万一发生火灾事故造成的损失，工厂还应该制定火灾应急预案，并报上级主管部门批准，并定期演练。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 xml:space="preserve">）泄漏防范措施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a</w:t>
            </w:r>
            <w:r>
              <w:rPr>
                <w:rFonts w:hint="eastAsia" w:ascii="Times New Roman" w:hAnsi="Times New Roman" w:eastAsia="宋体" w:cs="Times New Roman"/>
                <w:color w:val="auto"/>
                <w:kern w:val="0"/>
                <w:sz w:val="24"/>
                <w:szCs w:val="24"/>
                <w:u w:val="none" w:color="auto"/>
                <w:lang w:val="en-US" w:eastAsia="zh-CN" w:bidi="ar"/>
              </w:rPr>
              <w:t>、运营期除定期检查</w:t>
            </w:r>
            <w:r>
              <w:rPr>
                <w:rFonts w:hint="eastAsia" w:cs="Times New Roman"/>
                <w:color w:val="auto"/>
                <w:kern w:val="0"/>
                <w:sz w:val="24"/>
                <w:szCs w:val="24"/>
                <w:u w:val="none" w:color="auto"/>
                <w:lang w:val="en-US" w:eastAsia="zh-CN" w:bidi="ar"/>
              </w:rPr>
              <w:t>油类物质</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绝缘漆</w:t>
            </w:r>
            <w:r>
              <w:rPr>
                <w:rFonts w:hint="eastAsia" w:ascii="Times New Roman" w:hAnsi="Times New Roman" w:eastAsia="宋体" w:cs="Times New Roman"/>
                <w:color w:val="auto"/>
                <w:kern w:val="0"/>
                <w:sz w:val="24"/>
                <w:szCs w:val="24"/>
                <w:u w:val="none" w:color="auto"/>
                <w:lang w:val="en-US" w:eastAsia="zh-CN" w:bidi="ar"/>
              </w:rPr>
              <w:t>、稀释剂、水性漆</w:t>
            </w:r>
            <w:r>
              <w:rPr>
                <w:rFonts w:hint="eastAsia" w:cs="Times New Roman"/>
                <w:color w:val="auto"/>
                <w:kern w:val="0"/>
                <w:sz w:val="24"/>
                <w:szCs w:val="24"/>
                <w:u w:val="none" w:color="auto"/>
                <w:lang w:val="en-US" w:eastAsia="zh-CN" w:bidi="ar"/>
              </w:rPr>
              <w:t>、液化石油气</w:t>
            </w:r>
            <w:r>
              <w:rPr>
                <w:rFonts w:hint="eastAsia" w:ascii="Times New Roman" w:hAnsi="Times New Roman" w:eastAsia="宋体" w:cs="Times New Roman"/>
                <w:color w:val="auto"/>
                <w:kern w:val="0"/>
                <w:sz w:val="24"/>
                <w:szCs w:val="24"/>
                <w:u w:val="none" w:color="auto"/>
                <w:lang w:val="en-US" w:eastAsia="zh-CN" w:bidi="ar"/>
              </w:rPr>
              <w:t>等是否发生泄露外，还应对车间地面进行水泥硬化，并作防渗处理，特别是截流沟和地坑</w:t>
            </w:r>
            <w:r>
              <w:rPr>
                <w:rFonts w:hint="eastAsia" w:cs="Times New Roman"/>
                <w:color w:val="auto"/>
                <w:kern w:val="0"/>
                <w:sz w:val="24"/>
                <w:szCs w:val="24"/>
                <w:u w:val="none" w:color="auto"/>
                <w:lang w:val="en-US" w:eastAsia="zh-CN" w:bidi="ar"/>
              </w:rPr>
              <w:t>，液化石油气储存位置需设置喷淋设施（液化气泄漏后可及时进行喷淋沉降）</w:t>
            </w:r>
            <w:r>
              <w:rPr>
                <w:rFonts w:hint="eastAsia" w:ascii="Times New Roman" w:hAnsi="Times New Roman" w:eastAsia="宋体" w:cs="Times New Roman"/>
                <w:color w:val="auto"/>
                <w:kern w:val="0"/>
                <w:sz w:val="24"/>
                <w:szCs w:val="24"/>
                <w:u w:val="none" w:color="auto"/>
                <w:lang w:val="en-US" w:eastAsia="zh-CN" w:bidi="ar"/>
              </w:rPr>
              <w:t xml:space="preserve">。应按照有关消防规范储存，并配备必要的消防设施。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b</w:t>
            </w:r>
            <w:r>
              <w:rPr>
                <w:rFonts w:hint="eastAsia" w:ascii="Times New Roman" w:hAnsi="Times New Roman" w:eastAsia="宋体" w:cs="Times New Roman"/>
                <w:color w:val="auto"/>
                <w:kern w:val="0"/>
                <w:sz w:val="24"/>
                <w:szCs w:val="24"/>
                <w:u w:val="none" w:color="auto"/>
                <w:lang w:val="en-US" w:eastAsia="zh-CN" w:bidi="ar"/>
              </w:rPr>
              <w:t xml:space="preserve">、危废暂存间应按规范设置，防止泄露的危废污染地表水体。同时，应强化管理，采用合格的容器储存废液，并及时交有资质的单位处置。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3</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废气超标排放防范措施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a</w:t>
            </w:r>
            <w:r>
              <w:rPr>
                <w:rFonts w:hint="default" w:ascii="Times New Roman" w:hAnsi="Times New Roman" w:eastAsia="宋体" w:cs="Times New Roman"/>
                <w:color w:val="auto"/>
                <w:kern w:val="0"/>
                <w:sz w:val="24"/>
                <w:szCs w:val="24"/>
                <w:u w:val="none" w:color="auto"/>
                <w:lang w:val="en-US" w:eastAsia="zh-CN" w:bidi="ar"/>
              </w:rPr>
              <w:t>废气末端治理措施必须确保日常正常运行，如发现人为原因不开启环保治理设置，责任人应受行政和经济处罚，并承担事故排放责任。若末端治理措施因故不能运行，则必须停止生产。</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b</w:t>
            </w:r>
            <w:r>
              <w:rPr>
                <w:rFonts w:hint="default" w:ascii="Times New Roman" w:hAnsi="Times New Roman" w:eastAsia="宋体" w:cs="Times New Roman"/>
                <w:color w:val="auto"/>
                <w:kern w:val="0"/>
                <w:sz w:val="24"/>
                <w:szCs w:val="24"/>
                <w:u w:val="none" w:color="auto"/>
                <w:lang w:val="en-US" w:eastAsia="zh-CN" w:bidi="ar"/>
              </w:rPr>
              <w:t>为确保处理效率，在车间设备检修期间，末端处理系统也应同时进行检修，日常应有专人负责进行维护。</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c</w:t>
            </w:r>
            <w:r>
              <w:rPr>
                <w:rFonts w:hint="default" w:ascii="Times New Roman" w:hAnsi="Times New Roman" w:eastAsia="宋体" w:cs="Times New Roman"/>
                <w:color w:val="auto"/>
                <w:kern w:val="0"/>
                <w:sz w:val="24"/>
                <w:szCs w:val="24"/>
                <w:u w:val="none" w:color="auto"/>
                <w:lang w:val="en-US" w:eastAsia="zh-CN" w:bidi="ar"/>
              </w:rPr>
              <w:t>废气处理岗位严格按照操作规程进行，确保废气处理效果。</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d</w:t>
            </w:r>
            <w:r>
              <w:rPr>
                <w:rFonts w:hint="default" w:ascii="Times New Roman" w:hAnsi="Times New Roman" w:eastAsia="宋体" w:cs="Times New Roman"/>
                <w:color w:val="auto"/>
                <w:kern w:val="0"/>
                <w:sz w:val="24"/>
                <w:szCs w:val="24"/>
                <w:u w:val="none" w:color="auto"/>
                <w:lang w:val="en-US" w:eastAsia="zh-CN" w:bidi="ar"/>
              </w:rPr>
              <w:t>对废气治理设施进行定期检修（每周至少一次），保证其正常运行，同时，为了确保废气净化设施的电力供应，本环评要求：</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如果全厂停电，停止生产，无污染物产生。为确保安全，风机仍然继续运转（采用应急发电机）。风机出现故障时，备用风机立即启动。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其他防范措施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厂区内应按照规范的要求配置手提式干粉灭火器、二氧化碳灭火器等。按规范要求配备足够的正压式防毒面具</w:t>
            </w:r>
            <w:r>
              <w:rPr>
                <w:rFonts w:hint="eastAsia" w:ascii="Times New Roman" w:hAnsi="Times New Roman" w:eastAsia="宋体" w:cs="Times New Roman"/>
                <w:color w:val="auto"/>
                <w:kern w:val="0"/>
                <w:sz w:val="24"/>
                <w:szCs w:val="24"/>
                <w:u w:val="none" w:color="auto"/>
                <w:lang w:val="en-US" w:eastAsia="zh-CN" w:bidi="ar"/>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cs="Times New Roman"/>
                <w:color w:val="auto"/>
                <w:kern w:val="0"/>
                <w:sz w:val="24"/>
                <w:szCs w:val="24"/>
                <w:u w:val="none" w:color="auto"/>
                <w:lang w:val="en-US" w:eastAsia="zh-CN" w:bidi="ar"/>
              </w:rPr>
              <w:t>（5）</w:t>
            </w:r>
            <w:r>
              <w:rPr>
                <w:rFonts w:hint="eastAsia" w:ascii="Times New Roman" w:hAnsi="Times New Roman" w:eastAsia="宋体" w:cs="Times New Roman"/>
                <w:color w:val="auto"/>
                <w:kern w:val="0"/>
                <w:sz w:val="24"/>
                <w:szCs w:val="24"/>
                <w:u w:val="none" w:color="auto"/>
                <w:lang w:val="en-US" w:eastAsia="zh-CN" w:bidi="ar"/>
              </w:rPr>
              <w:t xml:space="preserve">建立事故救援应急机制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为保证企业及人民生命财产的安全，在发生事故时，能够迅速有序的开展救援工作，尽最大努力减少事故的危害和损失，根据《企业事业单位突发环境事件应急预案备案管理办法（试行）》，公司需成立一负责人为总指挥，分管生产负责人为副指挥的事故应急救援队伍，指挥部下设立办公室、工程抢修救援组、医疗救护组、后勤保障组。制定《突发环境事故应急救援预案》和实施细则，组织专业队伍学习和演练，提高队伍实战能力，防患于未然，以便应急救援工作的顺利开展。同时该厂必须将本单位危险源及有关安全措施、应急措施报告地方政府的安全生产监督管理部门和有关部门，以便政府及有关部门能够及时掌握有关情况，一旦发生事故，政府及其有关部门可以调动有关方面的力量进行救援，以减少事故损失</w:t>
            </w:r>
            <w:r>
              <w:rPr>
                <w:rFonts w:hint="eastAsia" w:cs="Times New Roman"/>
                <w:color w:val="auto"/>
                <w:kern w:val="0"/>
                <w:sz w:val="24"/>
                <w:szCs w:val="24"/>
                <w:u w:val="none" w:color="auto"/>
                <w:lang w:val="en-US" w:eastAsia="zh-CN" w:bidi="ar"/>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项目环境风险简单分析内容表见表</w:t>
            </w:r>
            <w:r>
              <w:rPr>
                <w:rFonts w:hint="eastAsia" w:cs="Times New Roman"/>
                <w:color w:val="auto"/>
                <w:kern w:val="0"/>
                <w:sz w:val="24"/>
                <w:szCs w:val="24"/>
                <w:u w:val="none" w:color="auto"/>
                <w:lang w:val="en-US" w:eastAsia="zh-CN"/>
              </w:rPr>
              <w:t>7-26</w:t>
            </w:r>
            <w:r>
              <w:rPr>
                <w:rFonts w:hint="default" w:ascii="Times New Roman" w:hAnsi="Times New Roman" w:cs="Times New Roman"/>
                <w:color w:val="auto"/>
                <w:kern w:val="0"/>
                <w:sz w:val="24"/>
                <w:szCs w:val="24"/>
                <w:u w:val="none" w:color="auto"/>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kern w:val="0"/>
                <w:sz w:val="21"/>
                <w:szCs w:val="21"/>
                <w:u w:val="none" w:color="auto"/>
              </w:rPr>
            </w:pPr>
            <w:r>
              <w:rPr>
                <w:rFonts w:hint="default" w:ascii="Times New Roman" w:hAnsi="Times New Roman" w:eastAsia="宋体" w:cs="Times New Roman"/>
                <w:b/>
                <w:bCs w:val="0"/>
                <w:color w:val="auto"/>
                <w:sz w:val="21"/>
                <w:szCs w:val="21"/>
                <w:u w:val="none" w:color="auto"/>
              </w:rPr>
              <w:t>表</w:t>
            </w:r>
            <w:r>
              <w:rPr>
                <w:rFonts w:hint="eastAsia" w:cs="Times New Roman"/>
                <w:b/>
                <w:bCs w:val="0"/>
                <w:color w:val="auto"/>
                <w:sz w:val="21"/>
                <w:szCs w:val="21"/>
                <w:u w:val="none" w:color="auto"/>
                <w:lang w:val="en-US" w:eastAsia="zh-CN"/>
              </w:rPr>
              <w:t>7-26</w:t>
            </w:r>
            <w:r>
              <w:rPr>
                <w:rFonts w:hint="default" w:ascii="Times New Roman" w:hAnsi="Times New Roman" w:eastAsia="宋体" w:cs="Times New Roman"/>
                <w:b/>
                <w:bCs w:val="0"/>
                <w:color w:val="auto"/>
                <w:sz w:val="21"/>
                <w:szCs w:val="21"/>
                <w:u w:val="none" w:color="auto"/>
              </w:rPr>
              <w:t xml:space="preserve">  建设项目环境风险简单分析内容表</w:t>
            </w:r>
          </w:p>
          <w:tbl>
            <w:tblPr>
              <w:tblStyle w:val="39"/>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9"/>
              <w:gridCol w:w="1260"/>
              <w:gridCol w:w="1992"/>
              <w:gridCol w:w="1315"/>
              <w:gridCol w:w="22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建设项目名称</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eastAsia" w:cs="Times New Roman"/>
                      <w:color w:val="auto"/>
                      <w:sz w:val="24"/>
                      <w:szCs w:val="24"/>
                      <w:u w:val="none" w:color="auto"/>
                      <w:lang w:eastAsia="zh-CN"/>
                    </w:rPr>
                    <w:t>年产5000件消防设备及器材建设项目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建设地点</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4"/>
                      <w:szCs w:val="24"/>
                      <w:u w:val="none" w:color="auto"/>
                      <w:lang w:eastAsia="zh-CN"/>
                    </w:rPr>
                  </w:pPr>
                  <w:r>
                    <w:rPr>
                      <w:rFonts w:hint="eastAsia" w:ascii="Times New Roman" w:hAnsi="Times New Roman" w:cs="Times New Roman"/>
                      <w:color w:val="auto"/>
                      <w:kern w:val="0"/>
                      <w:sz w:val="24"/>
                      <w:szCs w:val="24"/>
                      <w:u w:val="none" w:color="auto"/>
                      <w:lang w:eastAsia="zh-CN"/>
                    </w:rPr>
                    <w:t>湖南省</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4"/>
                      <w:szCs w:val="24"/>
                      <w:u w:val="none" w:color="auto"/>
                      <w:lang w:eastAsia="zh-CN"/>
                    </w:rPr>
                  </w:pPr>
                  <w:r>
                    <w:rPr>
                      <w:rFonts w:hint="eastAsia" w:cs="Times New Roman"/>
                      <w:color w:val="auto"/>
                      <w:kern w:val="0"/>
                      <w:sz w:val="24"/>
                      <w:szCs w:val="24"/>
                      <w:u w:val="none" w:color="auto"/>
                      <w:lang w:eastAsia="zh-CN"/>
                    </w:rPr>
                    <w:t>岳阳市</w:t>
                  </w:r>
                </w:p>
              </w:tc>
              <w:tc>
                <w:tcPr>
                  <w:tcW w:w="3611" w:type="dxa"/>
                  <w:gridSpan w:val="2"/>
                  <w:tcBorders>
                    <w:tl2br w:val="nil"/>
                    <w:tr2bl w:val="nil"/>
                  </w:tcBorders>
                  <w:noWrap w:val="0"/>
                  <w:vAlign w:val="center"/>
                </w:tcPr>
                <w:p>
                  <w:pPr>
                    <w:tabs>
                      <w:tab w:val="left" w:pos="942"/>
                    </w:tabs>
                    <w:adjustRightInd w:val="0"/>
                    <w:snapToGrid w:val="0"/>
                    <w:spacing w:line="360" w:lineRule="auto"/>
                    <w:jc w:val="center"/>
                    <w:rPr>
                      <w:rFonts w:hint="default" w:cs="Times New Roman"/>
                      <w:color w:val="auto"/>
                      <w:kern w:val="0"/>
                      <w:sz w:val="24"/>
                      <w:szCs w:val="24"/>
                      <w:u w:val="none" w:color="auto"/>
                      <w:lang w:eastAsia="zh-CN"/>
                    </w:rPr>
                  </w:pPr>
                  <w:r>
                    <w:rPr>
                      <w:rFonts w:hint="eastAsia" w:cs="Times New Roman"/>
                      <w:color w:val="auto"/>
                      <w:sz w:val="24"/>
                      <w:u w:val="none" w:color="auto"/>
                      <w:lang w:eastAsia="zh-CN"/>
                    </w:rPr>
                    <w:t>湘阴县金龙新区安嘉路西侧，文襄路南侧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地理坐标</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经度</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112.929465</w:t>
                  </w:r>
                </w:p>
              </w:tc>
              <w:tc>
                <w:tcPr>
                  <w:tcW w:w="1315"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纬度</w:t>
                  </w:r>
                </w:p>
              </w:tc>
              <w:tc>
                <w:tcPr>
                  <w:tcW w:w="2296"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28.523531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主要危险物质</w:t>
                  </w:r>
                </w:p>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及分布</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eastAsia="宋体" w:cs="Times New Roman"/>
                      <w:color w:val="auto"/>
                      <w:kern w:val="0"/>
                      <w:sz w:val="24"/>
                      <w:szCs w:val="24"/>
                      <w:u w:val="none" w:color="auto"/>
                      <w:lang w:val="en-US" w:eastAsia="zh-CN"/>
                    </w:rPr>
                  </w:pPr>
                  <w:r>
                    <w:rPr>
                      <w:rFonts w:hint="eastAsia" w:cs="Times New Roman"/>
                      <w:color w:val="auto"/>
                      <w:kern w:val="0"/>
                      <w:sz w:val="24"/>
                      <w:szCs w:val="24"/>
                      <w:u w:val="none" w:color="auto"/>
                      <w:lang w:val="en-US" w:eastAsia="zh-CN"/>
                    </w:rPr>
                    <w:t>原辅材料仓库、危险废物储存间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环境影响途径及危害后果(大气、地表水、地下水等)</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ind w:firstLine="462" w:firstLineChars="200"/>
                    <w:jc w:val="left"/>
                    <w:textAlignment w:val="auto"/>
                    <w:rPr>
                      <w:rFonts w:hint="default" w:ascii="Times New Roman" w:hAnsi="Times New Roman" w:cs="Times New Roman"/>
                      <w:color w:val="auto"/>
                      <w:kern w:val="0"/>
                      <w:sz w:val="24"/>
                      <w:szCs w:val="24"/>
                      <w:u w:val="none" w:color="auto"/>
                      <w:lang w:val="en-US" w:eastAsia="zh-CN"/>
                    </w:rPr>
                  </w:pPr>
                  <w:r>
                    <w:rPr>
                      <w:rFonts w:hint="eastAsia" w:ascii="Times New Roman" w:hAnsi="Times New Roman" w:cs="Times New Roman"/>
                      <w:color w:val="auto"/>
                      <w:kern w:val="0"/>
                      <w:sz w:val="24"/>
                      <w:szCs w:val="24"/>
                      <w:u w:val="none" w:color="auto"/>
                      <w:lang w:val="en-US" w:eastAsia="zh-CN"/>
                    </w:rPr>
                    <w:t>如不做好防范措施，</w:t>
                  </w:r>
                  <w:r>
                    <w:rPr>
                      <w:rFonts w:hint="eastAsia" w:cs="Times New Roman"/>
                      <w:color w:val="auto"/>
                      <w:kern w:val="0"/>
                      <w:sz w:val="24"/>
                      <w:szCs w:val="24"/>
                      <w:u w:val="none" w:color="auto"/>
                      <w:lang w:val="en-US" w:eastAsia="zh-CN"/>
                    </w:rPr>
                    <w:t>油类物质</w:t>
                  </w:r>
                  <w:r>
                    <w:rPr>
                      <w:rFonts w:hint="eastAsia" w:ascii="Times New Roman" w:hAnsi="Times New Roman" w:cs="Times New Roman"/>
                      <w:color w:val="auto"/>
                      <w:kern w:val="0"/>
                      <w:sz w:val="24"/>
                      <w:szCs w:val="24"/>
                      <w:u w:val="none" w:color="auto"/>
                      <w:lang w:val="en-US" w:eastAsia="zh-CN"/>
                    </w:rPr>
                    <w:t>、</w:t>
                  </w:r>
                  <w:r>
                    <w:rPr>
                      <w:rFonts w:hint="eastAsia" w:cs="Times New Roman"/>
                      <w:color w:val="auto"/>
                      <w:kern w:val="0"/>
                      <w:sz w:val="24"/>
                      <w:szCs w:val="24"/>
                      <w:u w:val="none" w:color="auto"/>
                      <w:lang w:val="en-US" w:eastAsia="zh-CN"/>
                    </w:rPr>
                    <w:t>绝缘漆</w:t>
                  </w:r>
                  <w:r>
                    <w:rPr>
                      <w:rFonts w:hint="eastAsia" w:ascii="Times New Roman" w:hAnsi="Times New Roman" w:cs="Times New Roman"/>
                      <w:color w:val="auto"/>
                      <w:kern w:val="0"/>
                      <w:sz w:val="24"/>
                      <w:szCs w:val="24"/>
                      <w:u w:val="none" w:color="auto"/>
                      <w:lang w:val="en-US" w:eastAsia="zh-CN"/>
                    </w:rPr>
                    <w:t>、稀释剂、水性漆</w:t>
                  </w:r>
                  <w:r>
                    <w:rPr>
                      <w:rFonts w:hint="eastAsia" w:cs="Times New Roman"/>
                      <w:color w:val="auto"/>
                      <w:kern w:val="0"/>
                      <w:sz w:val="24"/>
                      <w:szCs w:val="24"/>
                      <w:u w:val="none" w:color="auto"/>
                      <w:lang w:val="en-US" w:eastAsia="zh-CN" w:bidi="ar"/>
                    </w:rPr>
                    <w:t>、液化石油气</w:t>
                  </w:r>
                  <w:r>
                    <w:rPr>
                      <w:rFonts w:hint="eastAsia" w:ascii="Times New Roman" w:hAnsi="Times New Roman" w:cs="Times New Roman"/>
                      <w:color w:val="auto"/>
                      <w:kern w:val="0"/>
                      <w:sz w:val="24"/>
                      <w:szCs w:val="24"/>
                      <w:u w:val="none" w:color="auto"/>
                      <w:lang w:val="en-US" w:eastAsia="zh-CN"/>
                    </w:rPr>
                    <w:t>泄漏</w:t>
                  </w:r>
                  <w:r>
                    <w:rPr>
                      <w:rFonts w:hint="eastAsia" w:cs="Times New Roman"/>
                      <w:color w:val="auto"/>
                      <w:kern w:val="0"/>
                      <w:sz w:val="24"/>
                      <w:szCs w:val="24"/>
                      <w:u w:val="none" w:color="auto"/>
                      <w:lang w:val="en-US" w:eastAsia="zh-CN"/>
                    </w:rPr>
                    <w:t>导致火灾爆炸，会对周边水环境及大气造成影响。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风险防范措施要求</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none" w:color="auto"/>
                    </w:rPr>
                  </w:pPr>
                  <w:r>
                    <w:rPr>
                      <w:rFonts w:hint="eastAsia" w:ascii="Times New Roman" w:hAnsi="Times New Roman" w:cs="Times New Roman"/>
                      <w:color w:val="auto"/>
                      <w:kern w:val="0"/>
                      <w:sz w:val="24"/>
                      <w:szCs w:val="24"/>
                      <w:u w:val="none" w:color="auto"/>
                      <w:lang w:val="en-US" w:eastAsia="zh-CN"/>
                    </w:rPr>
                    <w:t xml:space="preserve">①加强职工的环保教育，提高安全防范风险的意识；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none" w:color="auto"/>
                    </w:rPr>
                  </w:pPr>
                  <w:r>
                    <w:rPr>
                      <w:rFonts w:hint="eastAsia" w:ascii="Times New Roman" w:hAnsi="Times New Roman" w:cs="Times New Roman"/>
                      <w:color w:val="auto"/>
                      <w:kern w:val="0"/>
                      <w:sz w:val="24"/>
                      <w:szCs w:val="24"/>
                      <w:u w:val="none" w:color="auto"/>
                      <w:lang w:val="en-US" w:eastAsia="zh-CN"/>
                    </w:rPr>
                    <w:t xml:space="preserve">②厂区地面进行硬化；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none" w:color="auto"/>
                    </w:rPr>
                  </w:pPr>
                  <w:r>
                    <w:rPr>
                      <w:rFonts w:hint="eastAsia" w:ascii="Times New Roman" w:hAnsi="Times New Roman" w:cs="Times New Roman"/>
                      <w:color w:val="auto"/>
                      <w:kern w:val="0"/>
                      <w:sz w:val="24"/>
                      <w:szCs w:val="24"/>
                      <w:u w:val="none" w:color="auto"/>
                      <w:lang w:val="en-US" w:eastAsia="zh-CN"/>
                    </w:rPr>
                    <w:t>③</w:t>
                  </w:r>
                  <w:r>
                    <w:rPr>
                      <w:rFonts w:hint="eastAsia" w:cs="Times New Roman"/>
                      <w:color w:val="auto"/>
                      <w:kern w:val="0"/>
                      <w:sz w:val="24"/>
                      <w:szCs w:val="24"/>
                      <w:u w:val="none" w:color="auto"/>
                      <w:lang w:val="en-US" w:eastAsia="zh-CN"/>
                    </w:rPr>
                    <w:t>油类物质油类物质</w:t>
                  </w:r>
                  <w:r>
                    <w:rPr>
                      <w:rFonts w:hint="eastAsia" w:ascii="Times New Roman" w:hAnsi="Times New Roman" w:cs="Times New Roman"/>
                      <w:color w:val="auto"/>
                      <w:kern w:val="0"/>
                      <w:sz w:val="24"/>
                      <w:szCs w:val="24"/>
                      <w:u w:val="none" w:color="auto"/>
                      <w:lang w:val="en-US" w:eastAsia="zh-CN"/>
                    </w:rPr>
                    <w:t>、</w:t>
                  </w:r>
                  <w:r>
                    <w:rPr>
                      <w:rFonts w:hint="eastAsia" w:cs="Times New Roman"/>
                      <w:color w:val="auto"/>
                      <w:kern w:val="0"/>
                      <w:sz w:val="24"/>
                      <w:szCs w:val="24"/>
                      <w:u w:val="none" w:color="auto"/>
                      <w:lang w:val="en-US" w:eastAsia="zh-CN"/>
                    </w:rPr>
                    <w:t>绝缘漆</w:t>
                  </w:r>
                  <w:r>
                    <w:rPr>
                      <w:rFonts w:hint="eastAsia" w:ascii="Times New Roman" w:hAnsi="Times New Roman" w:cs="Times New Roman"/>
                      <w:color w:val="auto"/>
                      <w:kern w:val="0"/>
                      <w:sz w:val="24"/>
                      <w:szCs w:val="24"/>
                      <w:u w:val="none" w:color="auto"/>
                      <w:lang w:val="en-US" w:eastAsia="zh-CN"/>
                    </w:rPr>
                    <w:t>、稀释剂、水性漆需</w:t>
                  </w:r>
                  <w:r>
                    <w:rPr>
                      <w:rFonts w:hint="eastAsia" w:cs="Times New Roman"/>
                      <w:color w:val="auto"/>
                      <w:kern w:val="0"/>
                      <w:sz w:val="24"/>
                      <w:szCs w:val="24"/>
                      <w:u w:val="none" w:color="auto"/>
                      <w:lang w:val="en-US" w:eastAsia="zh-CN"/>
                    </w:rPr>
                    <w:t>放置储存间内，且地面进行硬化，门口设置拱背型围堰，液化石油气储存区设施喷淋设施</w:t>
                  </w:r>
                  <w:r>
                    <w:rPr>
                      <w:rFonts w:hint="eastAsia" w:ascii="Times New Roman" w:hAnsi="Times New Roman" w:cs="Times New Roman"/>
                      <w:color w:val="auto"/>
                      <w:kern w:val="0"/>
                      <w:sz w:val="24"/>
                      <w:szCs w:val="24"/>
                      <w:u w:val="none" w:color="auto"/>
                      <w:lang w:val="en-US" w:eastAsia="zh-CN"/>
                    </w:rPr>
                    <w:t xml:space="preserve">。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none" w:color="auto"/>
                    </w:rPr>
                  </w:pPr>
                  <w:r>
                    <w:rPr>
                      <w:rFonts w:hint="eastAsia" w:ascii="Times New Roman" w:hAnsi="Times New Roman" w:cs="Times New Roman"/>
                      <w:color w:val="auto"/>
                      <w:kern w:val="0"/>
                      <w:sz w:val="24"/>
                      <w:szCs w:val="24"/>
                      <w:u w:val="none" w:color="auto"/>
                      <w:lang w:val="en-US" w:eastAsia="zh-CN"/>
                    </w:rPr>
                    <w:t xml:space="preserve">④建立夜间值班巡查制度；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4"/>
                      <w:szCs w:val="24"/>
                      <w:u w:val="none" w:color="auto"/>
                      <w:lang w:eastAsia="zh-CN"/>
                    </w:rPr>
                  </w:pPr>
                  <w:r>
                    <w:rPr>
                      <w:rFonts w:hint="eastAsia" w:ascii="Times New Roman" w:hAnsi="Times New Roman" w:cs="Times New Roman"/>
                      <w:color w:val="auto"/>
                      <w:kern w:val="0"/>
                      <w:sz w:val="24"/>
                      <w:szCs w:val="24"/>
                      <w:u w:val="none" w:color="auto"/>
                      <w:lang w:val="en-US" w:eastAsia="zh-CN"/>
                    </w:rPr>
                    <w:t>⑤危废暂存间应按规范设置，防止泄露的危废污染地表水体。同时，应强化管理，采用合格的容器储存废液，并及时交有资质的单位处置</w:t>
                  </w:r>
                  <w:r>
                    <w:rPr>
                      <w:rFonts w:hint="default" w:ascii="Times New Roman" w:hAnsi="Times New Roman" w:cs="Times New Roman"/>
                      <w:color w:val="auto"/>
                      <w:kern w:val="0"/>
                      <w:sz w:val="24"/>
                      <w:szCs w:val="24"/>
                      <w:u w:val="none" w:color="auto"/>
                      <w:lang w:eastAsia="zh-CN"/>
                    </w:rPr>
                    <w:t>。</w:t>
                  </w:r>
                </w:p>
              </w:tc>
            </w:tr>
          </w:tbl>
          <w:p>
            <w:pPr>
              <w:pStyle w:val="172"/>
              <w:spacing w:line="360" w:lineRule="auto"/>
              <w:ind w:firstLine="462" w:firstLineChars="200"/>
              <w:rPr>
                <w:rFonts w:hint="default" w:ascii="Times New Roman" w:hAnsi="Times New Roman" w:cs="Times New Roman"/>
                <w:color w:val="auto"/>
                <w:sz w:val="24"/>
                <w:szCs w:val="24"/>
                <w:u w:val="none" w:color="auto"/>
              </w:rPr>
            </w:pPr>
            <w:bookmarkStart w:id="8" w:name="_Toc424919844"/>
            <w:bookmarkStart w:id="9" w:name="_Toc312221061"/>
            <w:bookmarkStart w:id="10" w:name="_Toc299377553"/>
            <w:bookmarkStart w:id="11" w:name="_Toc280188871"/>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风险评价结论</w:t>
            </w:r>
            <w:bookmarkEnd w:id="8"/>
            <w:bookmarkEnd w:id="9"/>
            <w:bookmarkEnd w:id="10"/>
            <w:bookmarkEnd w:id="11"/>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严格落实本报告的提出各项事故防范和应急措施，加强管理，可最大限度地减少可能发生的环境风险。且一旦发生事故，也可将影响范围控制在较小程度之内，减小损失。企业在运营期间应不断完善企业事故防范和应急体系，实现企业联防联动，减少项目环境风险事故发生的概率，其影响危害可控制在厂区内，其风险在可接受范围内。</w:t>
            </w:r>
          </w:p>
          <w:p>
            <w:pPr>
              <w:pStyle w:val="185"/>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应急预案</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组织机构、参加单位、人员及作用；环境应急工作组负责现场所需抢险物资的搬运及现场抢救工作，做好各小队之间的协调配合工作。迅速、有效地实施先期处置，全力控制事故灾难发展态势，防止次生、衍生和耦合事故发生，果断控制或切断事故灾害链。</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明确应急反应总负责人，以及每一具体行动负责人；负责人负责应急救援指挥工作，发布抢险救援命令，对特殊情况进行紧急决断，协调副总指挥工作内容，向上级领导报告事故及对事故的处理情况。</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认可能发生的事故类型、地点；定期组织隐患排查治理，公司对仓库、重要生产设备、设施和场所采取24小时值班巡检和不定期检测等方式进行监控；遵循“早发现、早报告、早处置”的原则对异常情况及早处置。建设单位应编制危险废物装卸作业严格按照规程操作，使用的工具可避免损坏储桶，并有相应防护装置。加强安全管理，对于从事作业的工人，应进行生产操作和安全技术教育。在生产车间里，一定要严禁烟火。</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确定事故影响范围及可能影响的人数；</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确定报警方式，如电话、警报器等；</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明确可用于应急求援的设备、设施；</w:t>
            </w:r>
          </w:p>
          <w:p>
            <w:pPr>
              <w:pStyle w:val="172"/>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保护措施程序；企业应建立危险源的管理制度，落实监控措施。分析汇总数据，并建立危险源台帐、档案。对区域内容易引发突发环境事件的环境危险源、危险区域进行调查、登记、风险评估，对环境危险源、危险区域采用人工和自动监控</w:t>
            </w:r>
            <w:r>
              <w:rPr>
                <w:rFonts w:hint="eastAsia" w:cs="Times New Roman"/>
                <w:color w:val="auto"/>
                <w:sz w:val="24"/>
                <w:szCs w:val="24"/>
                <w:u w:val="none" w:color="auto"/>
                <w:lang w:eastAsia="zh-CN"/>
              </w:rPr>
              <w:t>；</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做好事故后的恢复工作程序；</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做好培训与演练。</w:t>
            </w:r>
          </w:p>
          <w:p>
            <w:pPr>
              <w:pStyle w:val="33"/>
              <w:spacing w:line="360" w:lineRule="auto"/>
              <w:ind w:left="0" w:leftChars="0"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综上所述，本项目采取以上措施后，风险防范措施切实可行，在采取安全防范措施和监控系统以及事故应急预案后，项目的事故风险在可接受范围内</w:t>
            </w:r>
            <w:r>
              <w:rPr>
                <w:rFonts w:hint="eastAsia" w:cs="Times New Roman"/>
                <w:color w:val="auto"/>
                <w:sz w:val="24"/>
                <w:szCs w:val="24"/>
                <w:u w:val="none" w:color="auto"/>
                <w:lang w:eastAsia="zh-CN"/>
              </w:rPr>
              <w:t>。</w:t>
            </w: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8</w:t>
            </w:r>
            <w:r>
              <w:rPr>
                <w:rFonts w:hint="default" w:ascii="Times New Roman" w:hAnsi="Times New Roman" w:cs="Times New Roman"/>
                <w:b/>
                <w:bCs/>
                <w:color w:val="auto"/>
                <w:sz w:val="24"/>
                <w:szCs w:val="24"/>
                <w:u w:val="none" w:color="auto"/>
              </w:rPr>
              <w:t>、环境管理与监测计划</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环境管理</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环境管理是协调经济发展与环境保护的关系，是使经济、社会、环境有序持续发展的重要手段，根据本项目的工程特性，建设单位应设置工程管理机构中环境保护管理专职人员，其环境管理主要内容如下：</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贯彻落实国家和地方的环境保护法律、法规、政策和标准，接受行业主管部门的监督、领导，配合环境保护主管部门做好环保工作；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制订全厂环境管理规章制度以及各种污染物排放控制指标；</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定期检查环保设施的运行情况，并根据存在的问题提出改进意见； 参与企业的环保设施竣工验收和污染事故的调查与处理工作；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在岗职工按环保要求对设备进行操作管理，操作人员需通过培训和定期考核，方可上岗。</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环境监测计划</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为切实做好废气的达标排放及污染物排放总量控制，及时了解和掌握建设项目营运期主要污染源污染物的排放情况，建设单位应定期委托有资质的环境监测单位对本项目建设后主要污染源排放的污染物进行监测。</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建议监测点位置和主要监测项目详见表 7-</w:t>
            </w:r>
            <w:r>
              <w:rPr>
                <w:rFonts w:hint="eastAsia" w:cs="Times New Roman"/>
                <w:color w:val="auto"/>
                <w:sz w:val="24"/>
                <w:szCs w:val="24"/>
                <w:u w:val="none" w:color="auto"/>
                <w:lang w:val="en-US" w:eastAsia="zh-CN"/>
              </w:rPr>
              <w:t>27</w:t>
            </w:r>
            <w:r>
              <w:rPr>
                <w:rFonts w:hint="default" w:ascii="Times New Roman" w:hAnsi="Times New Roman" w:cs="Times New Roman"/>
                <w:color w:val="auto"/>
                <w:sz w:val="24"/>
                <w:szCs w:val="24"/>
                <w:u w:val="none" w:color="auto"/>
              </w:rPr>
              <w:t>。</w:t>
            </w:r>
          </w:p>
          <w:p>
            <w:pPr>
              <w:spacing w:line="360" w:lineRule="auto"/>
              <w:ind w:firstLine="462" w:firstLineChars="20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 7-</w:t>
            </w:r>
            <w:r>
              <w:rPr>
                <w:rFonts w:hint="eastAsia" w:cs="Times New Roman"/>
                <w:color w:val="auto"/>
                <w:sz w:val="24"/>
                <w:szCs w:val="24"/>
                <w:u w:val="none" w:color="auto"/>
                <w:lang w:val="en-US" w:eastAsia="zh-CN"/>
              </w:rPr>
              <w:t>27</w:t>
            </w:r>
            <w:r>
              <w:rPr>
                <w:rFonts w:hint="default" w:ascii="Times New Roman" w:hAnsi="Times New Roman" w:cs="Times New Roman"/>
                <w:color w:val="auto"/>
                <w:sz w:val="24"/>
                <w:szCs w:val="24"/>
                <w:u w:val="none" w:color="auto"/>
              </w:rPr>
              <w:t xml:space="preserve"> 本项目监测方案</w:t>
            </w:r>
          </w:p>
          <w:tbl>
            <w:tblPr>
              <w:tblStyle w:val="39"/>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5"/>
              <w:gridCol w:w="2645"/>
              <w:gridCol w:w="3025"/>
              <w:gridCol w:w="150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18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监测项目</w:t>
                  </w:r>
                </w:p>
              </w:tc>
              <w:tc>
                <w:tcPr>
                  <w:tcW w:w="26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监测点位</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主要监测因子</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监测频次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88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264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喷塑废气</w:t>
                  </w:r>
                  <w:r>
                    <w:rPr>
                      <w:rFonts w:hint="default" w:ascii="Times New Roman" w:hAnsi="Times New Roman" w:cs="Times New Roman"/>
                      <w:color w:val="auto"/>
                      <w:sz w:val="22"/>
                      <w:szCs w:val="22"/>
                      <w:u w:val="none" w:color="auto"/>
                    </w:rPr>
                    <w:t>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颗粒物</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7"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264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烘干固化废气排气筒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264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喷漆、喷涂线废气</w:t>
                  </w:r>
                  <w:r>
                    <w:rPr>
                      <w:rFonts w:hint="default" w:ascii="Times New Roman" w:hAnsi="Times New Roman" w:cs="Times New Roman"/>
                      <w:color w:val="auto"/>
                      <w:sz w:val="22"/>
                      <w:szCs w:val="22"/>
                      <w:u w:val="none" w:color="auto"/>
                    </w:rPr>
                    <w:t>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eastAsia="zh-CN"/>
                    </w:rPr>
                    <w:t>颗粒物</w:t>
                  </w:r>
                  <w:r>
                    <w:rPr>
                      <w:rFonts w:hint="eastAsia" w:cs="Times New Roman"/>
                      <w:color w:val="auto"/>
                      <w:sz w:val="22"/>
                      <w:szCs w:val="22"/>
                      <w:u w:val="none" w:color="auto"/>
                      <w:lang w:eastAsia="zh-CN"/>
                    </w:rPr>
                    <w:t>、</w:t>
                  </w: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1"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264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液化石油气燃烧废气</w:t>
                  </w:r>
                  <w:r>
                    <w:rPr>
                      <w:rFonts w:hint="default" w:ascii="Times New Roman" w:hAnsi="Times New Roman" w:cs="Times New Roman"/>
                      <w:color w:val="auto"/>
                      <w:sz w:val="22"/>
                      <w:szCs w:val="22"/>
                      <w:u w:val="none" w:color="auto"/>
                    </w:rPr>
                    <w:t>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val="en-US" w:eastAsia="zh-CN"/>
                    </w:rPr>
                    <w:t>颗粒物、二氧化硫、氮氧化物</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5"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264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耐高温检测废气排气筒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val="en-US" w:eastAsia="zh-CN"/>
                    </w:rPr>
                    <w:t>颗粒物、二氧化硫、氮氧化物</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264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激光切割废气排气筒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val="en-US" w:eastAsia="zh-CN"/>
                    </w:rPr>
                    <w:t>颗粒物</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264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等离子切割废气排气筒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val="en-US" w:eastAsia="zh-CN"/>
                    </w:rPr>
                    <w:t>颗粒物</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4"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264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激光、等离子切割废气排气筒</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颗粒物</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atLeast"/>
              </w:trPr>
              <w:tc>
                <w:tcPr>
                  <w:tcW w:w="188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p>
              </w:tc>
              <w:tc>
                <w:tcPr>
                  <w:tcW w:w="26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厂界</w:t>
                  </w:r>
                  <w:r>
                    <w:rPr>
                      <w:rFonts w:hint="default" w:ascii="Times New Roman" w:hAnsi="Times New Roman" w:cs="Times New Roman"/>
                      <w:color w:val="auto"/>
                      <w:sz w:val="22"/>
                      <w:szCs w:val="22"/>
                      <w:u w:val="none" w:color="auto"/>
                      <w:lang w:val="en-US" w:eastAsia="zh-CN"/>
                    </w:rPr>
                    <w:t>上、</w:t>
                  </w:r>
                  <w:r>
                    <w:rPr>
                      <w:rFonts w:hint="default" w:ascii="Times New Roman" w:hAnsi="Times New Roman" w:cs="Times New Roman"/>
                      <w:color w:val="auto"/>
                      <w:sz w:val="22"/>
                      <w:szCs w:val="22"/>
                      <w:u w:val="none" w:color="auto"/>
                      <w:lang w:eastAsia="zh-CN"/>
                    </w:rPr>
                    <w:t>下风向</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r>
                    <w:rPr>
                      <w:rFonts w:hint="default" w:ascii="Times New Roman" w:hAnsi="Times New Roman" w:cs="Times New Roman"/>
                      <w:color w:val="auto"/>
                      <w:sz w:val="22"/>
                      <w:szCs w:val="22"/>
                      <w:u w:val="none" w:color="auto"/>
                    </w:rPr>
                    <w:t>、</w:t>
                  </w:r>
                  <w:r>
                    <w:rPr>
                      <w:rFonts w:hint="default" w:ascii="Times New Roman" w:hAnsi="Times New Roman" w:cs="Times New Roman"/>
                      <w:color w:val="auto"/>
                      <w:sz w:val="22"/>
                      <w:szCs w:val="22"/>
                      <w:u w:val="none" w:color="auto"/>
                      <w:lang w:eastAsia="zh-CN"/>
                    </w:rPr>
                    <w:t>颗粒物</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半年</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4" w:hRule="atLeast"/>
              </w:trPr>
              <w:tc>
                <w:tcPr>
                  <w:tcW w:w="18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废水</w:t>
                  </w:r>
                </w:p>
              </w:tc>
              <w:tc>
                <w:tcPr>
                  <w:tcW w:w="26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废水总排口</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pH值、悬浮物、氨氮、动植物油、化学需氧量、五日生化需氧量</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eastAsia="zh-CN"/>
                    </w:rPr>
                    <w:t>一个季度</w:t>
                  </w:r>
                  <w:r>
                    <w:rPr>
                      <w:rFonts w:hint="eastAsia" w:cs="Times New Roman"/>
                      <w:color w:val="auto"/>
                      <w:sz w:val="22"/>
                      <w:szCs w:val="22"/>
                      <w:u w:val="none" w:color="auto"/>
                      <w:lang w:val="en-US" w:eastAsia="zh-CN"/>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18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w:t>
                  </w:r>
                </w:p>
              </w:tc>
              <w:tc>
                <w:tcPr>
                  <w:tcW w:w="264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厂界</w:t>
                  </w:r>
                  <w:r>
                    <w:rPr>
                      <w:rFonts w:hint="default" w:ascii="Times New Roman" w:hAnsi="Times New Roman" w:cs="Times New Roman"/>
                      <w:color w:val="auto"/>
                      <w:sz w:val="22"/>
                      <w:szCs w:val="22"/>
                      <w:u w:val="none" w:color="auto"/>
                      <w:lang w:eastAsia="zh-CN"/>
                    </w:rPr>
                    <w:t>四周</w:t>
                  </w:r>
                </w:p>
              </w:tc>
              <w:tc>
                <w:tcPr>
                  <w:tcW w:w="30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噪声</w:t>
                  </w:r>
                </w:p>
              </w:tc>
              <w:tc>
                <w:tcPr>
                  <w:tcW w:w="15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一个季度</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rPr>
                    <w:t>次</w:t>
                  </w:r>
                </w:p>
              </w:tc>
            </w:tr>
          </w:tbl>
          <w:p>
            <w:pPr>
              <w:pStyle w:val="33"/>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监测计划实施由公司负责组织协调，可委托有资质的环境监测单位承担监测任务</w:t>
            </w:r>
          </w:p>
          <w:p>
            <w:pPr>
              <w:snapToGrid w:val="0"/>
              <w:spacing w:line="360" w:lineRule="auto"/>
              <w:ind w:firstLine="462" w:firstLineChars="200"/>
              <w:rPr>
                <w:rFonts w:hint="default" w:ascii="Times New Roman" w:hAnsi="Times New Roman" w:cs="Times New Roman"/>
                <w:b/>
                <w:color w:val="auto"/>
                <w:sz w:val="24"/>
                <w:szCs w:val="24"/>
                <w:u w:val="none" w:color="auto"/>
              </w:rPr>
            </w:pPr>
            <w:r>
              <w:rPr>
                <w:rFonts w:hint="eastAsia" w:cs="Times New Roman"/>
                <w:b/>
                <w:color w:val="auto"/>
                <w:sz w:val="24"/>
                <w:szCs w:val="24"/>
                <w:u w:val="none" w:color="auto"/>
                <w:lang w:val="en-US" w:eastAsia="zh-CN"/>
              </w:rPr>
              <w:t>9</w:t>
            </w:r>
            <w:r>
              <w:rPr>
                <w:rFonts w:hint="default" w:ascii="Times New Roman" w:hAnsi="Times New Roman" w:cs="Times New Roman"/>
                <w:b/>
                <w:color w:val="auto"/>
                <w:sz w:val="24"/>
                <w:szCs w:val="24"/>
                <w:u w:val="none" w:color="auto"/>
              </w:rPr>
              <w:t>、项目合理性分析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（1）产业政策符合性分析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本项目为</w:t>
            </w:r>
            <w:r>
              <w:rPr>
                <w:rFonts w:hint="eastAsia" w:cs="Times New Roman"/>
                <w:color w:val="auto"/>
                <w:sz w:val="24"/>
                <w:szCs w:val="24"/>
                <w:u w:val="none" w:color="auto"/>
                <w:lang w:eastAsia="zh-CN"/>
              </w:rPr>
              <w:t>消防设备及器材生产</w:t>
            </w:r>
            <w:r>
              <w:rPr>
                <w:rFonts w:hint="default" w:ascii="Times New Roman" w:hAnsi="Times New Roman" w:cs="Times New Roman"/>
                <w:color w:val="auto"/>
                <w:sz w:val="24"/>
                <w:szCs w:val="24"/>
                <w:u w:val="none" w:color="auto"/>
              </w:rPr>
              <w:t>，根据中华人民共和</w:t>
            </w:r>
            <w:r>
              <w:rPr>
                <w:rFonts w:hint="default" w:ascii="Times New Roman" w:hAnsi="Times New Roman" w:cs="Times New Roman"/>
                <w:color w:val="auto"/>
                <w:sz w:val="24"/>
                <w:szCs w:val="24"/>
                <w:u w:val="none" w:color="auto"/>
                <w:lang w:eastAsia="zh-CN"/>
              </w:rPr>
              <w:t>国发展和改革委员会</w:t>
            </w:r>
            <w:r>
              <w:rPr>
                <w:rFonts w:hint="eastAsia"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产业结构调整指导目录</w:t>
            </w:r>
            <w:r>
              <w:rPr>
                <w:rFonts w:hint="eastAsia" w:cs="Times New Roman"/>
                <w:color w:val="auto"/>
                <w:sz w:val="24"/>
                <w:szCs w:val="24"/>
                <w:u w:val="none" w:color="auto"/>
                <w:lang w:val="en-US" w:eastAsia="zh-CN"/>
              </w:rPr>
              <w:t>》</w:t>
            </w:r>
            <w:r>
              <w:rPr>
                <w:rFonts w:hint="eastAsia" w:ascii="Times New Roman" w:hAnsi="Times New Roman" w:cs="Times New Roman"/>
                <w:color w:val="auto"/>
                <w:sz w:val="24"/>
                <w:szCs w:val="24"/>
                <w:u w:val="none" w:color="auto"/>
                <w:lang w:val="en-US" w:eastAsia="zh-CN"/>
              </w:rPr>
              <w:t>（2019年本）</w:t>
            </w:r>
            <w:r>
              <w:rPr>
                <w:rFonts w:hint="eastAsia"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lang w:eastAsia="zh-CN"/>
              </w:rPr>
              <w:t>该类项目不属于限制类和淘汰类项目</w:t>
            </w:r>
            <w:r>
              <w:rPr>
                <w:rFonts w:hint="default" w:ascii="Times New Roman" w:hAnsi="Times New Roman" w:cs="Times New Roman"/>
                <w:color w:val="auto"/>
                <w:sz w:val="24"/>
                <w:szCs w:val="24"/>
                <w:u w:val="none" w:color="auto"/>
              </w:rPr>
              <w:t>，符合国家产业政策要求。</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（2）规划合理性分析</w:t>
            </w:r>
          </w:p>
          <w:p>
            <w:pPr>
              <w:spacing w:line="360" w:lineRule="auto"/>
              <w:ind w:firstLine="462" w:firstLineChars="200"/>
              <w:rPr>
                <w:rFonts w:hint="default" w:ascii="Times New Roman" w:hAnsi="Times New Roman" w:cs="Times New Roman"/>
                <w:color w:val="auto"/>
                <w:spacing w:val="-6"/>
                <w:sz w:val="24"/>
                <w:szCs w:val="24"/>
                <w:u w:val="none" w:color="auto"/>
              </w:rPr>
            </w:pPr>
            <w:r>
              <w:rPr>
                <w:rFonts w:hint="default" w:ascii="Times New Roman" w:hAnsi="Times New Roman" w:cs="Times New Roman"/>
                <w:color w:val="auto"/>
                <w:sz w:val="24"/>
                <w:szCs w:val="24"/>
                <w:u w:val="none" w:color="auto"/>
              </w:rPr>
              <w:t>本项目位于</w:t>
            </w:r>
            <w:r>
              <w:rPr>
                <w:rFonts w:hint="eastAsia" w:cs="Times New Roman"/>
                <w:color w:val="auto"/>
                <w:sz w:val="24"/>
                <w:szCs w:val="24"/>
                <w:u w:val="none" w:color="auto"/>
                <w:lang w:eastAsia="zh-CN"/>
              </w:rPr>
              <w:t>湘阴县金龙新区安嘉路西侧，文襄路南侧进行</w:t>
            </w:r>
            <w:r>
              <w:rPr>
                <w:rFonts w:hint="eastAsia" w:ascii="Times New Roman" w:hAnsi="Times New Roman" w:cs="Times New Roman"/>
                <w:color w:val="auto"/>
                <w:sz w:val="24"/>
                <w:szCs w:val="24"/>
                <w:u w:val="none" w:color="auto"/>
                <w:lang w:eastAsia="zh-CN"/>
              </w:rPr>
              <w:t>厂房</w:t>
            </w:r>
            <w:r>
              <w:rPr>
                <w:rFonts w:hint="eastAsia" w:cs="Times New Roman"/>
                <w:color w:val="auto"/>
                <w:sz w:val="24"/>
                <w:szCs w:val="24"/>
                <w:u w:val="none" w:color="auto"/>
                <w:lang w:eastAsia="zh-CN"/>
              </w:rPr>
              <w:t>建设</w:t>
            </w:r>
            <w:r>
              <w:rPr>
                <w:rFonts w:hint="default" w:ascii="Times New Roman" w:hAnsi="Times New Roman" w:cs="Times New Roman"/>
                <w:color w:val="auto"/>
                <w:sz w:val="24"/>
                <w:szCs w:val="24"/>
                <w:u w:val="none" w:color="auto"/>
              </w:rPr>
              <w:t>，项目所在地不属于生活饮用水水源保护区、风景名胜区等区域。根据湘阴</w:t>
            </w:r>
            <w:r>
              <w:rPr>
                <w:rFonts w:hint="eastAsia" w:cs="Times New Roman"/>
                <w:color w:val="auto"/>
                <w:sz w:val="24"/>
                <w:szCs w:val="24"/>
                <w:u w:val="none" w:color="auto"/>
                <w:lang w:eastAsia="zh-CN"/>
              </w:rPr>
              <w:t>县</w:t>
            </w:r>
            <w:r>
              <w:rPr>
                <w:rFonts w:hint="default" w:ascii="Times New Roman" w:hAnsi="Times New Roman" w:cs="Times New Roman"/>
                <w:color w:val="auto"/>
                <w:sz w:val="24"/>
                <w:szCs w:val="24"/>
                <w:u w:val="none" w:color="auto"/>
              </w:rPr>
              <w:t>土地规划可知，本项目用地性质为工业用地，用地符合湘阴用地规划要求。</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（3）选址合理性分析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①地理位置</w:t>
            </w:r>
          </w:p>
          <w:p>
            <w:pPr>
              <w:snapToGrid w:val="0"/>
              <w:spacing w:line="360" w:lineRule="auto"/>
              <w:ind w:firstLine="453" w:firstLineChars="196"/>
              <w:rPr>
                <w:rFonts w:hint="default" w:ascii="Times New Roman" w:hAnsi="Times New Roman" w:cs="Times New Roman"/>
                <w:bCs/>
                <w:color w:val="auto"/>
                <w:sz w:val="24"/>
                <w:szCs w:val="24"/>
                <w:u w:val="none" w:color="auto"/>
              </w:rPr>
            </w:pPr>
            <w:r>
              <w:rPr>
                <w:rFonts w:hint="default" w:ascii="Times New Roman" w:hAnsi="Times New Roman" w:cs="Times New Roman"/>
                <w:bCs/>
                <w:color w:val="auto"/>
                <w:sz w:val="24"/>
                <w:szCs w:val="24"/>
                <w:u w:val="none" w:color="auto"/>
              </w:rPr>
              <w:t>本项目选址于</w:t>
            </w:r>
            <w:r>
              <w:rPr>
                <w:rFonts w:hint="eastAsia" w:cs="Times New Roman"/>
                <w:color w:val="auto"/>
                <w:sz w:val="24"/>
                <w:u w:val="none" w:color="auto"/>
                <w:lang w:eastAsia="zh-CN"/>
              </w:rPr>
              <w:t>湘阴县金龙新区安嘉路西侧，文襄路南侧</w:t>
            </w:r>
            <w:r>
              <w:rPr>
                <w:rFonts w:hint="default" w:ascii="Times New Roman" w:hAnsi="Times New Roman" w:cs="Times New Roman"/>
                <w:bCs/>
                <w:color w:val="auto"/>
                <w:sz w:val="24"/>
                <w:szCs w:val="24"/>
                <w:u w:val="none" w:color="auto"/>
              </w:rPr>
              <w:t>，交通较为便利。</w:t>
            </w:r>
            <w:r>
              <w:rPr>
                <w:rFonts w:hint="default" w:ascii="Times New Roman" w:hAnsi="Times New Roman" w:cs="Times New Roman"/>
                <w:color w:val="auto"/>
                <w:sz w:val="24"/>
                <w:szCs w:val="24"/>
                <w:u w:val="none" w:color="auto"/>
              </w:rPr>
              <w:t>本项目所在地供电、通讯、道路等基础设施比较完善，电、水源供应充足。</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②环境容量</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根据环境功能区划的划分，项目选址区环境空气功能为二级区，水体功能为Ⅲ类水体，声环境功能为</w:t>
            </w:r>
            <w:r>
              <w:rPr>
                <w:rFonts w:hint="eastAsia"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类区。根据环境质量现状数据，本项目所在区域地表水、声环境质量满足相应功能区划要求，</w:t>
            </w:r>
            <w:r>
              <w:rPr>
                <w:rFonts w:hint="eastAsia" w:cs="Times New Roman"/>
                <w:color w:val="auto"/>
                <w:sz w:val="24"/>
                <w:szCs w:val="24"/>
                <w:u w:val="none" w:color="auto"/>
                <w:lang w:eastAsia="zh-CN"/>
              </w:rPr>
              <w:t>根据</w:t>
            </w:r>
            <w:r>
              <w:rPr>
                <w:rFonts w:hint="eastAsia" w:cs="Times New Roman"/>
                <w:color w:val="auto"/>
                <w:sz w:val="24"/>
                <w:szCs w:val="24"/>
                <w:u w:val="none" w:color="auto"/>
                <w:lang w:val="en-US" w:eastAsia="zh-CN"/>
              </w:rPr>
              <w:t>2017年到2018年大气监测数据可知，项目所在区域大气环境正在逐渐变好</w:t>
            </w:r>
            <w:r>
              <w:rPr>
                <w:rFonts w:hint="default" w:ascii="Times New Roman" w:hAnsi="Times New Roman" w:cs="Times New Roman"/>
                <w:color w:val="auto"/>
                <w:sz w:val="24"/>
                <w:szCs w:val="24"/>
                <w:u w:val="none" w:color="auto"/>
              </w:rPr>
              <w:t>，在充分落实本评价提出的各项处理措施后，项目营运对周围环境产生的影响较小，不会降低该区现有环境功能。</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③达标排放</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本项目营运期产生的各类污染物经过相关环保措施处理后可实现达标排放，固废可实现有效处理和处置，对周围环境产生的影响在可接受的范围之内。</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综上所述，本项目符合当地环境功能区规划，各污染物在采取相关环保措施后都可以实现达标排放，对周围环境影响不大，本项目选址合理。</w:t>
            </w:r>
          </w:p>
          <w:p>
            <w:pPr>
              <w:snapToGrid w:val="0"/>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4</w:t>
            </w:r>
            <w:r>
              <w:rPr>
                <w:rFonts w:hint="eastAsia" w:cs="Times New Roman"/>
                <w:color w:val="auto"/>
                <w:sz w:val="24"/>
                <w:szCs w:val="24"/>
                <w:u w:val="none" w:color="auto"/>
                <w:lang w:eastAsia="zh-CN"/>
              </w:rPr>
              <w:t>）与金龙工业园规划相符性</w:t>
            </w:r>
          </w:p>
          <w:p>
            <w:pPr>
              <w:snapToGrid w:val="0"/>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eastAsia" w:ascii="宋体" w:hAnsi="宋体" w:eastAsia="宋体" w:cs="宋体"/>
                <w:i w:val="0"/>
                <w:caps w:val="0"/>
                <w:color w:val="auto"/>
                <w:spacing w:val="0"/>
                <w:sz w:val="24"/>
                <w:szCs w:val="24"/>
                <w:u w:val="none" w:color="auto"/>
                <w:shd w:val="clear" w:fill="FFFFFF"/>
              </w:rPr>
              <w:t>建设项目选址位于湘阴县金龙工业园内，该工业园已完成规划环评审查，根据岳阳市环境保护局《关于湘阴县金龙新区工业区规划环境影响评价报告书</w:t>
            </w:r>
            <w:r>
              <w:rPr>
                <w:rFonts w:hint="eastAsia" w:ascii="宋体" w:hAnsi="宋体" w:eastAsia="宋体" w:cs="宋体"/>
                <w:i w:val="0"/>
                <w:caps w:val="0"/>
                <w:color w:val="auto"/>
                <w:spacing w:val="0"/>
                <w:sz w:val="24"/>
                <w:szCs w:val="24"/>
                <w:u w:val="none" w:color="auto"/>
                <w:shd w:val="clear" w:fill="FFFFFF"/>
                <w:lang w:eastAsia="zh-CN"/>
              </w:rPr>
              <w:t>及审查意见</w:t>
            </w:r>
            <w:r>
              <w:rPr>
                <w:rFonts w:hint="eastAsia" w:ascii="宋体" w:hAnsi="宋体" w:eastAsia="宋体" w:cs="宋体"/>
                <w:i w:val="0"/>
                <w:caps w:val="0"/>
                <w:color w:val="auto"/>
                <w:spacing w:val="0"/>
                <w:sz w:val="24"/>
                <w:szCs w:val="24"/>
                <w:u w:val="none" w:color="auto"/>
                <w:shd w:val="clear" w:fill="FFFFFF"/>
              </w:rPr>
              <w:t>》，入驻园区的的企业应满足以下要求</w:t>
            </w:r>
            <w:r>
              <w:rPr>
                <w:rFonts w:hint="eastAsia" w:ascii="宋体" w:hAnsi="宋体" w:eastAsia="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入园项目必须满足园区总体发展规划、用地规划、环保规划及主导产业定位要求，严格执行环境准入负面清单，不得引进国家明令淘汰和禁止发展的、不符合产业政策的建设项目；禁止引进多晶硅、单晶硅、造纸、石化、冶金、皮革、医药、纺织印染、酒类、畜禽初加工、电镀和火力发电等行业，限制发展食品制造、饲料加工行业。”</w:t>
            </w:r>
            <w:r>
              <w:rPr>
                <w:rFonts w:hint="eastAsia" w:ascii="宋体" w:hAnsi="宋体" w:eastAsia="宋体" w:cs="宋体"/>
                <w:i w:val="0"/>
                <w:caps w:val="0"/>
                <w:color w:val="auto"/>
                <w:spacing w:val="0"/>
                <w:sz w:val="24"/>
                <w:szCs w:val="24"/>
                <w:u w:val="none" w:color="auto"/>
                <w:shd w:val="clear" w:fill="FFFFFF"/>
                <w:lang w:eastAsia="zh-CN"/>
              </w:rPr>
              <w:t>，本项目满足</w:t>
            </w:r>
            <w:r>
              <w:rPr>
                <w:rFonts w:hint="eastAsia" w:ascii="宋体" w:hAnsi="宋体" w:eastAsia="宋体" w:cs="宋体"/>
                <w:i w:val="0"/>
                <w:caps w:val="0"/>
                <w:color w:val="auto"/>
                <w:spacing w:val="0"/>
                <w:sz w:val="24"/>
                <w:szCs w:val="24"/>
                <w:u w:val="none" w:color="auto"/>
                <w:shd w:val="clear" w:fill="FFFFFF"/>
              </w:rPr>
              <w:t>满足园区总体发展规划、用地规划、环保规划及主导产业定位要求</w:t>
            </w:r>
            <w:r>
              <w:rPr>
                <w:rFonts w:hint="eastAsia" w:ascii="宋体" w:hAnsi="宋体" w:cs="宋体"/>
                <w:i w:val="0"/>
                <w:caps w:val="0"/>
                <w:color w:val="auto"/>
                <w:spacing w:val="0"/>
                <w:sz w:val="24"/>
                <w:szCs w:val="24"/>
                <w:u w:val="none" w:color="auto"/>
                <w:shd w:val="clear" w:fill="FFFFFF"/>
                <w:lang w:eastAsia="zh-CN"/>
              </w:rPr>
              <w:t>。不属于</w:t>
            </w:r>
            <w:r>
              <w:rPr>
                <w:rFonts w:hint="eastAsia" w:ascii="宋体" w:hAnsi="宋体" w:eastAsia="宋体" w:cs="宋体"/>
                <w:i w:val="0"/>
                <w:caps w:val="0"/>
                <w:color w:val="auto"/>
                <w:spacing w:val="0"/>
                <w:sz w:val="24"/>
                <w:szCs w:val="24"/>
                <w:u w:val="none" w:color="auto"/>
                <w:shd w:val="clear" w:fill="FFFFFF"/>
              </w:rPr>
              <w:t>淘汰和禁止发展的、不符合产业政策的建设项目</w:t>
            </w:r>
            <w:r>
              <w:rPr>
                <w:rFonts w:hint="eastAsia" w:ascii="宋体" w:hAnsi="宋体" w:cs="宋体"/>
                <w:i w:val="0"/>
                <w:caps w:val="0"/>
                <w:color w:val="auto"/>
                <w:spacing w:val="0"/>
                <w:sz w:val="24"/>
                <w:szCs w:val="24"/>
                <w:u w:val="none" w:color="auto"/>
                <w:shd w:val="clear" w:fill="FFFFFF"/>
                <w:lang w:eastAsia="zh-CN"/>
              </w:rPr>
              <w:t>。项目为消防设备及器材生产，不属于</w:t>
            </w:r>
            <w:r>
              <w:rPr>
                <w:rFonts w:hint="eastAsia" w:ascii="宋体" w:hAnsi="宋体" w:eastAsia="宋体" w:cs="宋体"/>
                <w:i w:val="0"/>
                <w:caps w:val="0"/>
                <w:color w:val="auto"/>
                <w:spacing w:val="0"/>
                <w:sz w:val="24"/>
                <w:szCs w:val="24"/>
                <w:u w:val="none" w:color="auto"/>
                <w:shd w:val="clear" w:fill="FFFFFF"/>
              </w:rPr>
              <w:t>多晶硅、单晶硅、造纸、石化、冶金、皮革、医药、纺织印染、酒类、畜禽初加工、电镀和火力发电等行业</w:t>
            </w:r>
            <w:r>
              <w:rPr>
                <w:rFonts w:hint="eastAsia" w:ascii="宋体" w:hAnsi="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rPr>
              <w:t>食品制造、饲料加工行业</w:t>
            </w:r>
            <w:r>
              <w:rPr>
                <w:rFonts w:hint="eastAsia" w:ascii="宋体" w:hAnsi="宋体" w:cs="宋体"/>
                <w:i w:val="0"/>
                <w:caps w:val="0"/>
                <w:color w:val="auto"/>
                <w:spacing w:val="0"/>
                <w:sz w:val="24"/>
                <w:szCs w:val="24"/>
                <w:u w:val="none" w:color="auto"/>
                <w:shd w:val="clear" w:fill="FFFFFF"/>
                <w:lang w:eastAsia="zh-CN"/>
              </w:rPr>
              <w:t>。</w:t>
            </w:r>
            <w:r>
              <w:rPr>
                <w:rFonts w:hint="eastAsia" w:ascii="宋体" w:hAnsi="宋体" w:eastAsia="宋体" w:cs="宋体"/>
                <w:i w:val="0"/>
                <w:caps w:val="0"/>
                <w:color w:val="auto"/>
                <w:spacing w:val="0"/>
                <w:sz w:val="24"/>
                <w:szCs w:val="24"/>
                <w:u w:val="none" w:color="auto"/>
                <w:shd w:val="clear" w:fill="FFFFFF"/>
                <w:lang w:eastAsia="zh-CN"/>
              </w:rPr>
              <w:t>且</w:t>
            </w:r>
            <w:r>
              <w:rPr>
                <w:rFonts w:hint="eastAsia" w:cs="Times New Roman"/>
                <w:color w:val="auto"/>
                <w:sz w:val="24"/>
                <w:szCs w:val="24"/>
                <w:u w:val="none" w:color="auto"/>
                <w:lang w:eastAsia="zh-CN"/>
              </w:rPr>
              <w:t>项目已通过湘阴县联审会议（具体详见附件</w:t>
            </w:r>
            <w:r>
              <w:rPr>
                <w:rFonts w:hint="eastAsia" w:cs="Times New Roman"/>
                <w:color w:val="auto"/>
                <w:sz w:val="24"/>
                <w:szCs w:val="24"/>
                <w:u w:val="none" w:color="auto"/>
                <w:lang w:val="en-US" w:eastAsia="zh-CN"/>
              </w:rPr>
              <w:t>4</w:t>
            </w:r>
            <w:r>
              <w:rPr>
                <w:rFonts w:hint="eastAsia" w:cs="Times New Roman"/>
                <w:color w:val="auto"/>
                <w:sz w:val="24"/>
                <w:szCs w:val="24"/>
                <w:u w:val="none" w:color="auto"/>
                <w:lang w:eastAsia="zh-CN"/>
              </w:rPr>
              <w:t>）。</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）平面布置合理性分析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本项目位于</w:t>
            </w:r>
            <w:r>
              <w:rPr>
                <w:rFonts w:hint="default" w:ascii="Times New Roman" w:hAnsi="Times New Roman" w:cs="Times New Roman"/>
                <w:bCs/>
                <w:color w:val="auto"/>
                <w:sz w:val="24"/>
                <w:szCs w:val="24"/>
                <w:u w:val="none" w:color="auto"/>
              </w:rPr>
              <w:t>本项目选址于</w:t>
            </w:r>
            <w:r>
              <w:rPr>
                <w:rFonts w:hint="eastAsia" w:cs="Times New Roman"/>
                <w:color w:val="auto"/>
                <w:sz w:val="24"/>
                <w:u w:val="none" w:color="auto"/>
                <w:lang w:eastAsia="zh-CN"/>
              </w:rPr>
              <w:t>湘阴县金龙新区安嘉路西侧，文襄路南侧</w:t>
            </w:r>
            <w:r>
              <w:rPr>
                <w:rFonts w:hint="default" w:ascii="Times New Roman" w:hAnsi="Times New Roman" w:cs="Times New Roman"/>
                <w:color w:val="auto"/>
                <w:sz w:val="24"/>
                <w:szCs w:val="24"/>
                <w:u w:val="none" w:color="auto"/>
              </w:rPr>
              <w:t>，根据现场调查，项目建设内容分为</w:t>
            </w:r>
            <w:r>
              <w:rPr>
                <w:rFonts w:hint="eastAsia" w:cs="Times New Roman"/>
                <w:color w:val="auto"/>
                <w:sz w:val="24"/>
                <w:szCs w:val="24"/>
                <w:u w:val="none" w:color="auto"/>
                <w:lang w:val="en-US" w:eastAsia="zh-CN"/>
              </w:rPr>
              <w:t>4个生产车间，主要有机加工区、喷漆区、喷塑区、原料储存区、成品区等，项目北面从左到右分别为1号生产车间、2号生产车间、食宿楼、办公楼，南面从左到右分别为3号生产车间、4号生产车间</w:t>
            </w:r>
            <w:r>
              <w:rPr>
                <w:rFonts w:hint="default" w:ascii="Times New Roman" w:hAnsi="Times New Roman" w:cs="Times New Roman"/>
                <w:color w:val="auto"/>
                <w:sz w:val="24"/>
                <w:szCs w:val="24"/>
                <w:u w:val="none" w:color="auto"/>
              </w:rPr>
              <w:t>，项目主要生产设备均按照有利于物料的运输和储存的原则进行布置。平面布置比较合理。</w:t>
            </w: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10</w:t>
            </w:r>
            <w:r>
              <w:rPr>
                <w:rFonts w:hint="default" w:ascii="Times New Roman" w:hAnsi="Times New Roman" w:cs="Times New Roman"/>
                <w:b/>
                <w:bCs/>
                <w:color w:val="auto"/>
                <w:sz w:val="24"/>
                <w:szCs w:val="24"/>
                <w:u w:val="none" w:color="auto"/>
                <w:lang w:val="en-US" w:eastAsia="zh-CN"/>
              </w:rPr>
              <w:t>、</w:t>
            </w:r>
            <w:r>
              <w:rPr>
                <w:rFonts w:hint="default" w:ascii="Times New Roman" w:hAnsi="Times New Roman" w:cs="Times New Roman"/>
                <w:b/>
                <w:bCs/>
                <w:color w:val="auto"/>
                <w:sz w:val="24"/>
                <w:szCs w:val="24"/>
                <w:u w:val="none" w:color="auto"/>
              </w:rPr>
              <w:t>“三线一单”符合性分析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选址符合所在区域现行生态环境约束性要求；项目所在区域满足环境质量底线要求；项目生产原料资源条件有保障，满足资源利用上线要求；项目产生的污染物经采取相应防护措施后可做到达标排放，不会降低区域环境质量等级，对环境影响不大。“三线一单”符合性分析见表 7-</w:t>
            </w:r>
            <w:r>
              <w:rPr>
                <w:rFonts w:hint="eastAsia" w:cs="Times New Roman"/>
                <w:color w:val="auto"/>
                <w:sz w:val="24"/>
                <w:szCs w:val="24"/>
                <w:u w:val="none" w:color="auto"/>
                <w:lang w:val="en-US" w:eastAsia="zh-CN"/>
              </w:rPr>
              <w:t>28</w:t>
            </w:r>
            <w:r>
              <w:rPr>
                <w:rFonts w:hint="default" w:ascii="Times New Roman" w:hAnsi="Times New Roman" w:cs="Times New Roman"/>
                <w:color w:val="auto"/>
                <w:sz w:val="24"/>
                <w:szCs w:val="24"/>
                <w:u w:val="none" w:color="auto"/>
              </w:rPr>
              <w:t xml:space="preserve">。 </w:t>
            </w:r>
          </w:p>
          <w:p>
            <w:pPr>
              <w:spacing w:line="360" w:lineRule="auto"/>
              <w:ind w:firstLine="462" w:firstLineChars="20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 7-</w:t>
            </w:r>
            <w:r>
              <w:rPr>
                <w:rFonts w:hint="eastAsia" w:cs="Times New Roman"/>
                <w:color w:val="auto"/>
                <w:sz w:val="24"/>
                <w:szCs w:val="24"/>
                <w:u w:val="none" w:color="auto"/>
                <w:lang w:val="en-US" w:eastAsia="zh-CN"/>
              </w:rPr>
              <w:t>28</w:t>
            </w: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rPr>
              <w:t>“三线一单”符合性分析</w:t>
            </w:r>
          </w:p>
          <w:tbl>
            <w:tblPr>
              <w:tblStyle w:val="39"/>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786"/>
              <w:gridCol w:w="727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78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内容</w:t>
                  </w:r>
                </w:p>
              </w:tc>
              <w:tc>
                <w:tcPr>
                  <w:tcW w:w="727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符合性分析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生态保护红线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本项目位于</w:t>
                  </w:r>
                  <w:r>
                    <w:rPr>
                      <w:rFonts w:hint="eastAsia" w:cs="Times New Roman"/>
                      <w:color w:val="auto"/>
                      <w:sz w:val="22"/>
                      <w:szCs w:val="22"/>
                      <w:u w:val="none" w:color="auto"/>
                      <w:lang w:eastAsia="zh-CN"/>
                    </w:rPr>
                    <w:t>湘阴县金龙新区安嘉路西侧，文襄路南侧</w:t>
                  </w:r>
                  <w:r>
                    <w:rPr>
                      <w:rFonts w:hint="default" w:ascii="Times New Roman" w:hAnsi="Times New Roman" w:cs="Times New Roman"/>
                      <w:color w:val="auto"/>
                      <w:sz w:val="22"/>
                      <w:szCs w:val="22"/>
                      <w:u w:val="none" w:color="auto"/>
                    </w:rPr>
                    <w:t>，属工业用地，不在</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划定的生态红线范围。项目不在自然保护区、饮用水源保护区等生态保护目标内，符合生态保护红线要求。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资源利用上线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本项目运营过程中消耗一定量的电力、水等资源。①项目用电由当地电网提供；②项目用水来源为当地自来水公司。本项目电力、水的消耗量所占比重较少，符合资源利用上限要求。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9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环境质量底线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根据现场调查，项目场址为工业用地，通过对评价区域内空气、地表水、声的监测及调查得知，项目所在区域的地表水体、声环境能够达到相应的环境质量标准，</w:t>
                  </w:r>
                  <w:r>
                    <w:rPr>
                      <w:rFonts w:hint="eastAsia" w:ascii="Times New Roman" w:hAnsi="Times New Roman" w:cs="Times New Roman"/>
                      <w:color w:val="auto"/>
                      <w:sz w:val="22"/>
                      <w:szCs w:val="22"/>
                      <w:u w:val="none" w:color="auto"/>
                      <w:lang w:eastAsia="zh-CN"/>
                    </w:rPr>
                    <w:t>根据</w:t>
                  </w:r>
                  <w:r>
                    <w:rPr>
                      <w:rFonts w:hint="eastAsia" w:ascii="Times New Roman" w:hAnsi="Times New Roman" w:cs="Times New Roman"/>
                      <w:color w:val="auto"/>
                      <w:sz w:val="22"/>
                      <w:szCs w:val="22"/>
                      <w:u w:val="none" w:color="auto"/>
                      <w:lang w:val="en-US" w:eastAsia="zh-CN"/>
                    </w:rPr>
                    <w:t>2017年到2018年大气监测数据可知，项目所在区域大气环境正在逐渐变好</w:t>
                  </w:r>
                  <w:r>
                    <w:rPr>
                      <w:rFonts w:hint="default" w:ascii="Times New Roman" w:hAnsi="Times New Roman" w:cs="Times New Roman"/>
                      <w:color w:val="auto"/>
                      <w:sz w:val="22"/>
                      <w:szCs w:val="22"/>
                      <w:u w:val="none" w:color="auto"/>
                    </w:rPr>
                    <w:t>。项目对产生的污染物采取相应的措施后，对周边环境影响很小，符合环境质量底线要求。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6"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负面清单</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项目建设符合国家和行业的产业政策，选址符合</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总体规划，不涉及 产业政策和区域规划的负面清单。</w:t>
                  </w:r>
                </w:p>
              </w:tc>
            </w:tr>
          </w:tbl>
          <w:p>
            <w:pPr>
              <w:pStyle w:val="185"/>
              <w:spacing w:line="360" w:lineRule="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val="en-US" w:eastAsia="zh-CN"/>
              </w:rPr>
              <w:t>10</w:t>
            </w:r>
            <w:r>
              <w:rPr>
                <w:rFonts w:hint="default" w:ascii="Times New Roman" w:hAnsi="Times New Roman" w:cs="Times New Roman"/>
                <w:color w:val="auto"/>
                <w:sz w:val="24"/>
                <w:szCs w:val="24"/>
                <w:u w:val="single" w:color="auto"/>
              </w:rPr>
              <w:t>、总量控制</w:t>
            </w:r>
          </w:p>
          <w:p>
            <w:pPr>
              <w:pStyle w:val="172"/>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w:t>
            </w:r>
            <w:r>
              <w:rPr>
                <w:rFonts w:hint="default" w:ascii="Times New Roman" w:hAnsi="Times New Roman" w:cs="Times New Roman"/>
                <w:color w:val="auto"/>
                <w:sz w:val="24"/>
                <w:szCs w:val="24"/>
                <w:u w:val="single" w:color="auto"/>
                <w:lang w:val="zh-TW"/>
              </w:rPr>
              <w:t>国家主要污染物排放总量控制技术规</w:t>
            </w:r>
            <w:r>
              <w:rPr>
                <w:rFonts w:hint="default" w:ascii="Times New Roman" w:hAnsi="Times New Roman" w:cs="Times New Roman"/>
                <w:color w:val="auto"/>
                <w:sz w:val="24"/>
                <w:szCs w:val="24"/>
                <w:u w:val="single" w:color="auto"/>
              </w:rPr>
              <w:t>范要求、《国家环境保护“十三五”规划基本思路》以及本项目污染物排放特点</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本项目主要排放废水为生活污水，无生产废水产生，</w:t>
            </w:r>
            <w:r>
              <w:rPr>
                <w:rFonts w:hint="default" w:ascii="Times New Roman" w:hAnsi="Times New Roman" w:cs="Times New Roman"/>
                <w:color w:val="auto"/>
                <w:sz w:val="24"/>
                <w:szCs w:val="24"/>
                <w:u w:val="single" w:color="auto"/>
              </w:rPr>
              <w:t>生活污水</w:t>
            </w:r>
            <w:r>
              <w:rPr>
                <w:rFonts w:hint="eastAsia" w:cs="Times New Roman"/>
                <w:color w:val="auto"/>
                <w:sz w:val="24"/>
                <w:szCs w:val="24"/>
                <w:u w:val="single" w:color="auto"/>
                <w:lang w:eastAsia="zh-CN"/>
              </w:rPr>
              <w:t>经化粪池</w:t>
            </w:r>
            <w:r>
              <w:rPr>
                <w:rFonts w:hint="default" w:ascii="Times New Roman" w:hAnsi="Times New Roman" w:cs="Times New Roman"/>
                <w:color w:val="auto"/>
                <w:sz w:val="24"/>
                <w:szCs w:val="24"/>
                <w:u w:val="single" w:color="auto"/>
              </w:rPr>
              <w:t>处理后进入</w:t>
            </w:r>
            <w:r>
              <w:rPr>
                <w:rFonts w:hint="default" w:ascii="Times New Roman" w:hAnsi="Times New Roman" w:cs="Times New Roman"/>
                <w:color w:val="auto"/>
                <w:sz w:val="24"/>
                <w:szCs w:val="24"/>
                <w:u w:val="single" w:color="auto"/>
                <w:lang w:eastAsia="zh-CN"/>
              </w:rPr>
              <w:t>工业园</w:t>
            </w:r>
            <w:r>
              <w:rPr>
                <w:rFonts w:hint="default" w:ascii="Times New Roman" w:hAnsi="Times New Roman" w:cs="Times New Roman"/>
                <w:color w:val="auto"/>
                <w:sz w:val="24"/>
                <w:szCs w:val="24"/>
                <w:u w:val="single" w:color="auto"/>
              </w:rPr>
              <w:t>污水管网</w:t>
            </w:r>
            <w:r>
              <w:rPr>
                <w:rFonts w:hint="default" w:ascii="Times New Roman" w:hAnsi="Times New Roman" w:cs="Times New Roman"/>
                <w:color w:val="auto"/>
                <w:sz w:val="24"/>
                <w:szCs w:val="24"/>
                <w:u w:val="single" w:color="auto"/>
                <w:lang w:eastAsia="zh-CN"/>
              </w:rPr>
              <w:t>后排放</w:t>
            </w:r>
            <w:r>
              <w:rPr>
                <w:rFonts w:hint="eastAsia" w:cs="Times New Roman"/>
                <w:color w:val="auto"/>
                <w:sz w:val="24"/>
                <w:szCs w:val="24"/>
                <w:u w:val="single" w:color="auto"/>
                <w:lang w:eastAsia="zh-CN"/>
              </w:rPr>
              <w:t>湘阴县金龙工业园污水处理厂处理后流入</w:t>
            </w:r>
            <w:r>
              <w:rPr>
                <w:rFonts w:hint="default" w:ascii="Times New Roman" w:hAnsi="Times New Roman" w:cs="Times New Roman"/>
                <w:color w:val="auto"/>
                <w:sz w:val="24"/>
                <w:szCs w:val="24"/>
                <w:u w:val="single" w:color="auto"/>
                <w:lang w:eastAsia="zh-CN"/>
              </w:rPr>
              <w:t>到洋沙河，最终汇入湘江</w:t>
            </w:r>
            <w:r>
              <w:rPr>
                <w:rFonts w:hint="default" w:ascii="Times New Roman" w:hAnsi="Times New Roman" w:cs="Times New Roman"/>
                <w:color w:val="auto"/>
                <w:sz w:val="24"/>
                <w:szCs w:val="24"/>
                <w:u w:val="single" w:color="auto"/>
                <w:lang w:val="en-US" w:eastAsia="zh-CN"/>
              </w:rPr>
              <w:t>，故本项目</w:t>
            </w:r>
            <w:r>
              <w:rPr>
                <w:rFonts w:hint="eastAsia" w:cs="Times New Roman"/>
                <w:color w:val="auto"/>
                <w:sz w:val="24"/>
                <w:szCs w:val="24"/>
                <w:u w:val="single" w:color="auto"/>
                <w:lang w:val="en-US" w:eastAsia="zh-CN"/>
              </w:rPr>
              <w:t>不</w:t>
            </w:r>
            <w:r>
              <w:rPr>
                <w:rFonts w:hint="default" w:ascii="Times New Roman" w:hAnsi="Times New Roman" w:cs="Times New Roman"/>
                <w:color w:val="auto"/>
                <w:sz w:val="24"/>
                <w:szCs w:val="24"/>
                <w:u w:val="single" w:color="auto"/>
                <w:lang w:val="en-US" w:eastAsia="zh-CN"/>
              </w:rPr>
              <w:t>申请</w:t>
            </w:r>
            <w:r>
              <w:rPr>
                <w:rFonts w:hint="eastAsia" w:cs="Times New Roman"/>
                <w:color w:val="auto"/>
                <w:sz w:val="24"/>
                <w:szCs w:val="24"/>
                <w:u w:val="single" w:color="auto"/>
                <w:lang w:val="en-US" w:eastAsia="zh-CN"/>
              </w:rPr>
              <w:t>废</w:t>
            </w:r>
            <w:r>
              <w:rPr>
                <w:rFonts w:hint="default" w:ascii="Times New Roman" w:hAnsi="Times New Roman" w:cs="Times New Roman"/>
                <w:color w:val="auto"/>
                <w:sz w:val="24"/>
                <w:szCs w:val="24"/>
                <w:u w:val="single" w:color="auto"/>
                <w:lang w:val="en-US" w:eastAsia="zh-CN"/>
              </w:rPr>
              <w:t>水总量指标</w:t>
            </w:r>
            <w:r>
              <w:rPr>
                <w:rFonts w:hint="eastAsia" w:cs="Times New Roman"/>
                <w:color w:val="auto"/>
                <w:sz w:val="24"/>
                <w:szCs w:val="24"/>
                <w:u w:val="single" w:color="auto"/>
                <w:lang w:val="en-US" w:eastAsia="zh-CN"/>
              </w:rPr>
              <w:t>中化学需氧量、氨氮的总量</w:t>
            </w:r>
            <w:bookmarkStart w:id="16" w:name="_GoBack"/>
            <w:bookmarkEnd w:id="16"/>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本项目废气排放为</w:t>
            </w:r>
            <w:r>
              <w:rPr>
                <w:rFonts w:hint="default" w:ascii="Times New Roman" w:hAnsi="Times New Roman" w:cs="Times New Roman"/>
                <w:color w:val="auto"/>
                <w:sz w:val="24"/>
                <w:szCs w:val="24"/>
                <w:u w:val="single" w:color="auto"/>
                <w:lang w:val="en-US" w:eastAsia="zh-CN"/>
              </w:rPr>
              <w:t>颗粒物</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VOCs、</w:t>
            </w:r>
            <w:r>
              <w:rPr>
                <w:rFonts w:hint="eastAsia" w:cs="Times New Roman"/>
                <w:color w:val="auto"/>
                <w:sz w:val="24"/>
                <w:szCs w:val="24"/>
                <w:u w:val="single" w:color="auto"/>
                <w:lang w:val="en-US" w:eastAsia="zh-CN"/>
              </w:rPr>
              <w:t>二氧化硫、氮氧化物</w:t>
            </w:r>
            <w:r>
              <w:rPr>
                <w:rFonts w:hint="default" w:ascii="Times New Roman" w:hAnsi="Times New Roman" w:cs="Times New Roman"/>
                <w:color w:val="auto"/>
                <w:sz w:val="24"/>
                <w:szCs w:val="24"/>
                <w:u w:val="single" w:color="auto"/>
              </w:rPr>
              <w:t>，</w:t>
            </w:r>
            <w:r>
              <w:rPr>
                <w:rFonts w:hint="default" w:ascii="Times New Roman" w:hAnsi="Times New Roman" w:cs="Times New Roman"/>
                <w:color w:val="auto"/>
                <w:sz w:val="24"/>
                <w:szCs w:val="24"/>
                <w:u w:val="single" w:color="auto"/>
                <w:lang w:val="en-US" w:eastAsia="zh-CN"/>
              </w:rPr>
              <w:t>颗粒物</w:t>
            </w:r>
            <w:r>
              <w:rPr>
                <w:rFonts w:hint="default" w:ascii="Times New Roman" w:hAnsi="Times New Roman" w:cs="Times New Roman"/>
                <w:color w:val="auto"/>
                <w:sz w:val="24"/>
                <w:szCs w:val="24"/>
                <w:u w:val="single" w:color="auto"/>
              </w:rPr>
              <w:t>不在国家总量指标控制因素中，建议本项目</w:t>
            </w:r>
            <w:r>
              <w:rPr>
                <w:rFonts w:hint="default" w:ascii="Times New Roman" w:hAnsi="Times New Roman" w:cs="Times New Roman"/>
                <w:color w:val="auto"/>
                <w:sz w:val="24"/>
                <w:szCs w:val="24"/>
                <w:u w:val="single" w:color="auto"/>
                <w:lang w:eastAsia="zh-CN"/>
              </w:rPr>
              <w:t>对</w:t>
            </w:r>
            <w:r>
              <w:rPr>
                <w:rFonts w:hint="default" w:ascii="Times New Roman" w:hAnsi="Times New Roman" w:cs="Times New Roman"/>
                <w:color w:val="auto"/>
                <w:sz w:val="24"/>
                <w:szCs w:val="24"/>
                <w:u w:val="single" w:color="auto"/>
                <w:lang w:val="en-US" w:eastAsia="zh-CN"/>
              </w:rPr>
              <w:t>VOCs</w:t>
            </w:r>
            <w:r>
              <w:rPr>
                <w:rFonts w:hint="eastAsia" w:cs="Times New Roman"/>
                <w:color w:val="auto"/>
                <w:sz w:val="24"/>
                <w:szCs w:val="24"/>
                <w:u w:val="single" w:color="auto"/>
                <w:lang w:val="en-US" w:eastAsia="zh-CN"/>
              </w:rPr>
              <w:t>、二氧化硫、氮氧化物</w:t>
            </w:r>
            <w:r>
              <w:rPr>
                <w:rFonts w:hint="default" w:ascii="Times New Roman" w:hAnsi="Times New Roman" w:cs="Times New Roman"/>
                <w:color w:val="auto"/>
                <w:sz w:val="24"/>
                <w:szCs w:val="24"/>
                <w:u w:val="single" w:color="auto"/>
              </w:rPr>
              <w:t>申请总量控制指标</w:t>
            </w:r>
            <w:r>
              <w:rPr>
                <w:rFonts w:hint="eastAsia" w:cs="Times New Roman"/>
                <w:color w:val="auto"/>
                <w:sz w:val="24"/>
                <w:szCs w:val="24"/>
                <w:u w:val="single" w:color="auto"/>
                <w:lang w:eastAsia="zh-CN"/>
              </w:rPr>
              <w:t>，湖南金诺动力设备制造有限公司于</w:t>
            </w:r>
            <w:r>
              <w:rPr>
                <w:rFonts w:hint="eastAsia" w:cs="Times New Roman"/>
                <w:color w:val="auto"/>
                <w:sz w:val="24"/>
                <w:szCs w:val="24"/>
                <w:u w:val="single" w:color="auto"/>
                <w:lang w:val="en-US" w:eastAsia="zh-CN"/>
              </w:rPr>
              <w:t>2016年4月20日完成了</w:t>
            </w:r>
            <w:r>
              <w:rPr>
                <w:rFonts w:hint="eastAsia" w:cs="Times New Roman"/>
                <w:color w:val="auto"/>
                <w:sz w:val="24"/>
                <w:szCs w:val="24"/>
                <w:u w:val="single" w:color="auto"/>
                <w:lang w:eastAsia="zh-CN"/>
              </w:rPr>
              <w:t>搬迁前项目排污权的交易，文号：（岳）</w:t>
            </w:r>
            <w:r>
              <w:rPr>
                <w:rFonts w:hint="eastAsia" w:cs="Times New Roman"/>
                <w:color w:val="auto"/>
                <w:sz w:val="24"/>
                <w:szCs w:val="24"/>
                <w:u w:val="single" w:color="auto"/>
                <w:lang w:val="en-US" w:eastAsia="zh-CN"/>
              </w:rPr>
              <w:t>SL 2016-31号</w:t>
            </w:r>
            <w:r>
              <w:rPr>
                <w:rFonts w:hint="eastAsia" w:cs="Times New Roman"/>
                <w:color w:val="auto"/>
                <w:sz w:val="24"/>
                <w:szCs w:val="24"/>
                <w:u w:val="single" w:color="auto"/>
                <w:lang w:eastAsia="zh-CN"/>
              </w:rPr>
              <w:t>（具体详见附件</w:t>
            </w:r>
            <w:r>
              <w:rPr>
                <w:rFonts w:hint="eastAsia" w:cs="Times New Roman"/>
                <w:color w:val="auto"/>
                <w:sz w:val="24"/>
                <w:szCs w:val="24"/>
                <w:u w:val="single" w:color="auto"/>
                <w:lang w:val="en-US" w:eastAsia="zh-CN"/>
              </w:rPr>
              <w:t>5、6</w:t>
            </w:r>
            <w:r>
              <w:rPr>
                <w:rFonts w:hint="eastAsia" w:cs="Times New Roman"/>
                <w:color w:val="auto"/>
                <w:sz w:val="24"/>
                <w:szCs w:val="24"/>
                <w:u w:val="single" w:color="auto"/>
                <w:lang w:eastAsia="zh-CN"/>
              </w:rPr>
              <w:t>），主要购买了化学需氧量、氨氮的总量</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rPr>
              <w:t>建议本项目申请总量控制指标如下：</w:t>
            </w:r>
          </w:p>
          <w:p>
            <w:pPr>
              <w:bidi w:val="0"/>
              <w:spacing w:line="360" w:lineRule="auto"/>
              <w:jc w:val="center"/>
              <w:rPr>
                <w:rFonts w:hint="default" w:eastAsia="宋体"/>
                <w:color w:val="auto"/>
                <w:sz w:val="24"/>
                <w:szCs w:val="22"/>
                <w:u w:val="single" w:color="auto"/>
                <w:lang w:val="en-US" w:eastAsia="zh-CN"/>
              </w:rPr>
            </w:pPr>
            <w:r>
              <w:rPr>
                <w:rFonts w:hint="eastAsia"/>
                <w:color w:val="auto"/>
                <w:sz w:val="24"/>
                <w:szCs w:val="22"/>
                <w:u w:val="single" w:color="auto"/>
                <w:lang w:eastAsia="zh-CN"/>
              </w:rPr>
              <w:t>表</w:t>
            </w:r>
            <w:r>
              <w:rPr>
                <w:rFonts w:hint="eastAsia"/>
                <w:color w:val="auto"/>
                <w:sz w:val="24"/>
                <w:szCs w:val="22"/>
                <w:u w:val="single" w:color="auto"/>
                <w:lang w:val="en-US" w:eastAsia="zh-CN"/>
              </w:rPr>
              <w:t>7-29 项目总量控制要求</w:t>
            </w:r>
          </w:p>
          <w:tbl>
            <w:tblPr>
              <w:tblStyle w:val="39"/>
              <w:tblW w:w="906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14"/>
              <w:gridCol w:w="1591"/>
              <w:gridCol w:w="2790"/>
              <w:gridCol w:w="28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1814" w:type="dxa"/>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类别</w:t>
                  </w:r>
                </w:p>
              </w:tc>
              <w:tc>
                <w:tcPr>
                  <w:tcW w:w="1591" w:type="dxa"/>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污染物</w:t>
                  </w:r>
                </w:p>
              </w:tc>
              <w:tc>
                <w:tcPr>
                  <w:tcW w:w="2790" w:type="dxa"/>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总量控制指标建议（t/a）</w:t>
                  </w:r>
                </w:p>
              </w:tc>
              <w:tc>
                <w:tcPr>
                  <w:tcW w:w="2874" w:type="dxa"/>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建议购买总量控制指标（</w:t>
                  </w:r>
                  <w:r>
                    <w:rPr>
                      <w:rFonts w:hint="eastAsia" w:cs="Times New Roman"/>
                      <w:color w:val="auto"/>
                      <w:sz w:val="22"/>
                      <w:szCs w:val="22"/>
                      <w:u w:val="single" w:color="auto"/>
                      <w:lang w:val="en-US" w:eastAsia="zh-CN"/>
                    </w:rPr>
                    <w:t>t/a</w:t>
                  </w:r>
                  <w:r>
                    <w:rPr>
                      <w:rFonts w:hint="eastAsia" w:cs="Times New Roman"/>
                      <w:color w:val="auto"/>
                      <w:sz w:val="22"/>
                      <w:szCs w:val="22"/>
                      <w:u w:val="singl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1814" w:type="dxa"/>
                  <w:vMerge w:val="restar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废气</w:t>
                  </w:r>
                </w:p>
              </w:tc>
              <w:tc>
                <w:tcPr>
                  <w:tcW w:w="1591"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rPr>
                    <w:t>VOCs</w:t>
                  </w:r>
                </w:p>
              </w:tc>
              <w:tc>
                <w:tcPr>
                  <w:tcW w:w="2790"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0.703</w:t>
                  </w:r>
                </w:p>
              </w:tc>
              <w:tc>
                <w:tcPr>
                  <w:tcW w:w="2874" w:type="dxa"/>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3" w:hRule="atLeast"/>
                <w:jc w:val="center"/>
              </w:trPr>
              <w:tc>
                <w:tcPr>
                  <w:tcW w:w="1814" w:type="dxa"/>
                  <w:vMerge w:val="continue"/>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lang w:eastAsia="zh-CN"/>
                    </w:rPr>
                  </w:pPr>
                </w:p>
              </w:tc>
              <w:tc>
                <w:tcPr>
                  <w:tcW w:w="1591"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二氧化硫</w:t>
                  </w:r>
                </w:p>
              </w:tc>
              <w:tc>
                <w:tcPr>
                  <w:tcW w:w="2790"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0.00123</w:t>
                  </w:r>
                </w:p>
              </w:tc>
              <w:tc>
                <w:tcPr>
                  <w:tcW w:w="2874" w:type="dxa"/>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814" w:type="dxa"/>
                  <w:vMerge w:val="continue"/>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lang w:eastAsia="zh-CN"/>
                    </w:rPr>
                  </w:pPr>
                </w:p>
              </w:tc>
              <w:tc>
                <w:tcPr>
                  <w:tcW w:w="1591"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氮氧化物</w:t>
                  </w:r>
                </w:p>
              </w:tc>
              <w:tc>
                <w:tcPr>
                  <w:tcW w:w="2790"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0.01067</w:t>
                  </w:r>
                </w:p>
              </w:tc>
              <w:tc>
                <w:tcPr>
                  <w:tcW w:w="2874" w:type="dxa"/>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814" w:type="dxa"/>
                  <w:vMerge w:val="restar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废水</w:t>
                  </w:r>
                </w:p>
              </w:tc>
              <w:tc>
                <w:tcPr>
                  <w:tcW w:w="1591"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化学需氧量</w:t>
                  </w:r>
                </w:p>
              </w:tc>
              <w:tc>
                <w:tcPr>
                  <w:tcW w:w="2790" w:type="dxa"/>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0.1</w:t>
                  </w:r>
                </w:p>
              </w:tc>
              <w:tc>
                <w:tcPr>
                  <w:tcW w:w="2874" w:type="dxa"/>
                  <w:vMerge w:val="restart"/>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迁建前项目已经购买了总量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814" w:type="dxa"/>
                  <w:vMerge w:val="continue"/>
                  <w:tcBorders/>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single" w:color="auto"/>
                      <w:lang w:eastAsia="zh-CN"/>
                    </w:rPr>
                  </w:pPr>
                </w:p>
              </w:tc>
              <w:tc>
                <w:tcPr>
                  <w:tcW w:w="1591" w:type="dxa"/>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氨氮</w:t>
                  </w:r>
                </w:p>
              </w:tc>
              <w:tc>
                <w:tcPr>
                  <w:tcW w:w="2790" w:type="dxa"/>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0.1</w:t>
                  </w:r>
                </w:p>
              </w:tc>
              <w:tc>
                <w:tcPr>
                  <w:tcW w:w="2874" w:type="dxa"/>
                  <w:vMerge w:val="continue"/>
                  <w:tcBorders/>
                  <w:noWrap w:val="0"/>
                  <w:vAlign w:val="center"/>
                </w:tcPr>
                <w:p>
                  <w:pPr>
                    <w:spacing w:line="360" w:lineRule="auto"/>
                    <w:jc w:val="center"/>
                    <w:rPr>
                      <w:rFonts w:hint="eastAsia" w:cs="Times New Roman"/>
                      <w:color w:val="auto"/>
                      <w:sz w:val="22"/>
                      <w:szCs w:val="22"/>
                      <w:u w:val="single" w:color="auto"/>
                      <w:lang w:val="en-US" w:eastAsia="zh-CN"/>
                    </w:rPr>
                  </w:pPr>
                </w:p>
              </w:tc>
            </w:tr>
          </w:tbl>
          <w:p>
            <w:pPr>
              <w:tabs>
                <w:tab w:val="left" w:pos="870"/>
              </w:tabs>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b/>
                <w:color w:val="auto"/>
                <w:sz w:val="24"/>
                <w:szCs w:val="24"/>
                <w:u w:val="none" w:color="auto"/>
              </w:rPr>
              <w:t>1</w:t>
            </w:r>
            <w:r>
              <w:rPr>
                <w:rFonts w:hint="eastAsia" w:cs="Times New Roman"/>
                <w:b/>
                <w:color w:val="auto"/>
                <w:sz w:val="24"/>
                <w:szCs w:val="24"/>
                <w:u w:val="none" w:color="auto"/>
                <w:lang w:val="en-US" w:eastAsia="zh-CN"/>
              </w:rPr>
              <w:t>1</w:t>
            </w:r>
            <w:r>
              <w:rPr>
                <w:rFonts w:hint="default" w:ascii="Times New Roman" w:hAnsi="Times New Roman" w:cs="Times New Roman"/>
                <w:b/>
                <w:color w:val="auto"/>
                <w:sz w:val="24"/>
                <w:szCs w:val="24"/>
                <w:u w:val="none" w:color="auto"/>
              </w:rPr>
              <w:t>、环保投资估算</w:t>
            </w:r>
          </w:p>
          <w:p>
            <w:pPr>
              <w:tabs>
                <w:tab w:val="left" w:pos="870"/>
              </w:tabs>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本项目总投资</w:t>
            </w:r>
            <w:r>
              <w:rPr>
                <w:rFonts w:hint="eastAsia" w:cs="Times New Roman"/>
                <w:color w:val="auto"/>
                <w:sz w:val="24"/>
                <w:szCs w:val="24"/>
                <w:u w:val="none" w:color="auto"/>
                <w:lang w:val="en-US" w:eastAsia="zh-CN"/>
              </w:rPr>
              <w:t>12736.49万元</w:t>
            </w:r>
            <w:r>
              <w:rPr>
                <w:rFonts w:hint="default" w:ascii="Times New Roman" w:hAnsi="Times New Roman" w:cs="Times New Roman"/>
                <w:color w:val="auto"/>
                <w:sz w:val="24"/>
                <w:szCs w:val="24"/>
                <w:u w:val="none" w:color="auto"/>
              </w:rPr>
              <w:t>，其中环保投资</w:t>
            </w:r>
            <w:r>
              <w:rPr>
                <w:rFonts w:hint="eastAsia" w:cs="Times New Roman"/>
                <w:color w:val="auto"/>
                <w:sz w:val="24"/>
                <w:szCs w:val="24"/>
                <w:u w:val="none" w:color="auto"/>
                <w:lang w:val="en-US" w:eastAsia="zh-CN"/>
              </w:rPr>
              <w:t>130</w:t>
            </w:r>
            <w:r>
              <w:rPr>
                <w:rFonts w:hint="default" w:ascii="Times New Roman" w:hAnsi="Times New Roman" w:cs="Times New Roman"/>
                <w:color w:val="auto"/>
                <w:sz w:val="24"/>
                <w:szCs w:val="24"/>
                <w:u w:val="none" w:color="auto"/>
              </w:rPr>
              <w:t>万元，</w:t>
            </w:r>
            <w:r>
              <w:rPr>
                <w:rFonts w:hint="default" w:ascii="Times New Roman" w:hAnsi="Times New Roman" w:cs="Times New Roman"/>
                <w:bCs/>
                <w:color w:val="auto"/>
                <w:sz w:val="24"/>
                <w:szCs w:val="24"/>
                <w:u w:val="none" w:color="auto"/>
              </w:rPr>
              <w:t>环保投资占总投资比例的</w:t>
            </w:r>
            <w:r>
              <w:rPr>
                <w:rFonts w:hint="eastAsia" w:cs="Times New Roman"/>
                <w:bCs/>
                <w:color w:val="auto"/>
                <w:sz w:val="24"/>
                <w:szCs w:val="24"/>
                <w:u w:val="none" w:color="auto"/>
                <w:lang w:val="en-US" w:eastAsia="zh-CN"/>
              </w:rPr>
              <w:t>1.02</w:t>
            </w:r>
            <w:r>
              <w:rPr>
                <w:rFonts w:hint="default" w:ascii="Times New Roman" w:hAnsi="Times New Roman" w:cs="Times New Roman"/>
                <w:bCs/>
                <w:color w:val="auto"/>
                <w:sz w:val="24"/>
                <w:szCs w:val="24"/>
                <w:u w:val="none" w:color="auto"/>
              </w:rPr>
              <w:t>%。</w:t>
            </w:r>
            <w:r>
              <w:rPr>
                <w:rFonts w:hint="default" w:ascii="Times New Roman" w:hAnsi="Times New Roman" w:cs="Times New Roman"/>
                <w:color w:val="auto"/>
                <w:sz w:val="24"/>
                <w:szCs w:val="24"/>
                <w:u w:val="none" w:color="auto"/>
              </w:rPr>
              <w:t>项目环保设施及投资估算详见表7-</w:t>
            </w:r>
            <w:r>
              <w:rPr>
                <w:rFonts w:hint="eastAsia" w:cs="Times New Roman"/>
                <w:color w:val="auto"/>
                <w:sz w:val="24"/>
                <w:szCs w:val="24"/>
                <w:u w:val="none" w:color="auto"/>
                <w:lang w:val="en-US" w:eastAsia="zh-CN"/>
              </w:rPr>
              <w:t>30</w:t>
            </w:r>
            <w:r>
              <w:rPr>
                <w:rFonts w:hint="default" w:ascii="Times New Roman" w:hAnsi="Times New Roman" w:cs="Times New Roman"/>
                <w:color w:val="auto"/>
                <w:sz w:val="24"/>
                <w:szCs w:val="24"/>
                <w:u w:val="none" w:color="auto"/>
              </w:rPr>
              <w:t>。</w:t>
            </w:r>
          </w:p>
          <w:p>
            <w:pPr>
              <w:spacing w:line="360" w:lineRule="auto"/>
              <w:ind w:firstLine="455" w:firstLineChars="197"/>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表7-</w:t>
            </w:r>
            <w:r>
              <w:rPr>
                <w:rFonts w:hint="eastAsia" w:cs="Times New Roman"/>
                <w:b/>
                <w:color w:val="auto"/>
                <w:sz w:val="24"/>
                <w:szCs w:val="24"/>
                <w:u w:val="none" w:color="auto"/>
                <w:lang w:val="en-US" w:eastAsia="zh-CN"/>
              </w:rPr>
              <w:t>30</w:t>
            </w:r>
            <w:r>
              <w:rPr>
                <w:rFonts w:hint="default" w:ascii="Times New Roman" w:hAnsi="Times New Roman" w:cs="Times New Roman"/>
                <w:b/>
                <w:color w:val="auto"/>
                <w:sz w:val="24"/>
                <w:szCs w:val="24"/>
                <w:u w:val="none" w:color="auto"/>
              </w:rPr>
              <w:t xml:space="preserve">  环保投资估算表</w:t>
            </w:r>
          </w:p>
          <w:tbl>
            <w:tblPr>
              <w:tblStyle w:val="39"/>
              <w:tblW w:w="90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1813"/>
              <w:gridCol w:w="4788"/>
              <w:gridCol w:w="15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2"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污染源</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建设内容</w:t>
                  </w:r>
                </w:p>
              </w:tc>
              <w:tc>
                <w:tcPr>
                  <w:tcW w:w="15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投资估算金额（万元）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生活污水</w:t>
                  </w:r>
                </w:p>
              </w:tc>
              <w:tc>
                <w:tcPr>
                  <w:tcW w:w="4788"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化粪池、管道</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3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w:t>
                  </w:r>
                </w:p>
              </w:tc>
              <w:tc>
                <w:tcPr>
                  <w:tcW w:w="1813" w:type="dxa"/>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废气</w:t>
                  </w:r>
                </w:p>
              </w:tc>
              <w:tc>
                <w:tcPr>
                  <w:tcW w:w="4788"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喷塑废气：自带滤芯回收系统</w:t>
                  </w:r>
                  <w:r>
                    <w:rPr>
                      <w:rFonts w:hint="default" w:ascii="Times New Roman" w:hAnsi="Times New Roman" w:cs="Times New Roman"/>
                      <w:color w:val="auto"/>
                      <w:sz w:val="22"/>
                      <w:szCs w:val="22"/>
                      <w:u w:val="none" w:color="auto"/>
                      <w:lang w:val="en-US" w:eastAsia="zh-CN"/>
                    </w:rPr>
                    <w:t>+1根15m高排气筒</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喷塑后烘干固化废气：活性炭+</w:t>
                  </w:r>
                  <w:r>
                    <w:rPr>
                      <w:rFonts w:hint="eastAsia" w:ascii="Times New Roman" w:hAnsi="Times New Roman" w:cs="Times New Roman"/>
                      <w:color w:val="auto"/>
                      <w:sz w:val="22"/>
                      <w:szCs w:val="22"/>
                      <w:u w:val="none" w:color="auto"/>
                      <w:lang w:val="en-US" w:eastAsia="zh-CN"/>
                    </w:rPr>
                    <w:t>UV光解设备</w:t>
                  </w:r>
                  <w:r>
                    <w:rPr>
                      <w:rFonts w:hint="default" w:ascii="Times New Roman" w:hAnsi="Times New Roman" w:cs="Times New Roman"/>
                      <w:color w:val="auto"/>
                      <w:sz w:val="22"/>
                      <w:szCs w:val="22"/>
                      <w:u w:val="none" w:color="auto"/>
                      <w:lang w:val="en-US" w:eastAsia="zh-CN"/>
                    </w:rPr>
                    <w:t>+1根15m高排气筒</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产品耐高温检测废气：收集后+</w:t>
                  </w:r>
                  <w:r>
                    <w:rPr>
                      <w:rFonts w:hint="default" w:ascii="Times New Roman" w:hAnsi="Times New Roman" w:cs="Times New Roman"/>
                      <w:color w:val="auto"/>
                      <w:sz w:val="22"/>
                      <w:szCs w:val="22"/>
                      <w:u w:val="none" w:color="auto"/>
                      <w:lang w:val="en-US" w:eastAsia="zh-CN"/>
                    </w:rPr>
                    <w:t>1根15m高排气筒</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喷漆、喷涂线废气：水帘</w:t>
                  </w:r>
                  <w:r>
                    <w:rPr>
                      <w:rFonts w:hint="eastAsia" w:ascii="Times New Roman" w:hAnsi="Times New Roman" w:cs="Times New Roman"/>
                      <w:color w:val="auto"/>
                      <w:sz w:val="22"/>
                      <w:szCs w:val="22"/>
                      <w:u w:val="none" w:color="auto"/>
                      <w:lang w:val="en-US" w:eastAsia="zh-CN"/>
                    </w:rPr>
                    <w:t>+活性炭</w:t>
                  </w:r>
                  <w:r>
                    <w:rPr>
                      <w:rFonts w:hint="eastAsia" w:cs="Times New Roman"/>
                      <w:color w:val="auto"/>
                      <w:sz w:val="22"/>
                      <w:szCs w:val="22"/>
                      <w:u w:val="none" w:color="auto"/>
                      <w:lang w:val="en-US" w:eastAsia="zh-CN"/>
                    </w:rPr>
                    <w:t>吸附+UV光解设施</w:t>
                  </w:r>
                  <w:r>
                    <w:rPr>
                      <w:rFonts w:hint="default" w:ascii="Times New Roman" w:hAnsi="Times New Roman" w:cs="Times New Roman"/>
                      <w:color w:val="auto"/>
                      <w:sz w:val="22"/>
                      <w:szCs w:val="22"/>
                      <w:u w:val="none" w:color="auto"/>
                      <w:lang w:val="en-US" w:eastAsia="zh-CN"/>
                    </w:rPr>
                    <w:t>+1根15m高排气筒</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液化石油气燃烧废气：收集后</w:t>
                  </w:r>
                  <w:r>
                    <w:rPr>
                      <w:rFonts w:hint="default" w:ascii="Times New Roman" w:hAnsi="Times New Roman" w:cs="Times New Roman"/>
                      <w:color w:val="auto"/>
                      <w:sz w:val="22"/>
                      <w:szCs w:val="22"/>
                      <w:u w:val="none" w:color="auto"/>
                      <w:lang w:val="en-US" w:eastAsia="zh-CN"/>
                    </w:rPr>
                    <w:t>+1根15m高排气筒</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4788"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激光切割废气：负压收集设施+脉冲式除尘器+15m高排气筒</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等离子切割废气：负压收集设施+脉冲式除尘器+15m高排气筒</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激光、等离子切割废气：负压收集设施+脉冲式除尘器+15m高排气筒</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813"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4788"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布袋除尘器、排风扇</w:t>
                  </w:r>
                  <w:r>
                    <w:rPr>
                      <w:rFonts w:hint="eastAsia" w:cs="Times New Roman"/>
                      <w:color w:val="auto"/>
                      <w:sz w:val="22"/>
                      <w:szCs w:val="22"/>
                      <w:u w:val="none" w:color="auto"/>
                      <w:lang w:val="en-US" w:eastAsia="zh-CN"/>
                    </w:rPr>
                    <w:t>、移动式烟尘净化器</w:t>
                  </w:r>
                </w:p>
              </w:tc>
              <w:tc>
                <w:tcPr>
                  <w:tcW w:w="151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6</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减振降噪措施</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7</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生活垃圾</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垃圾桶等环卫设施</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8</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固废</w:t>
                  </w:r>
                </w:p>
              </w:tc>
              <w:tc>
                <w:tcPr>
                  <w:tcW w:w="4788"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固废堆</w:t>
                  </w:r>
                  <w:r>
                    <w:rPr>
                      <w:rFonts w:hint="default" w:ascii="Times New Roman" w:hAnsi="Times New Roman" w:cs="Times New Roman"/>
                      <w:color w:val="auto"/>
                      <w:sz w:val="22"/>
                      <w:szCs w:val="22"/>
                      <w:u w:val="none" w:color="auto"/>
                    </w:rPr>
                    <w:t>场</w:t>
                  </w:r>
                  <w:r>
                    <w:rPr>
                      <w:rFonts w:hint="default" w:ascii="Times New Roman" w:hAnsi="Times New Roman" w:cs="Times New Roman"/>
                      <w:color w:val="auto"/>
                      <w:sz w:val="22"/>
                      <w:szCs w:val="22"/>
                      <w:u w:val="none" w:color="auto"/>
                      <w:lang w:eastAsia="zh-CN"/>
                    </w:rPr>
                    <w:t>、危险废物储存间</w:t>
                  </w:r>
                </w:p>
              </w:tc>
              <w:tc>
                <w:tcPr>
                  <w:tcW w:w="15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9</w:t>
                  </w:r>
                </w:p>
              </w:tc>
              <w:tc>
                <w:tcPr>
                  <w:tcW w:w="181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合计</w:t>
                  </w:r>
                </w:p>
              </w:tc>
              <w:tc>
                <w:tcPr>
                  <w:tcW w:w="478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p>
              </w:tc>
              <w:tc>
                <w:tcPr>
                  <w:tcW w:w="151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130</w:t>
                  </w:r>
                </w:p>
              </w:tc>
            </w:tr>
          </w:tbl>
          <w:p>
            <w:pPr>
              <w:spacing w:line="360" w:lineRule="auto"/>
              <w:ind w:firstLine="462" w:firstLineChars="200"/>
              <w:textAlignment w:val="baseline"/>
              <w:rPr>
                <w:rFonts w:hint="default" w:ascii="Times New Roman" w:hAnsi="Times New Roman" w:cs="Times New Roman"/>
                <w:b/>
                <w:color w:val="auto"/>
                <w:sz w:val="24"/>
                <w:szCs w:val="24"/>
                <w:u w:val="none" w:color="auto"/>
              </w:rPr>
            </w:pPr>
            <w:r>
              <w:rPr>
                <w:rFonts w:hint="default" w:ascii="Times New Roman" w:hAnsi="Times New Roman" w:cs="Times New Roman"/>
                <w:color w:val="auto"/>
                <w:sz w:val="24"/>
                <w:szCs w:val="24"/>
                <w:u w:val="none" w:color="auto"/>
              </w:rPr>
              <w:t>从工程分析结论可知，只有保障上述这部分环保投资落到实处，才能使污染物达标排放。</w:t>
            </w:r>
          </w:p>
          <w:p>
            <w:pPr>
              <w:spacing w:line="360" w:lineRule="auto"/>
              <w:ind w:firstLine="478" w:firstLineChars="207"/>
              <w:textAlignment w:val="baseline"/>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1</w:t>
            </w:r>
            <w:r>
              <w:rPr>
                <w:rFonts w:hint="eastAsia" w:cs="Times New Roman"/>
                <w:b/>
                <w:color w:val="auto"/>
                <w:sz w:val="24"/>
                <w:szCs w:val="24"/>
                <w:u w:val="single" w:color="auto"/>
                <w:lang w:val="en-US" w:eastAsia="zh-CN"/>
              </w:rPr>
              <w:t>2</w:t>
            </w:r>
            <w:r>
              <w:rPr>
                <w:rFonts w:hint="default" w:ascii="Times New Roman" w:hAnsi="Times New Roman" w:cs="Times New Roman"/>
                <w:b/>
                <w:color w:val="auto"/>
                <w:sz w:val="24"/>
                <w:szCs w:val="24"/>
                <w:u w:val="single" w:color="auto"/>
              </w:rPr>
              <w:t>、项目环保竣工验收计划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本工程环保竣工验收计划内容，具体见表7-</w:t>
            </w:r>
            <w:r>
              <w:rPr>
                <w:rFonts w:hint="eastAsia" w:cs="Times New Roman"/>
                <w:color w:val="auto"/>
                <w:sz w:val="24"/>
                <w:szCs w:val="24"/>
                <w:u w:val="single" w:color="auto"/>
                <w:lang w:val="en-US" w:eastAsia="zh-CN"/>
              </w:rPr>
              <w:t>31</w:t>
            </w:r>
            <w:r>
              <w:rPr>
                <w:rFonts w:hint="default" w:ascii="Times New Roman" w:hAnsi="Times New Roman" w:cs="Times New Roman"/>
                <w:color w:val="auto"/>
                <w:sz w:val="24"/>
                <w:szCs w:val="24"/>
                <w:u w:val="single" w:color="auto"/>
              </w:rPr>
              <w:t>。</w:t>
            </w:r>
          </w:p>
          <w:p>
            <w:pPr>
              <w:spacing w:before="156" w:beforeLines="50" w:line="360" w:lineRule="auto"/>
              <w:ind w:firstLine="578" w:firstLineChars="250"/>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表7-</w:t>
            </w:r>
            <w:r>
              <w:rPr>
                <w:rFonts w:hint="eastAsia" w:cs="Times New Roman"/>
                <w:b/>
                <w:color w:val="auto"/>
                <w:sz w:val="24"/>
                <w:szCs w:val="24"/>
                <w:u w:val="single" w:color="auto"/>
                <w:lang w:val="en-US" w:eastAsia="zh-CN"/>
              </w:rPr>
              <w:t>31</w:t>
            </w:r>
            <w:r>
              <w:rPr>
                <w:rFonts w:hint="default" w:ascii="Times New Roman" w:hAnsi="Times New Roman" w:cs="Times New Roman"/>
                <w:b/>
                <w:color w:val="auto"/>
                <w:sz w:val="24"/>
                <w:szCs w:val="24"/>
                <w:u w:val="single" w:color="auto"/>
              </w:rPr>
              <w:t xml:space="preserve"> 本项目环保竣工验收内容一览表</w:t>
            </w:r>
          </w:p>
          <w:tbl>
            <w:tblPr>
              <w:tblStyle w:val="39"/>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024"/>
              <w:gridCol w:w="3226"/>
              <w:gridCol w:w="1530"/>
              <w:gridCol w:w="25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702"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污染源</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污染物名称</w:t>
                  </w:r>
                </w:p>
              </w:tc>
              <w:tc>
                <w:tcPr>
                  <w:tcW w:w="3226"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防治措施与工艺</w:t>
                  </w:r>
                </w:p>
              </w:tc>
              <w:tc>
                <w:tcPr>
                  <w:tcW w:w="1530"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三同时竣</w:t>
                  </w:r>
                </w:p>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工验收</w:t>
                  </w:r>
                </w:p>
              </w:tc>
              <w:tc>
                <w:tcPr>
                  <w:tcW w:w="2590"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预期治理效果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1" w:hRule="atLeast"/>
                <w:jc w:val="center"/>
              </w:trPr>
              <w:tc>
                <w:tcPr>
                  <w:tcW w:w="702"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废水</w:t>
                  </w:r>
                </w:p>
              </w:tc>
              <w:tc>
                <w:tcPr>
                  <w:tcW w:w="1024"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污水</w:t>
                  </w:r>
                </w:p>
              </w:tc>
              <w:tc>
                <w:tcPr>
                  <w:tcW w:w="3226"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sz w:val="22"/>
                      <w:szCs w:val="22"/>
                      <w:u w:val="single" w:color="auto"/>
                    </w:rPr>
                    <w:t>在金龙新区工业区污水管网接入湘阴县第三污水处理厂之前，项目污水通过化粪池处理后排入园区污水管网再进入金龙新区人工湿地处理后经</w:t>
                  </w:r>
                  <w:r>
                    <w:rPr>
                      <w:rFonts w:hint="eastAsia"/>
                      <w:sz w:val="22"/>
                      <w:szCs w:val="22"/>
                      <w:u w:val="single" w:color="auto"/>
                      <w:lang w:eastAsia="zh-CN"/>
                    </w:rPr>
                    <w:t>洋沙河</w:t>
                  </w:r>
                  <w:r>
                    <w:rPr>
                      <w:sz w:val="22"/>
                      <w:szCs w:val="22"/>
                      <w:u w:val="single" w:color="auto"/>
                    </w:rPr>
                    <w:t>汇入湘江</w:t>
                  </w:r>
                </w:p>
              </w:tc>
              <w:tc>
                <w:tcPr>
                  <w:tcW w:w="1530"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化粪池及人工湿地</w:t>
                  </w:r>
                </w:p>
              </w:tc>
              <w:tc>
                <w:tcPr>
                  <w:tcW w:w="259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《污水综合排放标准》（GB8978-1996）一级排放标准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3226" w:type="dxa"/>
                  <w:tcBorders>
                    <w:tl2br w:val="nil"/>
                    <w:tr2bl w:val="nil"/>
                  </w:tcBorders>
                  <w:noWrap w:val="0"/>
                  <w:vAlign w:val="center"/>
                </w:tcPr>
                <w:p>
                  <w:pPr>
                    <w:spacing w:line="360" w:lineRule="auto"/>
                    <w:jc w:val="center"/>
                    <w:rPr>
                      <w:sz w:val="22"/>
                      <w:szCs w:val="22"/>
                      <w:u w:val="single" w:color="auto"/>
                    </w:rPr>
                  </w:pPr>
                  <w:r>
                    <w:rPr>
                      <w:sz w:val="22"/>
                      <w:szCs w:val="22"/>
                      <w:u w:val="single" w:color="auto"/>
                    </w:rPr>
                    <w:t>在工业区污水管网接入湘阴县第三污水处理厂之后，项目废水经预处理达到接管标准后排入第三污水处理厂处理后汇入湘江</w:t>
                  </w:r>
                </w:p>
              </w:tc>
              <w:tc>
                <w:tcPr>
                  <w:tcW w:w="1530"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化粪池及湘阴县第三污水处理厂</w:t>
                  </w:r>
                </w:p>
              </w:tc>
              <w:tc>
                <w:tcPr>
                  <w:tcW w:w="2590"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sz w:val="22"/>
                      <w:szCs w:val="22"/>
                      <w:u w:val="single" w:color="auto"/>
                    </w:rPr>
                    <w:t>《城镇污水处理厂污染物排放标准（GB18918—2002）》中一级标准的A类标准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2"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废气</w:t>
                  </w:r>
                </w:p>
              </w:tc>
              <w:tc>
                <w:tcPr>
                  <w:tcW w:w="1024"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喷塑</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粉尘</w:t>
                  </w:r>
                </w:p>
              </w:tc>
              <w:tc>
                <w:tcPr>
                  <w:tcW w:w="3226"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经</w:t>
                  </w:r>
                  <w:r>
                    <w:rPr>
                      <w:rFonts w:hint="eastAsia" w:cs="Times New Roman"/>
                      <w:color w:val="auto"/>
                      <w:sz w:val="22"/>
                      <w:szCs w:val="22"/>
                      <w:u w:val="single" w:color="auto"/>
                      <w:lang w:eastAsia="zh-CN"/>
                    </w:rPr>
                    <w:t>自带的滤芯回收系统处理后由</w:t>
                  </w:r>
                  <w:r>
                    <w:rPr>
                      <w:rFonts w:hint="eastAsia" w:cs="Times New Roman"/>
                      <w:color w:val="auto"/>
                      <w:sz w:val="22"/>
                      <w:szCs w:val="22"/>
                      <w:u w:val="single" w:color="auto"/>
                      <w:lang w:val="en-US" w:eastAsia="zh-CN"/>
                    </w:rPr>
                    <w:t>15m高排气筒高空排放</w:t>
                  </w:r>
                </w:p>
              </w:tc>
              <w:tc>
                <w:tcPr>
                  <w:tcW w:w="153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自带的滤芯回收系统</w:t>
                  </w:r>
                  <w:r>
                    <w:rPr>
                      <w:rFonts w:hint="eastAsia" w:cs="Times New Roman"/>
                      <w:color w:val="auto"/>
                      <w:sz w:val="22"/>
                      <w:szCs w:val="22"/>
                      <w:u w:val="single" w:color="auto"/>
                      <w:lang w:val="en-US" w:eastAsia="zh-CN"/>
                    </w:rPr>
                    <w:t>+15m高排气筒</w:t>
                  </w:r>
                </w:p>
              </w:tc>
              <w:tc>
                <w:tcPr>
                  <w:tcW w:w="259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w:t>
                  </w:r>
                  <w:r>
                    <w:rPr>
                      <w:rFonts w:hint="eastAsia" w:cs="Times New Roman"/>
                      <w:color w:val="auto"/>
                      <w:sz w:val="22"/>
                      <w:szCs w:val="22"/>
                      <w:u w:val="single" w:color="auto"/>
                      <w:lang w:val="en-US" w:eastAsia="zh-CN"/>
                    </w:rPr>
                    <w:t>二级</w:t>
                  </w:r>
                  <w:r>
                    <w:rPr>
                      <w:rFonts w:hint="default" w:ascii="Times New Roman" w:hAnsi="Times New Roman" w:cs="Times New Roman"/>
                      <w:color w:val="auto"/>
                      <w:sz w:val="22"/>
                      <w:szCs w:val="22"/>
                      <w:u w:val="single" w:color="auto"/>
                      <w:lang w:val="en-US" w:eastAsia="zh-CN"/>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0"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烘干</w:t>
                  </w:r>
                </w:p>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固化废气</w:t>
                  </w:r>
                </w:p>
              </w:tc>
              <w:tc>
                <w:tcPr>
                  <w:tcW w:w="322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经活性炭</w:t>
                  </w:r>
                  <w:r>
                    <w:rPr>
                      <w:rFonts w:hint="eastAsia" w:cs="Times New Roman"/>
                      <w:color w:val="auto"/>
                      <w:sz w:val="22"/>
                      <w:szCs w:val="22"/>
                      <w:u w:val="single" w:color="auto"/>
                      <w:lang w:val="en-US" w:eastAsia="zh-CN"/>
                    </w:rPr>
                    <w:t>+UV光解处理后由15m高排气筒高空排放</w:t>
                  </w:r>
                </w:p>
              </w:tc>
              <w:tc>
                <w:tcPr>
                  <w:tcW w:w="153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活性炭+UV光解处理后由15m高排气筒</w:t>
                  </w:r>
                </w:p>
              </w:tc>
              <w:tc>
                <w:tcPr>
                  <w:tcW w:w="259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eastAsia="宋体" w:cs="Times New Roman"/>
                      <w:color w:val="auto"/>
                      <w:sz w:val="22"/>
                      <w:szCs w:val="22"/>
                      <w:u w:val="single" w:color="auto"/>
                      <w:lang w:val="en-US" w:eastAsia="zh-CN"/>
                    </w:rPr>
                    <w:t>《表面涂装（汽车制造及维修）挥发性有机物、镍排放标准》（DB43/1356-2017）表1中排放标准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6"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液化石油气燃烧废气</w:t>
                  </w:r>
                </w:p>
              </w:tc>
              <w:tc>
                <w:tcPr>
                  <w:tcW w:w="3226"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经</w:t>
                  </w:r>
                  <w:r>
                    <w:rPr>
                      <w:rFonts w:hint="eastAsia" w:cs="Times New Roman"/>
                      <w:color w:val="auto"/>
                      <w:sz w:val="22"/>
                      <w:szCs w:val="22"/>
                      <w:u w:val="single" w:color="auto"/>
                      <w:lang w:val="en-US" w:eastAsia="zh-CN"/>
                    </w:rPr>
                    <w:t>15m高排气筒高空排放</w:t>
                  </w:r>
                </w:p>
              </w:tc>
              <w:tc>
                <w:tcPr>
                  <w:tcW w:w="1530" w:type="dxa"/>
                  <w:tcBorders>
                    <w:tl2br w:val="nil"/>
                    <w:tr2bl w:val="nil"/>
                  </w:tcBorders>
                  <w:noWrap w:val="0"/>
                  <w:vAlign w:val="center"/>
                </w:tcPr>
                <w:p>
                  <w:pPr>
                    <w:spacing w:line="360" w:lineRule="auto"/>
                    <w:jc w:val="center"/>
                    <w:rPr>
                      <w:rFonts w:hint="default"/>
                      <w:sz w:val="22"/>
                      <w:szCs w:val="22"/>
                      <w:u w:val="single" w:color="auto"/>
                      <w:lang w:val="en-US" w:eastAsia="zh-CN"/>
                    </w:rPr>
                  </w:pPr>
                  <w:r>
                    <w:rPr>
                      <w:rFonts w:hint="eastAsia"/>
                      <w:sz w:val="22"/>
                      <w:szCs w:val="22"/>
                      <w:u w:val="single" w:color="auto"/>
                      <w:lang w:val="en-US" w:eastAsia="zh-CN"/>
                    </w:rPr>
                    <w:t>15m高排气筒</w:t>
                  </w:r>
                </w:p>
              </w:tc>
              <w:tc>
                <w:tcPr>
                  <w:tcW w:w="259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kern w:val="0"/>
                      <w:sz w:val="22"/>
                      <w:szCs w:val="22"/>
                      <w:u w:val="single" w:color="auto"/>
                      <w:lang w:val="en-US" w:eastAsia="zh-CN" w:bidi="ar"/>
                    </w:rPr>
                    <w:t>《</w:t>
                  </w:r>
                  <w:r>
                    <w:rPr>
                      <w:rFonts w:hint="default" w:ascii="Times New Roman" w:hAnsi="Times New Roman" w:cs="Times New Roman"/>
                      <w:color w:val="auto"/>
                      <w:kern w:val="0"/>
                      <w:sz w:val="22"/>
                      <w:szCs w:val="22"/>
                      <w:u w:val="single" w:color="auto"/>
                      <w:lang w:val="en-US" w:eastAsia="zh-CN" w:bidi="ar"/>
                    </w:rPr>
                    <w:t>工业炉窑大气污染物排放标准</w:t>
                  </w:r>
                  <w:r>
                    <w:rPr>
                      <w:rFonts w:hint="default" w:ascii="Times New Roman" w:hAnsi="Times New Roman" w:eastAsia="宋体" w:cs="Times New Roman"/>
                      <w:color w:val="auto"/>
                      <w:kern w:val="0"/>
                      <w:sz w:val="22"/>
                      <w:szCs w:val="22"/>
                      <w:u w:val="single" w:color="auto"/>
                      <w:lang w:val="en-US" w:eastAsia="zh-CN" w:bidi="ar"/>
                    </w:rPr>
                    <w:t>》（GB</w:t>
                  </w:r>
                  <w:r>
                    <w:rPr>
                      <w:rFonts w:hint="default" w:ascii="Times New Roman" w:hAnsi="Times New Roman" w:cs="Times New Roman"/>
                      <w:color w:val="auto"/>
                      <w:kern w:val="0"/>
                      <w:sz w:val="22"/>
                      <w:szCs w:val="22"/>
                      <w:u w:val="single" w:color="auto"/>
                      <w:lang w:val="en-US" w:eastAsia="zh-CN" w:bidi="ar"/>
                    </w:rPr>
                    <w:t>9078</w:t>
                  </w:r>
                  <w:r>
                    <w:rPr>
                      <w:rFonts w:hint="default" w:ascii="Times New Roman" w:hAnsi="Times New Roman" w:eastAsia="宋体" w:cs="Times New Roman"/>
                      <w:color w:val="auto"/>
                      <w:kern w:val="0"/>
                      <w:sz w:val="22"/>
                      <w:szCs w:val="22"/>
                      <w:u w:val="single" w:color="auto"/>
                      <w:lang w:val="en-US" w:eastAsia="zh-CN" w:bidi="ar"/>
                    </w:rPr>
                    <w:t>-1996）</w:t>
                  </w:r>
                  <w:r>
                    <w:rPr>
                      <w:rFonts w:hint="default" w:ascii="Times New Roman" w:hAnsi="Times New Roman" w:cs="Times New Roman"/>
                      <w:color w:val="auto"/>
                      <w:kern w:val="0"/>
                      <w:sz w:val="22"/>
                      <w:szCs w:val="22"/>
                      <w:u w:val="single" w:color="auto"/>
                      <w:lang w:val="en-US" w:eastAsia="zh-CN" w:bidi="ar"/>
                    </w:rPr>
                    <w:t>中的排放</w:t>
                  </w:r>
                  <w:r>
                    <w:rPr>
                      <w:rFonts w:hint="default" w:ascii="Times New Roman" w:hAnsi="Times New Roman" w:eastAsia="宋体" w:cs="Times New Roman"/>
                      <w:color w:val="auto"/>
                      <w:kern w:val="0"/>
                      <w:sz w:val="22"/>
                      <w:szCs w:val="22"/>
                      <w:u w:val="single" w:color="auto"/>
                      <w:lang w:val="en-US" w:eastAsia="zh-CN" w:bidi="ar"/>
                    </w:rPr>
                    <w:t>标准</w:t>
                  </w:r>
                  <w:r>
                    <w:rPr>
                      <w:rFonts w:hint="default" w:ascii="Times New Roman" w:hAnsi="Times New Roman" w:cs="Times New Roman"/>
                      <w:color w:val="auto"/>
                      <w:kern w:val="0"/>
                      <w:sz w:val="22"/>
                      <w:szCs w:val="22"/>
                      <w:u w:val="single" w:color="auto"/>
                      <w:lang w:val="en-US" w:eastAsia="zh-CN" w:bidi="ar"/>
                    </w:rPr>
                    <w:t>，氮氧化物执行</w:t>
                  </w:r>
                  <w:r>
                    <w:rPr>
                      <w:rFonts w:hint="default" w:ascii="Times New Roman" w:hAnsi="Times New Roman" w:eastAsia="宋体" w:cs="Times New Roman"/>
                      <w:color w:val="auto"/>
                      <w:kern w:val="0"/>
                      <w:sz w:val="22"/>
                      <w:szCs w:val="22"/>
                      <w:u w:val="single" w:color="auto"/>
                      <w:lang w:val="en-US" w:eastAsia="zh-CN" w:bidi="ar"/>
                    </w:rPr>
                    <w:t>《大气污染物综合排放标准》（GB16297-1996）表2的二级标准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6"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耐高温检测废气</w:t>
                  </w:r>
                </w:p>
              </w:tc>
              <w:tc>
                <w:tcPr>
                  <w:tcW w:w="3226"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经</w:t>
                  </w:r>
                  <w:r>
                    <w:rPr>
                      <w:rFonts w:hint="eastAsia" w:cs="Times New Roman"/>
                      <w:color w:val="auto"/>
                      <w:sz w:val="22"/>
                      <w:szCs w:val="22"/>
                      <w:u w:val="single" w:color="auto"/>
                      <w:lang w:val="en-US" w:eastAsia="zh-CN"/>
                    </w:rPr>
                    <w:t>15m高排气筒高空排放</w:t>
                  </w:r>
                </w:p>
              </w:tc>
              <w:tc>
                <w:tcPr>
                  <w:tcW w:w="1530"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sz w:val="22"/>
                      <w:szCs w:val="22"/>
                      <w:u w:val="single" w:color="auto"/>
                      <w:lang w:val="en-US" w:eastAsia="zh-CN"/>
                    </w:rPr>
                    <w:t>15m高排气筒</w:t>
                  </w:r>
                </w:p>
              </w:tc>
              <w:tc>
                <w:tcPr>
                  <w:tcW w:w="259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eastAsia="宋体" w:cs="Times New Roman"/>
                      <w:color w:val="auto"/>
                      <w:kern w:val="0"/>
                      <w:sz w:val="22"/>
                      <w:szCs w:val="22"/>
                      <w:u w:val="single" w:color="auto"/>
                      <w:lang w:val="en-US" w:eastAsia="zh-CN" w:bidi="ar"/>
                    </w:rPr>
                    <w:t>《</w:t>
                  </w:r>
                  <w:r>
                    <w:rPr>
                      <w:rFonts w:hint="default" w:ascii="Times New Roman" w:hAnsi="Times New Roman" w:cs="Times New Roman"/>
                      <w:color w:val="auto"/>
                      <w:kern w:val="0"/>
                      <w:sz w:val="22"/>
                      <w:szCs w:val="22"/>
                      <w:u w:val="single" w:color="auto"/>
                      <w:lang w:val="en-US" w:eastAsia="zh-CN" w:bidi="ar"/>
                    </w:rPr>
                    <w:t>工业炉窑大气污染物排放标准</w:t>
                  </w:r>
                  <w:r>
                    <w:rPr>
                      <w:rFonts w:hint="default" w:ascii="Times New Roman" w:hAnsi="Times New Roman" w:eastAsia="宋体" w:cs="Times New Roman"/>
                      <w:color w:val="auto"/>
                      <w:kern w:val="0"/>
                      <w:sz w:val="22"/>
                      <w:szCs w:val="22"/>
                      <w:u w:val="single" w:color="auto"/>
                      <w:lang w:val="en-US" w:eastAsia="zh-CN" w:bidi="ar"/>
                    </w:rPr>
                    <w:t>》（GB</w:t>
                  </w:r>
                  <w:r>
                    <w:rPr>
                      <w:rFonts w:hint="default" w:ascii="Times New Roman" w:hAnsi="Times New Roman" w:cs="Times New Roman"/>
                      <w:color w:val="auto"/>
                      <w:kern w:val="0"/>
                      <w:sz w:val="22"/>
                      <w:szCs w:val="22"/>
                      <w:u w:val="single" w:color="auto"/>
                      <w:lang w:val="en-US" w:eastAsia="zh-CN" w:bidi="ar"/>
                    </w:rPr>
                    <w:t>9078</w:t>
                  </w:r>
                  <w:r>
                    <w:rPr>
                      <w:rFonts w:hint="default" w:ascii="Times New Roman" w:hAnsi="Times New Roman" w:eastAsia="宋体" w:cs="Times New Roman"/>
                      <w:color w:val="auto"/>
                      <w:kern w:val="0"/>
                      <w:sz w:val="22"/>
                      <w:szCs w:val="22"/>
                      <w:u w:val="single" w:color="auto"/>
                      <w:lang w:val="en-US" w:eastAsia="zh-CN" w:bidi="ar"/>
                    </w:rPr>
                    <w:t>-1996）</w:t>
                  </w:r>
                  <w:r>
                    <w:rPr>
                      <w:rFonts w:hint="default" w:ascii="Times New Roman" w:hAnsi="Times New Roman" w:cs="Times New Roman"/>
                      <w:color w:val="auto"/>
                      <w:kern w:val="0"/>
                      <w:sz w:val="22"/>
                      <w:szCs w:val="22"/>
                      <w:u w:val="single" w:color="auto"/>
                      <w:lang w:val="en-US" w:eastAsia="zh-CN" w:bidi="ar"/>
                    </w:rPr>
                    <w:t>中的排放</w:t>
                  </w:r>
                  <w:r>
                    <w:rPr>
                      <w:rFonts w:hint="default" w:ascii="Times New Roman" w:hAnsi="Times New Roman" w:eastAsia="宋体" w:cs="Times New Roman"/>
                      <w:color w:val="auto"/>
                      <w:kern w:val="0"/>
                      <w:sz w:val="22"/>
                      <w:szCs w:val="22"/>
                      <w:u w:val="single" w:color="auto"/>
                      <w:lang w:val="en-US" w:eastAsia="zh-CN" w:bidi="ar"/>
                    </w:rPr>
                    <w:t>标准</w:t>
                  </w:r>
                  <w:r>
                    <w:rPr>
                      <w:rFonts w:hint="default" w:ascii="Times New Roman" w:hAnsi="Times New Roman" w:cs="Times New Roman"/>
                      <w:color w:val="auto"/>
                      <w:kern w:val="0"/>
                      <w:sz w:val="22"/>
                      <w:szCs w:val="22"/>
                      <w:u w:val="single" w:color="auto"/>
                      <w:lang w:val="en-US" w:eastAsia="zh-CN" w:bidi="ar"/>
                    </w:rPr>
                    <w:t>，氮氧化物执行</w:t>
                  </w:r>
                  <w:r>
                    <w:rPr>
                      <w:rFonts w:hint="default" w:ascii="Times New Roman" w:hAnsi="Times New Roman" w:eastAsia="宋体" w:cs="Times New Roman"/>
                      <w:color w:val="auto"/>
                      <w:kern w:val="0"/>
                      <w:sz w:val="22"/>
                      <w:szCs w:val="22"/>
                      <w:u w:val="single" w:color="auto"/>
                      <w:lang w:val="en-US" w:eastAsia="zh-CN" w:bidi="ar"/>
                    </w:rPr>
                    <w:t>《大气污染物综合排放标准》（GB16297-1996）表2的二级标准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7"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喷漆</w:t>
                  </w:r>
                  <w:r>
                    <w:rPr>
                      <w:rFonts w:hint="eastAsia" w:cs="Times New Roman"/>
                      <w:color w:val="auto"/>
                      <w:sz w:val="22"/>
                      <w:szCs w:val="22"/>
                      <w:u w:val="single" w:color="auto"/>
                      <w:lang w:eastAsia="zh-CN"/>
                    </w:rPr>
                    <w:t>、喷涂线</w:t>
                  </w:r>
                  <w:r>
                    <w:rPr>
                      <w:rFonts w:hint="eastAsia" w:ascii="Times New Roman" w:hAnsi="Times New Roman" w:cs="Times New Roman"/>
                      <w:color w:val="auto"/>
                      <w:sz w:val="22"/>
                      <w:szCs w:val="22"/>
                      <w:u w:val="single" w:color="auto"/>
                      <w:lang w:eastAsia="zh-CN"/>
                    </w:rPr>
                    <w:t>废气</w:t>
                  </w:r>
                </w:p>
              </w:tc>
              <w:tc>
                <w:tcPr>
                  <w:tcW w:w="322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废气经水帘</w:t>
                  </w:r>
                  <w:r>
                    <w:rPr>
                      <w:rFonts w:hint="eastAsia" w:cs="Times New Roman"/>
                      <w:color w:val="auto"/>
                      <w:sz w:val="22"/>
                      <w:szCs w:val="22"/>
                      <w:u w:val="single" w:color="auto"/>
                      <w:lang w:val="en-US" w:eastAsia="zh-CN"/>
                    </w:rPr>
                    <w:t>+活性炭+UV光解设施</w:t>
                  </w:r>
                  <w:r>
                    <w:rPr>
                      <w:rFonts w:hint="eastAsia" w:ascii="Times New Roman" w:hAnsi="Times New Roman" w:cs="Times New Roman"/>
                      <w:color w:val="auto"/>
                      <w:sz w:val="22"/>
                      <w:szCs w:val="22"/>
                      <w:u w:val="single" w:color="auto"/>
                      <w:lang w:val="en-US" w:eastAsia="zh-CN"/>
                    </w:rPr>
                    <w:t>+15m高排气筒处理后高空排放</w:t>
                  </w:r>
                </w:p>
              </w:tc>
              <w:tc>
                <w:tcPr>
                  <w:tcW w:w="153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水帘</w:t>
                  </w:r>
                  <w:r>
                    <w:rPr>
                      <w:rFonts w:hint="eastAsia" w:cs="Times New Roman"/>
                      <w:color w:val="auto"/>
                      <w:sz w:val="22"/>
                      <w:szCs w:val="22"/>
                      <w:u w:val="single" w:color="auto"/>
                      <w:lang w:val="en-US" w:eastAsia="zh-CN"/>
                    </w:rPr>
                    <w:t>+活性炭+UV光解设施</w:t>
                  </w:r>
                  <w:r>
                    <w:rPr>
                      <w:rFonts w:hint="eastAsia" w:ascii="Times New Roman" w:hAnsi="Times New Roman" w:cs="Times New Roman"/>
                      <w:color w:val="auto"/>
                      <w:sz w:val="22"/>
                      <w:szCs w:val="22"/>
                      <w:u w:val="single" w:color="auto"/>
                      <w:lang w:val="en-US" w:eastAsia="zh-CN"/>
                    </w:rPr>
                    <w:t>+15m高排气筒</w:t>
                  </w:r>
                </w:p>
              </w:tc>
              <w:tc>
                <w:tcPr>
                  <w:tcW w:w="259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w:t>
                  </w:r>
                  <w:r>
                    <w:rPr>
                      <w:rFonts w:hint="eastAsia" w:ascii="Times New Roman" w:hAnsi="Times New Roman" w:cs="Times New Roman"/>
                      <w:color w:val="auto"/>
                      <w:sz w:val="22"/>
                      <w:szCs w:val="22"/>
                      <w:u w:val="single" w:color="auto"/>
                      <w:lang w:val="en-US" w:eastAsia="zh-CN"/>
                    </w:rPr>
                    <w:t>二级</w:t>
                  </w:r>
                  <w:r>
                    <w:rPr>
                      <w:rFonts w:hint="default" w:ascii="Times New Roman" w:hAnsi="Times New Roman" w:cs="Times New Roman"/>
                      <w:color w:val="auto"/>
                      <w:sz w:val="22"/>
                      <w:szCs w:val="22"/>
                      <w:u w:val="single" w:color="auto"/>
                      <w:lang w:val="en-US" w:eastAsia="zh-CN"/>
                    </w:rPr>
                    <w:t>排放标准</w:t>
                  </w:r>
                  <w:r>
                    <w:rPr>
                      <w:rFonts w:hint="eastAsia" w:cs="Times New Roman"/>
                      <w:color w:val="auto"/>
                      <w:sz w:val="22"/>
                      <w:szCs w:val="22"/>
                      <w:u w:val="single" w:color="auto"/>
                      <w:lang w:val="en-US" w:eastAsia="zh-CN"/>
                    </w:rPr>
                    <w:t>及无组织排放标准；</w:t>
                  </w:r>
                  <w:r>
                    <w:rPr>
                      <w:rFonts w:hint="default" w:ascii="Times New Roman" w:hAnsi="Times New Roman" w:eastAsia="宋体" w:cs="Times New Roman"/>
                      <w:color w:val="auto"/>
                      <w:sz w:val="22"/>
                      <w:szCs w:val="22"/>
                      <w:u w:val="single" w:color="auto"/>
                      <w:lang w:val="en-US" w:eastAsia="zh-CN"/>
                    </w:rPr>
                    <w:t>《表面涂装（汽车制造及维修）挥发性有机物、镍排放标准》（DB43/1356-2017）表1中排放标准；无组织有机废气排放执行《挥发性有机物无组织排放控制标准》（GB37822-2019）中限值要求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4"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激光切割废气</w:t>
                  </w:r>
                </w:p>
              </w:tc>
              <w:tc>
                <w:tcPr>
                  <w:tcW w:w="3226" w:type="dxa"/>
                  <w:vMerge w:val="restar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val="en-US" w:eastAsia="zh-CN"/>
                    </w:rPr>
                    <w:t>脉冲式除尘器</w:t>
                  </w:r>
                  <w:r>
                    <w:rPr>
                      <w:rFonts w:hint="eastAsia" w:ascii="Times New Roman" w:hAnsi="Times New Roman" w:cs="Times New Roman"/>
                      <w:color w:val="auto"/>
                      <w:sz w:val="22"/>
                      <w:szCs w:val="22"/>
                      <w:u w:val="single" w:color="auto"/>
                      <w:lang w:val="en-US" w:eastAsia="zh-CN"/>
                    </w:rPr>
                    <w:t>+15m高排气筒处理后高空排放</w:t>
                  </w:r>
                </w:p>
              </w:tc>
              <w:tc>
                <w:tcPr>
                  <w:tcW w:w="1530" w:type="dxa"/>
                  <w:vMerge w:val="restar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val="en-US" w:eastAsia="zh-CN"/>
                    </w:rPr>
                    <w:t>脉冲式除尘器</w:t>
                  </w:r>
                  <w:r>
                    <w:rPr>
                      <w:rFonts w:hint="eastAsia" w:ascii="Times New Roman" w:hAnsi="Times New Roman" w:cs="Times New Roman"/>
                      <w:color w:val="auto"/>
                      <w:sz w:val="22"/>
                      <w:szCs w:val="22"/>
                      <w:u w:val="single" w:color="auto"/>
                      <w:lang w:val="en-US" w:eastAsia="zh-CN"/>
                    </w:rPr>
                    <w:t>+15m高排气筒</w:t>
                  </w:r>
                </w:p>
              </w:tc>
              <w:tc>
                <w:tcPr>
                  <w:tcW w:w="2590"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w:t>
                  </w:r>
                  <w:r>
                    <w:rPr>
                      <w:rFonts w:hint="eastAsia" w:ascii="Times New Roman" w:hAnsi="Times New Roman" w:cs="Times New Roman"/>
                      <w:color w:val="auto"/>
                      <w:sz w:val="22"/>
                      <w:szCs w:val="22"/>
                      <w:u w:val="single" w:color="auto"/>
                      <w:lang w:val="en-US" w:eastAsia="zh-CN"/>
                    </w:rPr>
                    <w:t>二级排放标准及</w:t>
                  </w:r>
                  <w:r>
                    <w:rPr>
                      <w:rFonts w:hint="default" w:ascii="Times New Roman" w:hAnsi="Times New Roman" w:cs="Times New Roman"/>
                      <w:color w:val="auto"/>
                      <w:sz w:val="22"/>
                      <w:szCs w:val="22"/>
                      <w:u w:val="single" w:color="auto"/>
                      <w:lang w:val="en-US" w:eastAsia="zh-CN"/>
                    </w:rPr>
                    <w:t>无组织排放标准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等离子切割废气</w:t>
                  </w:r>
                </w:p>
              </w:tc>
              <w:tc>
                <w:tcPr>
                  <w:tcW w:w="3226"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p>
              </w:tc>
              <w:tc>
                <w:tcPr>
                  <w:tcW w:w="1530"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p>
              </w:tc>
              <w:tc>
                <w:tcPr>
                  <w:tcW w:w="2590"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3"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激光、等离子切割废气</w:t>
                  </w:r>
                </w:p>
              </w:tc>
              <w:tc>
                <w:tcPr>
                  <w:tcW w:w="3226"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p>
              </w:tc>
              <w:tc>
                <w:tcPr>
                  <w:tcW w:w="1530" w:type="dxa"/>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p>
              </w:tc>
              <w:tc>
                <w:tcPr>
                  <w:tcW w:w="2590"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焊接烟尘</w:t>
                  </w:r>
                </w:p>
              </w:tc>
              <w:tc>
                <w:tcPr>
                  <w:tcW w:w="3226"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经移动式烟尘净化器处理</w:t>
                  </w:r>
                </w:p>
                <w:p>
                  <w:pPr>
                    <w:spacing w:line="360" w:lineRule="auto"/>
                    <w:jc w:val="center"/>
                    <w:rPr>
                      <w:rFonts w:hint="eastAsia"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后无组织排放</w:t>
                  </w:r>
                </w:p>
              </w:tc>
              <w:tc>
                <w:tcPr>
                  <w:tcW w:w="1530"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val="en-US" w:eastAsia="zh-CN"/>
                    </w:rPr>
                    <w:t>移动式烟尘净化器</w:t>
                  </w:r>
                </w:p>
              </w:tc>
              <w:tc>
                <w:tcPr>
                  <w:tcW w:w="259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GB16297-1996)无组织排放标准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抛光废气</w:t>
                  </w:r>
                </w:p>
              </w:tc>
              <w:tc>
                <w:tcPr>
                  <w:tcW w:w="3226" w:type="dxa"/>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经布袋除尘器处理后无组织排放</w:t>
                  </w:r>
                </w:p>
              </w:tc>
              <w:tc>
                <w:tcPr>
                  <w:tcW w:w="1530"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val="en-US" w:eastAsia="zh-CN"/>
                    </w:rPr>
                    <w:t>布袋除尘器</w:t>
                  </w:r>
                </w:p>
              </w:tc>
              <w:tc>
                <w:tcPr>
                  <w:tcW w:w="259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GB16297-1996)无组织排放标准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702"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固废</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一般</w:t>
                  </w:r>
                </w:p>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固废</w:t>
                  </w:r>
                </w:p>
              </w:tc>
              <w:tc>
                <w:tcPr>
                  <w:tcW w:w="322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按《一般工业固体废物贮存、处置场污染控制标准》（GB18599-2001）及其修改单的要求固定堆存</w:t>
                  </w:r>
                </w:p>
              </w:tc>
              <w:tc>
                <w:tcPr>
                  <w:tcW w:w="153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建设一般固废堆场</w:t>
                  </w:r>
                </w:p>
              </w:tc>
              <w:tc>
                <w:tcPr>
                  <w:tcW w:w="259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废物</w:t>
                  </w:r>
                </w:p>
              </w:tc>
              <w:tc>
                <w:tcPr>
                  <w:tcW w:w="322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《危险废物贮存污染控制标准》</w:t>
                  </w:r>
                  <w:r>
                    <w:rPr>
                      <w:rFonts w:hint="default" w:ascii="Times New Roman" w:hAnsi="Times New Roman" w:cs="Times New Roman"/>
                      <w:color w:val="auto"/>
                      <w:sz w:val="22"/>
                      <w:szCs w:val="22"/>
                      <w:u w:val="single" w:color="auto"/>
                      <w:lang w:eastAsia="zh-CN"/>
                    </w:rPr>
                    <w:t>（</w:t>
                  </w:r>
                  <w:r>
                    <w:rPr>
                      <w:rFonts w:hint="default" w:ascii="Times New Roman" w:hAnsi="Times New Roman" w:cs="Times New Roman"/>
                      <w:color w:val="auto"/>
                      <w:sz w:val="22"/>
                      <w:szCs w:val="22"/>
                      <w:u w:val="single" w:color="auto"/>
                    </w:rPr>
                    <w:t>GB18597-2001）及2013年修改单</w:t>
                  </w:r>
                </w:p>
              </w:tc>
              <w:tc>
                <w:tcPr>
                  <w:tcW w:w="153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危险废物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储存间</w:t>
                  </w:r>
                </w:p>
              </w:tc>
              <w:tc>
                <w:tcPr>
                  <w:tcW w:w="259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交由</w:t>
                  </w:r>
                  <w:r>
                    <w:rPr>
                      <w:rFonts w:hint="eastAsia" w:cs="Times New Roman"/>
                      <w:color w:val="auto"/>
                      <w:sz w:val="22"/>
                      <w:szCs w:val="22"/>
                      <w:u w:val="single" w:color="auto"/>
                      <w:lang w:val="en-US" w:eastAsia="zh-CN"/>
                    </w:rPr>
                    <w:t>有资质单位进行回收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垃圾</w:t>
                  </w:r>
                </w:p>
              </w:tc>
              <w:tc>
                <w:tcPr>
                  <w:tcW w:w="322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rPr>
                    <w:t>集中收集后</w:t>
                  </w:r>
                  <w:r>
                    <w:rPr>
                      <w:rFonts w:hint="default" w:ascii="Times New Roman" w:hAnsi="Times New Roman" w:cs="Times New Roman"/>
                      <w:color w:val="auto"/>
                      <w:sz w:val="22"/>
                      <w:szCs w:val="22"/>
                      <w:u w:val="single" w:color="auto"/>
                      <w:lang w:eastAsia="zh-CN"/>
                    </w:rPr>
                    <w:t>交由环卫部门</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进行处理</w:t>
                  </w:r>
                </w:p>
              </w:tc>
              <w:tc>
                <w:tcPr>
                  <w:tcW w:w="1530"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rPr>
                    <w:t>生活垃圾</w:t>
                  </w:r>
                  <w:r>
                    <w:rPr>
                      <w:rFonts w:hint="eastAsia" w:cs="Times New Roman"/>
                      <w:color w:val="auto"/>
                      <w:sz w:val="22"/>
                      <w:szCs w:val="22"/>
                      <w:u w:val="single" w:color="auto"/>
                      <w:lang w:eastAsia="zh-CN"/>
                    </w:rPr>
                    <w:t>桶</w:t>
                  </w:r>
                </w:p>
              </w:tc>
              <w:tc>
                <w:tcPr>
                  <w:tcW w:w="2590"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102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机械</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3226" w:type="dxa"/>
                  <w:tcBorders>
                    <w:tl2br w:val="nil"/>
                    <w:tr2bl w:val="nil"/>
                  </w:tcBorders>
                  <w:noWrap w:val="0"/>
                  <w:vAlign w:val="center"/>
                </w:tcPr>
                <w:p>
                  <w:pPr>
                    <w:adjustRightInd w:val="0"/>
                    <w:snapToGrid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w:t>
                  </w:r>
                </w:p>
                <w:p>
                  <w:pPr>
                    <w:adjustRightInd w:val="0"/>
                    <w:snapToGrid w:val="0"/>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加强设备的日常维护管理，发现问题及时处理，使设备始终保持在良好状态；合理布局</w:t>
                  </w:r>
                </w:p>
              </w:tc>
              <w:tc>
                <w:tcPr>
                  <w:tcW w:w="153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隔声降噪措施</w:t>
                  </w:r>
                </w:p>
              </w:tc>
              <w:tc>
                <w:tcPr>
                  <w:tcW w:w="259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达到《工业企业厂界环境噪声排放标准》(GB12348-2008)</w:t>
                  </w:r>
                  <w:r>
                    <w:rPr>
                      <w:rFonts w:hint="eastAsia" w:cs="Times New Roman"/>
                      <w:color w:val="auto"/>
                      <w:sz w:val="22"/>
                      <w:szCs w:val="22"/>
                      <w:u w:val="single" w:color="auto"/>
                      <w:lang w:val="en-US" w:eastAsia="zh-CN"/>
                    </w:rPr>
                    <w:t>3</w:t>
                  </w:r>
                  <w:r>
                    <w:rPr>
                      <w:rFonts w:hint="default" w:ascii="Times New Roman" w:hAnsi="Times New Roman" w:cs="Times New Roman"/>
                      <w:color w:val="auto"/>
                      <w:sz w:val="22"/>
                      <w:szCs w:val="22"/>
                      <w:u w:val="single" w:color="auto"/>
                    </w:rPr>
                    <w:t>类</w:t>
                  </w:r>
                </w:p>
              </w:tc>
            </w:tr>
          </w:tbl>
          <w:p>
            <w:pPr>
              <w:spacing w:line="360" w:lineRule="auto"/>
              <w:ind w:firstLine="693" w:firstLineChars="300"/>
              <w:rPr>
                <w:rFonts w:hint="eastAsia"/>
                <w:b/>
                <w:color w:val="auto"/>
                <w:sz w:val="24"/>
                <w:u w:val="single" w:color="auto"/>
              </w:rPr>
            </w:pPr>
            <w:r>
              <w:rPr>
                <w:rFonts w:hint="eastAsia"/>
                <w:b/>
                <w:color w:val="auto"/>
                <w:sz w:val="24"/>
                <w:u w:val="single" w:color="auto"/>
              </w:rPr>
              <w:t>1</w:t>
            </w:r>
            <w:r>
              <w:rPr>
                <w:rFonts w:hint="eastAsia"/>
                <w:b/>
                <w:color w:val="auto"/>
                <w:sz w:val="24"/>
                <w:u w:val="single" w:color="auto"/>
                <w:lang w:val="en-US" w:eastAsia="zh-CN"/>
              </w:rPr>
              <w:t>3</w:t>
            </w:r>
            <w:r>
              <w:rPr>
                <w:rFonts w:hint="eastAsia"/>
                <w:b/>
                <w:color w:val="auto"/>
                <w:sz w:val="24"/>
                <w:u w:val="single" w:color="auto"/>
              </w:rPr>
              <w:t>.</w:t>
            </w:r>
            <w:r>
              <w:rPr>
                <w:b/>
                <w:color w:val="auto"/>
                <w:sz w:val="24"/>
                <w:u w:val="single" w:color="auto"/>
              </w:rPr>
              <w:t>项目污染物排放“三本帐”：</w:t>
            </w:r>
          </w:p>
          <w:p>
            <w:pPr>
              <w:spacing w:line="360" w:lineRule="auto"/>
              <w:jc w:val="center"/>
              <w:rPr>
                <w:b/>
                <w:color w:val="auto"/>
                <w:szCs w:val="21"/>
                <w:u w:val="single" w:color="auto"/>
              </w:rPr>
            </w:pPr>
            <w:r>
              <w:rPr>
                <w:rFonts w:hint="eastAsia"/>
                <w:b/>
                <w:color w:val="auto"/>
                <w:szCs w:val="21"/>
                <w:u w:val="single" w:color="auto"/>
              </w:rPr>
              <w:t>表7-</w:t>
            </w:r>
            <w:r>
              <w:rPr>
                <w:rFonts w:hint="eastAsia"/>
                <w:b/>
                <w:color w:val="auto"/>
                <w:szCs w:val="21"/>
                <w:u w:val="single" w:color="auto"/>
                <w:lang w:val="en-US" w:eastAsia="zh-CN"/>
              </w:rPr>
              <w:t>32</w:t>
            </w:r>
            <w:r>
              <w:rPr>
                <w:rFonts w:hint="eastAsia"/>
                <w:b/>
                <w:color w:val="auto"/>
                <w:szCs w:val="21"/>
                <w:u w:val="single" w:color="auto"/>
              </w:rPr>
              <w:t xml:space="preserve">   </w:t>
            </w:r>
            <w:r>
              <w:rPr>
                <w:b/>
                <w:color w:val="auto"/>
                <w:szCs w:val="21"/>
                <w:u w:val="single" w:color="auto"/>
              </w:rPr>
              <w:t>项目</w:t>
            </w:r>
            <w:r>
              <w:rPr>
                <w:rFonts w:hint="eastAsia"/>
                <w:b/>
                <w:color w:val="auto"/>
                <w:szCs w:val="21"/>
                <w:u w:val="single" w:color="auto"/>
                <w:lang w:eastAsia="zh-CN"/>
              </w:rPr>
              <w:t>迁</w:t>
            </w:r>
            <w:r>
              <w:rPr>
                <w:b/>
                <w:color w:val="auto"/>
                <w:szCs w:val="21"/>
                <w:u w:val="single" w:color="auto"/>
              </w:rPr>
              <w:t xml:space="preserve">建前后主要污染物排放“三本帐”表  </w:t>
            </w:r>
          </w:p>
          <w:tbl>
            <w:tblPr>
              <w:tblStyle w:val="39"/>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08" w:type="dxa"/>
                <w:bottom w:w="15" w:type="dxa"/>
                <w:right w:w="108" w:type="dxa"/>
              </w:tblCellMar>
            </w:tblPr>
            <w:tblGrid>
              <w:gridCol w:w="859"/>
              <w:gridCol w:w="1271"/>
              <w:gridCol w:w="923"/>
              <w:gridCol w:w="910"/>
              <w:gridCol w:w="1067"/>
              <w:gridCol w:w="1102"/>
              <w:gridCol w:w="1167"/>
              <w:gridCol w:w="179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743" w:hRule="atLeast"/>
                <w:jc w:val="center"/>
              </w:trPr>
              <w:tc>
                <w:tcPr>
                  <w:tcW w:w="472"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项目</w:t>
                  </w:r>
                </w:p>
              </w:tc>
              <w:tc>
                <w:tcPr>
                  <w:tcW w:w="69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污染物名称</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单位</w:t>
                  </w:r>
                </w:p>
              </w:tc>
              <w:tc>
                <w:tcPr>
                  <w:tcW w:w="500"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eastAsia" w:ascii="Times New Roman" w:hAnsi="Times New Roman" w:cs="Times New Roman"/>
                      <w:color w:val="auto"/>
                      <w:kern w:val="0"/>
                      <w:sz w:val="22"/>
                      <w:szCs w:val="22"/>
                      <w:u w:val="single" w:color="auto"/>
                      <w:lang w:eastAsia="zh-CN"/>
                    </w:rPr>
                    <w:t>迁建前</w:t>
                  </w:r>
                  <w:r>
                    <w:rPr>
                      <w:rFonts w:hint="default" w:ascii="Times New Roman" w:hAnsi="Times New Roman" w:cs="Times New Roman"/>
                      <w:color w:val="auto"/>
                      <w:kern w:val="0"/>
                      <w:sz w:val="22"/>
                      <w:szCs w:val="22"/>
                      <w:u w:val="single" w:color="auto"/>
                    </w:rPr>
                    <w:t>项目排放量</w:t>
                  </w:r>
                </w:p>
              </w:tc>
              <w:tc>
                <w:tcPr>
                  <w:tcW w:w="58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eastAsia" w:ascii="Times New Roman" w:hAnsi="Times New Roman" w:cs="Times New Roman"/>
                      <w:color w:val="auto"/>
                      <w:kern w:val="0"/>
                      <w:sz w:val="22"/>
                      <w:szCs w:val="22"/>
                      <w:u w:val="single" w:color="auto"/>
                      <w:lang w:eastAsia="zh-CN"/>
                    </w:rPr>
                    <w:t>迁建后</w:t>
                  </w:r>
                  <w:r>
                    <w:rPr>
                      <w:rFonts w:hint="default" w:ascii="Times New Roman" w:hAnsi="Times New Roman" w:cs="Times New Roman"/>
                      <w:color w:val="auto"/>
                      <w:kern w:val="0"/>
                      <w:sz w:val="22"/>
                      <w:szCs w:val="22"/>
                      <w:u w:val="single" w:color="auto"/>
                    </w:rPr>
                    <w:t>项目排放量</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以新带老削减量</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排放增减量</w:t>
                  </w:r>
                </w:p>
              </w:tc>
              <w:tc>
                <w:tcPr>
                  <w:tcW w:w="98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总体工程排放量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98" w:hRule="atLeast"/>
                <w:jc w:val="center"/>
              </w:trPr>
              <w:tc>
                <w:tcPr>
                  <w:tcW w:w="472"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废水</w:t>
                  </w:r>
                </w:p>
              </w:tc>
              <w:tc>
                <w:tcPr>
                  <w:tcW w:w="69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废水量</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810</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6000</w:t>
                  </w:r>
                </w:p>
              </w:tc>
              <w:tc>
                <w:tcPr>
                  <w:tcW w:w="60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+5190</w:t>
                  </w:r>
                </w:p>
              </w:tc>
              <w:tc>
                <w:tcPr>
                  <w:tcW w:w="9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6000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45" w:hRule="atLeast"/>
                <w:jc w:val="center"/>
              </w:trPr>
              <w:tc>
                <w:tcPr>
                  <w:tcW w:w="472"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698"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eastAsia="zh-CN"/>
                    </w:rPr>
                  </w:pPr>
                  <w:r>
                    <w:rPr>
                      <w:rFonts w:hint="eastAsia" w:cs="Times New Roman"/>
                      <w:color w:val="auto"/>
                      <w:kern w:val="0"/>
                      <w:sz w:val="22"/>
                      <w:szCs w:val="22"/>
                      <w:u w:val="single" w:color="auto"/>
                      <w:lang w:eastAsia="zh-CN"/>
                    </w:rPr>
                    <w:t>化学需氧量</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0.3</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+0.2</w:t>
                  </w:r>
                </w:p>
              </w:tc>
              <w:tc>
                <w:tcPr>
                  <w:tcW w:w="9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01" w:hRule="atLeast"/>
                <w:jc w:val="center"/>
              </w:trPr>
              <w:tc>
                <w:tcPr>
                  <w:tcW w:w="472"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698"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eastAsia="zh-CN"/>
                    </w:rPr>
                  </w:pPr>
                  <w:r>
                    <w:rPr>
                      <w:rFonts w:hint="eastAsia" w:cs="Times New Roman"/>
                      <w:color w:val="auto"/>
                      <w:kern w:val="0"/>
                      <w:sz w:val="22"/>
                      <w:szCs w:val="22"/>
                      <w:u w:val="single" w:color="auto"/>
                      <w:lang w:eastAsia="zh-CN"/>
                    </w:rPr>
                    <w:t>氨氮</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0.048</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-0.052</w:t>
                  </w:r>
                </w:p>
              </w:tc>
              <w:tc>
                <w:tcPr>
                  <w:tcW w:w="9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97" w:hRule="atLeast"/>
                <w:jc w:val="center"/>
              </w:trPr>
              <w:tc>
                <w:tcPr>
                  <w:tcW w:w="472"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废气</w:t>
                  </w:r>
                </w:p>
              </w:tc>
              <w:tc>
                <w:tcPr>
                  <w:tcW w:w="69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eastAsia="zh-CN"/>
                    </w:rPr>
                  </w:pPr>
                  <w:r>
                    <w:rPr>
                      <w:rFonts w:hint="default" w:ascii="Times New Roman" w:hAnsi="Times New Roman" w:cs="Times New Roman"/>
                      <w:color w:val="auto"/>
                      <w:kern w:val="0"/>
                      <w:sz w:val="22"/>
                      <w:szCs w:val="22"/>
                      <w:u w:val="single" w:color="auto"/>
                      <w:lang w:eastAsia="zh-CN"/>
                    </w:rPr>
                    <w:t>颗粒物</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0.047</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2.071286</w:t>
                  </w:r>
                </w:p>
              </w:tc>
              <w:tc>
                <w:tcPr>
                  <w:tcW w:w="605"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+2.024286</w:t>
                  </w:r>
                </w:p>
              </w:tc>
              <w:tc>
                <w:tcPr>
                  <w:tcW w:w="9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2.071286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561" w:hRule="atLeast"/>
                <w:jc w:val="center"/>
              </w:trPr>
              <w:tc>
                <w:tcPr>
                  <w:tcW w:w="472"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698"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VOC</w:t>
                  </w:r>
                  <w:r>
                    <w:rPr>
                      <w:rFonts w:hint="eastAsia" w:ascii="Times New Roman" w:hAnsi="Times New Roman" w:cs="Times New Roman"/>
                      <w:color w:val="auto"/>
                      <w:kern w:val="0"/>
                      <w:sz w:val="22"/>
                      <w:szCs w:val="22"/>
                      <w:u w:val="single" w:color="auto"/>
                      <w:vertAlign w:val="subscript"/>
                      <w:lang w:val="en-US" w:eastAsia="zh-CN"/>
                    </w:rPr>
                    <w:t>S</w:t>
                  </w:r>
                </w:p>
              </w:tc>
              <w:tc>
                <w:tcPr>
                  <w:tcW w:w="507"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0"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0.1372</w:t>
                  </w:r>
                </w:p>
              </w:tc>
              <w:tc>
                <w:tcPr>
                  <w:tcW w:w="586"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0.703</w:t>
                  </w:r>
                </w:p>
              </w:tc>
              <w:tc>
                <w:tcPr>
                  <w:tcW w:w="605"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+0.5658</w:t>
                  </w:r>
                </w:p>
              </w:tc>
              <w:tc>
                <w:tcPr>
                  <w:tcW w:w="986"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0..703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65" w:hRule="atLeast"/>
                <w:jc w:val="center"/>
              </w:trPr>
              <w:tc>
                <w:tcPr>
                  <w:tcW w:w="472"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698"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二氧化硫</w:t>
                  </w:r>
                </w:p>
              </w:tc>
              <w:tc>
                <w:tcPr>
                  <w:tcW w:w="507"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0"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586"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0.00123</w:t>
                  </w:r>
                </w:p>
              </w:tc>
              <w:tc>
                <w:tcPr>
                  <w:tcW w:w="605"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+0.00123</w:t>
                  </w:r>
                </w:p>
              </w:tc>
              <w:tc>
                <w:tcPr>
                  <w:tcW w:w="986"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0.00123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61" w:hRule="atLeast"/>
                <w:jc w:val="center"/>
              </w:trPr>
              <w:tc>
                <w:tcPr>
                  <w:tcW w:w="472"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698" w:type="pct"/>
                  <w:tcBorders>
                    <w:top w:val="single" w:color="auto" w:sz="4" w:space="0"/>
                    <w:tl2br w:val="nil"/>
                    <w:tr2bl w:val="nil"/>
                  </w:tcBorders>
                  <w:noWrap w:val="0"/>
                  <w:vAlign w:val="center"/>
                </w:tcPr>
                <w:p>
                  <w:pPr>
                    <w:widowControl/>
                    <w:spacing w:line="360" w:lineRule="auto"/>
                    <w:jc w:val="center"/>
                    <w:rPr>
                      <w:rFonts w:hint="eastAsia"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氮氧化物</w:t>
                  </w:r>
                </w:p>
              </w:tc>
              <w:tc>
                <w:tcPr>
                  <w:tcW w:w="507"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0" w:type="pct"/>
                  <w:tcBorders>
                    <w:top w:val="single" w:color="auto" w:sz="4" w:space="0"/>
                    <w:tl2br w:val="nil"/>
                    <w:tr2bl w:val="nil"/>
                  </w:tcBorders>
                  <w:noWrap w:val="0"/>
                  <w:vAlign w:val="center"/>
                </w:tcPr>
                <w:p>
                  <w:pPr>
                    <w:widowControl/>
                    <w:spacing w:line="360" w:lineRule="auto"/>
                    <w:jc w:val="center"/>
                    <w:rPr>
                      <w:rFonts w:hint="default"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586"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0.01067</w:t>
                  </w:r>
                </w:p>
              </w:tc>
              <w:tc>
                <w:tcPr>
                  <w:tcW w:w="605"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+0.01067</w:t>
                  </w:r>
                </w:p>
              </w:tc>
              <w:tc>
                <w:tcPr>
                  <w:tcW w:w="986" w:type="pct"/>
                  <w:tcBorders>
                    <w:top w:val="single" w:color="auto" w:sz="4" w:space="0"/>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0.01067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596" w:hRule="atLeast"/>
                <w:jc w:val="center"/>
              </w:trPr>
              <w:tc>
                <w:tcPr>
                  <w:tcW w:w="472"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固体</w:t>
                  </w:r>
                </w:p>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废物</w:t>
                  </w:r>
                </w:p>
              </w:tc>
              <w:tc>
                <w:tcPr>
                  <w:tcW w:w="69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生活垃圾</w:t>
                  </w:r>
                </w:p>
              </w:tc>
              <w:tc>
                <w:tcPr>
                  <w:tcW w:w="507"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3</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30</w:t>
                  </w:r>
                </w:p>
              </w:tc>
              <w:tc>
                <w:tcPr>
                  <w:tcW w:w="60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+27</w:t>
                  </w:r>
                </w:p>
              </w:tc>
              <w:tc>
                <w:tcPr>
                  <w:tcW w:w="98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由环卫部门清运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477"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tl2br w:val="nil"/>
                    <w:tr2bl w:val="nil"/>
                  </w:tcBorders>
                  <w:noWrap w:val="0"/>
                  <w:vAlign w:val="center"/>
                </w:tcPr>
                <w:p>
                  <w:pPr>
                    <w:spacing w:line="360" w:lineRule="auto"/>
                    <w:jc w:val="center"/>
                    <w:rPr>
                      <w:rFonts w:hint="eastAsia"/>
                      <w:color w:val="auto"/>
                      <w:sz w:val="22"/>
                      <w:szCs w:val="22"/>
                      <w:u w:val="single" w:color="auto"/>
                      <w:lang w:eastAsia="zh-CN"/>
                    </w:rPr>
                  </w:pPr>
                  <w:r>
                    <w:rPr>
                      <w:rFonts w:hint="eastAsia"/>
                      <w:color w:val="auto"/>
                      <w:sz w:val="22"/>
                      <w:szCs w:val="22"/>
                      <w:u w:val="single" w:color="auto"/>
                      <w:lang w:eastAsia="zh-CN"/>
                    </w:rPr>
                    <w:t>废金属</w:t>
                  </w:r>
                </w:p>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边角料</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 xml:space="preserve"> t /a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6.39</w:t>
                  </w:r>
                </w:p>
              </w:tc>
              <w:tc>
                <w:tcPr>
                  <w:tcW w:w="60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+4.39</w:t>
                  </w:r>
                </w:p>
              </w:tc>
              <w:tc>
                <w:tcPr>
                  <w:tcW w:w="98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收集后外售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026"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喷塑过程中收集的粉尘</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0.144</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0.57</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+0.426</w:t>
                  </w:r>
                </w:p>
              </w:tc>
              <w:tc>
                <w:tcPr>
                  <w:tcW w:w="98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回用于生产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702"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除尘器收集的粉尘</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19.4</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+19.4</w:t>
                  </w:r>
                </w:p>
              </w:tc>
              <w:tc>
                <w:tcPr>
                  <w:tcW w:w="98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交由环卫部门进行处理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535"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废灯管</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0.005</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+0.005</w:t>
                  </w:r>
                </w:p>
              </w:tc>
              <w:tc>
                <w:tcPr>
                  <w:tcW w:w="986"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暂存危废暂存间，定期交由</w:t>
                  </w:r>
                  <w:r>
                    <w:rPr>
                      <w:rFonts w:hint="eastAsia"/>
                      <w:color w:val="auto"/>
                      <w:sz w:val="22"/>
                      <w:szCs w:val="22"/>
                      <w:u w:val="single" w:color="auto"/>
                      <w:lang w:eastAsia="zh-CN"/>
                    </w:rPr>
                    <w:t>有资质单位处理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726"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废活性炭</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4.12</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2.4</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-1.72</w:t>
                  </w:r>
                </w:p>
              </w:tc>
              <w:tc>
                <w:tcPr>
                  <w:tcW w:w="986"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72"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bottom w:val="single" w:color="auto" w:sz="4" w:space="0"/>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含油抹布、手套和废油</w:t>
                  </w:r>
                </w:p>
              </w:tc>
              <w:tc>
                <w:tcPr>
                  <w:tcW w:w="507" w:type="pct"/>
                  <w:tcBorders>
                    <w:bottom w:val="single" w:color="auto" w:sz="4" w:space="0"/>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val="en-US" w:eastAsia="zh-CN"/>
                    </w:rPr>
                    <w:t>t/a</w:t>
                  </w:r>
                </w:p>
              </w:tc>
              <w:tc>
                <w:tcPr>
                  <w:tcW w:w="500"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0.2</w:t>
                  </w:r>
                </w:p>
              </w:tc>
              <w:tc>
                <w:tcPr>
                  <w:tcW w:w="586"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0.14</w:t>
                  </w:r>
                </w:p>
              </w:tc>
              <w:tc>
                <w:tcPr>
                  <w:tcW w:w="605"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-0.06</w:t>
                  </w:r>
                </w:p>
              </w:tc>
              <w:tc>
                <w:tcPr>
                  <w:tcW w:w="986"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40"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single" w:color="auto"/>
                      <w:lang w:eastAsia="zh-CN"/>
                    </w:rPr>
                  </w:pPr>
                  <w:r>
                    <w:rPr>
                      <w:rFonts w:hint="eastAsia"/>
                      <w:color w:val="auto"/>
                      <w:sz w:val="22"/>
                      <w:szCs w:val="22"/>
                      <w:u w:val="single" w:color="auto"/>
                      <w:lang w:eastAsia="zh-CN"/>
                    </w:rPr>
                    <w:t>废稀释剂桶、废油性漆桶、废油桶、废绝缘漆桶</w:t>
                  </w:r>
                </w:p>
              </w:tc>
              <w:tc>
                <w:tcPr>
                  <w:tcW w:w="507"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single" w:color="auto"/>
                      <w:lang w:val="en-US" w:eastAsia="zh-CN"/>
                    </w:rPr>
                  </w:pPr>
                  <w:r>
                    <w:rPr>
                      <w:rFonts w:hint="default" w:ascii="Times New Roman" w:hAnsi="Times New Roman" w:cs="Times New Roman"/>
                      <w:color w:val="auto"/>
                      <w:kern w:val="0"/>
                      <w:sz w:val="22"/>
                      <w:szCs w:val="22"/>
                      <w:u w:val="single" w:color="auto"/>
                    </w:rPr>
                    <w:t>t/a</w:t>
                  </w:r>
                </w:p>
              </w:tc>
              <w:tc>
                <w:tcPr>
                  <w:tcW w:w="500"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1</w:t>
                  </w:r>
                </w:p>
              </w:tc>
              <w:tc>
                <w:tcPr>
                  <w:tcW w:w="586"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0.9</w:t>
                  </w:r>
                </w:p>
              </w:tc>
              <w:tc>
                <w:tcPr>
                  <w:tcW w:w="605"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w:t>
                  </w:r>
                </w:p>
              </w:tc>
              <w:tc>
                <w:tcPr>
                  <w:tcW w:w="986"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63"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single" w:color="auto"/>
                      <w:lang w:eastAsia="zh-CN"/>
                    </w:rPr>
                  </w:pPr>
                  <w:r>
                    <w:rPr>
                      <w:rFonts w:hint="eastAsia"/>
                      <w:color w:val="auto"/>
                      <w:sz w:val="22"/>
                      <w:szCs w:val="22"/>
                      <w:u w:val="single" w:color="auto"/>
                      <w:lang w:eastAsia="zh-CN"/>
                    </w:rPr>
                    <w:t>水帘废水沉渣</w:t>
                  </w:r>
                </w:p>
              </w:tc>
              <w:tc>
                <w:tcPr>
                  <w:tcW w:w="507" w:type="pct"/>
                  <w:tcBorders>
                    <w:top w:val="single" w:color="auto" w:sz="4" w:space="0"/>
                    <w:bottom w:val="single" w:color="auto" w:sz="4" w:space="0"/>
                    <w:tl2br w:val="nil"/>
                    <w:tr2bl w:val="nil"/>
                  </w:tcBorders>
                  <w:noWrap w:val="0"/>
                  <w:vAlign w:val="center"/>
                </w:tcPr>
                <w:p>
                  <w:pPr>
                    <w:spacing w:line="360" w:lineRule="auto"/>
                    <w:jc w:val="center"/>
                    <w:rPr>
                      <w:rFonts w:hint="eastAsia"/>
                      <w:color w:val="auto"/>
                      <w:sz w:val="22"/>
                      <w:szCs w:val="22"/>
                      <w:u w:val="single" w:color="auto"/>
                      <w:lang w:val="en-US" w:eastAsia="zh-CN"/>
                    </w:rPr>
                  </w:pPr>
                  <w:r>
                    <w:rPr>
                      <w:rFonts w:hint="default" w:ascii="Times New Roman" w:hAnsi="Times New Roman" w:cs="Times New Roman"/>
                      <w:color w:val="auto"/>
                      <w:kern w:val="0"/>
                      <w:sz w:val="22"/>
                      <w:szCs w:val="22"/>
                      <w:u w:val="single" w:color="auto"/>
                    </w:rPr>
                    <w:t>t/a</w:t>
                  </w:r>
                </w:p>
              </w:tc>
              <w:tc>
                <w:tcPr>
                  <w:tcW w:w="500"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0.30</w:t>
                  </w:r>
                </w:p>
              </w:tc>
              <w:tc>
                <w:tcPr>
                  <w:tcW w:w="586"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0.24</w:t>
                  </w:r>
                </w:p>
              </w:tc>
              <w:tc>
                <w:tcPr>
                  <w:tcW w:w="605" w:type="pct"/>
                  <w:tcBorders>
                    <w:top w:val="single" w:color="auto" w:sz="4" w:space="0"/>
                    <w:bottom w:val="single" w:color="auto" w:sz="4" w:space="0"/>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op w:val="single" w:color="auto" w:sz="4" w:space="0"/>
                    <w:bottom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-0.06</w:t>
                  </w:r>
                </w:p>
              </w:tc>
              <w:tc>
                <w:tcPr>
                  <w:tcW w:w="986"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81"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top w:val="single" w:color="auto" w:sz="4" w:space="0"/>
                    <w:tl2br w:val="nil"/>
                    <w:tr2bl w:val="nil"/>
                  </w:tcBorders>
                  <w:noWrap w:val="0"/>
                  <w:vAlign w:val="center"/>
                </w:tcPr>
                <w:p>
                  <w:pPr>
                    <w:spacing w:line="360" w:lineRule="auto"/>
                    <w:jc w:val="center"/>
                    <w:rPr>
                      <w:rFonts w:hint="eastAsia"/>
                      <w:color w:val="auto"/>
                      <w:sz w:val="22"/>
                      <w:szCs w:val="22"/>
                      <w:u w:val="single" w:color="auto"/>
                      <w:lang w:eastAsia="zh-CN"/>
                    </w:rPr>
                  </w:pPr>
                  <w:r>
                    <w:rPr>
                      <w:rFonts w:hint="eastAsia"/>
                      <w:color w:val="auto"/>
                      <w:sz w:val="22"/>
                      <w:szCs w:val="22"/>
                      <w:u w:val="single" w:color="auto"/>
                    </w:rPr>
                    <w:t>漆渣</w:t>
                  </w:r>
                </w:p>
              </w:tc>
              <w:tc>
                <w:tcPr>
                  <w:tcW w:w="507" w:type="pct"/>
                  <w:tcBorders>
                    <w:top w:val="single" w:color="auto" w:sz="4" w:space="0"/>
                    <w:tl2br w:val="nil"/>
                    <w:tr2bl w:val="nil"/>
                  </w:tcBorders>
                  <w:noWrap w:val="0"/>
                  <w:vAlign w:val="center"/>
                </w:tcPr>
                <w:p>
                  <w:pPr>
                    <w:spacing w:line="360" w:lineRule="auto"/>
                    <w:jc w:val="center"/>
                    <w:rPr>
                      <w:rFonts w:hint="eastAsia"/>
                      <w:color w:val="auto"/>
                      <w:sz w:val="22"/>
                      <w:szCs w:val="22"/>
                      <w:u w:val="single" w:color="auto"/>
                      <w:lang w:val="en-US" w:eastAsia="zh-CN"/>
                    </w:rPr>
                  </w:pPr>
                  <w:r>
                    <w:rPr>
                      <w:color w:val="auto"/>
                      <w:sz w:val="22"/>
                      <w:szCs w:val="22"/>
                      <w:u w:val="single" w:color="auto"/>
                    </w:rPr>
                    <w:t>t/a</w:t>
                  </w:r>
                </w:p>
              </w:tc>
              <w:tc>
                <w:tcPr>
                  <w:tcW w:w="500"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0.08</w:t>
                  </w:r>
                </w:p>
              </w:tc>
              <w:tc>
                <w:tcPr>
                  <w:tcW w:w="586" w:type="pct"/>
                  <w:tcBorders>
                    <w:top w:val="single" w:color="auto" w:sz="4" w:space="0"/>
                    <w:tl2br w:val="nil"/>
                    <w:tr2bl w:val="nil"/>
                  </w:tcBorders>
                  <w:noWrap w:val="0"/>
                  <w:vAlign w:val="center"/>
                </w:tcPr>
                <w:p>
                  <w:pPr>
                    <w:widowControl/>
                    <w:spacing w:line="360" w:lineRule="auto"/>
                    <w:jc w:val="center"/>
                    <w:rPr>
                      <w:rFonts w:hint="default"/>
                      <w:color w:val="auto"/>
                      <w:sz w:val="22"/>
                      <w:szCs w:val="22"/>
                      <w:u w:val="single" w:color="auto"/>
                      <w:lang w:val="en-US" w:eastAsia="zh-CN"/>
                    </w:rPr>
                  </w:pPr>
                  <w:r>
                    <w:rPr>
                      <w:rFonts w:hint="eastAsia"/>
                      <w:color w:val="auto"/>
                      <w:sz w:val="22"/>
                      <w:szCs w:val="22"/>
                      <w:u w:val="single" w:color="auto"/>
                      <w:lang w:val="en-US" w:eastAsia="zh-CN"/>
                    </w:rPr>
                    <w:t>0.04</w:t>
                  </w:r>
                </w:p>
              </w:tc>
              <w:tc>
                <w:tcPr>
                  <w:tcW w:w="605" w:type="pct"/>
                  <w:tcBorders>
                    <w:top w:val="single" w:color="auto" w:sz="4" w:space="0"/>
                    <w:tl2br w:val="nil"/>
                    <w:tr2bl w:val="nil"/>
                  </w:tcBorders>
                  <w:noWrap w:val="0"/>
                  <w:vAlign w:val="center"/>
                </w:tcPr>
                <w:p>
                  <w:pPr>
                    <w:widowControl/>
                    <w:spacing w:line="360" w:lineRule="auto"/>
                    <w:jc w:val="center"/>
                    <w:rPr>
                      <w:rFonts w:hint="eastAsia"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op w:val="single" w:color="auto" w:sz="4" w:space="0"/>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w:t>
                  </w:r>
                </w:p>
              </w:tc>
              <w:tc>
                <w:tcPr>
                  <w:tcW w:w="986"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22" w:hRule="atLeast"/>
                <w:jc w:val="center"/>
              </w:trPr>
              <w:tc>
                <w:tcPr>
                  <w:tcW w:w="472"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69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废水性漆包装物</w:t>
                  </w:r>
                </w:p>
              </w:tc>
              <w:tc>
                <w:tcPr>
                  <w:tcW w:w="507"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00"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58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w:t>
                  </w:r>
                </w:p>
              </w:tc>
              <w:tc>
                <w:tcPr>
                  <w:tcW w:w="60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641"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w:t>
                  </w:r>
                </w:p>
              </w:tc>
              <w:tc>
                <w:tcPr>
                  <w:tcW w:w="98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交由环卫部门进行处理</w:t>
                  </w:r>
                </w:p>
              </w:tc>
            </w:tr>
          </w:tbl>
          <w:p>
            <w:pPr>
              <w:spacing w:line="360" w:lineRule="auto"/>
              <w:jc w:val="center"/>
              <w:rPr>
                <w:rFonts w:hint="eastAsia" w:cs="Times New Roman"/>
                <w:color w:val="auto"/>
                <w:sz w:val="24"/>
                <w:szCs w:val="24"/>
                <w:u w:val="single" w:color="auto"/>
                <w:lang w:val="en-US" w:eastAsia="zh-CN"/>
              </w:rPr>
            </w:pPr>
          </w:p>
          <w:p>
            <w:pPr>
              <w:spacing w:line="360" w:lineRule="auto"/>
              <w:jc w:val="center"/>
              <w:rPr>
                <w:rFonts w:hint="eastAsia" w:cs="Times New Roman"/>
                <w:color w:val="auto"/>
                <w:sz w:val="24"/>
                <w:szCs w:val="24"/>
                <w:u w:val="single" w:color="auto"/>
                <w:lang w:val="en-US" w:eastAsia="zh-CN"/>
              </w:rPr>
            </w:pPr>
          </w:p>
          <w:p>
            <w:pPr>
              <w:spacing w:line="360" w:lineRule="auto"/>
              <w:jc w:val="center"/>
              <w:rPr>
                <w:rFonts w:hint="eastAsia" w:cs="Times New Roman"/>
                <w:color w:val="auto"/>
                <w:sz w:val="24"/>
                <w:szCs w:val="24"/>
                <w:u w:val="single" w:color="auto"/>
                <w:lang w:val="en-US" w:eastAsia="zh-CN"/>
              </w:rPr>
            </w:pPr>
          </w:p>
          <w:p>
            <w:pPr>
              <w:spacing w:line="360" w:lineRule="auto"/>
              <w:jc w:val="center"/>
              <w:rPr>
                <w:rFonts w:hint="eastAsia" w:cs="Times New Roman"/>
                <w:color w:val="auto"/>
                <w:sz w:val="24"/>
                <w:szCs w:val="24"/>
                <w:u w:val="single" w:color="auto"/>
                <w:lang w:val="en-US" w:eastAsia="zh-CN"/>
              </w:rPr>
            </w:pPr>
          </w:p>
          <w:p>
            <w:pPr>
              <w:spacing w:line="360" w:lineRule="auto"/>
              <w:jc w:val="center"/>
              <w:rPr>
                <w:rFonts w:hint="eastAsia" w:cs="Times New Roman"/>
                <w:color w:val="auto"/>
                <w:sz w:val="24"/>
                <w:szCs w:val="24"/>
                <w:u w:val="single" w:color="auto"/>
                <w:lang w:val="en-US" w:eastAsia="zh-CN"/>
              </w:rPr>
            </w:pPr>
          </w:p>
          <w:p>
            <w:pPr>
              <w:spacing w:line="360" w:lineRule="auto"/>
              <w:jc w:val="center"/>
              <w:rPr>
                <w:rFonts w:hint="default" w:cs="Times New Roman"/>
                <w:color w:val="auto"/>
                <w:sz w:val="24"/>
                <w:szCs w:val="24"/>
                <w:u w:val="single" w:color="auto"/>
                <w:lang w:val="en-US" w:eastAsia="zh-CN"/>
              </w:rPr>
            </w:pPr>
            <w:r>
              <w:rPr>
                <w:rFonts w:hint="eastAsia" w:cs="Times New Roman"/>
                <w:color w:val="auto"/>
                <w:sz w:val="24"/>
                <w:szCs w:val="24"/>
                <w:u w:val="single" w:color="auto"/>
                <w:lang w:val="en-US" w:eastAsia="zh-CN"/>
              </w:rPr>
              <w:t>表7-33 污染设施扩建前后情况一览表</w:t>
            </w:r>
          </w:p>
          <w:tbl>
            <w:tblPr>
              <w:tblStyle w:val="39"/>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1816"/>
              <w:gridCol w:w="3043"/>
              <w:gridCol w:w="33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466" w:type="pct"/>
                  <w:gridSpan w:val="2"/>
                  <w:vMerge w:val="restart"/>
                  <w:tcBorders>
                    <w:tl2br w:val="nil"/>
                    <w:tr2bl w:val="nil"/>
                  </w:tcBorders>
                  <w:noWrap w:val="0"/>
                  <w:vAlign w:val="center"/>
                </w:tcPr>
                <w:p>
                  <w:pPr>
                    <w:spacing w:line="360" w:lineRule="auto"/>
                    <w:jc w:val="center"/>
                    <w:rPr>
                      <w:rFonts w:hint="eastAsia" w:ascii="Times New Roman" w:hAnsi="Times New Roman" w:cs="Times New Roman"/>
                      <w:b/>
                      <w:color w:val="auto"/>
                      <w:sz w:val="22"/>
                      <w:szCs w:val="22"/>
                      <w:u w:val="single" w:color="auto"/>
                      <w:lang w:eastAsia="zh-CN"/>
                    </w:rPr>
                  </w:pPr>
                  <w:r>
                    <w:rPr>
                      <w:rFonts w:hint="eastAsia" w:ascii="Times New Roman" w:hAnsi="Times New Roman" w:cs="Times New Roman"/>
                      <w:b/>
                      <w:color w:val="auto"/>
                      <w:sz w:val="22"/>
                      <w:szCs w:val="22"/>
                      <w:u w:val="single" w:color="auto"/>
                      <w:lang w:eastAsia="zh-CN"/>
                    </w:rPr>
                    <w:t>污染类型</w:t>
                  </w:r>
                </w:p>
              </w:tc>
              <w:tc>
                <w:tcPr>
                  <w:tcW w:w="1672" w:type="pct"/>
                  <w:tcBorders>
                    <w:tl2br w:val="nil"/>
                    <w:tr2bl w:val="nil"/>
                  </w:tcBorders>
                  <w:noWrap w:val="0"/>
                  <w:vAlign w:val="center"/>
                </w:tcPr>
                <w:p>
                  <w:pPr>
                    <w:spacing w:line="360" w:lineRule="auto"/>
                    <w:jc w:val="center"/>
                    <w:rPr>
                      <w:rFonts w:hint="default" w:ascii="Times New Roman" w:hAnsi="Times New Roman" w:eastAsia="宋体" w:cs="Times New Roman"/>
                      <w:b/>
                      <w:color w:val="auto"/>
                      <w:sz w:val="22"/>
                      <w:szCs w:val="22"/>
                      <w:u w:val="single" w:color="auto"/>
                      <w:lang w:val="en-US" w:eastAsia="zh-CN"/>
                    </w:rPr>
                  </w:pPr>
                  <w:r>
                    <w:rPr>
                      <w:rFonts w:hint="eastAsia" w:ascii="Times New Roman" w:hAnsi="Times New Roman" w:cs="Times New Roman"/>
                      <w:b/>
                      <w:color w:val="auto"/>
                      <w:sz w:val="22"/>
                      <w:szCs w:val="22"/>
                      <w:u w:val="single" w:color="auto"/>
                      <w:lang w:eastAsia="zh-CN"/>
                    </w:rPr>
                    <w:t>迁建前</w:t>
                  </w:r>
                </w:p>
              </w:tc>
              <w:tc>
                <w:tcPr>
                  <w:tcW w:w="1860" w:type="pct"/>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single" w:color="auto"/>
                      <w:lang w:eastAsia="zh-CN"/>
                    </w:rPr>
                  </w:pPr>
                  <w:r>
                    <w:rPr>
                      <w:rFonts w:hint="eastAsia" w:ascii="Times New Roman" w:hAnsi="Times New Roman" w:cs="Times New Roman"/>
                      <w:b/>
                      <w:color w:val="auto"/>
                      <w:sz w:val="22"/>
                      <w:szCs w:val="22"/>
                      <w:u w:val="single" w:color="auto"/>
                      <w:lang w:eastAsia="zh-CN"/>
                    </w:rPr>
                    <w:t>迁建后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1466" w:type="pct"/>
                  <w:gridSpan w:val="2"/>
                  <w:vMerge w:val="continue"/>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single" w:color="auto"/>
                      <w:lang w:eastAsia="zh-CN"/>
                    </w:rPr>
                  </w:pPr>
                </w:p>
              </w:tc>
              <w:tc>
                <w:tcPr>
                  <w:tcW w:w="1672" w:type="pct"/>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single" w:color="auto"/>
                      <w:lang w:eastAsia="zh-CN"/>
                    </w:rPr>
                  </w:pPr>
                  <w:r>
                    <w:rPr>
                      <w:rFonts w:hint="eastAsia" w:ascii="Times New Roman" w:hAnsi="Times New Roman" w:cs="Times New Roman"/>
                      <w:b/>
                      <w:color w:val="auto"/>
                      <w:sz w:val="22"/>
                      <w:szCs w:val="22"/>
                      <w:u w:val="single" w:color="auto"/>
                      <w:lang w:eastAsia="zh-CN"/>
                    </w:rPr>
                    <w:t>处理方式</w:t>
                  </w:r>
                </w:p>
              </w:tc>
              <w:tc>
                <w:tcPr>
                  <w:tcW w:w="1860" w:type="pct"/>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eastAsia" w:ascii="Times New Roman" w:hAnsi="Times New Roman" w:cs="Times New Roman"/>
                      <w:b/>
                      <w:color w:val="auto"/>
                      <w:sz w:val="22"/>
                      <w:szCs w:val="22"/>
                      <w:u w:val="single" w:color="auto"/>
                      <w:lang w:eastAsia="zh-CN"/>
                    </w:rPr>
                    <w:t>处理方式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4" w:hRule="atLeast"/>
                <w:jc w:val="center"/>
              </w:trPr>
              <w:tc>
                <w:tcPr>
                  <w:tcW w:w="468" w:type="pct"/>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废水</w:t>
                  </w:r>
                </w:p>
              </w:tc>
              <w:tc>
                <w:tcPr>
                  <w:tcW w:w="997"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生活污水</w:t>
                  </w:r>
                </w:p>
              </w:tc>
              <w:tc>
                <w:tcPr>
                  <w:tcW w:w="1672"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生活污水</w:t>
                  </w:r>
                  <w:r>
                    <w:rPr>
                      <w:rFonts w:hint="eastAsia" w:cs="Times New Roman"/>
                      <w:color w:val="auto"/>
                      <w:sz w:val="22"/>
                      <w:szCs w:val="22"/>
                      <w:u w:val="single" w:color="auto"/>
                      <w:lang w:eastAsia="zh-CN"/>
                    </w:rPr>
                    <w:t>经化粪池处理后排入园区污水管网，进入湘阴县第二污水处理厂</w:t>
                  </w:r>
                </w:p>
              </w:tc>
              <w:tc>
                <w:tcPr>
                  <w:tcW w:w="1860"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在金龙新区工业区污水管网接入湘阴县第三污水处理厂之前，项目污水通过化粪池处理后排入园区污水管网再进入金龙新区人工湿地处理后经</w:t>
                  </w:r>
                  <w:r>
                    <w:rPr>
                      <w:rFonts w:hint="eastAsia" w:ascii="Times New Roman" w:hAnsi="Times New Roman" w:cs="Times New Roman"/>
                      <w:color w:val="auto"/>
                      <w:sz w:val="22"/>
                      <w:szCs w:val="22"/>
                      <w:u w:val="single" w:color="auto"/>
                      <w:lang w:eastAsia="zh-CN"/>
                    </w:rPr>
                    <w:t>洋沙河</w:t>
                  </w:r>
                  <w:r>
                    <w:rPr>
                      <w:rFonts w:hint="default" w:ascii="Times New Roman" w:hAnsi="Times New Roman" w:cs="Times New Roman"/>
                      <w:color w:val="auto"/>
                      <w:sz w:val="22"/>
                      <w:szCs w:val="22"/>
                      <w:u w:val="single" w:color="auto"/>
                      <w:lang w:eastAsia="zh-CN"/>
                    </w:rPr>
                    <w:t>汇入湘江；在工业区污水管网接入湘阴县第三污水处理厂之后，项目废水经</w:t>
                  </w:r>
                  <w:r>
                    <w:rPr>
                      <w:rFonts w:hint="eastAsia" w:cs="Times New Roman"/>
                      <w:color w:val="auto"/>
                      <w:sz w:val="22"/>
                      <w:szCs w:val="22"/>
                      <w:u w:val="single" w:color="auto"/>
                      <w:lang w:eastAsia="zh-CN"/>
                    </w:rPr>
                    <w:t>化粪池</w:t>
                  </w:r>
                  <w:r>
                    <w:rPr>
                      <w:rFonts w:hint="default" w:ascii="Times New Roman" w:hAnsi="Times New Roman" w:cs="Times New Roman"/>
                      <w:color w:val="auto"/>
                      <w:sz w:val="22"/>
                      <w:szCs w:val="22"/>
                      <w:u w:val="single" w:color="auto"/>
                      <w:lang w:eastAsia="zh-CN"/>
                    </w:rPr>
                    <w:t>预处理达到接管标准后排入第三污水处理厂处理后汇入湘江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6"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生产废水</w:t>
                  </w:r>
                </w:p>
              </w:tc>
              <w:tc>
                <w:tcPr>
                  <w:tcW w:w="167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水帘废水经沉淀池沉淀后循环使用，不外排</w:t>
                  </w:r>
                </w:p>
              </w:tc>
              <w:tc>
                <w:tcPr>
                  <w:tcW w:w="1860"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水帘废水经沉淀池沉淀后循环使用，不外排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468" w:type="pct"/>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废气</w:t>
                  </w:r>
                </w:p>
              </w:tc>
              <w:tc>
                <w:tcPr>
                  <w:tcW w:w="997"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喷漆、喷涂线废气</w:t>
                  </w:r>
                </w:p>
              </w:tc>
              <w:tc>
                <w:tcPr>
                  <w:tcW w:w="167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经水帘处理+活性炭吸附处理后由15m高排气筒高空排放</w:t>
                  </w:r>
                </w:p>
              </w:tc>
              <w:tc>
                <w:tcPr>
                  <w:tcW w:w="1860"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经水帘+活性炭吸附+UV光解处理后由15m高排气筒排放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7"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喷塑废气</w:t>
                  </w:r>
                </w:p>
              </w:tc>
              <w:tc>
                <w:tcPr>
                  <w:tcW w:w="167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喷塑废气经自带的滤芯回收系统处理后由15m高排气筒高空排放</w:t>
                  </w:r>
                </w:p>
              </w:tc>
              <w:tc>
                <w:tcPr>
                  <w:tcW w:w="1860" w:type="pct"/>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喷塑废气经自带的滤芯回收系统处理后由15m高排气筒高空排放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喷塑后烘干固化废气</w:t>
                  </w:r>
                </w:p>
              </w:tc>
              <w:tc>
                <w:tcPr>
                  <w:tcW w:w="167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经活性炭处理后由15m高排气筒高空排放</w:t>
                  </w:r>
                </w:p>
              </w:tc>
              <w:tc>
                <w:tcPr>
                  <w:tcW w:w="1860" w:type="pct"/>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经活性炭吸附+UV光解设备处理后由15m高排气筒高空排放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焊接废气</w:t>
                  </w:r>
                </w:p>
              </w:tc>
              <w:tc>
                <w:tcPr>
                  <w:tcW w:w="1672"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经通风处理后无组织排放</w:t>
                  </w:r>
                </w:p>
              </w:tc>
              <w:tc>
                <w:tcPr>
                  <w:tcW w:w="1860" w:type="pct"/>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移动式烟尘净化装置处理后无组织排放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食堂油烟</w:t>
                  </w:r>
                </w:p>
              </w:tc>
              <w:tc>
                <w:tcPr>
                  <w:tcW w:w="1672" w:type="pct"/>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经油烟净化器处理后通过高于屋顶排气筒排放</w:t>
                  </w:r>
                </w:p>
              </w:tc>
              <w:tc>
                <w:tcPr>
                  <w:tcW w:w="1860" w:type="pct"/>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经油烟净化器处理后通过高于屋顶排气筒排放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激光切割废气</w:t>
                  </w:r>
                </w:p>
              </w:tc>
              <w:tc>
                <w:tcPr>
                  <w:tcW w:w="1672" w:type="pct"/>
                  <w:vMerge w:val="restart"/>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经通风处理</w:t>
                  </w:r>
                </w:p>
              </w:tc>
              <w:tc>
                <w:tcPr>
                  <w:tcW w:w="1860" w:type="pct"/>
                  <w:vMerge w:val="restart"/>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经脉冲式除尘器处理后由15m高排气筒高空排放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等离子切割废气</w:t>
                  </w:r>
                </w:p>
              </w:tc>
              <w:tc>
                <w:tcPr>
                  <w:tcW w:w="1672" w:type="pct"/>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p>
              </w:tc>
              <w:tc>
                <w:tcPr>
                  <w:tcW w:w="1860" w:type="pct"/>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激光、等离子切割废气</w:t>
                  </w:r>
                </w:p>
              </w:tc>
              <w:tc>
                <w:tcPr>
                  <w:tcW w:w="1672" w:type="pct"/>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p>
              </w:tc>
              <w:tc>
                <w:tcPr>
                  <w:tcW w:w="1860" w:type="pct"/>
                  <w:vMerge w:val="continue"/>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抛丸废气</w:t>
                  </w:r>
                </w:p>
              </w:tc>
              <w:tc>
                <w:tcPr>
                  <w:tcW w:w="1672" w:type="pct"/>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c>
                <w:tcPr>
                  <w:tcW w:w="1860" w:type="pct"/>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经布袋除尘器处理后排放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产品耐高温实验废气</w:t>
                  </w:r>
                </w:p>
              </w:tc>
              <w:tc>
                <w:tcPr>
                  <w:tcW w:w="1672" w:type="pct"/>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c>
                <w:tcPr>
                  <w:tcW w:w="1860" w:type="pct"/>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废气为液化石油气燃烧废气经收集后由15m高排气筒高空排放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468"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997" w:type="pct"/>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液化石油气燃烧废气</w:t>
                  </w:r>
                </w:p>
              </w:tc>
              <w:tc>
                <w:tcPr>
                  <w:tcW w:w="1672" w:type="pct"/>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c>
                <w:tcPr>
                  <w:tcW w:w="1860" w:type="pct"/>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经收集后由15m高排气筒高空排放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466" w:type="pct"/>
                  <w:gridSpan w:val="2"/>
                  <w:vMerge w:val="restar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固废</w:t>
                  </w:r>
                </w:p>
              </w:tc>
              <w:tc>
                <w:tcPr>
                  <w:tcW w:w="1672"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一般固废收集后</w:t>
                  </w:r>
                  <w:r>
                    <w:rPr>
                      <w:rFonts w:hint="eastAsia" w:cs="Times New Roman"/>
                      <w:color w:val="auto"/>
                      <w:sz w:val="22"/>
                      <w:szCs w:val="22"/>
                      <w:u w:val="single" w:color="auto"/>
                      <w:lang w:eastAsia="zh-CN"/>
                    </w:rPr>
                    <w:t>可回收利用的回收利用，不可回收利用的交由环卫部门进行处理</w:t>
                  </w:r>
                </w:p>
              </w:tc>
              <w:tc>
                <w:tcPr>
                  <w:tcW w:w="1860"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一般固废收集后</w:t>
                  </w:r>
                  <w:r>
                    <w:rPr>
                      <w:rFonts w:hint="eastAsia" w:cs="Times New Roman"/>
                      <w:color w:val="auto"/>
                      <w:sz w:val="22"/>
                      <w:szCs w:val="22"/>
                      <w:u w:val="single" w:color="auto"/>
                      <w:lang w:eastAsia="zh-CN"/>
                    </w:rPr>
                    <w:t>可回收利用的回收利用，不可回收利用的交由环卫部门进行处理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466" w:type="pct"/>
                  <w:gridSpan w:val="2"/>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672"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废油漆桶、废活性炭、漆渣、废稀释剂桶、废油、含油抹布收集于</w:t>
                  </w:r>
                  <w:r>
                    <w:rPr>
                      <w:rFonts w:hint="eastAsia" w:ascii="Times New Roman" w:hAnsi="Times New Roman" w:cs="Times New Roman"/>
                      <w:color w:val="auto"/>
                      <w:sz w:val="22"/>
                      <w:szCs w:val="22"/>
                      <w:u w:val="single" w:color="auto"/>
                      <w:lang w:eastAsia="zh-CN"/>
                    </w:rPr>
                    <w:t>危险废物储存间内，再交由湖南</w:t>
                  </w:r>
                  <w:r>
                    <w:rPr>
                      <w:rFonts w:hint="eastAsia" w:cs="Times New Roman"/>
                      <w:color w:val="auto"/>
                      <w:sz w:val="22"/>
                      <w:szCs w:val="22"/>
                      <w:u w:val="single" w:color="auto"/>
                      <w:lang w:eastAsia="zh-CN"/>
                    </w:rPr>
                    <w:t>万容固体废物处理</w:t>
                  </w:r>
                  <w:r>
                    <w:rPr>
                      <w:rFonts w:hint="eastAsia" w:ascii="Times New Roman" w:hAnsi="Times New Roman" w:cs="Times New Roman"/>
                      <w:color w:val="auto"/>
                      <w:sz w:val="22"/>
                      <w:szCs w:val="22"/>
                      <w:u w:val="single" w:color="auto"/>
                      <w:lang w:eastAsia="zh-CN"/>
                    </w:rPr>
                    <w:t>有限公司进行处置</w:t>
                  </w:r>
                </w:p>
              </w:tc>
              <w:tc>
                <w:tcPr>
                  <w:tcW w:w="1860"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废活性炭、废灯管、漆渣、废含油抹布手套、水帘废水池沉渣、废油、废桶</w:t>
                  </w:r>
                  <w:r>
                    <w:rPr>
                      <w:rFonts w:hint="eastAsia" w:ascii="Times New Roman" w:hAnsi="Times New Roman" w:cs="Times New Roman"/>
                      <w:color w:val="auto"/>
                      <w:sz w:val="22"/>
                      <w:szCs w:val="22"/>
                      <w:u w:val="single" w:color="auto"/>
                      <w:lang w:eastAsia="zh-CN"/>
                    </w:rPr>
                    <w:t>收集于危险废物储存间内，再交由有资质单位进行处置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6" w:type="pct"/>
                  <w:gridSpan w:val="2"/>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672"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生活垃圾交由环卫部门进行处置</w:t>
                  </w:r>
                </w:p>
              </w:tc>
              <w:tc>
                <w:tcPr>
                  <w:tcW w:w="1860"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生活垃圾交由环卫部门进行处置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66" w:type="pct"/>
                  <w:gridSpan w:val="2"/>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噪声</w:t>
                  </w:r>
                </w:p>
              </w:tc>
              <w:tc>
                <w:tcPr>
                  <w:tcW w:w="1672" w:type="pct"/>
                  <w:tcBorders>
                    <w:tl2br w:val="nil"/>
                    <w:tr2bl w:val="nil"/>
                  </w:tcBorders>
                  <w:noWrap w:val="0"/>
                  <w:vAlign w:val="center"/>
                </w:tcPr>
                <w:p>
                  <w:pPr>
                    <w:adjustRightInd w:val="0"/>
                    <w:snapToGrid w:val="0"/>
                    <w:spacing w:line="360" w:lineRule="auto"/>
                    <w:jc w:val="both"/>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对所有高噪声的机械设备的安装，其基础均应作减振处理；加强设备的日常维护管理，发现问题及时处理，使设备始终保持在良好状态；合理布局</w:t>
                  </w:r>
                </w:p>
              </w:tc>
              <w:tc>
                <w:tcPr>
                  <w:tcW w:w="1860" w:type="pct"/>
                  <w:tcBorders>
                    <w:tl2br w:val="nil"/>
                    <w:tr2bl w:val="nil"/>
                  </w:tcBorders>
                  <w:noWrap w:val="0"/>
                  <w:vAlign w:val="center"/>
                </w:tcPr>
                <w:p>
                  <w:pPr>
                    <w:adjustRightInd w:val="0"/>
                    <w:snapToGrid w:val="0"/>
                    <w:spacing w:line="360" w:lineRule="auto"/>
                    <w:jc w:val="both"/>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对所有高噪声的机械设备的安装，其基础均应作减振处理；加强设备的日常维护管理，发现问题及时处理，使设备始终保持在良好状态；合理布局</w:t>
                  </w:r>
                </w:p>
              </w:tc>
            </w:tr>
          </w:tbl>
          <w:p>
            <w:pPr>
              <w:spacing w:line="360" w:lineRule="auto"/>
              <w:rPr>
                <w:rFonts w:hint="default" w:ascii="Times New Roman" w:hAnsi="Times New Roman" w:cs="Times New Roman"/>
                <w:color w:val="auto"/>
                <w:sz w:val="24"/>
                <w:szCs w:val="24"/>
                <w:u w:val="none" w:color="auto"/>
              </w:rPr>
            </w:pPr>
          </w:p>
        </w:tc>
      </w:tr>
    </w:tbl>
    <w:p>
      <w:pPr>
        <w:snapToGrid w:val="0"/>
        <w:outlineLvl w:val="0"/>
        <w:rPr>
          <w:rFonts w:eastAsia="黑体"/>
          <w:color w:val="auto"/>
          <w:sz w:val="32"/>
          <w:u w:val="none" w:color="auto"/>
        </w:rPr>
      </w:pPr>
      <w:r>
        <w:rPr>
          <w:color w:val="auto"/>
          <w:u w:val="none" w:color="auto"/>
        </w:rPr>
        <w:br w:type="page"/>
      </w:r>
      <w:bookmarkStart w:id="12" w:name="_Toc6822"/>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8240" behindDoc="0" locked="0" layoutInCell="0" allowOverlap="1">
                <wp:simplePos x="0" y="0"/>
                <wp:positionH relativeFrom="column">
                  <wp:posOffset>-6223000</wp:posOffset>
                </wp:positionH>
                <wp:positionV relativeFrom="paragraph">
                  <wp:posOffset>1311275</wp:posOffset>
                </wp:positionV>
                <wp:extent cx="5334000" cy="635"/>
                <wp:effectExtent l="8890" t="11430" r="10160" b="6985"/>
                <wp:wrapNone/>
                <wp:docPr id="10" name="直线 24"/>
                <wp:cNvGraphicFramePr/>
                <a:graphic xmlns:a="http://schemas.openxmlformats.org/drawingml/2006/main">
                  <a:graphicData uri="http://schemas.microsoft.com/office/word/2010/wordprocessingShape">
                    <wps:wsp>
                      <wps:cNvCnPr>
                        <a:cxnSpLocks noChangeShapeType="1"/>
                      </wps:cNvCnPr>
                      <wps:spPr bwMode="auto">
                        <a:xfrm>
                          <a:off x="0" y="0"/>
                          <a:ext cx="5334000" cy="635"/>
                        </a:xfrm>
                        <a:prstGeom prst="line">
                          <a:avLst/>
                        </a:prstGeom>
                        <a:noFill/>
                        <a:ln w="9525">
                          <a:solidFill>
                            <a:srgbClr val="000000"/>
                          </a:solidFill>
                          <a:round/>
                        </a:ln>
                      </wps:spPr>
                      <wps:bodyPr/>
                    </wps:wsp>
                  </a:graphicData>
                </a:graphic>
              </wp:anchor>
            </w:drawing>
          </mc:Choice>
          <mc:Fallback>
            <w:pict>
              <v:line id="直线 24" o:spid="_x0000_s1026" o:spt="20" style="position:absolute;left:0pt;margin-left:-490pt;margin-top:103.25pt;height:0.05pt;width:420pt;z-index:251658240;mso-width-relative:page;mso-height-relative:page;" filled="f" stroked="t" coordsize="21600,21600" o:allowincell="f" o:gfxdata="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IkCezHZAAAADQEAAA8AAAAAAAAAAQAgAAAAIgAAAGRycy9kb3ducmV2Lnht&#10;bFBLAQIUABQAAAAIAIdO4kB7P5wpvwEAAFcDAAAOAAAAAAAAAAEAIAAAACgBAABkcnMvZTJvRG9j&#10;LnhtbFBLBQYAAAAABgAGAFkBAABZBQ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7216" behindDoc="0" locked="0" layoutInCell="0" allowOverlap="1">
                <wp:simplePos x="0" y="0"/>
                <wp:positionH relativeFrom="column">
                  <wp:posOffset>-6578600</wp:posOffset>
                </wp:positionH>
                <wp:positionV relativeFrom="paragraph">
                  <wp:posOffset>949325</wp:posOffset>
                </wp:positionV>
                <wp:extent cx="5422900" cy="635"/>
                <wp:effectExtent l="5715" t="11430" r="10160" b="6985"/>
                <wp:wrapNone/>
                <wp:docPr id="9" name="直线 25"/>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5" o:spid="_x0000_s1026" o:spt="20" style="position:absolute;left:0pt;margin-left:-518pt;margin-top:74.75pt;height:0.05pt;width:427pt;z-index:251657216;mso-width-relative:page;mso-height-relative:page;" filled="f" stroked="t" coordsize="21600,21600" o:allowincell="f" o:gfxdata="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4dJZWtoAAAAOAQAADwAAAAAAAAABACAAAAAiAAAAZHJzL2Rvd25yZXYueG1s&#10;UEsBAhQAFAAAAAgAh07iQHBpb1a9AQAAVgMAAA4AAAAAAAAAAQAgAAAAKQ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9264" behindDoc="0" locked="0" layoutInCell="0" allowOverlap="1">
                <wp:simplePos x="0" y="0"/>
                <wp:positionH relativeFrom="column">
                  <wp:posOffset>-6223000</wp:posOffset>
                </wp:positionH>
                <wp:positionV relativeFrom="paragraph">
                  <wp:posOffset>346075</wp:posOffset>
                </wp:positionV>
                <wp:extent cx="4889500" cy="635"/>
                <wp:effectExtent l="8890" t="8255" r="6985" b="10160"/>
                <wp:wrapNone/>
                <wp:docPr id="8" name="直线 26"/>
                <wp:cNvGraphicFramePr/>
                <a:graphic xmlns:a="http://schemas.openxmlformats.org/drawingml/2006/main">
                  <a:graphicData uri="http://schemas.microsoft.com/office/word/2010/wordprocessingShape">
                    <wps:wsp>
                      <wps:cNvCnPr>
                        <a:cxnSpLocks noChangeShapeType="1"/>
                      </wps:cNvCnPr>
                      <wps:spPr bwMode="auto">
                        <a:xfrm>
                          <a:off x="0" y="0"/>
                          <a:ext cx="4889500" cy="635"/>
                        </a:xfrm>
                        <a:prstGeom prst="line">
                          <a:avLst/>
                        </a:prstGeom>
                        <a:noFill/>
                        <a:ln w="9525">
                          <a:solidFill>
                            <a:srgbClr val="000000"/>
                          </a:solidFill>
                          <a:round/>
                        </a:ln>
                      </wps:spPr>
                      <wps:bodyPr/>
                    </wps:wsp>
                  </a:graphicData>
                </a:graphic>
              </wp:anchor>
            </w:drawing>
          </mc:Choice>
          <mc:Fallback>
            <w:pict>
              <v:line id="直线 26" o:spid="_x0000_s1026" o:spt="20" style="position:absolute;left:0pt;margin-left:-490pt;margin-top:27.25pt;height:0.05pt;width:385pt;z-index:251659264;mso-width-relative:page;mso-height-relative:page;" filled="f" stroked="t" coordsize="21600,21600" o:allowincell="f" o:gfxdata="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zAnGdgAAAALAQAADwAAAAAAAAABACAAAAAiAAAAZHJzL2Rvd25yZXYueG1s&#10;UEsBAhQAFAAAAAgAh07iQA96ZyC/AQAAVgMAAA4AAAAAAAAAAQAgAAAAJw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6192" behindDoc="0" locked="0" layoutInCell="0" allowOverlap="1">
                <wp:simplePos x="0" y="0"/>
                <wp:positionH relativeFrom="column">
                  <wp:posOffset>-7112000</wp:posOffset>
                </wp:positionH>
                <wp:positionV relativeFrom="paragraph">
                  <wp:posOffset>466725</wp:posOffset>
                </wp:positionV>
                <wp:extent cx="5422900" cy="635"/>
                <wp:effectExtent l="5715" t="5080" r="10160" b="13335"/>
                <wp:wrapNone/>
                <wp:docPr id="7" name="直线 27"/>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7" o:spid="_x0000_s1026" o:spt="20" style="position:absolute;left:0pt;margin-left:-560pt;margin-top:36.75pt;height:0.05pt;width:427pt;z-index:251656192;mso-width-relative:page;mso-height-relative:page;" filled="f" stroked="t" coordsize="21600,21600" o:allowincell="f" o:gfxdata="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vNIEB1wAAAAwBAAAPAAAAAAAAAAEAIAAAACIAAABkcnMvZG93bnJldi54bWxQ&#10;SwECFAAUAAAACACHTuJAgTJp7L8BAABWAwAADgAAAAAAAAABACAAAAAmAQAAZHJzL2Uyb0RvYy54&#10;bWxQSwUGAAAAAAYABgBZAQAAVwU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w:t>八、建设项目拟采取的防治措施及</w:t>
      </w:r>
      <w:r>
        <w:rPr>
          <w:rFonts w:hint="default" w:ascii="Times New Roman" w:hAnsi="Times New Roman" w:eastAsia="宋体" w:cs="Times New Roman"/>
          <w:color w:val="auto"/>
          <w:sz w:val="32"/>
          <w:u w:val="none" w:color="auto"/>
        </w:rPr>
        <w:t>预期治理效果</w:t>
      </w:r>
      <w:bookmarkEnd w:id="12"/>
    </w:p>
    <w:tbl>
      <w:tblPr>
        <w:tblStyle w:val="39"/>
        <w:tblW w:w="98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5"/>
        <w:gridCol w:w="660"/>
        <w:gridCol w:w="1305"/>
        <w:gridCol w:w="1710"/>
        <w:gridCol w:w="2340"/>
        <w:gridCol w:w="29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6" w:hRule="atLeast"/>
          <w:jc w:val="center"/>
        </w:trPr>
        <w:tc>
          <w:tcPr>
            <w:tcW w:w="885" w:type="dxa"/>
            <w:tcBorders>
              <w:tl2br w:val="nil"/>
              <w:tr2bl w:val="nil"/>
            </w:tcBorders>
            <w:vAlign w:val="center"/>
          </w:tcPr>
          <w:p>
            <w:pPr>
              <w:snapToGrid w:val="0"/>
              <w:spacing w:line="360" w:lineRule="auto"/>
              <w:jc w:val="both"/>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内容</w:t>
            </w:r>
          </w:p>
          <w:p>
            <w:pPr>
              <w:snapToGrid w:val="0"/>
              <w:spacing w:line="360" w:lineRule="auto"/>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类型</w:t>
            </w:r>
          </w:p>
        </w:tc>
        <w:tc>
          <w:tcPr>
            <w:tcW w:w="1965" w:type="dxa"/>
            <w:gridSpan w:val="2"/>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排放源</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（编号）</w:t>
            </w:r>
          </w:p>
        </w:tc>
        <w:tc>
          <w:tcPr>
            <w:tcW w:w="1710"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污染物</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名称</w:t>
            </w:r>
          </w:p>
        </w:tc>
        <w:tc>
          <w:tcPr>
            <w:tcW w:w="2340"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防治措施</w:t>
            </w:r>
          </w:p>
        </w:tc>
        <w:tc>
          <w:tcPr>
            <w:tcW w:w="2920"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预期</w:t>
            </w:r>
          </w:p>
          <w:p>
            <w:pPr>
              <w:snapToGrid w:val="0"/>
              <w:spacing w:line="360" w:lineRule="auto"/>
              <w:ind w:left="-100" w:leftChars="-50" w:right="-100" w:rightChars="-50"/>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治理效果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5" w:hRule="atLeast"/>
          <w:jc w:val="center"/>
        </w:trPr>
        <w:tc>
          <w:tcPr>
            <w:tcW w:w="88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大气污染物</w:t>
            </w:r>
          </w:p>
        </w:tc>
        <w:tc>
          <w:tcPr>
            <w:tcW w:w="660" w:type="dxa"/>
            <w:vMerge w:val="restart"/>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305"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喷漆</w:t>
            </w:r>
            <w:r>
              <w:rPr>
                <w:rFonts w:hint="eastAsia" w:cs="Times New Roman"/>
                <w:color w:val="auto"/>
                <w:sz w:val="22"/>
                <w:szCs w:val="22"/>
                <w:u w:val="none" w:color="auto"/>
                <w:lang w:eastAsia="zh-CN"/>
              </w:rPr>
              <w:t>、喷涂线废气</w:t>
            </w:r>
            <w:r>
              <w:rPr>
                <w:rFonts w:hint="default" w:ascii="Times New Roman" w:hAnsi="Times New Roman" w:cs="Times New Roman"/>
                <w:color w:val="auto"/>
                <w:sz w:val="22"/>
                <w:szCs w:val="22"/>
                <w:u w:val="none" w:color="auto"/>
              </w:rPr>
              <w:t>排气筒</w:t>
            </w:r>
          </w:p>
        </w:tc>
        <w:tc>
          <w:tcPr>
            <w:tcW w:w="171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颗粒物、</w:t>
            </w:r>
            <w:r>
              <w:rPr>
                <w:rFonts w:hint="default" w:ascii="Times New Roman" w:hAnsi="Times New Roman" w:cs="Times New Roman"/>
                <w:color w:val="auto"/>
                <w:sz w:val="22"/>
                <w:szCs w:val="22"/>
                <w:u w:val="none" w:color="auto"/>
              </w:rPr>
              <w:t>VOCs</w:t>
            </w:r>
          </w:p>
        </w:tc>
        <w:tc>
          <w:tcPr>
            <w:tcW w:w="2340" w:type="dxa"/>
            <w:tcBorders>
              <w:tl2br w:val="nil"/>
              <w:tr2bl w:val="nil"/>
            </w:tcBorders>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eastAsia="zh-CN"/>
              </w:rPr>
              <w:t>废气经水帘</w:t>
            </w:r>
            <w:r>
              <w:rPr>
                <w:rFonts w:hint="eastAsia" w:cs="Times New Roman"/>
                <w:color w:val="auto"/>
                <w:sz w:val="22"/>
                <w:szCs w:val="22"/>
                <w:u w:val="none" w:color="auto"/>
                <w:lang w:val="en-US" w:eastAsia="zh-CN"/>
              </w:rPr>
              <w:t>+活性炭吸附设施+UV光解设施</w:t>
            </w:r>
            <w:r>
              <w:rPr>
                <w:rFonts w:hint="eastAsia" w:ascii="Times New Roman" w:hAnsi="Times New Roman" w:cs="Times New Roman"/>
                <w:color w:val="auto"/>
                <w:sz w:val="22"/>
                <w:szCs w:val="22"/>
                <w:u w:val="none" w:color="auto"/>
                <w:lang w:val="en-US" w:eastAsia="zh-CN"/>
              </w:rPr>
              <w:t>+15m高排气筒处理后高空排放</w:t>
            </w:r>
          </w:p>
        </w:tc>
        <w:tc>
          <w:tcPr>
            <w:tcW w:w="2920" w:type="dxa"/>
            <w:tcBorders>
              <w:tl2br w:val="nil"/>
              <w:tr2bl w:val="nil"/>
            </w:tcBorders>
            <w:vAlign w:val="center"/>
          </w:tcPr>
          <w:p>
            <w:pPr>
              <w:adjustRightInd w:val="0"/>
              <w:snapToGrid w:val="0"/>
              <w:spacing w:line="360" w:lineRule="auto"/>
              <w:ind w:left="-105" w:right="-105"/>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二级</w:t>
            </w:r>
            <w:r>
              <w:rPr>
                <w:rFonts w:hint="default" w:ascii="Times New Roman" w:hAnsi="Times New Roman" w:cs="Times New Roman"/>
                <w:color w:val="auto"/>
                <w:sz w:val="22"/>
                <w:szCs w:val="22"/>
                <w:u w:val="none" w:color="auto"/>
                <w:lang w:val="en-US" w:eastAsia="zh-CN"/>
              </w:rPr>
              <w:t>排放标准；</w:t>
            </w:r>
            <w:r>
              <w:rPr>
                <w:rFonts w:hint="default" w:ascii="Times New Roman" w:hAnsi="Times New Roman" w:cs="Times New Roman"/>
                <w:color w:val="auto"/>
                <w:sz w:val="22"/>
                <w:szCs w:val="22"/>
                <w:u w:val="none" w:color="auto"/>
                <w:lang w:eastAsia="zh-CN"/>
              </w:rPr>
              <w:t>湖南省</w:t>
            </w:r>
            <w:r>
              <w:rPr>
                <w:rFonts w:hint="default" w:ascii="Times New Roman" w:hAnsi="Times New Roman" w:cs="Times New Roman"/>
                <w:color w:val="auto"/>
                <w:sz w:val="22"/>
                <w:szCs w:val="22"/>
                <w:u w:val="none" w:color="auto"/>
              </w:rPr>
              <w:t>地方标准</w:t>
            </w:r>
            <w:r>
              <w:rPr>
                <w:rFonts w:hint="default" w:ascii="Times New Roman" w:hAnsi="Times New Roman" w:eastAsia="宋体" w:cs="Times New Roman"/>
                <w:color w:val="auto"/>
                <w:sz w:val="22"/>
                <w:szCs w:val="22"/>
                <w:u w:val="none" w:color="auto"/>
                <w:lang w:val="en-US" w:eastAsia="zh-CN"/>
              </w:rPr>
              <w:t>《表面涂装（汽车制造及维修）挥发性有机物、 镍排放标准》（DB43/1356-2017）表1中排放标准；</w:t>
            </w: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无组织排放标准</w:t>
            </w:r>
            <w:r>
              <w:rPr>
                <w:rFonts w:hint="eastAsia" w:ascii="Times New Roman" w:hAnsi="Times New Roman" w:cs="Times New Roman"/>
                <w:color w:val="auto"/>
                <w:sz w:val="22"/>
                <w:szCs w:val="22"/>
                <w:u w:val="none" w:color="auto"/>
                <w:lang w:val="en-US" w:eastAsia="zh-CN"/>
              </w:rPr>
              <w:t>；</w:t>
            </w:r>
            <w:r>
              <w:rPr>
                <w:rFonts w:hint="default" w:ascii="Times New Roman" w:hAnsi="Times New Roman" w:eastAsia="宋体" w:cs="Times New Roman"/>
                <w:color w:val="auto"/>
                <w:sz w:val="22"/>
                <w:szCs w:val="22"/>
                <w:u w:val="none" w:color="auto"/>
                <w:lang w:val="en-US" w:eastAsia="zh-CN"/>
              </w:rPr>
              <w:t>无组织有机废气排放执行《挥发性有机物无组织排放控制标准》（GB37822-2019）中限值要求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tcBorders>
              <w:tl2br w:val="nil"/>
              <w:tr2bl w:val="nil"/>
            </w:tcBorders>
            <w:vAlign w:val="center"/>
          </w:tcPr>
          <w:p>
            <w:pPr>
              <w:adjustRightInd w:val="0"/>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喷塑排气筒</w:t>
            </w:r>
          </w:p>
        </w:tc>
        <w:tc>
          <w:tcPr>
            <w:tcW w:w="171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234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经</w:t>
            </w:r>
            <w:r>
              <w:rPr>
                <w:rFonts w:hint="eastAsia" w:cs="Times New Roman"/>
                <w:color w:val="auto"/>
                <w:sz w:val="22"/>
                <w:szCs w:val="22"/>
                <w:u w:val="none" w:color="auto"/>
                <w:lang w:eastAsia="zh-CN"/>
              </w:rPr>
              <w:t>自带的滤芯回收系统处理后由</w:t>
            </w:r>
            <w:r>
              <w:rPr>
                <w:rFonts w:hint="eastAsia" w:cs="Times New Roman"/>
                <w:color w:val="auto"/>
                <w:sz w:val="22"/>
                <w:szCs w:val="22"/>
                <w:u w:val="none" w:color="auto"/>
                <w:lang w:val="en-US" w:eastAsia="zh-CN"/>
              </w:rPr>
              <w:t>15m高排气筒高空排放</w:t>
            </w:r>
          </w:p>
        </w:tc>
        <w:tc>
          <w:tcPr>
            <w:tcW w:w="292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二级</w:t>
            </w:r>
            <w:r>
              <w:rPr>
                <w:rFonts w:hint="default" w:ascii="Times New Roman" w:hAnsi="Times New Roman" w:cs="Times New Roman"/>
                <w:color w:val="auto"/>
                <w:sz w:val="22"/>
                <w:szCs w:val="22"/>
                <w:u w:val="none" w:color="auto"/>
                <w:lang w:val="en-US" w:eastAsia="zh-CN"/>
              </w:rPr>
              <w:t>排放标准</w:t>
            </w:r>
            <w:r>
              <w:rPr>
                <w:rFonts w:hint="eastAsia" w:cs="Times New Roman"/>
                <w:color w:val="auto"/>
                <w:sz w:val="22"/>
                <w:szCs w:val="22"/>
                <w:u w:val="none" w:color="auto"/>
                <w:lang w:val="en-US" w:eastAsia="zh-CN"/>
              </w:rPr>
              <w:t>及无组织排放标准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00"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tcBorders>
              <w:tl2br w:val="nil"/>
              <w:tr2bl w:val="nil"/>
            </w:tcBorders>
            <w:vAlign w:val="center"/>
          </w:tcPr>
          <w:p>
            <w:pPr>
              <w:adjustRightInd w:val="0"/>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烘干固化废气</w:t>
            </w:r>
          </w:p>
        </w:tc>
        <w:tc>
          <w:tcPr>
            <w:tcW w:w="171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VOCs</w:t>
            </w:r>
          </w:p>
        </w:tc>
        <w:tc>
          <w:tcPr>
            <w:tcW w:w="234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经活性炭</w:t>
            </w:r>
            <w:r>
              <w:rPr>
                <w:rFonts w:hint="eastAsia" w:cs="Times New Roman"/>
                <w:color w:val="auto"/>
                <w:sz w:val="22"/>
                <w:szCs w:val="22"/>
                <w:u w:val="none" w:color="auto"/>
                <w:lang w:val="en-US" w:eastAsia="zh-CN"/>
              </w:rPr>
              <w:t>+UV光解处理后由15m高排气筒高空排放</w:t>
            </w:r>
          </w:p>
        </w:tc>
        <w:tc>
          <w:tcPr>
            <w:tcW w:w="292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《表面涂装（汽车制造及维修）挥发性有机物、镍排放标准》（DB43/1356-2017）表1中排放标准</w:t>
            </w:r>
            <w:r>
              <w:rPr>
                <w:rFonts w:hint="eastAsia" w:cs="Times New Roman"/>
                <w:color w:val="auto"/>
                <w:sz w:val="22"/>
                <w:szCs w:val="22"/>
                <w:u w:val="none" w:color="auto"/>
                <w:lang w:val="en-US" w:eastAsia="zh-CN"/>
              </w:rPr>
              <w:t>及表3中排放标准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6"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tcBorders>
              <w:tl2br w:val="nil"/>
              <w:tr2bl w:val="nil"/>
            </w:tcBorders>
            <w:vAlign w:val="center"/>
          </w:tcPr>
          <w:p>
            <w:pPr>
              <w:adjustRightInd w:val="0"/>
              <w:snapToGrid w:val="0"/>
              <w:spacing w:line="360" w:lineRule="auto"/>
              <w:jc w:val="center"/>
              <w:rPr>
                <w:rFonts w:hint="eastAsia" w:eastAsia="宋体" w:cs="Times New Roman"/>
                <w:color w:val="auto"/>
                <w:sz w:val="22"/>
                <w:szCs w:val="22"/>
                <w:u w:val="none" w:color="auto"/>
                <w:lang w:eastAsia="zh-CN"/>
              </w:rPr>
            </w:pPr>
            <w:r>
              <w:rPr>
                <w:rFonts w:hint="eastAsia" w:cs="Times New Roman"/>
                <w:color w:val="auto"/>
                <w:sz w:val="22"/>
                <w:szCs w:val="22"/>
                <w:u w:val="none" w:color="auto"/>
                <w:lang w:eastAsia="zh-CN"/>
              </w:rPr>
              <w:t>液化石油气燃烧废气（烘干固化工序中提供热源）</w:t>
            </w:r>
          </w:p>
        </w:tc>
        <w:tc>
          <w:tcPr>
            <w:tcW w:w="1710" w:type="dxa"/>
            <w:tcBorders>
              <w:tl2br w:val="nil"/>
              <w:tr2bl w:val="nil"/>
            </w:tcBorders>
            <w:vAlign w:val="center"/>
          </w:tcPr>
          <w:p>
            <w:pPr>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二氧化硫、氮氧化物、颗粒物</w:t>
            </w:r>
          </w:p>
        </w:tc>
        <w:tc>
          <w:tcPr>
            <w:tcW w:w="234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eastAsia="zh-CN"/>
              </w:rPr>
              <w:t>经收集后由</w:t>
            </w:r>
            <w:r>
              <w:rPr>
                <w:rFonts w:hint="eastAsia" w:cs="Times New Roman"/>
                <w:color w:val="auto"/>
                <w:sz w:val="22"/>
                <w:szCs w:val="22"/>
                <w:u w:val="none" w:color="auto"/>
                <w:lang w:val="en-US" w:eastAsia="zh-CN"/>
              </w:rPr>
              <w:t>15m高排气筒高空排放</w:t>
            </w:r>
          </w:p>
        </w:tc>
        <w:tc>
          <w:tcPr>
            <w:tcW w:w="292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kern w:val="0"/>
                <w:sz w:val="22"/>
                <w:szCs w:val="22"/>
                <w:u w:val="none" w:color="auto"/>
                <w:lang w:val="en-US" w:eastAsia="zh-CN" w:bidi="ar"/>
              </w:rPr>
              <w:t>《</w:t>
            </w:r>
            <w:r>
              <w:rPr>
                <w:rFonts w:hint="default" w:ascii="Times New Roman" w:hAnsi="Times New Roman" w:cs="Times New Roman"/>
                <w:color w:val="auto"/>
                <w:kern w:val="0"/>
                <w:sz w:val="22"/>
                <w:szCs w:val="22"/>
                <w:u w:val="none" w:color="auto"/>
                <w:lang w:val="en-US" w:eastAsia="zh-CN" w:bidi="ar"/>
              </w:rPr>
              <w:t>工业炉窑大气污染物排放标准</w:t>
            </w:r>
            <w:r>
              <w:rPr>
                <w:rFonts w:hint="default" w:ascii="Times New Roman" w:hAnsi="Times New Roman" w:eastAsia="宋体" w:cs="Times New Roman"/>
                <w:color w:val="auto"/>
                <w:kern w:val="0"/>
                <w:sz w:val="22"/>
                <w:szCs w:val="22"/>
                <w:u w:val="none" w:color="auto"/>
                <w:lang w:val="en-US" w:eastAsia="zh-CN" w:bidi="ar"/>
              </w:rPr>
              <w:t>》（GB</w:t>
            </w:r>
            <w:r>
              <w:rPr>
                <w:rFonts w:hint="default" w:ascii="Times New Roman" w:hAnsi="Times New Roman" w:cs="Times New Roman"/>
                <w:color w:val="auto"/>
                <w:kern w:val="0"/>
                <w:sz w:val="22"/>
                <w:szCs w:val="22"/>
                <w:u w:val="none" w:color="auto"/>
                <w:lang w:val="en-US" w:eastAsia="zh-CN" w:bidi="ar"/>
              </w:rPr>
              <w:t>9078</w:t>
            </w:r>
            <w:r>
              <w:rPr>
                <w:rFonts w:hint="default" w:ascii="Times New Roman" w:hAnsi="Times New Roman" w:eastAsia="宋体" w:cs="Times New Roman"/>
                <w:color w:val="auto"/>
                <w:kern w:val="0"/>
                <w:sz w:val="22"/>
                <w:szCs w:val="22"/>
                <w:u w:val="none" w:color="auto"/>
                <w:lang w:val="en-US" w:eastAsia="zh-CN" w:bidi="ar"/>
              </w:rPr>
              <w:t>-1996）</w:t>
            </w:r>
            <w:r>
              <w:rPr>
                <w:rFonts w:hint="default" w:ascii="Times New Roman" w:hAnsi="Times New Roman" w:cs="Times New Roman"/>
                <w:color w:val="auto"/>
                <w:kern w:val="0"/>
                <w:sz w:val="22"/>
                <w:szCs w:val="22"/>
                <w:u w:val="none" w:color="auto"/>
                <w:lang w:val="en-US" w:eastAsia="zh-CN" w:bidi="ar"/>
              </w:rPr>
              <w:t>中的排放</w:t>
            </w:r>
            <w:r>
              <w:rPr>
                <w:rFonts w:hint="default" w:ascii="Times New Roman" w:hAnsi="Times New Roman" w:eastAsia="宋体" w:cs="Times New Roman"/>
                <w:color w:val="auto"/>
                <w:kern w:val="0"/>
                <w:sz w:val="22"/>
                <w:szCs w:val="22"/>
                <w:u w:val="none" w:color="auto"/>
                <w:lang w:val="en-US" w:eastAsia="zh-CN" w:bidi="ar"/>
              </w:rPr>
              <w:t>标准</w:t>
            </w:r>
            <w:r>
              <w:rPr>
                <w:rFonts w:hint="default" w:ascii="Times New Roman" w:hAnsi="Times New Roman" w:cs="Times New Roman"/>
                <w:color w:val="auto"/>
                <w:kern w:val="0"/>
                <w:sz w:val="22"/>
                <w:szCs w:val="22"/>
                <w:u w:val="none" w:color="auto"/>
                <w:lang w:val="en-US" w:eastAsia="zh-CN" w:bidi="ar"/>
              </w:rPr>
              <w:t>，氮氧化物执行</w:t>
            </w:r>
            <w:r>
              <w:rPr>
                <w:rFonts w:hint="default" w:ascii="Times New Roman" w:hAnsi="Times New Roman" w:eastAsia="宋体" w:cs="Times New Roman"/>
                <w:color w:val="auto"/>
                <w:kern w:val="0"/>
                <w:sz w:val="22"/>
                <w:szCs w:val="22"/>
                <w:u w:val="none" w:color="auto"/>
                <w:lang w:val="en-US" w:eastAsia="zh-CN" w:bidi="ar"/>
              </w:rPr>
              <w:t>《大气污染物综合排放标准》（GB16297-1996）表2的二级标准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tcBorders>
              <w:tl2br w:val="nil"/>
              <w:tr2bl w:val="nil"/>
            </w:tcBorders>
            <w:vAlign w:val="center"/>
          </w:tcPr>
          <w:p>
            <w:pPr>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成品耐高温实验废气（液化石油气燃烧提供热源）</w:t>
            </w:r>
          </w:p>
        </w:tc>
        <w:tc>
          <w:tcPr>
            <w:tcW w:w="1710" w:type="dxa"/>
            <w:tcBorders>
              <w:tl2br w:val="nil"/>
              <w:tr2bl w:val="nil"/>
            </w:tcBorders>
            <w:vAlign w:val="center"/>
          </w:tcPr>
          <w:p>
            <w:pPr>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二氧化硫、氮氧化物、颗粒物</w:t>
            </w:r>
          </w:p>
        </w:tc>
        <w:tc>
          <w:tcPr>
            <w:tcW w:w="2340"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经收集后由</w:t>
            </w:r>
            <w:r>
              <w:rPr>
                <w:rFonts w:hint="eastAsia" w:cs="Times New Roman"/>
                <w:color w:val="auto"/>
                <w:sz w:val="22"/>
                <w:szCs w:val="22"/>
                <w:u w:val="none" w:color="auto"/>
                <w:lang w:val="en-US" w:eastAsia="zh-CN"/>
              </w:rPr>
              <w:t>15m高排气筒高空排放</w:t>
            </w:r>
          </w:p>
        </w:tc>
        <w:tc>
          <w:tcPr>
            <w:tcW w:w="2920" w:type="dxa"/>
            <w:tcBorders>
              <w:tl2br w:val="nil"/>
              <w:tr2bl w:val="nil"/>
            </w:tcBorders>
            <w:vAlign w:val="center"/>
          </w:tcPr>
          <w:p>
            <w:pPr>
              <w:spacing w:line="360" w:lineRule="auto"/>
              <w:jc w:val="center"/>
              <w:rPr>
                <w:rFonts w:hint="eastAsia" w:eastAsia="宋体" w:cs="Times New Roman"/>
                <w:color w:val="auto"/>
                <w:kern w:val="0"/>
                <w:sz w:val="22"/>
                <w:szCs w:val="22"/>
                <w:u w:val="none" w:color="auto"/>
                <w:lang w:val="en-US" w:eastAsia="zh-CN" w:bidi="ar"/>
              </w:rPr>
            </w:pPr>
            <w:r>
              <w:rPr>
                <w:rFonts w:hint="default" w:ascii="Times New Roman" w:hAnsi="Times New Roman" w:eastAsia="宋体" w:cs="Times New Roman"/>
                <w:color w:val="auto"/>
                <w:kern w:val="0"/>
                <w:sz w:val="22"/>
                <w:szCs w:val="22"/>
                <w:u w:val="none" w:color="auto"/>
                <w:lang w:val="en-US" w:eastAsia="zh-CN" w:bidi="ar"/>
              </w:rPr>
              <w:t>《</w:t>
            </w:r>
            <w:r>
              <w:rPr>
                <w:rFonts w:hint="default" w:ascii="Times New Roman" w:hAnsi="Times New Roman" w:cs="Times New Roman"/>
                <w:color w:val="auto"/>
                <w:kern w:val="0"/>
                <w:sz w:val="22"/>
                <w:szCs w:val="22"/>
                <w:u w:val="none" w:color="auto"/>
                <w:lang w:val="en-US" w:eastAsia="zh-CN" w:bidi="ar"/>
              </w:rPr>
              <w:t>工业炉窑大气污染物排放标准</w:t>
            </w:r>
            <w:r>
              <w:rPr>
                <w:rFonts w:hint="default" w:ascii="Times New Roman" w:hAnsi="Times New Roman" w:eastAsia="宋体" w:cs="Times New Roman"/>
                <w:color w:val="auto"/>
                <w:kern w:val="0"/>
                <w:sz w:val="22"/>
                <w:szCs w:val="22"/>
                <w:u w:val="none" w:color="auto"/>
                <w:lang w:val="en-US" w:eastAsia="zh-CN" w:bidi="ar"/>
              </w:rPr>
              <w:t>》（GB</w:t>
            </w:r>
            <w:r>
              <w:rPr>
                <w:rFonts w:hint="default" w:ascii="Times New Roman" w:hAnsi="Times New Roman" w:cs="Times New Roman"/>
                <w:color w:val="auto"/>
                <w:kern w:val="0"/>
                <w:sz w:val="22"/>
                <w:szCs w:val="22"/>
                <w:u w:val="none" w:color="auto"/>
                <w:lang w:val="en-US" w:eastAsia="zh-CN" w:bidi="ar"/>
              </w:rPr>
              <w:t>9078</w:t>
            </w:r>
            <w:r>
              <w:rPr>
                <w:rFonts w:hint="default" w:ascii="Times New Roman" w:hAnsi="Times New Roman" w:eastAsia="宋体" w:cs="Times New Roman"/>
                <w:color w:val="auto"/>
                <w:kern w:val="0"/>
                <w:sz w:val="22"/>
                <w:szCs w:val="22"/>
                <w:u w:val="none" w:color="auto"/>
                <w:lang w:val="en-US" w:eastAsia="zh-CN" w:bidi="ar"/>
              </w:rPr>
              <w:t>-1996）</w:t>
            </w:r>
            <w:r>
              <w:rPr>
                <w:rFonts w:hint="default" w:ascii="Times New Roman" w:hAnsi="Times New Roman" w:cs="Times New Roman"/>
                <w:color w:val="auto"/>
                <w:kern w:val="0"/>
                <w:sz w:val="22"/>
                <w:szCs w:val="22"/>
                <w:u w:val="none" w:color="auto"/>
                <w:lang w:val="en-US" w:eastAsia="zh-CN" w:bidi="ar"/>
              </w:rPr>
              <w:t>中的排放</w:t>
            </w:r>
            <w:r>
              <w:rPr>
                <w:rFonts w:hint="default" w:ascii="Times New Roman" w:hAnsi="Times New Roman" w:eastAsia="宋体" w:cs="Times New Roman"/>
                <w:color w:val="auto"/>
                <w:kern w:val="0"/>
                <w:sz w:val="22"/>
                <w:szCs w:val="22"/>
                <w:u w:val="none" w:color="auto"/>
                <w:lang w:val="en-US" w:eastAsia="zh-CN" w:bidi="ar"/>
              </w:rPr>
              <w:t>标准</w:t>
            </w:r>
            <w:r>
              <w:rPr>
                <w:rFonts w:hint="default" w:ascii="Times New Roman" w:hAnsi="Times New Roman" w:cs="Times New Roman"/>
                <w:color w:val="auto"/>
                <w:kern w:val="0"/>
                <w:sz w:val="22"/>
                <w:szCs w:val="22"/>
                <w:u w:val="none" w:color="auto"/>
                <w:lang w:val="en-US" w:eastAsia="zh-CN" w:bidi="ar"/>
              </w:rPr>
              <w:t>，氮氧化物执行</w:t>
            </w:r>
            <w:r>
              <w:rPr>
                <w:rFonts w:hint="default" w:ascii="Times New Roman" w:hAnsi="Times New Roman" w:eastAsia="宋体" w:cs="Times New Roman"/>
                <w:color w:val="auto"/>
                <w:kern w:val="0"/>
                <w:sz w:val="22"/>
                <w:szCs w:val="22"/>
                <w:u w:val="none" w:color="auto"/>
                <w:lang w:val="en-US" w:eastAsia="zh-CN" w:bidi="ar"/>
              </w:rPr>
              <w:t>《大气污染物综合排放标准》（GB16297-1996）表2的二级标准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vMerge w:val="restart"/>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生产</w:t>
            </w:r>
          </w:p>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车间</w:t>
            </w:r>
          </w:p>
        </w:tc>
        <w:tc>
          <w:tcPr>
            <w:tcW w:w="171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抛丸废气</w:t>
            </w:r>
          </w:p>
        </w:tc>
        <w:tc>
          <w:tcPr>
            <w:tcW w:w="2340" w:type="dxa"/>
            <w:tcBorders>
              <w:tl2br w:val="nil"/>
              <w:tr2bl w:val="nil"/>
            </w:tcBorders>
            <w:vAlign w:val="center"/>
          </w:tcPr>
          <w:p>
            <w:pPr>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default" w:ascii="Times New Roman" w:hAnsi="Times New Roman" w:cs="Times New Roman"/>
                <w:color w:val="auto"/>
                <w:sz w:val="22"/>
                <w:szCs w:val="22"/>
                <w:u w:val="none" w:color="auto"/>
              </w:rPr>
              <w:t>布袋除尘器处理</w:t>
            </w:r>
            <w:r>
              <w:rPr>
                <w:rFonts w:hint="eastAsia" w:cs="Times New Roman"/>
                <w:color w:val="auto"/>
                <w:sz w:val="22"/>
                <w:szCs w:val="22"/>
                <w:u w:val="none" w:color="auto"/>
                <w:lang w:eastAsia="zh-CN"/>
              </w:rPr>
              <w:t>后</w:t>
            </w:r>
            <w:r>
              <w:rPr>
                <w:rFonts w:hint="default" w:ascii="Times New Roman" w:hAnsi="Times New Roman" w:cs="Times New Roman"/>
                <w:color w:val="auto"/>
                <w:sz w:val="22"/>
                <w:szCs w:val="22"/>
                <w:u w:val="none" w:color="auto"/>
              </w:rPr>
              <w:t>无组织</w:t>
            </w:r>
            <w:r>
              <w:rPr>
                <w:rFonts w:hint="eastAsia" w:cs="Times New Roman"/>
                <w:color w:val="auto"/>
                <w:sz w:val="22"/>
                <w:szCs w:val="22"/>
                <w:u w:val="none" w:color="auto"/>
                <w:lang w:eastAsia="zh-CN"/>
              </w:rPr>
              <w:t>排放</w:t>
            </w:r>
          </w:p>
        </w:tc>
        <w:tc>
          <w:tcPr>
            <w:tcW w:w="2920" w:type="dxa"/>
            <w:tcBorders>
              <w:tl2br w:val="nil"/>
              <w:tr2bl w:val="nil"/>
            </w:tcBorders>
            <w:vAlign w:val="center"/>
          </w:tcPr>
          <w:p>
            <w:pPr>
              <w:adjustRightInd w:val="0"/>
              <w:snapToGrid w:val="0"/>
              <w:spacing w:line="360" w:lineRule="auto"/>
              <w:ind w:left="-105" w:right="-105"/>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GB16297-1996)无组织排放标准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0"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焊接废气</w:t>
            </w:r>
          </w:p>
        </w:tc>
        <w:tc>
          <w:tcPr>
            <w:tcW w:w="234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eastAsia="zh-CN"/>
              </w:rPr>
              <w:t>移动式烟尘净化器处理后无组织排放</w:t>
            </w:r>
          </w:p>
        </w:tc>
        <w:tc>
          <w:tcPr>
            <w:tcW w:w="2920" w:type="dxa"/>
            <w:tcBorders>
              <w:tl2br w:val="nil"/>
              <w:tr2bl w:val="nil"/>
            </w:tcBorders>
            <w:vAlign w:val="center"/>
          </w:tcPr>
          <w:p>
            <w:pPr>
              <w:adjustRightInd w:val="0"/>
              <w:snapToGrid w:val="0"/>
              <w:spacing w:line="360" w:lineRule="auto"/>
              <w:ind w:left="-105" w:right="-105"/>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GB16297-1996)无组织排放标准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激光切割废气</w:t>
            </w:r>
          </w:p>
        </w:tc>
        <w:tc>
          <w:tcPr>
            <w:tcW w:w="2340"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eastAsia="zh-CN"/>
              </w:rPr>
              <w:t>经负压抽风收集后由脉冲式除尘器处理后通过</w:t>
            </w:r>
            <w:r>
              <w:rPr>
                <w:rFonts w:hint="eastAsia" w:cs="Times New Roman"/>
                <w:color w:val="auto"/>
                <w:sz w:val="22"/>
                <w:szCs w:val="22"/>
                <w:u w:val="none" w:color="auto"/>
                <w:lang w:val="en-US" w:eastAsia="zh-CN"/>
              </w:rPr>
              <w:t>15m高排气筒排放</w:t>
            </w:r>
          </w:p>
        </w:tc>
        <w:tc>
          <w:tcPr>
            <w:tcW w:w="2920" w:type="dxa"/>
            <w:vMerge w:val="restart"/>
            <w:tcBorders>
              <w:tl2br w:val="nil"/>
              <w:tr2bl w:val="nil"/>
            </w:tcBorders>
            <w:vAlign w:val="center"/>
          </w:tcPr>
          <w:p>
            <w:pPr>
              <w:adjustRightInd w:val="0"/>
              <w:snapToGrid w:val="0"/>
              <w:spacing w:line="360" w:lineRule="auto"/>
              <w:ind w:left="-105" w:right="-105"/>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二级排放标准和</w:t>
            </w:r>
            <w:r>
              <w:rPr>
                <w:rFonts w:hint="default" w:ascii="Times New Roman" w:hAnsi="Times New Roman" w:cs="Times New Roman"/>
                <w:color w:val="auto"/>
                <w:sz w:val="22"/>
                <w:szCs w:val="22"/>
                <w:u w:val="none" w:color="auto"/>
                <w:lang w:val="en-US" w:eastAsia="zh-CN"/>
              </w:rPr>
              <w:t>无组织排放标准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等离子切割废气</w:t>
            </w:r>
          </w:p>
        </w:tc>
        <w:tc>
          <w:tcPr>
            <w:tcW w:w="234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2920" w:type="dxa"/>
            <w:vMerge w:val="continue"/>
            <w:tcBorders>
              <w:tl2br w:val="nil"/>
              <w:tr2bl w:val="nil"/>
            </w:tcBorders>
            <w:vAlign w:val="center"/>
          </w:tcPr>
          <w:p>
            <w:pPr>
              <w:adjustRightInd w:val="0"/>
              <w:snapToGrid w:val="0"/>
              <w:spacing w:line="360" w:lineRule="auto"/>
              <w:ind w:left="-105" w:right="-105"/>
              <w:jc w:val="center"/>
              <w:rPr>
                <w:rFonts w:hint="default" w:ascii="Times New Roman" w:hAnsi="Times New Roman" w:cs="Times New Roman"/>
                <w:color w:val="auto"/>
                <w:sz w:val="22"/>
                <w:szCs w:val="22"/>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95"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激光、等离子切割废气</w:t>
            </w:r>
          </w:p>
        </w:tc>
        <w:tc>
          <w:tcPr>
            <w:tcW w:w="234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2920" w:type="dxa"/>
            <w:vMerge w:val="continue"/>
            <w:tcBorders>
              <w:tl2br w:val="nil"/>
              <w:tr2bl w:val="nil"/>
            </w:tcBorders>
            <w:vAlign w:val="center"/>
          </w:tcPr>
          <w:p>
            <w:pPr>
              <w:adjustRightInd w:val="0"/>
              <w:snapToGrid w:val="0"/>
              <w:spacing w:line="360" w:lineRule="auto"/>
              <w:ind w:left="-105" w:right="-105"/>
              <w:jc w:val="center"/>
              <w:rPr>
                <w:rFonts w:hint="default" w:ascii="Times New Roman" w:hAnsi="Times New Roman" w:cs="Times New Roman"/>
                <w:color w:val="auto"/>
                <w:sz w:val="22"/>
                <w:szCs w:val="22"/>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43" w:hRule="atLeast"/>
          <w:jc w:val="center"/>
        </w:trPr>
        <w:tc>
          <w:tcPr>
            <w:tcW w:w="885" w:type="dxa"/>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水污染物</w:t>
            </w:r>
          </w:p>
        </w:tc>
        <w:tc>
          <w:tcPr>
            <w:tcW w:w="660"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305"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w:t>
            </w:r>
          </w:p>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污水</w:t>
            </w:r>
          </w:p>
        </w:tc>
        <w:tc>
          <w:tcPr>
            <w:tcW w:w="1710" w:type="dxa"/>
            <w:tcBorders>
              <w:tl2br w:val="nil"/>
              <w:tr2bl w:val="nil"/>
            </w:tcBorders>
            <w:vAlign w:val="center"/>
          </w:tcPr>
          <w:p>
            <w:pPr>
              <w:pStyle w:val="122"/>
              <w:overflowPunct/>
              <w:autoSpaceDE/>
              <w:autoSpaceDN/>
              <w:snapToGrid w:val="0"/>
              <w:spacing w:line="360" w:lineRule="auto"/>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COD</w:t>
            </w:r>
            <w:r>
              <w:rPr>
                <w:rFonts w:hint="default" w:ascii="Times New Roman" w:hAnsi="Times New Roman" w:cs="Times New Roman"/>
                <w:color w:val="auto"/>
                <w:sz w:val="22"/>
                <w:szCs w:val="22"/>
                <w:u w:val="none" w:color="auto"/>
                <w:vertAlign w:val="subscript"/>
              </w:rPr>
              <w:t>Cr</w:t>
            </w:r>
            <w:r>
              <w:rPr>
                <w:rFonts w:hint="default" w:ascii="Times New Roman" w:hAnsi="Times New Roman" w:cs="Times New Roman"/>
                <w:color w:val="auto"/>
                <w:sz w:val="22"/>
                <w:szCs w:val="22"/>
                <w:u w:val="none" w:color="auto"/>
              </w:rPr>
              <w:t>、NH</w:t>
            </w:r>
            <w:r>
              <w:rPr>
                <w:rFonts w:hint="default" w:ascii="Times New Roman" w:hAnsi="Times New Roman" w:cs="Times New Roman"/>
                <w:color w:val="auto"/>
                <w:sz w:val="22"/>
                <w:szCs w:val="22"/>
                <w:u w:val="none" w:color="auto"/>
                <w:vertAlign w:val="subscript"/>
              </w:rPr>
              <w:t>3</w:t>
            </w:r>
            <w:r>
              <w:rPr>
                <w:rFonts w:hint="default" w:ascii="Times New Roman" w:hAnsi="Times New Roman" w:cs="Times New Roman"/>
                <w:color w:val="auto"/>
                <w:sz w:val="22"/>
                <w:szCs w:val="22"/>
                <w:u w:val="none" w:color="auto"/>
              </w:rPr>
              <w:t>-N</w:t>
            </w:r>
          </w:p>
        </w:tc>
        <w:tc>
          <w:tcPr>
            <w:tcW w:w="2340" w:type="dxa"/>
            <w:tcBorders>
              <w:tl2br w:val="nil"/>
              <w:tr2bl w:val="nil"/>
            </w:tcBorders>
            <w:vAlign w:val="center"/>
          </w:tcPr>
          <w:p>
            <w:pPr>
              <w:pStyle w:val="4"/>
              <w:spacing w:before="162" w:line="360" w:lineRule="auto"/>
              <w:ind w:firstLine="0" w:firstLineChars="0"/>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项目废水经</w:t>
            </w:r>
            <w:r>
              <w:rPr>
                <w:rFonts w:hint="eastAsia" w:cs="Times New Roman"/>
                <w:color w:val="auto"/>
                <w:sz w:val="22"/>
                <w:szCs w:val="22"/>
                <w:u w:val="none" w:color="auto"/>
                <w:lang w:eastAsia="zh-CN"/>
              </w:rPr>
              <w:t>化粪池</w:t>
            </w:r>
            <w:r>
              <w:rPr>
                <w:rFonts w:hint="default" w:ascii="Times New Roman" w:hAnsi="Times New Roman" w:cs="Times New Roman"/>
                <w:color w:val="auto"/>
                <w:sz w:val="22"/>
                <w:szCs w:val="22"/>
                <w:u w:val="none" w:color="auto"/>
                <w:lang w:eastAsia="zh-CN"/>
              </w:rPr>
              <w:t>预处理达到接管标准后排入第三污水处理厂处理后汇入湘江</w:t>
            </w:r>
          </w:p>
        </w:tc>
        <w:tc>
          <w:tcPr>
            <w:tcW w:w="2920" w:type="dxa"/>
            <w:tcBorders>
              <w:tl2br w:val="nil"/>
              <w:tr2bl w:val="nil"/>
            </w:tcBorders>
            <w:vAlign w:val="center"/>
          </w:tcPr>
          <w:p>
            <w:pPr>
              <w:adjustRightInd w:val="0"/>
              <w:snapToGrid w:val="0"/>
              <w:spacing w:line="360" w:lineRule="auto"/>
              <w:ind w:left="-105" w:right="-105"/>
              <w:jc w:val="center"/>
              <w:rPr>
                <w:rFonts w:hint="eastAsia" w:ascii="Times New Roman" w:hAnsi="Times New Roman" w:eastAsia="宋体" w:cs="Times New Roman"/>
                <w:color w:val="auto"/>
                <w:sz w:val="22"/>
                <w:szCs w:val="22"/>
                <w:u w:val="none" w:color="auto"/>
                <w:lang w:eastAsia="zh-CN"/>
              </w:rPr>
            </w:pPr>
            <w:r>
              <w:rPr>
                <w:sz w:val="22"/>
                <w:szCs w:val="22"/>
                <w:u w:val="none" w:color="auto"/>
              </w:rPr>
              <w:t>《城镇污水处理厂污染物排放标准（GB18918—2002）》中一级标准的A类标准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0" w:hRule="atLeast"/>
          <w:jc w:val="center"/>
        </w:trPr>
        <w:tc>
          <w:tcPr>
            <w:tcW w:w="88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固体废弃物</w:t>
            </w:r>
          </w:p>
        </w:tc>
        <w:tc>
          <w:tcPr>
            <w:tcW w:w="660"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130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生产</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车间</w:t>
            </w: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废金属边角料</w:t>
            </w:r>
          </w:p>
        </w:tc>
        <w:tc>
          <w:tcPr>
            <w:tcW w:w="2340" w:type="dxa"/>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收集后外售</w:t>
            </w:r>
            <w:r>
              <w:rPr>
                <w:rFonts w:hint="eastAsia" w:cs="Times New Roman"/>
                <w:color w:val="auto"/>
                <w:sz w:val="22"/>
                <w:szCs w:val="22"/>
                <w:u w:val="none" w:color="auto"/>
                <w:lang w:eastAsia="zh-CN"/>
              </w:rPr>
              <w:t>物资回收公司</w:t>
            </w:r>
          </w:p>
        </w:tc>
        <w:tc>
          <w:tcPr>
            <w:tcW w:w="2920"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无害化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减量化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2"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喷塑过程中收集的粉尘</w:t>
            </w:r>
          </w:p>
        </w:tc>
        <w:tc>
          <w:tcPr>
            <w:tcW w:w="2340" w:type="dxa"/>
            <w:tcBorders>
              <w:tl2br w:val="nil"/>
              <w:tr2bl w:val="nil"/>
            </w:tcBorders>
            <w:vAlign w:val="center"/>
          </w:tcPr>
          <w:p>
            <w:pPr>
              <w:snapToGrid w:val="0"/>
              <w:spacing w:line="360" w:lineRule="auto"/>
              <w:jc w:val="center"/>
              <w:rPr>
                <w:rFonts w:hint="eastAsia"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回用于生产</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除尘器收集的粉尘</w:t>
            </w:r>
          </w:p>
        </w:tc>
        <w:tc>
          <w:tcPr>
            <w:tcW w:w="2340" w:type="dxa"/>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综合利用</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废液压油、废润滑油</w:t>
            </w:r>
          </w:p>
        </w:tc>
        <w:tc>
          <w:tcPr>
            <w:tcW w:w="2340" w:type="dxa"/>
            <w:vMerge w:val="restart"/>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暂存危废暂存间，交由</w:t>
            </w:r>
            <w:r>
              <w:rPr>
                <w:rFonts w:hint="eastAsia" w:cs="Times New Roman"/>
                <w:color w:val="auto"/>
                <w:sz w:val="22"/>
                <w:szCs w:val="22"/>
                <w:u w:val="none" w:color="auto"/>
                <w:lang w:eastAsia="zh-CN"/>
              </w:rPr>
              <w:t>有资质单位进行处理</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废灯管、</w:t>
            </w:r>
            <w:r>
              <w:rPr>
                <w:rFonts w:hint="eastAsia"/>
                <w:color w:val="auto"/>
                <w:szCs w:val="21"/>
                <w:u w:val="none" w:color="auto"/>
                <w:lang w:eastAsia="zh-CN"/>
              </w:rPr>
              <w:t>废活性炭</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水帘废水池沉渣、漆渣</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含油抹布</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eastAsia="zh-CN"/>
              </w:rPr>
            </w:pPr>
            <w:r>
              <w:rPr>
                <w:rFonts w:hint="eastAsia"/>
                <w:color w:val="auto"/>
                <w:szCs w:val="21"/>
                <w:u w:val="none" w:color="auto"/>
                <w:lang w:eastAsia="zh-CN"/>
              </w:rPr>
              <w:t>废稀释剂桶、废绝缘漆桶、废油桶</w:t>
            </w:r>
          </w:p>
        </w:tc>
        <w:tc>
          <w:tcPr>
            <w:tcW w:w="2340" w:type="dxa"/>
            <w:vMerge w:val="continue"/>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olor w:val="auto"/>
                <w:szCs w:val="21"/>
                <w:u w:val="none" w:color="auto"/>
                <w:lang w:eastAsia="zh-CN"/>
              </w:rPr>
              <w:t>废水性漆包装物</w:t>
            </w:r>
          </w:p>
        </w:tc>
        <w:tc>
          <w:tcPr>
            <w:tcW w:w="2340" w:type="dxa"/>
            <w:vMerge w:val="restart"/>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交由环卫部门进行处理</w:t>
            </w: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885" w:type="dxa"/>
            <w:vMerge w:val="continue"/>
            <w:tcBorders>
              <w:tl2br w:val="nil"/>
              <w:tr2bl w:val="nil"/>
            </w:tcBorders>
            <w:vAlign w:val="center"/>
          </w:tcPr>
          <w:p>
            <w:pPr>
              <w:snapToGrid w:val="0"/>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 xml:space="preserve">                                                                                                                                                                         </w:t>
            </w:r>
          </w:p>
        </w:tc>
        <w:tc>
          <w:tcPr>
            <w:tcW w:w="66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30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710" w:type="dxa"/>
            <w:tcBorders>
              <w:tl2br w:val="nil"/>
              <w:tr2bl w:val="nil"/>
            </w:tcBorders>
            <w:vAlign w:val="center"/>
          </w:tcPr>
          <w:p>
            <w:pPr>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生活垃圾</w:t>
            </w:r>
          </w:p>
        </w:tc>
        <w:tc>
          <w:tcPr>
            <w:tcW w:w="234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920"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885" w:type="dxa"/>
            <w:tcBorders>
              <w:tl2br w:val="nil"/>
              <w:tr2bl w:val="nil"/>
            </w:tcBorders>
            <w:vAlign w:val="center"/>
          </w:tcPr>
          <w:p>
            <w:pPr>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噪声</w:t>
            </w:r>
          </w:p>
        </w:tc>
        <w:tc>
          <w:tcPr>
            <w:tcW w:w="660" w:type="dxa"/>
            <w:tcBorders>
              <w:tl2br w:val="nil"/>
              <w:tr2bl w:val="nil"/>
            </w:tcBorders>
            <w:vAlign w:val="center"/>
          </w:tcPr>
          <w:p>
            <w:pPr>
              <w:snapToGrid w:val="0"/>
              <w:spacing w:line="360" w:lineRule="auto"/>
              <w:jc w:val="center"/>
              <w:rPr>
                <w:rFonts w:hint="default" w:ascii="Times New Roman" w:hAnsi="Times New Roman" w:cs="Times New Roman"/>
                <w:b/>
                <w:color w:val="auto"/>
                <w:kern w:val="0"/>
                <w:sz w:val="22"/>
                <w:szCs w:val="22"/>
                <w:u w:val="none" w:color="auto"/>
              </w:rPr>
            </w:pPr>
            <w:r>
              <w:rPr>
                <w:rFonts w:hint="default" w:ascii="Times New Roman" w:hAnsi="Times New Roman" w:cs="Times New Roman"/>
                <w:color w:val="auto"/>
                <w:sz w:val="22"/>
                <w:szCs w:val="22"/>
                <w:u w:val="none" w:color="auto"/>
              </w:rPr>
              <w:t>营运期</w:t>
            </w:r>
          </w:p>
        </w:tc>
        <w:tc>
          <w:tcPr>
            <w:tcW w:w="8275" w:type="dxa"/>
            <w:gridSpan w:val="4"/>
            <w:tcBorders>
              <w:tl2br w:val="nil"/>
              <w:tr2bl w:val="nil"/>
            </w:tcBorders>
          </w:tcPr>
          <w:p>
            <w:pPr>
              <w:snapToGrid w:val="0"/>
              <w:spacing w:line="360" w:lineRule="auto"/>
              <w:jc w:val="left"/>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噪声主要来源于</w:t>
            </w:r>
            <w:r>
              <w:rPr>
                <w:rFonts w:hint="eastAsia" w:cs="Times New Roman"/>
                <w:color w:val="auto"/>
                <w:sz w:val="22"/>
                <w:szCs w:val="22"/>
                <w:u w:val="none" w:color="auto"/>
                <w:lang w:eastAsia="zh-CN"/>
              </w:rPr>
              <w:t>焊接机、空压机、风机</w:t>
            </w:r>
            <w:r>
              <w:rPr>
                <w:rFonts w:hint="default" w:ascii="Times New Roman" w:hAnsi="Times New Roman" w:cs="Times New Roman"/>
                <w:color w:val="auto"/>
                <w:sz w:val="22"/>
                <w:szCs w:val="22"/>
                <w:u w:val="none" w:color="auto"/>
              </w:rPr>
              <w:t>等运行过程所产生的噪声，声值为</w:t>
            </w:r>
            <w:r>
              <w:rPr>
                <w:rFonts w:hint="eastAsia" w:cs="Times New Roman"/>
                <w:color w:val="auto"/>
                <w:sz w:val="22"/>
                <w:szCs w:val="22"/>
                <w:u w:val="none" w:color="auto"/>
                <w:lang w:val="en-US" w:eastAsia="zh-CN"/>
              </w:rPr>
              <w:t>80-90</w:t>
            </w:r>
            <w:r>
              <w:rPr>
                <w:rFonts w:hint="default" w:ascii="Times New Roman" w:hAnsi="Times New Roman" w:cs="Times New Roman"/>
                <w:color w:val="auto"/>
                <w:sz w:val="22"/>
                <w:szCs w:val="22"/>
                <w:u w:val="none" w:color="auto"/>
              </w:rPr>
              <w:t>dB(A)，经采取合理布局、隔音、减振等措施，使厂界噪声达到《工业企业场界环境噪声排放标准》（GB12348-2008）</w:t>
            </w:r>
            <w:r>
              <w:rPr>
                <w:rFonts w:hint="eastAsia"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820" w:type="dxa"/>
            <w:gridSpan w:val="6"/>
            <w:tcBorders>
              <w:tl2br w:val="nil"/>
              <w:tr2bl w:val="nil"/>
            </w:tcBorders>
          </w:tcPr>
          <w:p>
            <w:pPr>
              <w:snapToGrid w:val="0"/>
              <w:spacing w:line="360" w:lineRule="auto"/>
              <w:rPr>
                <w:rFonts w:hint="default" w:ascii="Times New Roman" w:hAnsi="Times New Roman" w:cs="Times New Roman"/>
                <w:b/>
                <w:color w:val="auto"/>
                <w:kern w:val="0"/>
                <w:sz w:val="24"/>
                <w:szCs w:val="24"/>
                <w:u w:val="none" w:color="auto"/>
              </w:rPr>
            </w:pPr>
            <w:r>
              <w:rPr>
                <w:rFonts w:hint="default" w:ascii="Times New Roman" w:hAnsi="Times New Roman" w:cs="Times New Roman"/>
                <w:b/>
                <w:color w:val="auto"/>
                <w:kern w:val="0"/>
                <w:sz w:val="24"/>
                <w:szCs w:val="24"/>
                <w:u w:val="none" w:color="auto"/>
              </w:rPr>
              <w:t>生态保护措施及预期效果：</w:t>
            </w:r>
          </w:p>
          <w:p>
            <w:pPr>
              <w:snapToGrid w:val="0"/>
              <w:spacing w:line="360" w:lineRule="auto"/>
              <w:ind w:firstLine="482"/>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本项目位于</w:t>
            </w:r>
            <w:r>
              <w:rPr>
                <w:rFonts w:hint="eastAsia" w:cs="Times New Roman"/>
                <w:color w:val="auto"/>
                <w:sz w:val="24"/>
                <w:szCs w:val="24"/>
                <w:u w:val="none" w:color="auto"/>
                <w:lang w:eastAsia="zh-CN"/>
              </w:rPr>
              <w:t>湘阴县金龙新区安嘉路西侧，文襄路南侧</w:t>
            </w: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eastAsia="zh-CN"/>
              </w:rPr>
              <w:t>新建</w:t>
            </w:r>
            <w:r>
              <w:rPr>
                <w:rFonts w:hint="default" w:ascii="Times New Roman" w:hAnsi="Times New Roman" w:cs="Times New Roman"/>
                <w:color w:val="auto"/>
                <w:sz w:val="24"/>
                <w:szCs w:val="24"/>
                <w:u w:val="none" w:color="auto"/>
              </w:rPr>
              <w:t>生产厂房进行生产，不会对生态环境产生影响。此外，项目营运期产生的废气、废水、固废和噪声均得到有效处理与处置，项目营运不会对周围的生态环境产生明显影响。</w:t>
            </w:r>
          </w:p>
          <w:p>
            <w:pPr>
              <w:pStyle w:val="33"/>
              <w:spacing w:line="360" w:lineRule="auto"/>
              <w:ind w:left="400"/>
              <w:rPr>
                <w:rFonts w:hint="default" w:ascii="Times New Roman" w:hAnsi="Times New Roman" w:cs="Times New Roman"/>
                <w:color w:val="auto"/>
                <w:sz w:val="22"/>
                <w:szCs w:val="22"/>
                <w:u w:val="none" w:color="auto"/>
              </w:rPr>
            </w:pPr>
          </w:p>
          <w:p>
            <w:pPr>
              <w:spacing w:line="360" w:lineRule="auto"/>
              <w:rPr>
                <w:rFonts w:hint="default" w:ascii="Times New Roman" w:hAnsi="Times New Roman" w:cs="Times New Roman"/>
                <w:color w:val="auto"/>
                <w:sz w:val="22"/>
                <w:szCs w:val="22"/>
                <w:u w:val="none" w:color="auto"/>
              </w:rPr>
            </w:pPr>
          </w:p>
          <w:p>
            <w:pPr>
              <w:pStyle w:val="33"/>
              <w:spacing w:line="360" w:lineRule="auto"/>
              <w:ind w:left="400"/>
              <w:rPr>
                <w:rFonts w:hint="default" w:ascii="Times New Roman" w:hAnsi="Times New Roman" w:cs="Times New Roman"/>
                <w:color w:val="auto"/>
                <w:sz w:val="22"/>
                <w:szCs w:val="22"/>
                <w:u w:val="none" w:color="auto"/>
              </w:rPr>
            </w:pPr>
          </w:p>
          <w:p>
            <w:pPr>
              <w:spacing w:line="360" w:lineRule="auto"/>
              <w:rPr>
                <w:rFonts w:hint="default" w:ascii="Times New Roman" w:hAnsi="Times New Roman" w:cs="Times New Roman"/>
                <w:color w:val="auto"/>
                <w:sz w:val="22"/>
                <w:szCs w:val="22"/>
                <w:u w:val="none" w:color="auto"/>
              </w:rPr>
            </w:pPr>
          </w:p>
          <w:p>
            <w:pPr>
              <w:pStyle w:val="33"/>
              <w:spacing w:line="360" w:lineRule="auto"/>
              <w:ind w:left="400"/>
              <w:rPr>
                <w:rFonts w:hint="default" w:ascii="Times New Roman" w:hAnsi="Times New Roman" w:cs="Times New Roman"/>
                <w:color w:val="auto"/>
                <w:sz w:val="22"/>
                <w:szCs w:val="22"/>
                <w:u w:val="none" w:color="auto"/>
              </w:rPr>
            </w:pPr>
          </w:p>
          <w:p>
            <w:pPr>
              <w:pStyle w:val="33"/>
              <w:spacing w:line="360" w:lineRule="auto"/>
              <w:ind w:left="0" w:leftChars="0" w:firstLine="0" w:firstLineChars="0"/>
              <w:rPr>
                <w:rFonts w:hint="default" w:ascii="Times New Roman" w:hAnsi="Times New Roman" w:cs="Times New Roman"/>
                <w:color w:val="auto"/>
                <w:sz w:val="22"/>
                <w:szCs w:val="22"/>
                <w:u w:val="none" w:color="auto"/>
              </w:rPr>
            </w:pPr>
          </w:p>
          <w:p>
            <w:pPr>
              <w:spacing w:line="360" w:lineRule="auto"/>
              <w:rPr>
                <w:rFonts w:hint="default" w:ascii="Times New Roman" w:hAnsi="Times New Roman" w:cs="Times New Roman"/>
                <w:color w:val="auto"/>
                <w:sz w:val="22"/>
                <w:szCs w:val="22"/>
                <w:u w:val="none" w:color="auto"/>
              </w:rPr>
            </w:pPr>
          </w:p>
          <w:p>
            <w:pPr>
              <w:pStyle w:val="33"/>
              <w:spacing w:line="360" w:lineRule="auto"/>
              <w:ind w:left="400"/>
              <w:rPr>
                <w:rFonts w:hint="default" w:ascii="Times New Roman" w:hAnsi="Times New Roman" w:cs="Times New Roman"/>
                <w:color w:val="auto"/>
                <w:sz w:val="22"/>
                <w:szCs w:val="22"/>
                <w:u w:val="none" w:color="auto"/>
              </w:rPr>
            </w:pPr>
          </w:p>
        </w:tc>
      </w:tr>
    </w:tbl>
    <w:p>
      <w:pPr>
        <w:snapToGrid w:val="0"/>
        <w:jc w:val="left"/>
        <w:outlineLvl w:val="0"/>
        <w:rPr>
          <w:color w:val="auto"/>
          <w:u w:val="none" w:color="auto"/>
        </w:rPr>
      </w:pPr>
      <w:r>
        <w:rPr>
          <w:color w:val="auto"/>
          <w:u w:val="none" w:color="auto"/>
        </w:rPr>
        <w:br w:type="page"/>
      </w:r>
      <w:bookmarkStart w:id="13" w:name="_Toc16035"/>
      <w:r>
        <w:rPr>
          <w:rFonts w:hint="eastAsia" w:eastAsia="黑体"/>
          <w:color w:val="auto"/>
          <w:sz w:val="32"/>
          <w:u w:val="none" w:color="auto"/>
        </w:rPr>
        <w:t>九、</w:t>
      </w:r>
      <w:r>
        <w:rPr>
          <w:rFonts w:eastAsia="黑体"/>
          <w:color w:val="auto"/>
          <w:sz w:val="32"/>
          <w:u w:val="none" w:color="auto"/>
        </w:rPr>
        <w:t>结论与建议</w:t>
      </w:r>
      <w:bookmarkEnd w:id="13"/>
    </w:p>
    <w:tbl>
      <w:tblPr>
        <w:tblStyle w:val="39"/>
        <w:tblW w:w="9356"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85" w:type="dxa"/>
          <w:bottom w:w="0" w:type="dxa"/>
          <w:right w:w="85" w:type="dxa"/>
        </w:tblCellMar>
      </w:tblPr>
      <w:tblGrid>
        <w:gridCol w:w="935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85" w:type="dxa"/>
            <w:bottom w:w="0" w:type="dxa"/>
            <w:right w:w="85" w:type="dxa"/>
          </w:tblCellMar>
        </w:tblPrEx>
        <w:trPr>
          <w:trHeight w:val="13397" w:hRule="atLeast"/>
          <w:jc w:val="center"/>
        </w:trPr>
        <w:tc>
          <w:tcPr>
            <w:tcW w:w="9356" w:type="dxa"/>
          </w:tcPr>
          <w:p>
            <w:pPr>
              <w:snapToGrid w:val="0"/>
              <w:spacing w:line="360" w:lineRule="auto"/>
              <w:rPr>
                <w:b/>
                <w:color w:val="auto"/>
                <w:sz w:val="24"/>
                <w:szCs w:val="24"/>
                <w:u w:val="none" w:color="auto"/>
              </w:rPr>
            </w:pPr>
            <w:r>
              <w:rPr>
                <w:b/>
                <w:color w:val="auto"/>
                <w:sz w:val="24"/>
                <w:szCs w:val="24"/>
                <w:u w:val="none" w:color="auto"/>
              </w:rPr>
              <w:t>一. 结论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1、项目概况</w:t>
            </w:r>
          </w:p>
          <w:p>
            <w:pPr>
              <w:adjustRightInd w:val="0"/>
              <w:snapToGrid w:val="0"/>
              <w:spacing w:line="360" w:lineRule="auto"/>
              <w:ind w:firstLine="462" w:firstLineChars="200"/>
              <w:rPr>
                <w:color w:val="auto"/>
                <w:sz w:val="24"/>
                <w:szCs w:val="24"/>
                <w:u w:val="none" w:color="auto"/>
              </w:rPr>
            </w:pPr>
            <w:r>
              <w:rPr>
                <w:rFonts w:hint="eastAsia"/>
                <w:color w:val="auto"/>
                <w:sz w:val="24"/>
                <w:szCs w:val="24"/>
                <w:u w:val="none" w:color="auto"/>
                <w:lang w:eastAsia="zh-CN"/>
              </w:rPr>
              <w:t>湖南金诺动力设备制造有限公司年产5000件消防设备及器材建设项目</w:t>
            </w:r>
            <w:r>
              <w:rPr>
                <w:rFonts w:hint="eastAsia"/>
                <w:color w:val="auto"/>
                <w:sz w:val="24"/>
                <w:szCs w:val="24"/>
                <w:u w:val="none" w:color="auto"/>
              </w:rPr>
              <w:t>选</w:t>
            </w:r>
            <w:r>
              <w:rPr>
                <w:rFonts w:hint="eastAsia"/>
                <w:color w:val="auto"/>
                <w:sz w:val="24"/>
                <w:szCs w:val="24"/>
                <w:u w:val="none" w:color="auto"/>
                <w:lang w:eastAsia="zh-CN"/>
              </w:rPr>
              <w:t>址湘阴县金龙新区安嘉路西侧，文襄路南侧地块，总投资</w:t>
            </w:r>
            <w:r>
              <w:rPr>
                <w:rFonts w:hint="eastAsia"/>
                <w:color w:val="auto"/>
                <w:sz w:val="24"/>
                <w:szCs w:val="24"/>
                <w:u w:val="none" w:color="auto"/>
                <w:lang w:val="en-US" w:eastAsia="zh-CN"/>
              </w:rPr>
              <w:t>12736.49万元</w:t>
            </w:r>
            <w:r>
              <w:rPr>
                <w:rFonts w:hint="eastAsia"/>
                <w:color w:val="auto"/>
                <w:sz w:val="24"/>
                <w:szCs w:val="24"/>
                <w:u w:val="none" w:color="auto"/>
                <w:lang w:eastAsia="zh-CN"/>
              </w:rPr>
              <w:t>（环保投资为</w:t>
            </w:r>
            <w:r>
              <w:rPr>
                <w:rFonts w:hint="eastAsia"/>
                <w:color w:val="auto"/>
                <w:sz w:val="24"/>
                <w:szCs w:val="24"/>
                <w:u w:val="none" w:color="auto"/>
                <w:lang w:val="en-US" w:eastAsia="zh-CN"/>
              </w:rPr>
              <w:t>130</w:t>
            </w:r>
            <w:r>
              <w:rPr>
                <w:rFonts w:hint="eastAsia"/>
                <w:color w:val="auto"/>
                <w:sz w:val="24"/>
                <w:szCs w:val="24"/>
                <w:u w:val="none" w:color="auto"/>
                <w:lang w:eastAsia="zh-CN"/>
              </w:rPr>
              <w:t>万元），总占地面积</w:t>
            </w:r>
            <w:r>
              <w:rPr>
                <w:rFonts w:hint="eastAsia"/>
                <w:color w:val="auto"/>
                <w:sz w:val="24"/>
                <w:szCs w:val="24"/>
                <w:u w:val="none" w:color="auto"/>
                <w:lang w:val="en-US" w:eastAsia="zh-CN"/>
              </w:rPr>
              <w:t>72559.62</w:t>
            </w:r>
            <w:r>
              <w:rPr>
                <w:rFonts w:hint="eastAsia"/>
                <w:color w:val="auto"/>
                <w:sz w:val="24"/>
                <w:szCs w:val="24"/>
                <w:u w:val="none" w:color="auto"/>
                <w:lang w:eastAsia="zh-CN"/>
              </w:rPr>
              <w:t>平方米</w:t>
            </w:r>
            <w:r>
              <w:rPr>
                <w:rFonts w:hint="eastAsia" w:ascii="Times New Roman" w:hAnsi="Times New Roman" w:eastAsia="宋体" w:cs="Times New Roman"/>
                <w:color w:val="auto"/>
                <w:sz w:val="24"/>
                <w:szCs w:val="24"/>
                <w:u w:val="none" w:color="auto"/>
                <w:lang w:eastAsia="zh-CN"/>
              </w:rPr>
              <w:t>，项目建成投</w:t>
            </w:r>
            <w:r>
              <w:rPr>
                <w:rFonts w:hint="eastAsia"/>
                <w:color w:val="auto"/>
                <w:sz w:val="24"/>
                <w:szCs w:val="24"/>
                <w:u w:val="none" w:color="auto"/>
              </w:rPr>
              <w:t>产后</w:t>
            </w:r>
            <w:r>
              <w:rPr>
                <w:rFonts w:hint="eastAsia"/>
                <w:color w:val="auto"/>
                <w:sz w:val="24"/>
                <w:szCs w:val="24"/>
                <w:u w:val="none" w:color="auto"/>
                <w:lang w:eastAsia="zh-CN"/>
              </w:rPr>
              <w:t>产5000件消防设备及器材</w:t>
            </w:r>
            <w:r>
              <w:rPr>
                <w:rFonts w:hint="eastAsia" w:hAnsi="宋体"/>
                <w:color w:val="auto"/>
                <w:sz w:val="24"/>
                <w:szCs w:val="24"/>
                <w:u w:val="none" w:color="auto"/>
              </w:rPr>
              <w:t>。</w:t>
            </w:r>
          </w:p>
          <w:p>
            <w:pPr>
              <w:adjustRightInd w:val="0"/>
              <w:snapToGrid w:val="0"/>
              <w:spacing w:line="360" w:lineRule="auto"/>
              <w:ind w:firstLine="462" w:firstLineChars="200"/>
              <w:rPr>
                <w:color w:val="auto"/>
                <w:sz w:val="24"/>
                <w:u w:val="none" w:color="auto"/>
              </w:rPr>
            </w:pPr>
            <w:r>
              <w:rPr>
                <w:b/>
                <w:bCs/>
                <w:color w:val="auto"/>
                <w:sz w:val="24"/>
                <w:szCs w:val="24"/>
                <w:u w:val="none" w:color="auto"/>
              </w:rPr>
              <w:t>2</w:t>
            </w:r>
            <w:r>
              <w:rPr>
                <w:b/>
                <w:color w:val="auto"/>
                <w:sz w:val="24"/>
                <w:u w:val="none" w:color="auto"/>
              </w:rPr>
              <w:t>、区域环境质量结论</w:t>
            </w:r>
          </w:p>
          <w:p>
            <w:pPr>
              <w:snapToGrid w:val="0"/>
              <w:spacing w:line="360" w:lineRule="auto"/>
              <w:ind w:firstLine="453" w:firstLineChars="196"/>
              <w:rPr>
                <w:rFonts w:hAnsi="宋体"/>
                <w:color w:val="auto"/>
                <w:sz w:val="24"/>
                <w:szCs w:val="24"/>
                <w:u w:val="none" w:color="auto"/>
              </w:rPr>
            </w:pPr>
            <w:r>
              <w:rPr>
                <w:rFonts w:hAnsi="宋体"/>
                <w:color w:val="auto"/>
                <w:sz w:val="24"/>
                <w:szCs w:val="24"/>
                <w:u w:val="none" w:color="auto"/>
              </w:rPr>
              <w:t>本项目所在地区域环境质量现状调查结果表明：</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eastAsia"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大气</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为了解建设项目所在区域的大气环境状况，本环评引用</w:t>
            </w:r>
            <w:r>
              <w:rPr>
                <w:rFonts w:hint="eastAsia" w:ascii="Times New Roman" w:hAnsi="Times New Roman" w:eastAsia="宋体" w:cs="Times New Roman"/>
                <w:iCs w:val="0"/>
                <w:color w:val="auto"/>
                <w:kern w:val="2"/>
                <w:sz w:val="24"/>
                <w:szCs w:val="24"/>
                <w:u w:val="none" w:color="auto"/>
                <w:lang w:val="en-US" w:eastAsia="zh-CN" w:bidi="ar-SA"/>
              </w:rPr>
              <w:t>湘阴县</w:t>
            </w:r>
            <w:r>
              <w:rPr>
                <w:rFonts w:hint="default" w:ascii="Times New Roman" w:hAnsi="Times New Roman" w:eastAsia="宋体" w:cs="Times New Roman"/>
                <w:iCs w:val="0"/>
                <w:color w:val="auto"/>
                <w:kern w:val="2"/>
                <w:sz w:val="24"/>
                <w:szCs w:val="24"/>
                <w:u w:val="none" w:color="auto"/>
                <w:lang w:val="en-US" w:eastAsia="zh-CN" w:bidi="ar-SA"/>
              </w:rPr>
              <w:t>环境保护监测站2018年常规监测点对区域环境空气质量现状进行评价，监测因子为 NO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、SO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、PM</w:t>
            </w:r>
            <w:r>
              <w:rPr>
                <w:rFonts w:hint="default" w:ascii="Times New Roman" w:hAnsi="Times New Roman" w:eastAsia="宋体" w:cs="Times New Roman"/>
                <w:iCs w:val="0"/>
                <w:color w:val="auto"/>
                <w:kern w:val="2"/>
                <w:sz w:val="24"/>
                <w:szCs w:val="24"/>
                <w:u w:val="none" w:color="auto"/>
                <w:vertAlign w:val="subscript"/>
                <w:lang w:val="en-US" w:eastAsia="zh-CN" w:bidi="ar-SA"/>
              </w:rPr>
              <w:t>10</w:t>
            </w:r>
            <w:r>
              <w:rPr>
                <w:rFonts w:hint="default" w:ascii="Times New Roman" w:hAnsi="Times New Roman" w:eastAsia="宋体" w:cs="Times New Roman"/>
                <w:iCs w:val="0"/>
                <w:color w:val="auto"/>
                <w:kern w:val="2"/>
                <w:sz w:val="24"/>
                <w:szCs w:val="24"/>
                <w:u w:val="none" w:color="auto"/>
                <w:lang w:val="en-US" w:eastAsia="zh-CN" w:bidi="ar-SA"/>
              </w:rPr>
              <w:t>、PM</w:t>
            </w:r>
            <w:r>
              <w:rPr>
                <w:rFonts w:hint="default" w:ascii="Times New Roman" w:hAnsi="Times New Roman" w:eastAsia="宋体" w:cs="Times New Roman"/>
                <w:iCs w:val="0"/>
                <w:color w:val="auto"/>
                <w:kern w:val="2"/>
                <w:sz w:val="24"/>
                <w:szCs w:val="24"/>
                <w:u w:val="none" w:color="auto"/>
                <w:vertAlign w:val="subscript"/>
                <w:lang w:val="en-US" w:eastAsia="zh-CN" w:bidi="ar-SA"/>
              </w:rPr>
              <w:t>2.5</w:t>
            </w:r>
            <w:r>
              <w:rPr>
                <w:rFonts w:hint="default" w:ascii="Times New Roman" w:hAnsi="Times New Roman" w:eastAsia="宋体" w:cs="Times New Roman"/>
                <w:iCs w:val="0"/>
                <w:color w:val="auto"/>
                <w:kern w:val="2"/>
                <w:sz w:val="24"/>
                <w:szCs w:val="24"/>
                <w:u w:val="none" w:color="auto"/>
                <w:lang w:val="en-US" w:eastAsia="zh-CN" w:bidi="ar-SA"/>
              </w:rPr>
              <w:t>、CO、O</w:t>
            </w:r>
            <w:r>
              <w:rPr>
                <w:rFonts w:hint="default" w:ascii="Times New Roman" w:hAnsi="Times New Roman" w:eastAsia="宋体" w:cs="Times New Roman"/>
                <w:iCs w:val="0"/>
                <w:color w:val="auto"/>
                <w:kern w:val="2"/>
                <w:sz w:val="24"/>
                <w:szCs w:val="24"/>
                <w:u w:val="none" w:color="auto"/>
                <w:vertAlign w:val="subscript"/>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，监测结果显示项目 SO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、NO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、CO、PM</w:t>
            </w:r>
            <w:r>
              <w:rPr>
                <w:rFonts w:hint="default" w:ascii="Times New Roman" w:hAnsi="Times New Roman" w:eastAsia="宋体" w:cs="Times New Roman"/>
                <w:iCs w:val="0"/>
                <w:color w:val="auto"/>
                <w:kern w:val="2"/>
                <w:sz w:val="24"/>
                <w:szCs w:val="24"/>
                <w:u w:val="none" w:color="auto"/>
                <w:vertAlign w:val="subscript"/>
                <w:lang w:val="en-US" w:eastAsia="zh-CN" w:bidi="ar-SA"/>
              </w:rPr>
              <w:t>10</w:t>
            </w:r>
            <w:r>
              <w:rPr>
                <w:rFonts w:hint="default" w:ascii="Times New Roman" w:hAnsi="Times New Roman" w:eastAsia="宋体" w:cs="Times New Roman"/>
                <w:iCs w:val="0"/>
                <w:color w:val="auto"/>
                <w:kern w:val="2"/>
                <w:sz w:val="24"/>
                <w:szCs w:val="24"/>
                <w:u w:val="none" w:color="auto"/>
                <w:lang w:val="en-US" w:eastAsia="zh-CN" w:bidi="ar-SA"/>
              </w:rPr>
              <w:t xml:space="preserve"> 、O</w:t>
            </w:r>
            <w:r>
              <w:rPr>
                <w:rFonts w:hint="default" w:ascii="Times New Roman" w:hAnsi="Times New Roman" w:eastAsia="宋体" w:cs="Times New Roman"/>
                <w:iCs w:val="0"/>
                <w:color w:val="auto"/>
                <w:kern w:val="2"/>
                <w:sz w:val="24"/>
                <w:szCs w:val="24"/>
                <w:u w:val="none" w:color="auto"/>
                <w:vertAlign w:val="subscript"/>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环境质量达标，PM</w:t>
            </w:r>
            <w:r>
              <w:rPr>
                <w:rFonts w:hint="default" w:ascii="Times New Roman" w:hAnsi="Times New Roman" w:eastAsia="宋体" w:cs="Times New Roman"/>
                <w:iCs w:val="0"/>
                <w:color w:val="auto"/>
                <w:kern w:val="2"/>
                <w:sz w:val="24"/>
                <w:szCs w:val="24"/>
                <w:u w:val="none" w:color="auto"/>
                <w:vertAlign w:val="subscript"/>
                <w:lang w:val="en-US" w:eastAsia="zh-CN" w:bidi="ar-SA"/>
              </w:rPr>
              <w:t>2.5</w:t>
            </w:r>
            <w:r>
              <w:rPr>
                <w:rFonts w:hint="default" w:ascii="Times New Roman" w:hAnsi="Times New Roman" w:eastAsia="宋体" w:cs="Times New Roman"/>
                <w:iCs w:val="0"/>
                <w:color w:val="auto"/>
                <w:kern w:val="2"/>
                <w:sz w:val="24"/>
                <w:szCs w:val="24"/>
                <w:u w:val="none" w:color="auto"/>
                <w:lang w:val="en-US" w:eastAsia="zh-CN" w:bidi="ar-SA"/>
              </w:rPr>
              <w:t xml:space="preserve"> 不达标，因此区域为不达标区</w:t>
            </w:r>
            <w:r>
              <w:rPr>
                <w:rFonts w:hint="default" w:ascii="Times New Roman" w:hAnsi="Times New Roman" w:cs="Times New Roman"/>
                <w:iCs w:val="0"/>
                <w:color w:val="auto"/>
                <w:kern w:val="2"/>
                <w:sz w:val="24"/>
                <w:szCs w:val="24"/>
                <w:u w:val="none" w:color="auto"/>
                <w:lang w:val="en-US" w:eastAsia="zh-CN" w:bidi="ar-SA"/>
              </w:rPr>
              <w:t>，通过</w:t>
            </w:r>
            <w:r>
              <w:rPr>
                <w:rFonts w:hint="eastAsia" w:ascii="Times New Roman" w:hAnsi="Times New Roman" w:cs="Times New Roman"/>
                <w:iCs w:val="0"/>
                <w:color w:val="auto"/>
                <w:kern w:val="2"/>
                <w:sz w:val="24"/>
                <w:szCs w:val="24"/>
                <w:u w:val="none" w:color="auto"/>
                <w:lang w:val="en-US" w:eastAsia="zh-CN" w:bidi="ar-SA"/>
              </w:rPr>
              <w:t>一系列的调整</w:t>
            </w:r>
            <w:r>
              <w:rPr>
                <w:rFonts w:hint="default" w:ascii="Times New Roman" w:hAnsi="Times New Roman" w:cs="Times New Roman"/>
                <w:iCs w:val="0"/>
                <w:color w:val="auto"/>
                <w:kern w:val="2"/>
                <w:sz w:val="24"/>
                <w:szCs w:val="24"/>
                <w:u w:val="none" w:color="auto"/>
                <w:lang w:val="en-US" w:eastAsia="zh-CN" w:bidi="ar-SA"/>
              </w:rPr>
              <w:t>可改善所在区域的环境问题</w:t>
            </w:r>
            <w:r>
              <w:rPr>
                <w:rFonts w:hint="eastAsia" w:cs="Times New Roman"/>
                <w:iCs w:val="0"/>
                <w:color w:val="auto"/>
                <w:kern w:val="2"/>
                <w:sz w:val="24"/>
                <w:szCs w:val="24"/>
                <w:u w:val="none" w:color="auto"/>
                <w:lang w:val="en-US" w:eastAsia="zh-CN" w:bidi="ar-SA"/>
              </w:rPr>
              <w:t>。</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eastAsia" w:ascii="Times New Roman" w:hAnsi="Times New Roman" w:cs="Times New Roman"/>
                <w:color w:val="auto"/>
                <w:sz w:val="24"/>
                <w:szCs w:val="24"/>
                <w:u w:val="none" w:color="auto"/>
                <w:lang w:eastAsia="zh-CN"/>
              </w:rPr>
              <w:t>项目所在区域中</w:t>
            </w:r>
            <w:r>
              <w:rPr>
                <w:rFonts w:hint="default" w:ascii="Times New Roman" w:hAnsi="Times New Roman" w:cs="Times New Roman"/>
                <w:color w:val="auto"/>
                <w:sz w:val="24"/>
                <w:szCs w:val="24"/>
                <w:u w:val="none" w:color="auto"/>
              </w:rPr>
              <w:t>TVOC均符合《环境影响评价技术导则（HJ2.3-2018）》（大气环境附录D)中标准要求</w:t>
            </w:r>
            <w:r>
              <w:rPr>
                <w:rFonts w:hint="default" w:ascii="Times New Roman" w:hAnsi="Times New Roman" w:eastAsia="宋体" w:cs="Times New Roman"/>
                <w:iCs w:val="0"/>
                <w:color w:val="auto"/>
                <w:kern w:val="2"/>
                <w:sz w:val="24"/>
                <w:szCs w:val="24"/>
                <w:u w:val="none" w:color="auto"/>
                <w:lang w:val="en-US" w:eastAsia="zh-CN" w:bidi="ar-SA"/>
              </w:rPr>
              <w:t xml:space="preserve">。 </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地表水</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本次评价引用</w:t>
            </w:r>
            <w:r>
              <w:rPr>
                <w:rFonts w:hint="eastAsia" w:ascii="Times New Roman" w:hAnsi="Times New Roman" w:eastAsia="宋体" w:cs="Times New Roman"/>
                <w:iCs w:val="0"/>
                <w:color w:val="auto"/>
                <w:kern w:val="2"/>
                <w:sz w:val="24"/>
                <w:szCs w:val="24"/>
                <w:u w:val="none" w:color="auto"/>
                <w:lang w:val="en-US" w:eastAsia="zh-CN" w:bidi="ar-SA"/>
              </w:rPr>
              <w:t>湘阴县监测站对</w:t>
            </w:r>
            <w:r>
              <w:rPr>
                <w:rFonts w:hint="eastAsia" w:hAnsi="宋体"/>
                <w:bCs/>
                <w:color w:val="auto"/>
                <w:sz w:val="24"/>
                <w:u w:val="none" w:color="auto"/>
                <w:lang w:eastAsia="zh-CN"/>
              </w:rPr>
              <w:t>洋沙湖断面进行监测</w:t>
            </w:r>
            <w:r>
              <w:rPr>
                <w:rFonts w:hAnsi="宋体"/>
                <w:bCs/>
                <w:color w:val="auto"/>
                <w:sz w:val="24"/>
                <w:u w:val="none" w:color="auto"/>
              </w:rPr>
              <w:t>，</w:t>
            </w:r>
            <w:r>
              <w:rPr>
                <w:rFonts w:hint="eastAsia" w:hAnsi="宋体"/>
                <w:bCs/>
                <w:color w:val="auto"/>
                <w:sz w:val="24"/>
                <w:u w:val="none" w:color="auto"/>
                <w:lang w:eastAsia="zh-CN"/>
              </w:rPr>
              <w:t>监测结果可知，</w:t>
            </w:r>
            <w:r>
              <w:rPr>
                <w:rFonts w:hAnsi="宋体"/>
                <w:bCs/>
                <w:color w:val="auto"/>
                <w:sz w:val="24"/>
                <w:u w:val="none" w:color="auto"/>
              </w:rPr>
              <w:t>各项指标均达到《地表水环境质量标准》（</w:t>
            </w:r>
            <w:r>
              <w:rPr>
                <w:bCs/>
                <w:color w:val="auto"/>
                <w:sz w:val="24"/>
                <w:u w:val="none" w:color="auto"/>
              </w:rPr>
              <w:t>GB3838-2002</w:t>
            </w:r>
            <w:r>
              <w:rPr>
                <w:rFonts w:hAnsi="宋体"/>
                <w:bCs/>
                <w:color w:val="auto"/>
                <w:sz w:val="24"/>
                <w:u w:val="none" w:color="auto"/>
              </w:rPr>
              <w:t>）中</w:t>
            </w:r>
            <w:r>
              <w:rPr>
                <w:rFonts w:ascii="宋体" w:hAnsi="宋体"/>
                <w:bCs/>
                <w:color w:val="auto"/>
                <w:sz w:val="24"/>
                <w:u w:val="none" w:color="auto"/>
              </w:rPr>
              <w:t>Ⅲ</w:t>
            </w:r>
            <w:r>
              <w:rPr>
                <w:rFonts w:hAnsi="宋体"/>
                <w:bCs/>
                <w:color w:val="auto"/>
                <w:sz w:val="24"/>
                <w:u w:val="none" w:color="auto"/>
              </w:rPr>
              <w:t>类标准</w:t>
            </w:r>
            <w:r>
              <w:rPr>
                <w:rFonts w:hint="default" w:ascii="Times New Roman" w:hAnsi="Times New Roman" w:eastAsia="宋体" w:cs="Times New Roman"/>
                <w:iCs w:val="0"/>
                <w:color w:val="auto"/>
                <w:kern w:val="2"/>
                <w:sz w:val="24"/>
                <w:szCs w:val="24"/>
                <w:u w:val="none" w:color="auto"/>
                <w:lang w:val="en-US" w:eastAsia="zh-CN" w:bidi="ar-SA"/>
              </w:rPr>
              <w:t>。</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jc w:val="both"/>
              <w:textAlignment w:val="auto"/>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iCs w:val="0"/>
                <w:color w:val="auto"/>
                <w:kern w:val="2"/>
                <w:sz w:val="24"/>
                <w:szCs w:val="24"/>
                <w:u w:val="none" w:color="auto"/>
                <w:lang w:val="en-US" w:eastAsia="zh-CN" w:bidi="ar-SA"/>
              </w:rPr>
              <w:t>声环境</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本项目声环境质量现状监测委托湖南</w:t>
            </w:r>
            <w:r>
              <w:rPr>
                <w:rFonts w:hint="default" w:ascii="Times New Roman" w:hAnsi="Times New Roman" w:cs="Times New Roman"/>
                <w:iCs w:val="0"/>
                <w:color w:val="auto"/>
                <w:kern w:val="2"/>
                <w:sz w:val="24"/>
                <w:szCs w:val="24"/>
                <w:u w:val="none" w:color="auto"/>
                <w:lang w:val="en-US" w:eastAsia="zh-CN" w:bidi="ar-SA"/>
              </w:rPr>
              <w:t>精准通检测技术</w:t>
            </w:r>
            <w:r>
              <w:rPr>
                <w:rFonts w:hint="default" w:ascii="Times New Roman" w:hAnsi="Times New Roman" w:eastAsia="宋体" w:cs="Times New Roman"/>
                <w:iCs w:val="0"/>
                <w:color w:val="auto"/>
                <w:kern w:val="2"/>
                <w:sz w:val="24"/>
                <w:szCs w:val="24"/>
                <w:u w:val="none" w:color="auto"/>
                <w:lang w:val="en-US" w:eastAsia="zh-CN" w:bidi="ar-SA"/>
              </w:rPr>
              <w:t>有限公司于201</w:t>
            </w:r>
            <w:r>
              <w:rPr>
                <w:rFonts w:hint="default" w:ascii="Times New Roman" w:hAnsi="Times New Roman" w:cs="Times New Roman"/>
                <w:iCs w:val="0"/>
                <w:color w:val="auto"/>
                <w:kern w:val="2"/>
                <w:sz w:val="24"/>
                <w:szCs w:val="24"/>
                <w:u w:val="none" w:color="auto"/>
                <w:lang w:val="en-US" w:eastAsia="zh-CN" w:bidi="ar-SA"/>
              </w:rPr>
              <w:t>9</w:t>
            </w:r>
            <w:r>
              <w:rPr>
                <w:rFonts w:hint="default" w:ascii="Times New Roman" w:hAnsi="Times New Roman" w:eastAsia="宋体" w:cs="Times New Roman"/>
                <w:iCs w:val="0"/>
                <w:color w:val="auto"/>
                <w:kern w:val="2"/>
                <w:sz w:val="24"/>
                <w:szCs w:val="24"/>
                <w:u w:val="none" w:color="auto"/>
                <w:lang w:val="en-US" w:eastAsia="zh-CN" w:bidi="ar-SA"/>
              </w:rPr>
              <w:t>年</w:t>
            </w:r>
            <w:r>
              <w:rPr>
                <w:rFonts w:hint="eastAsia" w:cs="Times New Roman"/>
                <w:iCs w:val="0"/>
                <w:color w:val="auto"/>
                <w:kern w:val="2"/>
                <w:sz w:val="24"/>
                <w:szCs w:val="24"/>
                <w:u w:val="none" w:color="auto"/>
                <w:lang w:val="en-US" w:eastAsia="zh-CN" w:bidi="ar-SA"/>
              </w:rPr>
              <w:t>8</w:t>
            </w:r>
            <w:r>
              <w:rPr>
                <w:rFonts w:hint="default" w:ascii="Times New Roman" w:hAnsi="Times New Roman" w:eastAsia="宋体" w:cs="Times New Roman"/>
                <w:iCs w:val="0"/>
                <w:color w:val="auto"/>
                <w:kern w:val="2"/>
                <w:sz w:val="24"/>
                <w:szCs w:val="24"/>
                <w:u w:val="none" w:color="auto"/>
                <w:lang w:val="en-US" w:eastAsia="zh-CN" w:bidi="ar-SA"/>
              </w:rPr>
              <w:t>月</w:t>
            </w:r>
            <w:r>
              <w:rPr>
                <w:rFonts w:hint="eastAsia" w:cs="Times New Roman"/>
                <w:iCs w:val="0"/>
                <w:color w:val="auto"/>
                <w:kern w:val="2"/>
                <w:sz w:val="24"/>
                <w:szCs w:val="24"/>
                <w:u w:val="none" w:color="auto"/>
                <w:lang w:val="en-US" w:eastAsia="zh-CN" w:bidi="ar-SA"/>
              </w:rPr>
              <w:t>12-13</w:t>
            </w:r>
            <w:r>
              <w:rPr>
                <w:rFonts w:hint="default" w:ascii="Times New Roman" w:hAnsi="Times New Roman" w:eastAsia="宋体" w:cs="Times New Roman"/>
                <w:iCs w:val="0"/>
                <w:color w:val="auto"/>
                <w:kern w:val="2"/>
                <w:sz w:val="24"/>
                <w:szCs w:val="24"/>
                <w:u w:val="none" w:color="auto"/>
                <w:lang w:val="en-US" w:eastAsia="zh-CN" w:bidi="ar-SA"/>
              </w:rPr>
              <w:t>日对项目 N1 项目建设地厂界东侧、N2 项目建设地厂界南侧、N3 项目建设地厂界西侧、N4 项目建设地厂界北侧进行了为期 2 天的声环境现状监测，共设置 4 个监测点，监测结果表示</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 xml:space="preserve">这 4 个监测点可满足《声环境质量标准》(GB3096-2008) </w:t>
            </w:r>
            <w:r>
              <w:rPr>
                <w:rFonts w:hint="eastAsia" w:cs="Times New Roman"/>
                <w:iCs w:val="0"/>
                <w:color w:val="auto"/>
                <w:kern w:val="2"/>
                <w:sz w:val="24"/>
                <w:szCs w:val="24"/>
                <w:u w:val="none" w:color="auto"/>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类标准要求，项目所在区域声环境质量良好</w:t>
            </w:r>
            <w:r>
              <w:rPr>
                <w:rFonts w:hint="eastAsia"/>
                <w:color w:val="auto"/>
                <w:sz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default" w:ascii="Times New Roman" w:hAnsi="Times New Roman" w:cs="Times New Roman"/>
                <w:color w:val="auto"/>
                <w:sz w:val="24"/>
                <w:u w:val="none" w:color="auto"/>
              </w:rPr>
              <w:t>总体表明，本项目所在地及周边区域大气、地表水</w:t>
            </w:r>
            <w:r>
              <w:rPr>
                <w:rFonts w:hint="eastAsia" w:cs="Times New Roman"/>
                <w:color w:val="auto"/>
                <w:sz w:val="24"/>
                <w:u w:val="none" w:color="auto"/>
                <w:lang w:eastAsia="zh-CN"/>
              </w:rPr>
              <w:t>、</w:t>
            </w:r>
            <w:r>
              <w:rPr>
                <w:rFonts w:hint="default" w:ascii="Times New Roman" w:hAnsi="Times New Roman" w:cs="Times New Roman"/>
                <w:color w:val="auto"/>
                <w:sz w:val="24"/>
                <w:u w:val="none" w:color="auto"/>
              </w:rPr>
              <w:t>声环境现状较好</w:t>
            </w:r>
            <w:r>
              <w:rPr>
                <w:rFonts w:hint="eastAsia" w:hAnsi="宋体"/>
                <w:color w:val="auto"/>
                <w:sz w:val="24"/>
                <w:szCs w:val="24"/>
                <w:u w:val="none" w:color="auto"/>
              </w:rPr>
              <w:t>。</w:t>
            </w:r>
          </w:p>
          <w:p>
            <w:pPr>
              <w:snapToGrid w:val="0"/>
              <w:spacing w:line="360" w:lineRule="auto"/>
              <w:ind w:firstLine="394" w:firstLineChars="196"/>
              <w:rPr>
                <w:b/>
                <w:bCs/>
                <w:color w:val="auto"/>
                <w:sz w:val="24"/>
                <w:u w:val="none" w:color="auto"/>
              </w:rPr>
            </w:pPr>
            <w:r>
              <w:rPr>
                <w:b/>
                <w:color w:val="auto"/>
                <w:u w:val="none" w:color="auto"/>
              </w:rPr>
              <w:t>3、</w:t>
            </w:r>
            <w:r>
              <w:rPr>
                <w:rFonts w:hint="eastAsia"/>
                <w:b/>
                <w:bCs/>
                <w:color w:val="auto"/>
                <w:sz w:val="24"/>
                <w:u w:val="none" w:color="auto"/>
              </w:rPr>
              <w:t>环境影响分析结论</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（1）水环境</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本项目排水实行“雨污分流”制。</w:t>
            </w:r>
            <w:r>
              <w:rPr>
                <w:rFonts w:hint="eastAsia" w:hAnsi="宋体"/>
                <w:color w:val="auto"/>
                <w:sz w:val="24"/>
                <w:u w:val="none" w:color="auto"/>
              </w:rPr>
              <w:t>营运期废水为生活污水，</w:t>
            </w:r>
            <w:r>
              <w:rPr>
                <w:sz w:val="24"/>
                <w:szCs w:val="24"/>
                <w:u w:val="none" w:color="auto"/>
              </w:rPr>
              <w:t>在金龙新区工业区污水管网接入湘阴县第三污水处理厂之前，项目污水通过化粪池处理后排入园区污水管网再进入金龙新区人工湿地处理</w:t>
            </w:r>
            <w:r>
              <w:rPr>
                <w:rFonts w:hAnsi="宋体"/>
                <w:sz w:val="24"/>
                <w:szCs w:val="24"/>
                <w:u w:val="none" w:color="auto"/>
              </w:rPr>
              <w:t>达《污水综合排放标准》（</w:t>
            </w:r>
            <w:r>
              <w:rPr>
                <w:sz w:val="24"/>
                <w:szCs w:val="24"/>
                <w:u w:val="none" w:color="auto"/>
              </w:rPr>
              <w:t>GB 8978-1996</w:t>
            </w:r>
            <w:r>
              <w:rPr>
                <w:rFonts w:hAnsi="宋体"/>
                <w:sz w:val="24"/>
                <w:szCs w:val="24"/>
                <w:u w:val="none" w:color="auto"/>
              </w:rPr>
              <w:t>）表</w:t>
            </w:r>
            <w:r>
              <w:rPr>
                <w:sz w:val="24"/>
                <w:szCs w:val="24"/>
                <w:u w:val="none" w:color="auto"/>
              </w:rPr>
              <w:t>4</w:t>
            </w:r>
            <w:r>
              <w:rPr>
                <w:rFonts w:hAnsi="宋体"/>
                <w:sz w:val="24"/>
                <w:szCs w:val="24"/>
                <w:u w:val="none" w:color="auto"/>
              </w:rPr>
              <w:t>中一级标准</w:t>
            </w:r>
            <w:r>
              <w:rPr>
                <w:sz w:val="24"/>
                <w:szCs w:val="24"/>
                <w:u w:val="none" w:color="auto"/>
              </w:rPr>
              <w:t>后经</w:t>
            </w:r>
            <w:r>
              <w:rPr>
                <w:rFonts w:hint="eastAsia"/>
                <w:sz w:val="24"/>
                <w:szCs w:val="24"/>
                <w:u w:val="none" w:color="auto"/>
                <w:lang w:eastAsia="zh-CN"/>
              </w:rPr>
              <w:t>洋沙河</w:t>
            </w:r>
            <w:r>
              <w:rPr>
                <w:sz w:val="24"/>
                <w:szCs w:val="24"/>
                <w:u w:val="none" w:color="auto"/>
              </w:rPr>
              <w:t>汇入湘江；在工业区污水管网接入湘阴县第三污水处理厂之后，项目废水经预处理达到接管标准后排入第三污水处理厂处理，处理达到《城镇污水处理厂污染物排放标准（GB18918—2002）》中一级标准的A类标准后，最终汇入湘江</w:t>
            </w:r>
            <w:r>
              <w:rPr>
                <w:rFonts w:hint="eastAsia" w:hAnsi="宋体"/>
                <w:color w:val="auto"/>
                <w:sz w:val="24"/>
                <w:u w:val="none" w:color="auto"/>
              </w:rPr>
              <w:t>。</w:t>
            </w:r>
            <w:r>
              <w:rPr>
                <w:rFonts w:hAnsi="宋体"/>
                <w:color w:val="auto"/>
                <w:sz w:val="24"/>
                <w:u w:val="none" w:color="auto"/>
              </w:rPr>
              <w:t>对区域水环境影响较小。</w:t>
            </w:r>
          </w:p>
          <w:p>
            <w:pPr>
              <w:pStyle w:val="4"/>
              <w:spacing w:before="0" w:beforeLines="0"/>
              <w:ind w:firstLine="460"/>
              <w:rPr>
                <w:rFonts w:hAnsi="宋体"/>
                <w:color w:val="auto"/>
                <w:szCs w:val="24"/>
                <w:u w:val="none" w:color="auto"/>
              </w:rPr>
            </w:pPr>
            <w:r>
              <w:rPr>
                <w:color w:val="auto"/>
                <w:u w:val="none" w:color="auto"/>
              </w:rPr>
              <w:t>（2）</w:t>
            </w:r>
            <w:r>
              <w:rPr>
                <w:rFonts w:hint="eastAsia" w:hAnsi="宋体"/>
                <w:color w:val="auto"/>
                <w:szCs w:val="24"/>
                <w:u w:val="none" w:color="auto"/>
              </w:rPr>
              <w:t>大气环境</w:t>
            </w:r>
          </w:p>
          <w:p>
            <w:pPr>
              <w:snapToGrid w:val="0"/>
              <w:spacing w:line="360" w:lineRule="auto"/>
              <w:ind w:firstLine="453" w:firstLineChars="196"/>
              <w:rPr>
                <w:rFonts w:hint="eastAsia" w:eastAsia="宋体"/>
                <w:b/>
                <w:color w:val="auto"/>
                <w:sz w:val="24"/>
                <w:u w:val="none" w:color="auto"/>
                <w:lang w:eastAsia="zh-CN"/>
              </w:rPr>
            </w:pPr>
            <w:r>
              <w:rPr>
                <w:rFonts w:hint="eastAsia"/>
                <w:bCs/>
                <w:color w:val="auto"/>
                <w:sz w:val="24"/>
                <w:szCs w:val="24"/>
                <w:u w:val="none" w:color="auto"/>
              </w:rPr>
              <w:t>本项目运营过程中产生的废气主要有喷漆区漆雾、V</w:t>
            </w:r>
            <w:r>
              <w:rPr>
                <w:bCs/>
                <w:color w:val="auto"/>
                <w:sz w:val="24"/>
                <w:szCs w:val="24"/>
                <w:u w:val="none" w:color="auto"/>
              </w:rPr>
              <w:t>OCs</w:t>
            </w:r>
            <w:r>
              <w:rPr>
                <w:rFonts w:hint="eastAsia"/>
                <w:bCs/>
                <w:color w:val="auto"/>
                <w:sz w:val="24"/>
                <w:szCs w:val="24"/>
                <w:u w:val="none" w:color="auto"/>
                <w:lang w:eastAsia="zh-CN"/>
              </w:rPr>
              <w:t>、焊接烟尘、抛丸废气、喷塑废气、烘干固化废气、液化石油气燃烧废气、喷涂线废气、切割废气、耐高温检测废气。</w:t>
            </w:r>
          </w:p>
          <w:p>
            <w:pPr>
              <w:spacing w:line="360" w:lineRule="auto"/>
              <w:ind w:firstLine="462" w:firstLineChars="200"/>
              <w:jc w:val="left"/>
              <w:rPr>
                <w:color w:val="auto"/>
                <w:sz w:val="24"/>
                <w:szCs w:val="24"/>
                <w:u w:val="none" w:color="auto"/>
              </w:rPr>
            </w:pPr>
            <w:r>
              <w:rPr>
                <w:rFonts w:hint="eastAsia"/>
                <w:color w:val="auto"/>
                <w:sz w:val="24"/>
                <w:szCs w:val="24"/>
                <w:u w:val="none" w:color="auto"/>
              </w:rPr>
              <w:t>本</w:t>
            </w:r>
            <w:r>
              <w:rPr>
                <w:rFonts w:hint="eastAsia" w:ascii="Times New Roman" w:hAnsi="Times New Roman" w:eastAsia="宋体" w:cs="Times New Roman"/>
                <w:color w:val="auto"/>
                <w:sz w:val="24"/>
                <w:szCs w:val="24"/>
                <w:u w:val="none" w:color="auto"/>
                <w:lang w:eastAsia="zh-CN"/>
              </w:rPr>
              <w:t>项目喷漆废气、</w:t>
            </w:r>
            <w:r>
              <w:rPr>
                <w:rFonts w:hint="eastAsia" w:cs="Times New Roman"/>
                <w:color w:val="auto"/>
                <w:sz w:val="24"/>
                <w:szCs w:val="24"/>
                <w:u w:val="none" w:color="auto"/>
                <w:lang w:eastAsia="zh-CN"/>
              </w:rPr>
              <w:t>喷涂线</w:t>
            </w:r>
            <w:r>
              <w:rPr>
                <w:rFonts w:hint="eastAsia" w:ascii="Times New Roman" w:hAnsi="Times New Roman" w:eastAsia="宋体" w:cs="Times New Roman"/>
                <w:color w:val="auto"/>
                <w:sz w:val="24"/>
                <w:szCs w:val="24"/>
                <w:u w:val="none" w:color="auto"/>
                <w:lang w:eastAsia="zh-CN"/>
              </w:rPr>
              <w:t>废气经</w:t>
            </w:r>
            <w:r>
              <w:rPr>
                <w:rFonts w:hint="eastAsia" w:cs="Times New Roman"/>
                <w:color w:val="auto"/>
                <w:sz w:val="24"/>
                <w:szCs w:val="24"/>
                <w:u w:val="none" w:color="auto"/>
                <w:lang w:eastAsia="zh-CN"/>
              </w:rPr>
              <w:t>水帘</w:t>
            </w:r>
            <w:r>
              <w:rPr>
                <w:rFonts w:hint="eastAsia" w:ascii="Times New Roman" w:hAnsi="Times New Roman" w:eastAsia="宋体" w:cs="Times New Roman"/>
                <w:color w:val="auto"/>
                <w:sz w:val="24"/>
                <w:szCs w:val="24"/>
                <w:u w:val="none" w:color="auto"/>
                <w:lang w:val="en-US" w:eastAsia="zh-CN"/>
              </w:rPr>
              <w:t>+活性炭</w:t>
            </w:r>
            <w:r>
              <w:rPr>
                <w:rFonts w:hint="eastAsia" w:cs="Times New Roman"/>
                <w:color w:val="auto"/>
                <w:sz w:val="24"/>
                <w:szCs w:val="24"/>
                <w:u w:val="none" w:color="auto"/>
                <w:lang w:val="en-US" w:eastAsia="zh-CN"/>
              </w:rPr>
              <w:t>+UV光解设施</w:t>
            </w:r>
            <w:r>
              <w:rPr>
                <w:rFonts w:hint="eastAsia" w:ascii="Times New Roman" w:hAnsi="Times New Roman" w:eastAsia="宋体" w:cs="Times New Roman"/>
                <w:color w:val="auto"/>
                <w:sz w:val="24"/>
                <w:szCs w:val="24"/>
                <w:u w:val="none" w:color="auto"/>
                <w:lang w:val="en-US" w:eastAsia="zh-CN"/>
              </w:rPr>
              <w:t>处理后由15m排气筒高空排放；焊接烟尘经移动式烟尘净化器处理后无组织排放；抛丸废气经布袋除尘器处理后无组织排放；喷塑废气经自带的滤芯回收系统处理后由15m高排气筒高空排放；</w:t>
            </w:r>
            <w:r>
              <w:rPr>
                <w:rFonts w:hint="eastAsia" w:ascii="Times New Roman" w:hAnsi="Times New Roman" w:eastAsia="宋体" w:cs="Times New Roman"/>
                <w:color w:val="auto"/>
                <w:sz w:val="24"/>
                <w:szCs w:val="24"/>
                <w:u w:val="none" w:color="auto"/>
                <w:lang w:eastAsia="zh-CN"/>
              </w:rPr>
              <w:t>烘干固化废气经</w:t>
            </w:r>
            <w:r>
              <w:rPr>
                <w:rFonts w:hint="eastAsia" w:cs="Times New Roman"/>
                <w:color w:val="auto"/>
                <w:sz w:val="24"/>
                <w:szCs w:val="24"/>
                <w:u w:val="none" w:color="auto"/>
                <w:lang w:eastAsia="zh-CN"/>
              </w:rPr>
              <w:t>活性炭吸附设施</w:t>
            </w:r>
            <w:r>
              <w:rPr>
                <w:rFonts w:hint="eastAsia" w:cs="Times New Roman"/>
                <w:color w:val="auto"/>
                <w:sz w:val="24"/>
                <w:szCs w:val="24"/>
                <w:u w:val="none" w:color="auto"/>
                <w:lang w:val="en-US" w:eastAsia="zh-CN"/>
              </w:rPr>
              <w:t>+</w:t>
            </w:r>
            <w:r>
              <w:rPr>
                <w:rFonts w:hint="eastAsia" w:ascii="Times New Roman" w:hAnsi="Times New Roman" w:eastAsia="宋体" w:cs="Times New Roman"/>
                <w:color w:val="auto"/>
                <w:sz w:val="24"/>
                <w:szCs w:val="24"/>
                <w:u w:val="none" w:color="auto"/>
                <w:lang w:val="en-US" w:eastAsia="zh-CN"/>
              </w:rPr>
              <w:t>UV光解设备处理后由15m高排气筒高空排放</w:t>
            </w:r>
            <w:r>
              <w:rPr>
                <w:rFonts w:hint="eastAsia" w:cs="Times New Roman"/>
                <w:color w:val="auto"/>
                <w:sz w:val="24"/>
                <w:szCs w:val="24"/>
                <w:u w:val="none" w:color="auto"/>
                <w:lang w:val="en-US" w:eastAsia="zh-CN"/>
              </w:rPr>
              <w:t>；液化石油气燃烧废气经15m高排气筒高空排放；耐高温检测废气经15m高排气筒高空排放；激光切割废气经脉冲式除尘器处理后由15m高排气筒高空排放；等离子切割废气经脉冲式除尘器处理后由15m高排气筒高空排放；激光、等离子切割废气经脉冲式除尘器处理后由15m高排气筒高空排放</w:t>
            </w:r>
            <w:r>
              <w:rPr>
                <w:rFonts w:hint="eastAsia" w:ascii="Times New Roman" w:hAnsi="Times New Roman" w:eastAsia="宋体" w:cs="Times New Roman"/>
                <w:color w:val="auto"/>
                <w:sz w:val="24"/>
                <w:szCs w:val="24"/>
                <w:u w:val="none" w:color="auto"/>
                <w:lang w:eastAsia="zh-CN"/>
              </w:rPr>
              <w:t>。综上，本项目颗粒物能够达到</w:t>
            </w:r>
            <w:r>
              <w:rPr>
                <w:rFonts w:hint="eastAsia" w:ascii="Times New Roman" w:hAnsi="Times New Roman" w:eastAsia="宋体" w:cs="Times New Roman"/>
                <w:color w:val="auto"/>
                <w:sz w:val="24"/>
                <w:szCs w:val="24"/>
                <w:u w:val="none" w:color="auto"/>
                <w:lang w:val="zh-CN" w:eastAsia="zh-CN"/>
              </w:rPr>
              <w:t>《大气污染物综合排放标准》（GB16297-1996）</w:t>
            </w:r>
            <w:r>
              <w:rPr>
                <w:rFonts w:hint="eastAsia" w:ascii="Times New Roman" w:hAnsi="Times New Roman" w:eastAsia="宋体" w:cs="Times New Roman"/>
                <w:color w:val="auto"/>
                <w:sz w:val="24"/>
                <w:szCs w:val="24"/>
                <w:u w:val="none" w:color="auto"/>
                <w:lang w:eastAsia="zh-CN"/>
              </w:rPr>
              <w:t>中的二级标准及无组织排放浓度限值。VOCs 的排放浓度满足</w:t>
            </w:r>
            <w:r>
              <w:rPr>
                <w:rFonts w:hint="default" w:ascii="Times New Roman" w:hAnsi="Times New Roman" w:eastAsia="宋体" w:cs="Times New Roman"/>
                <w:color w:val="auto"/>
                <w:sz w:val="24"/>
                <w:szCs w:val="24"/>
                <w:u w:val="none" w:color="auto"/>
                <w:lang w:eastAsia="zh-CN"/>
              </w:rPr>
              <w:t>湖南省地方标准</w:t>
            </w:r>
            <w:r>
              <w:rPr>
                <w:rFonts w:hint="default" w:ascii="Times New Roman" w:hAnsi="Times New Roman" w:eastAsia="宋体" w:cs="Times New Roman"/>
                <w:color w:val="auto"/>
                <w:sz w:val="24"/>
                <w:szCs w:val="24"/>
                <w:u w:val="none" w:color="auto"/>
                <w:lang w:val="en-US" w:eastAsia="zh-CN"/>
              </w:rPr>
              <w:t>《表面涂装（汽车制造及维修）挥发性有机物、 镍排放标准》（DB43/1356-2017）表1中排放标准；无组织有机废气排放执行《挥发性有机物无组织排放控制标准》（GB37822-2019）中限值要求</w:t>
            </w:r>
            <w:r>
              <w:rPr>
                <w:rFonts w:hint="eastAsia" w:ascii="Times New Roman" w:hAnsi="Times New Roman" w:eastAsia="宋体" w:cs="Times New Roman"/>
                <w:color w:val="auto"/>
                <w:sz w:val="24"/>
                <w:szCs w:val="24"/>
                <w:u w:val="none" w:color="auto"/>
                <w:lang w:eastAsia="zh-CN"/>
              </w:rPr>
              <w:t>；</w:t>
            </w:r>
            <w:r>
              <w:rPr>
                <w:rFonts w:hint="eastAsia" w:eastAsia="宋体" w:cs="Times New Roman"/>
                <w:color w:val="auto"/>
                <w:kern w:val="0"/>
                <w:sz w:val="24"/>
                <w:szCs w:val="24"/>
                <w:u w:val="none" w:color="auto"/>
                <w:lang w:val="en-US" w:eastAsia="zh-CN" w:bidi="ar"/>
              </w:rPr>
              <w:t>液化石油气燃烧废气</w:t>
            </w:r>
            <w:r>
              <w:rPr>
                <w:rFonts w:hint="eastAsia" w:cs="Times New Roman"/>
                <w:color w:val="auto"/>
                <w:kern w:val="0"/>
                <w:sz w:val="24"/>
                <w:szCs w:val="24"/>
                <w:u w:val="none" w:color="auto"/>
                <w:lang w:val="en-US" w:eastAsia="zh-CN" w:bidi="ar"/>
              </w:rPr>
              <w:t>及耐高温检测废气</w:t>
            </w:r>
            <w:r>
              <w:rPr>
                <w:rFonts w:hint="eastAsia" w:eastAsia="宋体" w:cs="Times New Roman"/>
                <w:color w:val="auto"/>
                <w:kern w:val="0"/>
                <w:sz w:val="24"/>
                <w:szCs w:val="24"/>
                <w:u w:val="none" w:color="auto"/>
                <w:lang w:val="en-US" w:eastAsia="zh-CN" w:bidi="ar"/>
              </w:rPr>
              <w:t>执行</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工业炉窑大气污染物排放标准</w:t>
            </w:r>
            <w:r>
              <w:rPr>
                <w:rFonts w:hint="default" w:ascii="Times New Roman" w:hAnsi="Times New Roman" w:eastAsia="宋体" w:cs="Times New Roman"/>
                <w:color w:val="auto"/>
                <w:kern w:val="0"/>
                <w:sz w:val="24"/>
                <w:szCs w:val="24"/>
                <w:u w:val="none" w:color="auto"/>
                <w:lang w:val="en-US" w:eastAsia="zh-CN" w:bidi="ar"/>
              </w:rPr>
              <w:t>》（GB</w:t>
            </w:r>
            <w:r>
              <w:rPr>
                <w:rFonts w:hint="eastAsia" w:cs="Times New Roman"/>
                <w:color w:val="auto"/>
                <w:kern w:val="0"/>
                <w:sz w:val="24"/>
                <w:szCs w:val="24"/>
                <w:u w:val="none" w:color="auto"/>
                <w:lang w:val="en-US" w:eastAsia="zh-CN" w:bidi="ar"/>
              </w:rPr>
              <w:t>9078</w:t>
            </w:r>
            <w:r>
              <w:rPr>
                <w:rFonts w:hint="default" w:ascii="Times New Roman" w:hAnsi="Times New Roman" w:eastAsia="宋体" w:cs="Times New Roman"/>
                <w:color w:val="auto"/>
                <w:kern w:val="0"/>
                <w:sz w:val="24"/>
                <w:szCs w:val="24"/>
                <w:u w:val="none" w:color="auto"/>
                <w:lang w:val="en-US" w:eastAsia="zh-CN" w:bidi="ar"/>
              </w:rPr>
              <w:t>-1996）</w:t>
            </w:r>
            <w:r>
              <w:rPr>
                <w:rFonts w:hint="eastAsia" w:cs="Times New Roman"/>
                <w:color w:val="auto"/>
                <w:kern w:val="0"/>
                <w:sz w:val="24"/>
                <w:szCs w:val="24"/>
                <w:u w:val="none" w:color="auto"/>
                <w:lang w:val="en-US" w:eastAsia="zh-CN" w:bidi="ar"/>
              </w:rPr>
              <w:t>中的排放</w:t>
            </w:r>
            <w:r>
              <w:rPr>
                <w:rFonts w:hint="default" w:ascii="Times New Roman" w:hAnsi="Times New Roman" w:eastAsia="宋体" w:cs="Times New Roman"/>
                <w:color w:val="auto"/>
                <w:kern w:val="0"/>
                <w:sz w:val="24"/>
                <w:szCs w:val="24"/>
                <w:u w:val="none" w:color="auto"/>
                <w:lang w:val="en-US" w:eastAsia="zh-CN" w:bidi="ar"/>
              </w:rPr>
              <w:t>标准</w:t>
            </w:r>
            <w:r>
              <w:rPr>
                <w:rFonts w:hint="eastAsia" w:cs="Times New Roman"/>
                <w:color w:val="auto"/>
                <w:kern w:val="0"/>
                <w:sz w:val="24"/>
                <w:szCs w:val="24"/>
                <w:u w:val="none" w:color="auto"/>
                <w:lang w:val="en-US" w:eastAsia="zh-CN" w:bidi="ar"/>
              </w:rPr>
              <w:t>，氮氧化物执行</w:t>
            </w:r>
            <w:r>
              <w:rPr>
                <w:rFonts w:hint="default" w:ascii="Times New Roman" w:hAnsi="Times New Roman" w:eastAsia="宋体" w:cs="Times New Roman"/>
                <w:color w:val="auto"/>
                <w:kern w:val="0"/>
                <w:sz w:val="24"/>
                <w:szCs w:val="24"/>
                <w:u w:val="none" w:color="auto"/>
                <w:lang w:val="en-US" w:eastAsia="zh-CN" w:bidi="ar"/>
              </w:rPr>
              <w:t>《大气污染物综合排放标准》（GB16297-1996）表2的二级标准</w:t>
            </w:r>
            <w:r>
              <w:rPr>
                <w:rFonts w:hint="eastAsia" w:ascii="Times New Roman" w:hAnsi="Times New Roman" w:eastAsia="宋体" w:cs="Times New Roman"/>
                <w:color w:val="auto"/>
                <w:sz w:val="24"/>
                <w:szCs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（3）噪声</w:t>
            </w:r>
          </w:p>
          <w:p>
            <w:pPr>
              <w:snapToGrid w:val="0"/>
              <w:spacing w:line="360" w:lineRule="auto"/>
              <w:ind w:firstLine="453" w:firstLineChars="196"/>
              <w:rPr>
                <w:rFonts w:hAnsi="宋体"/>
                <w:color w:val="auto"/>
                <w:sz w:val="24"/>
                <w:u w:val="none" w:color="auto"/>
              </w:rPr>
            </w:pPr>
            <w:r>
              <w:rPr>
                <w:rFonts w:hint="eastAsia"/>
                <w:color w:val="auto"/>
                <w:sz w:val="24"/>
                <w:u w:val="none" w:color="auto"/>
              </w:rPr>
              <w:t>本项目的主要噪声源为车间中的生产设备，噪声值为</w:t>
            </w:r>
            <w:r>
              <w:rPr>
                <w:rFonts w:hint="eastAsia"/>
                <w:color w:val="auto"/>
                <w:sz w:val="24"/>
                <w:u w:val="none" w:color="auto"/>
                <w:lang w:val="en-US" w:eastAsia="zh-CN"/>
              </w:rPr>
              <w:t>80-90</w:t>
            </w:r>
            <w:r>
              <w:rPr>
                <w:rFonts w:hint="eastAsia"/>
                <w:color w:val="auto"/>
                <w:sz w:val="24"/>
                <w:u w:val="none" w:color="auto"/>
              </w:rPr>
              <w:t>dB(A)</w:t>
            </w:r>
            <w:r>
              <w:rPr>
                <w:rFonts w:hint="eastAsia" w:hAnsi="宋体"/>
                <w:color w:val="auto"/>
                <w:sz w:val="24"/>
                <w:szCs w:val="24"/>
                <w:u w:val="none" w:color="auto"/>
              </w:rPr>
              <w:t>，经采取合理布局、隔音、减振等措施后，厂界噪声能够满足《工业企业场界环境噪声排放标准》（GB12348-2008）</w:t>
            </w:r>
            <w:r>
              <w:rPr>
                <w:rFonts w:hint="eastAsia" w:hAnsi="宋体"/>
                <w:color w:val="auto"/>
                <w:sz w:val="24"/>
                <w:szCs w:val="24"/>
                <w:u w:val="none" w:color="auto"/>
                <w:lang w:val="en-US" w:eastAsia="zh-CN"/>
              </w:rPr>
              <w:t>3</w:t>
            </w:r>
            <w:r>
              <w:rPr>
                <w:rFonts w:hint="eastAsia" w:hAnsi="宋体"/>
                <w:color w:val="auto"/>
                <w:sz w:val="24"/>
                <w:szCs w:val="24"/>
                <w:u w:val="none" w:color="auto"/>
              </w:rPr>
              <w:t>类标准</w:t>
            </w:r>
            <w:r>
              <w:rPr>
                <w:rFonts w:hint="eastAsia" w:hAnsi="宋体"/>
                <w:color w:val="auto"/>
                <w:sz w:val="24"/>
                <w:u w:val="none" w:color="auto"/>
              </w:rPr>
              <w:t>，对周围声环境产生影响较小。</w:t>
            </w:r>
          </w:p>
          <w:p>
            <w:pPr>
              <w:snapToGrid w:val="0"/>
              <w:spacing w:line="276" w:lineRule="auto"/>
              <w:ind w:firstLine="462" w:firstLineChars="200"/>
              <w:jc w:val="left"/>
              <w:rPr>
                <w:rFonts w:hAnsi="宋体"/>
                <w:color w:val="auto"/>
                <w:sz w:val="24"/>
                <w:szCs w:val="24"/>
                <w:u w:val="none" w:color="auto"/>
              </w:rPr>
            </w:pPr>
            <w:r>
              <w:rPr>
                <w:rFonts w:hint="eastAsia" w:hAnsi="宋体"/>
                <w:color w:val="auto"/>
                <w:sz w:val="24"/>
                <w:szCs w:val="24"/>
                <w:u w:val="none" w:color="auto"/>
              </w:rPr>
              <w:t>（4）固体废物</w:t>
            </w:r>
          </w:p>
          <w:p>
            <w:pPr>
              <w:pStyle w:val="33"/>
              <w:spacing w:line="360" w:lineRule="auto"/>
              <w:ind w:left="0" w:leftChars="0" w:firstLine="462" w:firstLineChars="200"/>
              <w:jc w:val="left"/>
              <w:rPr>
                <w:rFonts w:hint="eastAsia"/>
                <w:color w:val="auto"/>
                <w:sz w:val="24"/>
                <w:szCs w:val="24"/>
                <w:u w:val="none" w:color="auto"/>
                <w:lang w:eastAsia="zh-CN"/>
              </w:rPr>
            </w:pPr>
            <w:r>
              <w:rPr>
                <w:rFonts w:hint="eastAsia" w:cs="Times New Roman"/>
                <w:color w:val="auto"/>
                <w:sz w:val="24"/>
                <w:szCs w:val="32"/>
                <w:u w:val="none" w:color="auto"/>
                <w:lang w:eastAsia="zh-CN"/>
              </w:rPr>
              <w:t>本项目在生产加工过程中会产生少量边角料</w:t>
            </w:r>
            <w:r>
              <w:rPr>
                <w:rFonts w:hint="default" w:ascii="Times New Roman" w:hAnsi="Times New Roman" w:cs="Times New Roman"/>
                <w:color w:val="auto"/>
                <w:sz w:val="24"/>
                <w:szCs w:val="32"/>
                <w:u w:val="none" w:color="auto"/>
              </w:rPr>
              <w:t>，</w:t>
            </w:r>
            <w:r>
              <w:rPr>
                <w:rFonts w:hint="eastAsia" w:cs="Times New Roman"/>
                <w:color w:val="auto"/>
                <w:sz w:val="24"/>
                <w:szCs w:val="32"/>
                <w:u w:val="none" w:color="auto"/>
                <w:lang w:eastAsia="zh-CN"/>
              </w:rPr>
              <w:t>废边角料</w:t>
            </w:r>
            <w:r>
              <w:rPr>
                <w:rFonts w:hint="default" w:ascii="Times New Roman" w:hAnsi="Times New Roman" w:cs="Times New Roman"/>
                <w:color w:val="auto"/>
                <w:sz w:val="24"/>
                <w:u w:val="none" w:color="auto"/>
              </w:rPr>
              <w:t>收集后均外售</w:t>
            </w:r>
            <w:r>
              <w:rPr>
                <w:rFonts w:hint="eastAsia" w:cs="Times New Roman"/>
                <w:color w:val="auto"/>
                <w:sz w:val="24"/>
                <w:u w:val="none" w:color="auto"/>
                <w:lang w:eastAsia="zh-CN"/>
              </w:rPr>
              <w:t>物资回收公司</w:t>
            </w:r>
            <w:r>
              <w:rPr>
                <w:rFonts w:hint="default" w:ascii="Times New Roman" w:hAnsi="Times New Roman" w:cs="Times New Roman"/>
                <w:color w:val="auto"/>
                <w:sz w:val="24"/>
                <w:u w:val="none" w:color="auto"/>
              </w:rPr>
              <w:t>。</w:t>
            </w:r>
            <w:r>
              <w:rPr>
                <w:rFonts w:hint="default" w:ascii="Times New Roman" w:hAnsi="Times New Roman" w:cs="Times New Roman"/>
                <w:color w:val="auto"/>
                <w:sz w:val="24"/>
                <w:szCs w:val="24"/>
                <w:u w:val="none" w:color="auto"/>
              </w:rPr>
              <w:t>生活垃圾</w:t>
            </w:r>
            <w:r>
              <w:rPr>
                <w:rFonts w:hint="eastAsia" w:cs="Times New Roman"/>
                <w:color w:val="auto"/>
                <w:sz w:val="24"/>
                <w:szCs w:val="24"/>
                <w:u w:val="none" w:color="auto"/>
                <w:lang w:eastAsia="zh-CN"/>
              </w:rPr>
              <w:t>、除尘器收集的粉尘</w:t>
            </w:r>
            <w:r>
              <w:rPr>
                <w:rFonts w:hint="default" w:ascii="Times New Roman" w:hAnsi="Times New Roman" w:cs="Times New Roman"/>
                <w:color w:val="auto"/>
                <w:sz w:val="24"/>
                <w:szCs w:val="24"/>
                <w:u w:val="none" w:color="auto"/>
              </w:rPr>
              <w:t>集中收集后交环卫部门统一清运处理。</w:t>
            </w:r>
            <w:r>
              <w:rPr>
                <w:rFonts w:hint="default" w:ascii="Times New Roman" w:hAnsi="Times New Roman" w:cs="Times New Roman"/>
                <w:color w:val="auto"/>
                <w:sz w:val="24"/>
                <w:u w:val="none" w:color="auto"/>
                <w:lang w:eastAsia="zh-CN"/>
              </w:rPr>
              <w:t>本项目</w:t>
            </w:r>
            <w:r>
              <w:rPr>
                <w:rFonts w:hint="eastAsia" w:cs="Times New Roman"/>
                <w:color w:val="auto"/>
                <w:sz w:val="24"/>
                <w:u w:val="none" w:color="auto"/>
                <w:lang w:eastAsia="zh-CN"/>
              </w:rPr>
              <w:t>在喷塑过程中产生的粉尘经</w:t>
            </w:r>
            <w:r>
              <w:rPr>
                <w:rFonts w:hint="default" w:ascii="Times New Roman" w:hAnsi="Times New Roman" w:cs="Times New Roman"/>
                <w:color w:val="auto"/>
                <w:sz w:val="24"/>
                <w:u w:val="none" w:color="auto"/>
                <w:lang w:val="en-US" w:eastAsia="zh-CN"/>
              </w:rPr>
              <w:t>收集后</w:t>
            </w:r>
            <w:r>
              <w:rPr>
                <w:rFonts w:hint="eastAsia" w:cs="Times New Roman"/>
                <w:color w:val="auto"/>
                <w:sz w:val="24"/>
                <w:u w:val="none" w:color="auto"/>
                <w:lang w:val="en-US" w:eastAsia="zh-CN"/>
              </w:rPr>
              <w:t>回用于生产</w:t>
            </w:r>
            <w:r>
              <w:rPr>
                <w:rFonts w:hint="default" w:ascii="Times New Roman" w:hAnsi="Times New Roman" w:cs="Times New Roman"/>
                <w:color w:val="auto"/>
                <w:sz w:val="24"/>
                <w:u w:val="none" w:color="auto"/>
                <w:lang w:val="en-US" w:eastAsia="zh-CN"/>
              </w:rPr>
              <w:t>。</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包装物不属于危险废物，为一般固废</w:t>
            </w:r>
            <w:r>
              <w:rPr>
                <w:rFonts w:hint="eastAsia" w:cs="Times New Roman"/>
                <w:color w:val="auto"/>
                <w:sz w:val="24"/>
                <w:szCs w:val="24"/>
                <w:u w:val="none" w:color="auto"/>
                <w:lang w:val="en-US" w:eastAsia="zh-CN"/>
              </w:rPr>
              <w:t>，</w:t>
            </w:r>
            <w:r>
              <w:rPr>
                <w:rFonts w:hint="eastAsia"/>
                <w:color w:val="auto"/>
                <w:sz w:val="24"/>
                <w:szCs w:val="24"/>
                <w:u w:val="none" w:color="auto"/>
                <w:lang w:val="en-US" w:eastAsia="zh-CN"/>
              </w:rPr>
              <w:t>收集后交由环卫部门进行处理</w:t>
            </w:r>
            <w:r>
              <w:rPr>
                <w:rFonts w:hint="eastAsia" w:cs="Times New Roman"/>
                <w:color w:val="auto"/>
                <w:sz w:val="24"/>
                <w:highlight w:val="none"/>
                <w:u w:val="none" w:color="auto"/>
                <w:lang w:eastAsia="zh-CN"/>
              </w:rPr>
              <w:t>。</w:t>
            </w:r>
          </w:p>
          <w:p>
            <w:pPr>
              <w:pStyle w:val="33"/>
              <w:spacing w:line="360" w:lineRule="auto"/>
              <w:ind w:left="0" w:leftChars="0" w:firstLine="462" w:firstLineChars="200"/>
              <w:rPr>
                <w:rFonts w:ascii="宋体" w:hAnsi="宋体"/>
                <w:color w:val="auto"/>
                <w:sz w:val="24"/>
                <w:szCs w:val="32"/>
                <w:u w:val="none" w:color="auto"/>
              </w:rPr>
            </w:pPr>
            <w:r>
              <w:rPr>
                <w:rFonts w:hint="eastAsia" w:hAnsi="宋体"/>
                <w:color w:val="auto"/>
                <w:sz w:val="24"/>
                <w:u w:val="none" w:color="auto"/>
                <w:lang w:eastAsia="zh-CN"/>
              </w:rPr>
              <w:t>项目生产过程中产生的危险废物主要为</w:t>
            </w:r>
            <w:r>
              <w:rPr>
                <w:rFonts w:hint="eastAsia" w:ascii="宋体" w:hAnsi="宋体"/>
                <w:color w:val="auto"/>
                <w:sz w:val="24"/>
                <w:szCs w:val="32"/>
                <w:u w:val="none" w:color="auto"/>
                <w:lang w:eastAsia="zh-CN"/>
              </w:rPr>
              <w:t>废润滑油、含油抹布、废液压油、废活性炭、废稀释剂桶、废绝缘漆桶、水帘废水池沉渣、漆渣、废灯管</w:t>
            </w:r>
            <w:r>
              <w:rPr>
                <w:rFonts w:hint="eastAsia" w:hAnsi="宋体"/>
                <w:color w:val="auto"/>
                <w:sz w:val="24"/>
                <w:u w:val="none" w:color="auto"/>
                <w:lang w:val="en-US" w:eastAsia="zh-CN"/>
              </w:rPr>
              <w:t>需收集于危险废物储存间，再交由有资质单位进行处理</w:t>
            </w:r>
            <w:r>
              <w:rPr>
                <w:rFonts w:hint="eastAsia" w:ascii="宋体" w:hAnsi="宋体"/>
                <w:color w:val="auto"/>
                <w:sz w:val="24"/>
                <w:szCs w:val="32"/>
                <w:u w:val="none" w:color="auto"/>
              </w:rPr>
              <w:t>。</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本项目营运期产生的各类固体废物均得到了很好的处理和处置，对外环境影响较小。</w:t>
            </w:r>
          </w:p>
          <w:p>
            <w:pPr>
              <w:snapToGrid w:val="0"/>
              <w:spacing w:line="360" w:lineRule="auto"/>
              <w:ind w:firstLine="453" w:firstLineChars="196"/>
              <w:rPr>
                <w:b/>
                <w:bCs/>
                <w:color w:val="auto"/>
                <w:sz w:val="24"/>
                <w:u w:val="none" w:color="auto"/>
              </w:rPr>
            </w:pPr>
            <w:r>
              <w:rPr>
                <w:rFonts w:hint="eastAsia"/>
                <w:b/>
                <w:bCs/>
                <w:color w:val="auto"/>
                <w:sz w:val="24"/>
                <w:u w:val="none" w:color="auto"/>
              </w:rPr>
              <w:t>4、项目可行性分析</w:t>
            </w:r>
          </w:p>
          <w:p>
            <w:pPr>
              <w:snapToGrid w:val="0"/>
              <w:spacing w:line="360" w:lineRule="auto"/>
              <w:ind w:firstLine="453" w:firstLineChars="196"/>
              <w:rPr>
                <w:rFonts w:hAnsi="宋体"/>
                <w:color w:val="auto"/>
                <w:sz w:val="24"/>
                <w:u w:val="none" w:color="auto"/>
              </w:rPr>
            </w:pPr>
            <w:r>
              <w:rPr>
                <w:rFonts w:hint="default" w:ascii="Times New Roman" w:hAnsi="Times New Roman" w:cs="Times New Roman"/>
                <w:color w:val="auto"/>
                <w:sz w:val="24"/>
                <w:szCs w:val="24"/>
                <w:u w:val="none" w:color="auto"/>
              </w:rPr>
              <w:t>本项目为</w:t>
            </w:r>
            <w:r>
              <w:rPr>
                <w:rFonts w:hint="eastAsia" w:cs="Times New Roman"/>
                <w:color w:val="auto"/>
                <w:sz w:val="24"/>
                <w:szCs w:val="24"/>
                <w:u w:val="none" w:color="auto"/>
                <w:lang w:eastAsia="zh-CN"/>
              </w:rPr>
              <w:t>消防设备及器材生产</w:t>
            </w:r>
            <w:r>
              <w:rPr>
                <w:rFonts w:hint="default" w:ascii="Times New Roman" w:hAnsi="Times New Roman" w:cs="Times New Roman"/>
                <w:color w:val="auto"/>
                <w:sz w:val="24"/>
                <w:szCs w:val="24"/>
                <w:u w:val="none" w:color="auto"/>
              </w:rPr>
              <w:t>，根据</w:t>
            </w:r>
            <w:r>
              <w:rPr>
                <w:rFonts w:hint="eastAsia"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产业结构调整指导目录（2019年本）</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，2019年4月12日</w:t>
            </w:r>
            <w:r>
              <w:rPr>
                <w:rFonts w:hint="default" w:ascii="Times New Roman" w:hAnsi="Times New Roman" w:cs="Times New Roman"/>
                <w:color w:val="auto"/>
                <w:sz w:val="24"/>
                <w:szCs w:val="24"/>
                <w:u w:val="none" w:color="auto"/>
                <w:lang w:eastAsia="zh-CN"/>
              </w:rPr>
              <w:t>，该类项目不属于鼓励类，限制类和淘汰类项目</w:t>
            </w:r>
            <w:r>
              <w:rPr>
                <w:rFonts w:hint="default" w:ascii="Times New Roman" w:hAnsi="Times New Roman" w:cs="Times New Roman"/>
                <w:color w:val="auto"/>
                <w:sz w:val="24"/>
                <w:szCs w:val="24"/>
                <w:u w:val="none" w:color="auto"/>
              </w:rPr>
              <w:t>，符合国家产业政策要求</w:t>
            </w:r>
            <w:r>
              <w:rPr>
                <w:rFonts w:hint="eastAsia" w:hAnsi="宋体"/>
                <w:color w:val="auto"/>
                <w:sz w:val="24"/>
                <w:u w:val="none" w:color="auto"/>
              </w:rPr>
              <w:t>。</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w:t>
            </w:r>
            <w:r>
              <w:rPr>
                <w:rFonts w:hint="eastAsia" w:hAnsi="宋体"/>
                <w:color w:val="auto"/>
                <w:sz w:val="24"/>
                <w:szCs w:val="24"/>
                <w:u w:val="none" w:color="auto"/>
              </w:rPr>
              <w:t>选址所在地基础设施完善，地理位置优越、交通方便、各类污染物经处理后能实现达标排放，且无与本项目有关的制约因素；平面布置比较合理，布局紧凑、管理方便。因此本项目的选址是可行的。</w:t>
            </w:r>
          </w:p>
          <w:p>
            <w:pPr>
              <w:snapToGrid w:val="0"/>
              <w:spacing w:line="360" w:lineRule="auto"/>
              <w:ind w:firstLine="453" w:firstLineChars="196"/>
              <w:rPr>
                <w:b/>
                <w:bCs/>
                <w:color w:val="auto"/>
                <w:sz w:val="24"/>
                <w:u w:val="none" w:color="auto"/>
              </w:rPr>
            </w:pPr>
            <w:r>
              <w:rPr>
                <w:rFonts w:hint="eastAsia"/>
                <w:b/>
                <w:bCs/>
                <w:color w:val="auto"/>
                <w:sz w:val="24"/>
                <w:u w:val="none" w:color="auto"/>
              </w:rPr>
              <w:t>5、项目建设环境制约因素</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本项目建设没有</w:t>
            </w:r>
            <w:bookmarkStart w:id="14" w:name="OLE_LINK19"/>
            <w:r>
              <w:rPr>
                <w:rFonts w:hint="eastAsia" w:hAnsi="宋体"/>
                <w:color w:val="auto"/>
                <w:sz w:val="24"/>
                <w:u w:val="none" w:color="auto"/>
              </w:rPr>
              <w:t>明显的环境制约因素</w:t>
            </w:r>
            <w:bookmarkEnd w:id="14"/>
            <w:r>
              <w:rPr>
                <w:rFonts w:hint="eastAsia" w:hAnsi="宋体"/>
                <w:color w:val="auto"/>
                <w:sz w:val="24"/>
                <w:u w:val="none" w:color="auto"/>
              </w:rPr>
              <w:t>。</w:t>
            </w:r>
          </w:p>
          <w:p>
            <w:pPr>
              <w:snapToGrid w:val="0"/>
              <w:spacing w:line="480" w:lineRule="auto"/>
              <w:ind w:firstLine="462" w:firstLineChars="200"/>
              <w:rPr>
                <w:b/>
                <w:bCs w:val="0"/>
                <w:color w:val="auto"/>
                <w:sz w:val="24"/>
                <w:szCs w:val="24"/>
                <w:u w:val="none" w:color="auto"/>
              </w:rPr>
            </w:pPr>
            <w:r>
              <w:rPr>
                <w:rFonts w:hint="eastAsia"/>
                <w:b/>
                <w:bCs w:val="0"/>
                <w:color w:val="auto"/>
                <w:sz w:val="24"/>
                <w:szCs w:val="24"/>
                <w:u w:val="none" w:color="auto"/>
              </w:rPr>
              <w:t>总</w:t>
            </w:r>
            <w:r>
              <w:rPr>
                <w:rFonts w:hint="eastAsia"/>
                <w:b/>
                <w:bCs w:val="0"/>
                <w:color w:val="auto"/>
                <w:sz w:val="24"/>
                <w:szCs w:val="24"/>
                <w:u w:val="none" w:color="auto"/>
                <w:lang w:eastAsia="zh-CN"/>
              </w:rPr>
              <w:t>体</w:t>
            </w:r>
            <w:r>
              <w:rPr>
                <w:b/>
                <w:bCs w:val="0"/>
                <w:color w:val="auto"/>
                <w:sz w:val="24"/>
                <w:szCs w:val="24"/>
                <w:u w:val="none" w:color="auto"/>
              </w:rPr>
              <w:t>结论</w:t>
            </w:r>
          </w:p>
          <w:p>
            <w:pPr>
              <w:snapToGrid w:val="0"/>
              <w:spacing w:line="480" w:lineRule="auto"/>
              <w:ind w:firstLine="453" w:firstLineChars="196"/>
              <w:rPr>
                <w:rFonts w:hint="eastAsia" w:hAnsi="宋体"/>
                <w:b/>
                <w:bCs w:val="0"/>
                <w:color w:val="auto"/>
                <w:sz w:val="24"/>
                <w:szCs w:val="24"/>
                <w:u w:val="none" w:color="auto"/>
              </w:rPr>
            </w:pPr>
            <w:r>
              <w:rPr>
                <w:rFonts w:hint="eastAsia" w:hAnsi="宋体"/>
                <w:b/>
                <w:bCs w:val="0"/>
                <w:color w:val="auto"/>
                <w:sz w:val="24"/>
                <w:u w:val="none" w:color="auto"/>
              </w:rPr>
              <w:t>综上所述，</w:t>
            </w:r>
            <w:r>
              <w:rPr>
                <w:rFonts w:hint="eastAsia"/>
                <w:b/>
                <w:bCs w:val="0"/>
                <w:color w:val="auto"/>
                <w:sz w:val="24"/>
                <w:szCs w:val="24"/>
                <w:u w:val="none" w:color="auto"/>
                <w:lang w:eastAsia="zh-CN"/>
              </w:rPr>
              <w:t>湖南金诺动力设备制造有限公司年产5000件消防设备及器材建设项目</w:t>
            </w:r>
            <w:r>
              <w:rPr>
                <w:rFonts w:hint="eastAsia" w:hAnsi="宋体"/>
                <w:b/>
                <w:bCs w:val="0"/>
                <w:color w:val="auto"/>
                <w:sz w:val="24"/>
                <w:u w:val="none" w:color="auto"/>
              </w:rPr>
              <w:t>建设符合国家产业政策，平面布局合理，选址可行。在认真落实本环评报告提出的各项环保措施的前提下，废气、废水、噪声可实现达标排放，固废可得到有效处置，项目建设及营运</w:t>
            </w:r>
            <w:r>
              <w:rPr>
                <w:rFonts w:hint="eastAsia" w:hAnsi="宋体"/>
                <w:b/>
                <w:bCs w:val="0"/>
                <w:color w:val="auto"/>
                <w:sz w:val="24"/>
                <w:szCs w:val="24"/>
                <w:u w:val="none" w:color="auto"/>
              </w:rPr>
              <w:t>对环境保护目标及周围环境影响较小。从环境保护角度分析，本项目的建设是可行的。</w:t>
            </w:r>
          </w:p>
          <w:p>
            <w:pPr>
              <w:snapToGrid w:val="0"/>
              <w:spacing w:line="360" w:lineRule="auto"/>
              <w:ind w:firstLine="453" w:firstLineChars="196"/>
              <w:rPr>
                <w:b/>
                <w:color w:val="auto"/>
                <w:sz w:val="24"/>
                <w:szCs w:val="24"/>
                <w:u w:val="none" w:color="auto"/>
              </w:rPr>
            </w:pPr>
            <w:r>
              <w:rPr>
                <w:b/>
                <w:color w:val="auto"/>
                <w:sz w:val="24"/>
                <w:szCs w:val="24"/>
                <w:u w:val="none" w:color="auto"/>
              </w:rPr>
              <w:t xml:space="preserve"> </w:t>
            </w:r>
            <w:r>
              <w:rPr>
                <w:rFonts w:hint="eastAsia"/>
                <w:b/>
                <w:color w:val="auto"/>
                <w:sz w:val="24"/>
                <w:szCs w:val="24"/>
                <w:u w:val="none" w:color="auto"/>
              </w:rPr>
              <w:t>建议与要求</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1</w:t>
            </w:r>
            <w:r>
              <w:rPr>
                <w:rFonts w:hint="eastAsia" w:hAnsi="宋体"/>
                <w:color w:val="auto"/>
                <w:sz w:val="24"/>
                <w:szCs w:val="24"/>
                <w:u w:val="none" w:color="auto"/>
              </w:rPr>
              <w:t>）建设单位应加强项目的环境管理、专人负责，把环保措施指标纳入日常管理规划中，及时消除污染隐患，避免对环境带来污染影响。</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2</w:t>
            </w:r>
            <w:r>
              <w:rPr>
                <w:rFonts w:hint="eastAsia" w:hAnsi="宋体"/>
                <w:color w:val="auto"/>
                <w:sz w:val="24"/>
                <w:szCs w:val="24"/>
                <w:u w:val="none" w:color="auto"/>
              </w:rPr>
              <w:t>）加强废气处理设施的管理，确保设施正常运行并达设计处理效率，保证废气达标排放。正常生产情况下，严禁废气处理装置停运和超标排污。</w:t>
            </w:r>
          </w:p>
          <w:p>
            <w:pPr>
              <w:snapToGrid w:val="0"/>
              <w:spacing w:line="360" w:lineRule="auto"/>
              <w:ind w:firstLine="462" w:firstLineChars="200"/>
              <w:rPr>
                <w:rFonts w:hint="eastAsia" w:hAnsi="宋体" w:eastAsia="宋体"/>
                <w:color w:val="auto"/>
                <w:sz w:val="24"/>
                <w:szCs w:val="24"/>
                <w:u w:val="none" w:color="auto"/>
                <w:lang w:eastAsia="zh-CN"/>
              </w:rPr>
            </w:pPr>
            <w:r>
              <w:rPr>
                <w:rFonts w:hint="eastAsia" w:hAnsi="宋体"/>
                <w:color w:val="auto"/>
                <w:sz w:val="24"/>
                <w:szCs w:val="24"/>
                <w:u w:val="none" w:color="auto"/>
              </w:rPr>
              <w:t>（</w:t>
            </w:r>
            <w:r>
              <w:rPr>
                <w:rFonts w:hint="eastAsia" w:hAnsi="宋体"/>
                <w:color w:val="auto"/>
                <w:sz w:val="24"/>
                <w:szCs w:val="24"/>
                <w:u w:val="none" w:color="auto"/>
                <w:lang w:val="en-US" w:eastAsia="zh-CN"/>
              </w:rPr>
              <w:t>3</w:t>
            </w:r>
            <w:r>
              <w:rPr>
                <w:rFonts w:hint="eastAsia" w:hAnsi="宋体"/>
                <w:color w:val="auto"/>
                <w:sz w:val="24"/>
                <w:szCs w:val="24"/>
                <w:u w:val="none" w:color="auto"/>
              </w:rPr>
              <w:t>）</w:t>
            </w:r>
            <w:r>
              <w:rPr>
                <w:rFonts w:hint="eastAsia" w:hAnsi="宋体"/>
                <w:color w:val="auto"/>
                <w:sz w:val="24"/>
                <w:szCs w:val="24"/>
                <w:u w:val="none" w:color="auto"/>
                <w:lang w:eastAsia="zh-CN"/>
              </w:rPr>
              <w:t>建设单位应编制突发环境事件应急预案，并按照预案要求进行建设。</w:t>
            </w:r>
          </w:p>
          <w:p>
            <w:pPr>
              <w:snapToGrid w:val="0"/>
              <w:spacing w:line="360" w:lineRule="auto"/>
              <w:ind w:firstLine="462" w:firstLineChars="200"/>
              <w:rPr>
                <w:rFonts w:hAnsi="宋体"/>
                <w:b/>
                <w:color w:val="auto"/>
                <w:sz w:val="24"/>
                <w:szCs w:val="24"/>
                <w:u w:val="none" w:color="auto"/>
              </w:rPr>
            </w:pPr>
            <w:r>
              <w:rPr>
                <w:rFonts w:hint="eastAsia" w:hAnsi="宋体"/>
                <w:color w:val="auto"/>
                <w:sz w:val="24"/>
                <w:szCs w:val="24"/>
                <w:u w:val="none" w:color="auto"/>
                <w:lang w:eastAsia="zh-CN"/>
              </w:rPr>
              <w:t>（</w:t>
            </w:r>
            <w:r>
              <w:rPr>
                <w:rFonts w:hint="eastAsia" w:hAnsi="宋体"/>
                <w:color w:val="auto"/>
                <w:sz w:val="24"/>
                <w:szCs w:val="24"/>
                <w:u w:val="none" w:color="auto"/>
                <w:lang w:val="en-US" w:eastAsia="zh-CN"/>
              </w:rPr>
              <w:t>4</w:t>
            </w:r>
            <w:r>
              <w:rPr>
                <w:rFonts w:hint="eastAsia" w:hAnsi="宋体"/>
                <w:color w:val="auto"/>
                <w:sz w:val="24"/>
                <w:szCs w:val="24"/>
                <w:u w:val="none" w:color="auto"/>
                <w:lang w:eastAsia="zh-CN"/>
              </w:rPr>
              <w:t>）</w:t>
            </w:r>
            <w:r>
              <w:rPr>
                <w:rFonts w:hint="eastAsia" w:hAnsi="宋体"/>
                <w:color w:val="auto"/>
                <w:sz w:val="24"/>
                <w:szCs w:val="24"/>
                <w:u w:val="none" w:color="auto"/>
              </w:rPr>
              <w:t>本项目基础资料由建设单位提供，并对其准确性负责。建设单位以后若增加本报告表所涉及之外的污染源或对其功能进行改变，则应按要求向有关环保部门进行申报，并按污染控制目标采取相应的污染治理措施。</w:t>
            </w:r>
          </w:p>
        </w:tc>
      </w:tr>
    </w:tbl>
    <w:p>
      <w:pPr>
        <w:rPr>
          <w:color w:val="auto"/>
          <w:u w:val="none" w:color="auto"/>
        </w:rPr>
      </w:pPr>
    </w:p>
    <w:p>
      <w:pPr>
        <w:pStyle w:val="6"/>
        <w:bidi w:val="0"/>
        <w:rPr>
          <w:rFonts w:hint="eastAsia"/>
          <w:color w:val="auto"/>
          <w:u w:val="none" w:color="auto"/>
          <w:lang w:eastAsia="zh-CN"/>
        </w:rPr>
      </w:pPr>
      <w:r>
        <w:rPr>
          <w:rFonts w:hint="eastAsia"/>
          <w:color w:val="auto"/>
          <w:u w:val="none" w:color="auto"/>
          <w:lang w:eastAsia="zh-CN"/>
        </w:rPr>
        <w:t>附表：</w:t>
      </w:r>
    </w:p>
    <w:p>
      <w:pPr>
        <w:spacing w:line="360" w:lineRule="auto"/>
        <w:jc w:val="center"/>
        <w:rPr>
          <w:rFonts w:hint="default" w:ascii="Times New Roman" w:hAnsi="Times New Roman" w:eastAsia="宋体" w:cs="Times New Roman"/>
          <w:b/>
          <w:bCs/>
          <w:color w:val="auto"/>
          <w:sz w:val="28"/>
          <w:szCs w:val="28"/>
          <w:u w:val="none" w:color="auto"/>
        </w:rPr>
      </w:pPr>
      <w:r>
        <w:rPr>
          <w:rFonts w:hint="default" w:ascii="Times New Roman" w:hAnsi="Times New Roman" w:eastAsia="宋体" w:cs="Times New Roman"/>
          <w:b/>
          <w:bCs/>
          <w:color w:val="auto"/>
          <w:sz w:val="28"/>
          <w:szCs w:val="28"/>
          <w:u w:val="none" w:color="auto"/>
          <w:lang w:val="en-US" w:eastAsia="zh-CN"/>
        </w:rPr>
        <w:t xml:space="preserve"> </w:t>
      </w:r>
      <w:r>
        <w:rPr>
          <w:rFonts w:hint="default" w:ascii="Times New Roman" w:hAnsi="Times New Roman" w:eastAsia="宋体" w:cs="Times New Roman"/>
          <w:b/>
          <w:bCs/>
          <w:color w:val="auto"/>
          <w:sz w:val="28"/>
          <w:szCs w:val="28"/>
          <w:u w:val="none" w:color="auto"/>
        </w:rPr>
        <w:t>建设项目大气环境影响评价自查表</w:t>
      </w:r>
    </w:p>
    <w:tbl>
      <w:tblPr>
        <w:tblStyle w:val="40"/>
        <w:tblW w:w="95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541"/>
        <w:gridCol w:w="1087"/>
        <w:gridCol w:w="110"/>
        <w:gridCol w:w="343"/>
        <w:gridCol w:w="205"/>
        <w:gridCol w:w="212"/>
        <w:gridCol w:w="528"/>
        <w:gridCol w:w="422"/>
        <w:gridCol w:w="591"/>
        <w:gridCol w:w="412"/>
        <w:gridCol w:w="389"/>
        <w:gridCol w:w="673"/>
        <w:gridCol w:w="1"/>
        <w:gridCol w:w="282"/>
        <w:gridCol w:w="149"/>
        <w:gridCol w:w="229"/>
        <w:gridCol w:w="583"/>
        <w:gridCol w:w="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37"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工作内容</w:t>
            </w:r>
          </w:p>
        </w:tc>
        <w:tc>
          <w:tcPr>
            <w:tcW w:w="7077" w:type="dxa"/>
            <w:gridSpan w:val="1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评价等级与范围</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一级□</w:t>
            </w:r>
          </w:p>
        </w:tc>
        <w:tc>
          <w:tcPr>
            <w:tcW w:w="3016"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二级</w:t>
            </w:r>
            <w:r>
              <w:rPr>
                <w:rFonts w:hint="default" w:ascii="Times New Roman" w:hAnsi="Times New Roman" w:eastAsia="宋体" w:cs="Times New Roman"/>
                <w:color w:val="auto"/>
                <w:kern w:val="0"/>
                <w:sz w:val="22"/>
                <w:szCs w:val="22"/>
                <w:u w:val="none" w:color="auto"/>
              </w:rPr>
              <w:sym w:font="Wingdings 2" w:char="00A3"/>
            </w:r>
          </w:p>
        </w:tc>
        <w:tc>
          <w:tcPr>
            <w:tcW w:w="210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三级</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评价范围</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r>
              <w:rPr>
                <w:rFonts w:hint="default" w:ascii="Times New Roman" w:hAnsi="Times New Roman" w:eastAsia="宋体" w:cs="Times New Roman"/>
                <w:color w:val="auto"/>
                <w:kern w:val="0"/>
                <w:sz w:val="22"/>
                <w:szCs w:val="22"/>
                <w:u w:val="none" w:color="auto"/>
              </w:rPr>
              <w:sym w:font="Wingdings 2" w:char="00A3"/>
            </w:r>
          </w:p>
        </w:tc>
        <w:tc>
          <w:tcPr>
            <w:tcW w:w="3016"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因子</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vertAlign w:val="subscript"/>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排放量</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≥2000t/a□</w:t>
            </w:r>
          </w:p>
        </w:tc>
        <w:tc>
          <w:tcPr>
            <w:tcW w:w="3016"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500~2000t/a□</w:t>
            </w:r>
          </w:p>
        </w:tc>
        <w:tc>
          <w:tcPr>
            <w:tcW w:w="210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＜500t/a</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评价因子</w:t>
            </w:r>
          </w:p>
        </w:tc>
        <w:tc>
          <w:tcPr>
            <w:tcW w:w="4973" w:type="dxa"/>
            <w:gridSpan w:val="12"/>
            <w:tcBorders>
              <w:tl2br w:val="nil"/>
              <w:tr2bl w:val="nil"/>
            </w:tcBorders>
            <w:noWrap w:val="0"/>
            <w:vAlign w:val="center"/>
          </w:tcPr>
          <w:p>
            <w:pPr>
              <w:widowControl/>
              <w:adjustRightInd w:val="0"/>
              <w:snapToGrid w:val="0"/>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基本污染物（SO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、NO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w:t>
            </w:r>
            <w:r>
              <w:rPr>
                <w:rFonts w:hint="default" w:ascii="Times New Roman" w:hAnsi="Times New Roman" w:cs="Times New Roman"/>
                <w:color w:val="auto"/>
                <w:kern w:val="0"/>
                <w:sz w:val="22"/>
                <w:szCs w:val="22"/>
                <w:u w:val="none" w:color="auto"/>
                <w:lang w:val="en-US" w:eastAsia="zh-CN"/>
              </w:rPr>
              <w:t>CO、O</w:t>
            </w:r>
            <w:r>
              <w:rPr>
                <w:rFonts w:hint="default" w:ascii="Times New Roman" w:hAnsi="Times New Roman" w:cs="Times New Roman"/>
                <w:color w:val="auto"/>
                <w:kern w:val="0"/>
                <w:sz w:val="22"/>
                <w:szCs w:val="22"/>
                <w:u w:val="none" w:color="auto"/>
                <w:vertAlign w:val="subscript"/>
                <w:lang w:val="en-US" w:eastAsia="zh-CN"/>
              </w:rPr>
              <w:t>3</w:t>
            </w:r>
            <w:r>
              <w:rPr>
                <w:rFonts w:hint="default" w:ascii="Times New Roman" w:hAnsi="Times New Roman" w:cs="Times New Roman"/>
                <w:color w:val="auto"/>
                <w:kern w:val="0"/>
                <w:sz w:val="22"/>
                <w:szCs w:val="22"/>
                <w:u w:val="none" w:color="auto"/>
                <w:lang w:val="en-US" w:eastAsia="zh-CN"/>
              </w:rPr>
              <w:t>、</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10</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2.5</w:t>
            </w:r>
            <w:r>
              <w:rPr>
                <w:rFonts w:hint="default" w:ascii="Times New Roman" w:hAnsi="Times New Roman" w:cs="Times New Roman"/>
                <w:color w:val="auto"/>
                <w:kern w:val="0"/>
                <w:sz w:val="22"/>
                <w:szCs w:val="22"/>
                <w:u w:val="none" w:color="auto"/>
              </w:rPr>
              <w:t>）</w:t>
            </w:r>
          </w:p>
          <w:p>
            <w:pPr>
              <w:keepNext w:val="0"/>
              <w:keepLines w:val="0"/>
              <w:pageBreakBefore w:val="0"/>
              <w:widowControl w:val="0"/>
              <w:kinsoku/>
              <w:overflowPunct/>
              <w:topLinePunct w:val="0"/>
              <w:autoSpaceDE/>
              <w:autoSpaceDN/>
              <w:bidi w:val="0"/>
              <w:adjustRightInd/>
              <w:snapToGrid/>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其他污染物（</w:t>
            </w:r>
            <w:r>
              <w:rPr>
                <w:rFonts w:hint="default" w:ascii="Times New Roman" w:hAnsi="Times New Roman" w:cs="Times New Roman"/>
                <w:color w:val="auto"/>
                <w:kern w:val="0"/>
                <w:sz w:val="22"/>
                <w:szCs w:val="22"/>
                <w:u w:val="none" w:color="auto"/>
                <w:lang w:val="en-US" w:eastAsia="zh-CN"/>
              </w:rPr>
              <w:t xml:space="preserve"> </w:t>
            </w:r>
            <w:r>
              <w:rPr>
                <w:rFonts w:hint="default" w:ascii="Times New Roman" w:hAnsi="Times New Roman" w:cs="Times New Roman"/>
                <w:color w:val="auto"/>
                <w:sz w:val="22"/>
                <w:szCs w:val="22"/>
                <w:u w:val="none" w:color="auto"/>
                <w:lang w:val="en-US" w:eastAsia="zh-CN"/>
              </w:rPr>
              <w:t xml:space="preserve">/ </w:t>
            </w:r>
            <w:r>
              <w:rPr>
                <w:rFonts w:hint="default" w:ascii="Times New Roman" w:hAnsi="Times New Roman" w:cs="Times New Roman"/>
                <w:color w:val="auto"/>
                <w:sz w:val="22"/>
                <w:szCs w:val="22"/>
                <w:u w:val="none" w:color="auto"/>
                <w:lang w:eastAsia="zh-CN"/>
              </w:rPr>
              <w:t>）</w:t>
            </w:r>
            <w:r>
              <w:rPr>
                <w:rFonts w:hint="default" w:ascii="Times New Roman" w:hAnsi="Times New Roman" w:eastAsia="宋体" w:cs="Times New Roman"/>
                <w:color w:val="auto"/>
                <w:kern w:val="0"/>
                <w:sz w:val="22"/>
                <w:szCs w:val="22"/>
                <w:u w:val="none" w:color="auto"/>
              </w:rPr>
              <w:t xml:space="preserve">   </w:t>
            </w:r>
          </w:p>
        </w:tc>
        <w:tc>
          <w:tcPr>
            <w:tcW w:w="2104" w:type="dxa"/>
            <w:gridSpan w:val="5"/>
            <w:tcBorders>
              <w:tl2br w:val="nil"/>
              <w:tr2bl w:val="nil"/>
            </w:tcBorders>
            <w:noWrap w:val="0"/>
            <w:vAlign w:val="center"/>
          </w:tcPr>
          <w:p>
            <w:pPr>
              <w:pStyle w:val="4"/>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w:t>
            </w:r>
          </w:p>
          <w:p>
            <w:pPr>
              <w:pStyle w:val="4"/>
              <w:keepNext w:val="0"/>
              <w:keepLines w:val="0"/>
              <w:pageBreakBefore w:val="0"/>
              <w:widowControl w:val="0"/>
              <w:kinsoku/>
              <w:wordWrap w:val="0"/>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标准</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评价标准</w:t>
            </w:r>
          </w:p>
        </w:tc>
        <w:tc>
          <w:tcPr>
            <w:tcW w:w="1540" w:type="dxa"/>
            <w:gridSpan w:val="3"/>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国家标准</w:t>
            </w:r>
            <w:r>
              <w:rPr>
                <w:rFonts w:hint="default" w:ascii="Times New Roman" w:hAnsi="Times New Roman" w:eastAsia="宋体" w:cs="Times New Roman"/>
                <w:color w:val="auto"/>
                <w:kern w:val="0"/>
                <w:sz w:val="22"/>
                <w:szCs w:val="22"/>
                <w:u w:val="none" w:color="auto"/>
              </w:rPr>
              <w:sym w:font="Wingdings 2" w:char="0052"/>
            </w:r>
          </w:p>
        </w:tc>
        <w:tc>
          <w:tcPr>
            <w:tcW w:w="1958"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地方标准</w:t>
            </w:r>
            <w:r>
              <w:rPr>
                <w:rFonts w:hint="default" w:ascii="Times New Roman" w:hAnsi="Times New Roman" w:eastAsia="宋体" w:cs="Times New Roman"/>
                <w:color w:val="auto"/>
                <w:kern w:val="0"/>
                <w:sz w:val="22"/>
                <w:szCs w:val="22"/>
                <w:u w:val="none" w:color="auto"/>
              </w:rPr>
              <w:sym w:font="Wingdings 2" w:char="00A3"/>
            </w:r>
          </w:p>
        </w:tc>
        <w:tc>
          <w:tcPr>
            <w:tcW w:w="1906"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附录D□</w:t>
            </w:r>
          </w:p>
        </w:tc>
        <w:tc>
          <w:tcPr>
            <w:tcW w:w="1673" w:type="dxa"/>
            <w:gridSpan w:val="3"/>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环境功能区</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 □</w:t>
            </w:r>
          </w:p>
        </w:tc>
        <w:tc>
          <w:tcPr>
            <w:tcW w:w="301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二类区 </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一类区和二类区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评价基准年</w:t>
            </w:r>
          </w:p>
        </w:tc>
        <w:tc>
          <w:tcPr>
            <w:tcW w:w="7077" w:type="dxa"/>
            <w:gridSpan w:val="1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2017、</w:t>
            </w:r>
            <w:r>
              <w:rPr>
                <w:rFonts w:hint="default" w:ascii="Times New Roman" w:hAnsi="Times New Roman" w:eastAsia="宋体" w:cs="Times New Roman"/>
                <w:color w:val="auto"/>
                <w:kern w:val="0"/>
                <w:sz w:val="22"/>
                <w:szCs w:val="22"/>
                <w:u w:val="none" w:color="auto"/>
                <w:lang w:val="en-US" w:eastAsia="zh-CN"/>
              </w:rPr>
              <w:t>2018</w:t>
            </w:r>
            <w:r>
              <w:rPr>
                <w:rFonts w:hint="default" w:ascii="Times New Roman" w:hAnsi="Times New Roman" w:eastAsia="宋体" w:cs="Times New Roman"/>
                <w:color w:val="auto"/>
                <w:kern w:val="0"/>
                <w:sz w:val="22"/>
                <w:szCs w:val="22"/>
                <w:u w:val="none" w:color="auto"/>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环境空气质量现状调查数据来源</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长期例行监测</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数据□</w:t>
            </w:r>
          </w:p>
        </w:tc>
        <w:tc>
          <w:tcPr>
            <w:tcW w:w="301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主管部门发布的数据</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现状补充监测</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现状评价</w:t>
            </w:r>
          </w:p>
        </w:tc>
        <w:tc>
          <w:tcPr>
            <w:tcW w:w="3498"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达标区 </w:t>
            </w:r>
            <w:r>
              <w:rPr>
                <w:rFonts w:hint="default" w:ascii="Times New Roman" w:hAnsi="Times New Roman" w:eastAsia="宋体" w:cs="Times New Roman"/>
                <w:color w:val="auto"/>
                <w:kern w:val="0"/>
                <w:sz w:val="22"/>
                <w:szCs w:val="22"/>
                <w:u w:val="none" w:color="auto"/>
              </w:rPr>
              <w:sym w:font="Wingdings 2" w:char="00A3"/>
            </w:r>
          </w:p>
        </w:tc>
        <w:tc>
          <w:tcPr>
            <w:tcW w:w="3579" w:type="dxa"/>
            <w:gridSpan w:val="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不达标区 </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污染源调查</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调查内容</w:t>
            </w:r>
          </w:p>
        </w:tc>
        <w:tc>
          <w:tcPr>
            <w:tcW w:w="248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本项目正常排放源</w:t>
            </w:r>
            <w:r>
              <w:rPr>
                <w:rFonts w:hint="default" w:ascii="Times New Roman" w:hAnsi="Times New Roman" w:eastAsia="宋体" w:cs="Times New Roman"/>
                <w:color w:val="auto"/>
                <w:kern w:val="0"/>
                <w:sz w:val="22"/>
                <w:szCs w:val="22"/>
                <w:u w:val="none" w:color="auto"/>
              </w:rPr>
              <w:sym w:font="Wingdings 2" w:char="00A3"/>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本项目非正常排放源</w:t>
            </w:r>
            <w:r>
              <w:rPr>
                <w:rFonts w:hint="default" w:ascii="Times New Roman" w:hAnsi="Times New Roman" w:eastAsia="宋体" w:cs="Times New Roman"/>
                <w:color w:val="auto"/>
                <w:kern w:val="0"/>
                <w:sz w:val="22"/>
                <w:szCs w:val="22"/>
                <w:u w:val="none" w:color="auto"/>
              </w:rPr>
              <w:sym w:font="Wingdings 2" w:char="00A3"/>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现有污染源□</w:t>
            </w:r>
          </w:p>
        </w:tc>
        <w:tc>
          <w:tcPr>
            <w:tcW w:w="1425" w:type="dxa"/>
            <w:gridSpan w:val="3"/>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拟替代的污染源□</w:t>
            </w:r>
          </w:p>
        </w:tc>
        <w:tc>
          <w:tcPr>
            <w:tcW w:w="1723"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其他在建、拟建项目污染源□</w:t>
            </w:r>
          </w:p>
        </w:tc>
        <w:tc>
          <w:tcPr>
            <w:tcW w:w="1444"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大气环境影响预测与评价</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预测模型</w:t>
            </w:r>
          </w:p>
        </w:tc>
        <w:tc>
          <w:tcPr>
            <w:tcW w:w="1087"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AERMOD</w:t>
            </w:r>
            <w:r>
              <w:rPr>
                <w:rFonts w:hint="default" w:ascii="Times New Roman" w:hAnsi="Times New Roman" w:eastAsia="宋体" w:cs="Times New Roman"/>
                <w:color w:val="auto"/>
                <w:kern w:val="0"/>
                <w:sz w:val="22"/>
                <w:szCs w:val="22"/>
                <w:u w:val="none" w:color="auto"/>
              </w:rPr>
              <w:sym w:font="Wingdings 2" w:char="00A3"/>
            </w:r>
          </w:p>
        </w:tc>
        <w:tc>
          <w:tcPr>
            <w:tcW w:w="870"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ADMS□</w:t>
            </w:r>
          </w:p>
        </w:tc>
        <w:tc>
          <w:tcPr>
            <w:tcW w:w="950"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STAL2000□</w:t>
            </w:r>
          </w:p>
        </w:tc>
        <w:tc>
          <w:tcPr>
            <w:tcW w:w="1003"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EDMS/ASDT□</w:t>
            </w:r>
          </w:p>
        </w:tc>
        <w:tc>
          <w:tcPr>
            <w:tcW w:w="1062"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GALP</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FF□</w:t>
            </w:r>
          </w:p>
        </w:tc>
        <w:tc>
          <w:tcPr>
            <w:tcW w:w="124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网格模型□</w:t>
            </w:r>
          </w:p>
        </w:tc>
        <w:tc>
          <w:tcPr>
            <w:tcW w:w="86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预测范围</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p>
        </w:tc>
        <w:tc>
          <w:tcPr>
            <w:tcW w:w="301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w:t>
            </w:r>
          </w:p>
        </w:tc>
        <w:tc>
          <w:tcPr>
            <w:tcW w:w="4170" w:type="dxa"/>
            <w:gridSpan w:val="10"/>
            <w:tcBorders>
              <w:tl2br w:val="nil"/>
              <w:tr2bl w:val="nil"/>
            </w:tcBorders>
            <w:noWrap w:val="0"/>
            <w:vAlign w:val="center"/>
          </w:tcPr>
          <w:p>
            <w:pPr>
              <w:pStyle w:val="4"/>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 xml:space="preserve">□          </w:t>
            </w:r>
          </w:p>
          <w:p>
            <w:pPr>
              <w:pStyle w:val="4"/>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正常排放短期浓度贡献值</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0"/>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正常排放年均浓度贡献值</w:t>
            </w:r>
          </w:p>
        </w:tc>
        <w:tc>
          <w:tcPr>
            <w:tcW w:w="1197"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w:t>
            </w:r>
          </w:p>
        </w:tc>
        <w:tc>
          <w:tcPr>
            <w:tcW w:w="3102"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w:t>
            </w:r>
          </w:p>
        </w:tc>
        <w:tc>
          <w:tcPr>
            <w:tcW w:w="2778"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197"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二类区</w:t>
            </w:r>
          </w:p>
        </w:tc>
        <w:tc>
          <w:tcPr>
            <w:tcW w:w="3102"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最大占标率≤30%</w:t>
            </w:r>
            <w:r>
              <w:rPr>
                <w:rFonts w:hint="default" w:ascii="Times New Roman" w:hAnsi="Times New Roman" w:eastAsia="宋体" w:cs="Times New Roman"/>
                <w:color w:val="auto"/>
                <w:kern w:val="0"/>
                <w:sz w:val="22"/>
                <w:szCs w:val="22"/>
                <w:u w:val="none" w:color="auto"/>
              </w:rPr>
              <w:sym w:font="Wingdings 2" w:char="00A3"/>
            </w:r>
          </w:p>
        </w:tc>
        <w:tc>
          <w:tcPr>
            <w:tcW w:w="2778"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非正常排放1h浓度</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非正常持续时长（     ）h</w:t>
            </w:r>
          </w:p>
        </w:tc>
        <w:tc>
          <w:tcPr>
            <w:tcW w:w="2065"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保证率日平均浓度和年平均浓度叠加值</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 xml:space="preserve">达标 </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0"/>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不达标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区域环境质量的整体变化情况</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c>
          <w:tcPr>
            <w:tcW w:w="4170" w:type="dxa"/>
            <w:gridSpan w:val="10"/>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环境监测计划</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污染源监测</w:t>
            </w:r>
          </w:p>
        </w:tc>
        <w:tc>
          <w:tcPr>
            <w:tcW w:w="2907" w:type="dxa"/>
            <w:gridSpan w:val="7"/>
            <w:tcBorders>
              <w:tl2br w:val="nil"/>
              <w:tr2bl w:val="nil"/>
            </w:tcBorders>
            <w:noWrap w:val="0"/>
            <w:vAlign w:val="center"/>
          </w:tcPr>
          <w:p>
            <w:pPr>
              <w:pStyle w:val="14"/>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w:t>
            </w:r>
          </w:p>
        </w:tc>
        <w:tc>
          <w:tcPr>
            <w:tcW w:w="2348"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有组织废气监测</w:t>
            </w:r>
            <w:r>
              <w:rPr>
                <w:rFonts w:hint="default" w:ascii="Times New Roman" w:hAnsi="Times New Roman" w:eastAsia="宋体" w:cs="Times New Roman"/>
                <w:color w:val="auto"/>
                <w:kern w:val="0"/>
                <w:sz w:val="22"/>
                <w:szCs w:val="22"/>
                <w:u w:val="none" w:color="auto"/>
              </w:rPr>
              <w:sym w:font="Wingdings 2" w:char="00A3"/>
            </w:r>
          </w:p>
          <w:p>
            <w:pPr>
              <w:keepNext w:val="0"/>
              <w:keepLines w:val="0"/>
              <w:pageBreakBefore w:val="0"/>
              <w:widowControl w:val="0"/>
              <w:kinsoku/>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无组织废气监测</w:t>
            </w:r>
            <w:r>
              <w:rPr>
                <w:rFonts w:hint="default" w:ascii="Times New Roman" w:hAnsi="Times New Roman" w:eastAsia="宋体" w:cs="Times New Roman"/>
                <w:color w:val="auto"/>
                <w:kern w:val="0"/>
                <w:sz w:val="22"/>
                <w:szCs w:val="22"/>
                <w:u w:val="none" w:color="auto"/>
              </w:rPr>
              <w:sym w:font="Wingdings 2" w:char="0052"/>
            </w:r>
          </w:p>
        </w:tc>
        <w:tc>
          <w:tcPr>
            <w:tcW w:w="1822"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环境质量</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2348"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监测点位数（</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1822"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结论</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环境影响</w:t>
            </w:r>
          </w:p>
        </w:tc>
        <w:tc>
          <w:tcPr>
            <w:tcW w:w="7077" w:type="dxa"/>
            <w:gridSpan w:val="1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可以接受</w:t>
            </w:r>
            <w:r>
              <w:rPr>
                <w:rFonts w:hint="default" w:ascii="Times New Roman" w:hAnsi="Times New Roman" w:eastAsia="宋体" w:cs="Times New Roman"/>
                <w:color w:val="auto"/>
                <w:kern w:val="0"/>
                <w:sz w:val="22"/>
                <w:szCs w:val="22"/>
                <w:u w:val="none" w:color="auto"/>
              </w:rPr>
              <w:sym w:font="Wingdings 2" w:char="0052"/>
            </w:r>
            <w:r>
              <w:rPr>
                <w:rFonts w:hint="default" w:ascii="Times New Roman" w:hAnsi="Times New Roman" w:eastAsia="宋体" w:cs="Times New Roman"/>
                <w:color w:val="auto"/>
                <w:kern w:val="0"/>
                <w:sz w:val="22"/>
                <w:szCs w:val="22"/>
                <w:u w:val="none" w:color="auto"/>
              </w:rPr>
              <w:t xml:space="preserve">      不可以接受□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大气环境防护距离</w:t>
            </w:r>
          </w:p>
        </w:tc>
        <w:tc>
          <w:tcPr>
            <w:tcW w:w="7077" w:type="dxa"/>
            <w:gridSpan w:val="1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距（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）厂界最远（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污染源年排放量</w:t>
            </w:r>
          </w:p>
        </w:tc>
        <w:tc>
          <w:tcPr>
            <w:tcW w:w="1745"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0.00123</w:t>
            </w:r>
            <w:r>
              <w:rPr>
                <w:rFonts w:hint="default" w:ascii="Times New Roman" w:hAnsi="Times New Roman" w:eastAsia="宋体" w:cs="Times New Roman"/>
                <w:color w:val="auto"/>
                <w:kern w:val="0"/>
                <w:sz w:val="22"/>
                <w:szCs w:val="22"/>
                <w:u w:val="none" w:color="auto"/>
              </w:rPr>
              <w:t>）t/a</w:t>
            </w:r>
          </w:p>
        </w:tc>
        <w:tc>
          <w:tcPr>
            <w:tcW w:w="1753"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0.01067</w:t>
            </w:r>
            <w:r>
              <w:rPr>
                <w:rFonts w:hint="default" w:ascii="Times New Roman" w:hAnsi="Times New Roman" w:eastAsia="宋体" w:cs="Times New Roman"/>
                <w:color w:val="auto"/>
                <w:kern w:val="0"/>
                <w:sz w:val="22"/>
                <w:szCs w:val="22"/>
                <w:u w:val="none" w:color="auto"/>
              </w:rPr>
              <w:t>）t/a</w:t>
            </w:r>
          </w:p>
        </w:tc>
        <w:tc>
          <w:tcPr>
            <w:tcW w:w="17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lang w:val="en-US" w:eastAsia="zh-CN"/>
              </w:rPr>
              <w:t>颗粒物</w:t>
            </w: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2.07</w:t>
            </w:r>
            <w:r>
              <w:rPr>
                <w:rFonts w:hint="default" w:ascii="Times New Roman" w:hAnsi="Times New Roman" w:eastAsia="宋体" w:cs="Times New Roman"/>
                <w:color w:val="auto"/>
                <w:kern w:val="0"/>
                <w:sz w:val="22"/>
                <w:szCs w:val="22"/>
                <w:u w:val="none" w:color="auto"/>
              </w:rPr>
              <w:t>）t/a</w:t>
            </w:r>
          </w:p>
        </w:tc>
        <w:tc>
          <w:tcPr>
            <w:tcW w:w="1822"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VOCs（</w:t>
            </w:r>
            <w:r>
              <w:rPr>
                <w:rFonts w:hint="eastAsia" w:cs="Times New Roman"/>
                <w:color w:val="auto"/>
                <w:kern w:val="0"/>
                <w:sz w:val="22"/>
                <w:szCs w:val="22"/>
                <w:u w:val="none" w:color="auto"/>
                <w:lang w:val="en-US" w:eastAsia="zh-CN"/>
              </w:rPr>
              <w:t>0.703</w:t>
            </w:r>
            <w:r>
              <w:rPr>
                <w:rFonts w:hint="default" w:ascii="Times New Roman" w:hAnsi="Times New Roman" w:eastAsia="宋体" w:cs="Times New Roman"/>
                <w:color w:val="auto"/>
                <w:kern w:val="0"/>
                <w:sz w:val="22"/>
                <w:szCs w:val="22"/>
                <w:u w:val="none" w:color="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1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注：“□”为勾选项，填“√”；“（   ）”为内容填写项</w:t>
            </w:r>
          </w:p>
        </w:tc>
      </w:tr>
    </w:tbl>
    <w:p>
      <w:pPr>
        <w:jc w:val="center"/>
        <w:rPr>
          <w:rFonts w:hint="default" w:ascii="Times New Roman" w:hAnsi="Times New Roman" w:cs="Times New Roman"/>
          <w:b/>
          <w:bCs/>
          <w:color w:val="auto"/>
          <w:sz w:val="28"/>
          <w:szCs w:val="36"/>
          <w:u w:val="none" w:color="auto"/>
          <w:lang w:eastAsia="zh-CN"/>
        </w:rPr>
      </w:pPr>
      <w:r>
        <w:rPr>
          <w:rFonts w:hint="eastAsia" w:ascii="Times New Roman" w:hAnsi="Times New Roman" w:cs="Times New Roman"/>
          <w:b/>
          <w:bCs/>
          <w:color w:val="auto"/>
          <w:sz w:val="28"/>
          <w:szCs w:val="36"/>
          <w:u w:val="none" w:color="auto"/>
          <w:lang w:val="en-US" w:eastAsia="zh-CN"/>
        </w:rPr>
        <w:t xml:space="preserve"> </w:t>
      </w:r>
      <w:r>
        <w:rPr>
          <w:rFonts w:hint="default" w:ascii="Times New Roman" w:hAnsi="Times New Roman" w:cs="Times New Roman"/>
          <w:b/>
          <w:bCs/>
          <w:color w:val="auto"/>
          <w:sz w:val="28"/>
          <w:szCs w:val="36"/>
          <w:u w:val="none" w:color="auto"/>
          <w:lang w:eastAsia="zh-CN"/>
        </w:rPr>
        <w:t>地表水环境影响评价自查表</w:t>
      </w:r>
    </w:p>
    <w:tbl>
      <w:tblPr>
        <w:tblStyle w:val="40"/>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1351"/>
        <w:gridCol w:w="1091"/>
        <w:gridCol w:w="533"/>
        <w:gridCol w:w="925"/>
        <w:gridCol w:w="602"/>
        <w:gridCol w:w="589"/>
        <w:gridCol w:w="13"/>
        <w:gridCol w:w="217"/>
        <w:gridCol w:w="755"/>
        <w:gridCol w:w="405"/>
        <w:gridCol w:w="163"/>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工作内容</w:t>
            </w:r>
          </w:p>
        </w:tc>
        <w:tc>
          <w:tcPr>
            <w:tcW w:w="6664" w:type="dxa"/>
            <w:gridSpan w:val="11"/>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响</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识</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别</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影响类型</w:t>
            </w:r>
          </w:p>
        </w:tc>
        <w:tc>
          <w:tcPr>
            <w:tcW w:w="6664" w:type="dxa"/>
            <w:gridSpan w:val="11"/>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；水文要素影响型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1"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饮用水水源保护区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□；饮用水取水口</w:t>
            </w:r>
            <w:r>
              <w:rPr>
                <w:rFonts w:hint="default" w:ascii="Times New Roman" w:hAnsi="Times New Roman" w:eastAsia="宋体" w:cs="Times New Roman"/>
                <w:b w:val="0"/>
                <w:bCs w:val="0"/>
                <w:color w:val="auto"/>
                <w:sz w:val="22"/>
                <w:szCs w:val="22"/>
                <w:u w:val="none" w:color="auto"/>
                <w:vertAlign w:val="baseline"/>
                <w:lang w:val="en-US" w:eastAsia="zh-CN"/>
              </w:rPr>
              <w:t xml:space="preserve"> 涉水的自然保护区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重要湿地 </w:t>
            </w:r>
            <w:r>
              <w:rPr>
                <w:rFonts w:hint="default" w:ascii="Times New Roman" w:hAnsi="Times New Roman" w:eastAsia="宋体" w:cs="Times New Roman"/>
                <w:b w:val="0"/>
                <w:bCs w:val="0"/>
                <w:color w:val="auto"/>
                <w:sz w:val="22"/>
                <w:szCs w:val="22"/>
                <w:u w:val="none" w:color="auto"/>
                <w:vertAlign w:val="baseline"/>
                <w:lang w:eastAsia="zh-CN"/>
              </w:rPr>
              <w:t>□；重点保护与珍稀水生生物的栖息地</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□；重要水生生物的自然产卵场及索饵场 、越冬场、洄游通道、天然渔场等渔业水体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□；涉水的风景名胜区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val="en-US" w:eastAsia="zh-CN"/>
              </w:rPr>
              <w:t>影响途径</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；径流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；水域面积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影响因子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持久性污染源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□；有毒有害污染物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□；非持久性污染物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pH值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；热污染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□；富营养化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；水位（水深）□；流速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□；流量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评价等级</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A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三级B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现状调查</w:t>
            </w: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区域污染源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val="en-US" w:eastAsia="zh-CN"/>
              </w:rPr>
              <w:t>调查项目</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624"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已建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；在建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□；拟建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27"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拟替代的污染源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□；环评</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；环保验收</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；既有实测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□；现场监测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；入河排放口数据</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受影响水体水环境质量</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生态环境保护主管部门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；补充监测 □；其他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区域水资源开发利用状况</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未开发 □；开发量</w:t>
            </w:r>
            <w:r>
              <w:rPr>
                <w:rFonts w:hint="default" w:ascii="Times New Roman" w:hAnsi="Times New Roman" w:eastAsia="宋体" w:cs="Times New Roman"/>
                <w:b w:val="0"/>
                <w:bCs w:val="0"/>
                <w:color w:val="auto"/>
                <w:sz w:val="22"/>
                <w:szCs w:val="22"/>
                <w:u w:val="none" w:color="auto"/>
                <w:vertAlign w:val="baseline"/>
                <w:lang w:val="en-US" w:eastAsia="zh-CN"/>
              </w:rPr>
              <w:t>40%以下 □；</w:t>
            </w:r>
            <w:r>
              <w:rPr>
                <w:rFonts w:hint="default" w:ascii="Times New Roman" w:hAnsi="Times New Roman" w:eastAsia="宋体" w:cs="Times New Roman"/>
                <w:b w:val="0"/>
                <w:bCs w:val="0"/>
                <w:color w:val="auto"/>
                <w:sz w:val="22"/>
                <w:szCs w:val="22"/>
                <w:u w:val="none" w:color="auto"/>
                <w:vertAlign w:val="baseline"/>
                <w:lang w:eastAsia="zh-CN"/>
              </w:rPr>
              <w:t>开发量</w:t>
            </w:r>
            <w:r>
              <w:rPr>
                <w:rFonts w:hint="default" w:ascii="Times New Roman" w:hAnsi="Times New Roman" w:eastAsia="宋体" w:cs="Times New Roman"/>
                <w:b w:val="0"/>
                <w:bCs w:val="0"/>
                <w:color w:val="auto"/>
                <w:sz w:val="22"/>
                <w:szCs w:val="22"/>
                <w:u w:val="none" w:color="auto"/>
                <w:vertAlign w:val="baseline"/>
                <w:lang w:val="en-US" w:eastAsia="zh-CN"/>
              </w:rPr>
              <w:t xml:space="preserve">40%以上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水文情势调查</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水行政主管部门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；补充监测 □；</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补充监测</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监测时期</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1939" w:type="dxa"/>
            <w:gridSpan w:val="3"/>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939" w:type="dxa"/>
            <w:gridSpan w:val="3"/>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监测断面或点位个数（</w:t>
            </w:r>
            <w:r>
              <w:rPr>
                <w:rFonts w:hint="eastAsia"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评价因子</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评价标准</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河流、湖库、河口：Ⅰ类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□；Ⅱ类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□；Ⅲ类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；Ⅳ类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□；Ⅴ类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近岸海域：第一类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□；第二类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□；第三类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□；第四类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规划年评价标准（）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；秋季 □；冬季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restart"/>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水功能环境区或水功能区、近岸海域环境功能区水质达标状况 □：</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水环境保护目标质量状况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对照断面、控制断面等代表性断面的水质状况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底泥污染评价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水资源与开发利用程度及其水文情势评价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水环境质量回顾评价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流域（区域）水资源（包括水能资源）与开发利用总体状况、生态流量管理要求与现状满意程度、建设项目占用水域空间的水流状况与河湖演变状况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8"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影响预测</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预测因子</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丰水期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平水期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枯水期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冰封期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春季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 □；</w:t>
            </w:r>
            <w:r>
              <w:rPr>
                <w:rFonts w:hint="default" w:ascii="Times New Roman" w:hAnsi="Times New Roman" w:eastAsia="宋体" w:cs="Times New Roman"/>
                <w:b w:val="0"/>
                <w:bCs w:val="0"/>
                <w:color w:val="auto"/>
                <w:sz w:val="22"/>
                <w:szCs w:val="22"/>
                <w:u w:val="none" w:color="auto"/>
                <w:vertAlign w:val="baseline"/>
                <w:lang w:val="en-US" w:eastAsia="zh-CN"/>
              </w:rPr>
              <w:t xml:space="preserve"> 设计水文条件  </w:t>
            </w: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预测情景</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建设期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□；生产运行期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□；服务期满后</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；非正常工况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污染控制和减缓措施方案</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区（流）域环境质量改善目标要求情景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预测方法</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数值解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□；解析解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导则推荐模式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水污染控制和水环境影响减缓措施有效性评价</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；替代削减源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水环境影响评价</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排放口混合区外满足水环境管理要求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水环境功能区或水功能区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近岸海域环境功能区水质达标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满足水环境保护目标水域水环境质量要求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重点满足水污染物排放总量控制指标要求、重点行业建设项目，主要污染物排放满足等量或减量替代要求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满足区（流）域环境质量改善目标要求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水文要素影响型建设项目同时应包括水文情势变化评价、主要水文特征值影响评价、生态流量符合性评价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对于新设或调整入河（湖库、近岸海域）排放口的建设项目、应包括排放口设置的环境合理评价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满足生态保护红线、水环境质量底线、资源利用上线和环境准入清单管理要求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污染源排放量核算</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eastAsia"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化学需</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氧量</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0.3</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氨氮</w:t>
            </w:r>
          </w:p>
        </w:tc>
        <w:tc>
          <w:tcPr>
            <w:tcW w:w="2879" w:type="dxa"/>
            <w:gridSpan w:val="6"/>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0.048</w:t>
            </w:r>
          </w:p>
        </w:tc>
        <w:tc>
          <w:tcPr>
            <w:tcW w:w="2694"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替代源排放情况</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污染源名称</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排污许可证编号</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生态流量</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确定</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生态流量：一般水期（）</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生态水位：一般水期（）</w:t>
            </w:r>
            <w:r>
              <w:rPr>
                <w:rFonts w:hint="default" w:ascii="Times New Roman" w:hAnsi="Times New Roman" w:eastAsia="宋体" w:cs="Times New Roman"/>
                <w:b w:val="0"/>
                <w:bCs w:val="0"/>
                <w:color w:val="auto"/>
                <w:sz w:val="22"/>
                <w:szCs w:val="22"/>
                <w:u w:val="none" w:color="auto"/>
                <w:vertAlign w:val="baseline"/>
                <w:lang w:val="en-US" w:eastAsia="zh-CN"/>
              </w:rPr>
              <w:t>m；鱼类繁殖期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防治措施</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环保措施</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地埋式一体化污水处理设施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；水文减缓措施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□；生态流量保障设施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□；区域削减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□；依托其他工程措施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监测计划</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环境质量</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监测方式</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监测点位</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eastAsia="zh-CN"/>
              </w:rPr>
              <w:t>废水总排口</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val="en-US" w:eastAsia="zh-CN"/>
              </w:rPr>
              <w:t>PH值、化学需氧量、氨氮、动植物油、SS</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污染物排</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放清单</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；不可以接受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9514" w:type="dxa"/>
            <w:gridSpan w:val="13"/>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注：“□”为勾选项，可</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：“（）”为内容填写项；“备注”为其他补充内容</w:t>
            </w:r>
          </w:p>
        </w:tc>
      </w:tr>
    </w:tbl>
    <w:p>
      <w:pPr>
        <w:jc w:val="center"/>
        <w:rPr>
          <w:rFonts w:hint="default" w:ascii="Times New Roman" w:hAnsi="Times New Roman" w:eastAsia="宋体" w:cs="Times New Roman"/>
          <w:b/>
          <w:bCs/>
          <w:color w:val="auto"/>
          <w:sz w:val="28"/>
          <w:szCs w:val="36"/>
          <w:u w:val="none" w:color="auto"/>
        </w:rPr>
      </w:pPr>
      <w:r>
        <w:rPr>
          <w:rFonts w:hint="eastAsia" w:ascii="Times New Roman" w:hAnsi="Times New Roman" w:eastAsia="宋体" w:cs="Times New Roman"/>
          <w:b/>
          <w:bCs/>
          <w:color w:val="auto"/>
          <w:sz w:val="28"/>
          <w:szCs w:val="36"/>
          <w:u w:val="none" w:color="auto"/>
          <w:lang w:val="en-US" w:eastAsia="zh-CN"/>
        </w:rPr>
        <w:t xml:space="preserve"> </w:t>
      </w:r>
      <w:r>
        <w:rPr>
          <w:rFonts w:hint="default" w:ascii="Times New Roman" w:hAnsi="Times New Roman" w:eastAsia="宋体" w:cs="Times New Roman"/>
          <w:b/>
          <w:bCs/>
          <w:color w:val="auto"/>
          <w:sz w:val="28"/>
          <w:szCs w:val="36"/>
          <w:u w:val="none" w:color="auto"/>
        </w:rPr>
        <w:t>环境风险评价自查表</w:t>
      </w:r>
    </w:p>
    <w:tbl>
      <w:tblPr>
        <w:tblStyle w:val="40"/>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5"/>
        <w:gridCol w:w="1082"/>
        <w:gridCol w:w="844"/>
        <w:gridCol w:w="340"/>
        <w:gridCol w:w="349"/>
        <w:gridCol w:w="408"/>
        <w:gridCol w:w="278"/>
        <w:gridCol w:w="182"/>
        <w:gridCol w:w="1"/>
        <w:gridCol w:w="506"/>
        <w:gridCol w:w="689"/>
        <w:gridCol w:w="9"/>
        <w:gridCol w:w="732"/>
        <w:gridCol w:w="114"/>
        <w:gridCol w:w="12"/>
        <w:gridCol w:w="506"/>
        <w:gridCol w:w="1"/>
        <w:gridCol w:w="10"/>
        <w:gridCol w:w="967"/>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工作内容</w:t>
            </w: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风险调查</w:t>
            </w: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危险物质</w:t>
            </w: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375" w:type="dxa"/>
            <w:gridSpan w:val="4"/>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油类物质</w:t>
            </w:r>
          </w:p>
        </w:tc>
        <w:tc>
          <w:tcPr>
            <w:tcW w:w="1378" w:type="dxa"/>
            <w:gridSpan w:val="4"/>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绝缘漆</w:t>
            </w:r>
          </w:p>
        </w:tc>
        <w:tc>
          <w:tcPr>
            <w:tcW w:w="1374" w:type="dxa"/>
            <w:gridSpan w:val="6"/>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稀释剂</w:t>
            </w:r>
          </w:p>
        </w:tc>
        <w:tc>
          <w:tcPr>
            <w:tcW w:w="977" w:type="dxa"/>
            <w:gridSpan w:val="2"/>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液化石油气</w:t>
            </w:r>
          </w:p>
        </w:tc>
        <w:tc>
          <w:tcPr>
            <w:tcW w:w="1139"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存在总量/t</w:t>
            </w:r>
          </w:p>
        </w:tc>
        <w:tc>
          <w:tcPr>
            <w:tcW w:w="1375"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0.5</w:t>
            </w:r>
          </w:p>
        </w:tc>
        <w:tc>
          <w:tcPr>
            <w:tcW w:w="1378"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0.3</w:t>
            </w:r>
          </w:p>
        </w:tc>
        <w:tc>
          <w:tcPr>
            <w:tcW w:w="1374" w:type="dxa"/>
            <w:gridSpan w:val="6"/>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0.05</w:t>
            </w:r>
          </w:p>
        </w:tc>
        <w:tc>
          <w:tcPr>
            <w:tcW w:w="977" w:type="dxa"/>
            <w:gridSpan w:val="2"/>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0.5</w:t>
            </w:r>
          </w:p>
        </w:tc>
        <w:tc>
          <w:tcPr>
            <w:tcW w:w="1139"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环境敏感性</w:t>
            </w:r>
          </w:p>
        </w:tc>
        <w:tc>
          <w:tcPr>
            <w:tcW w:w="844"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2753" w:type="dxa"/>
            <w:gridSpan w:val="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500m范围内人口数___</w:t>
            </w:r>
            <w:r>
              <w:rPr>
                <w:rFonts w:hint="eastAsia" w:ascii="Times New Roman" w:hAnsi="Times New Roman" w:cs="Times New Roman"/>
                <w:color w:val="auto"/>
                <w:sz w:val="22"/>
                <w:szCs w:val="22"/>
                <w:u w:val="none" w:color="auto"/>
                <w:lang w:eastAsia="zh-CN"/>
              </w:rPr>
              <w:t>小于</w:t>
            </w:r>
            <w:r>
              <w:rPr>
                <w:rFonts w:hint="default" w:ascii="Times New Roman" w:hAnsi="Times New Roman" w:cs="Times New Roman"/>
                <w:color w:val="auto"/>
                <w:sz w:val="22"/>
                <w:szCs w:val="22"/>
                <w:u w:val="none" w:color="auto"/>
                <w:lang w:val="en-US" w:eastAsia="zh-CN"/>
              </w:rPr>
              <w:t>500</w:t>
            </w:r>
            <w:r>
              <w:rPr>
                <w:rFonts w:hint="default" w:ascii="Times New Roman" w:hAnsi="Times New Roman" w:cs="Times New Roman"/>
                <w:color w:val="auto"/>
                <w:sz w:val="22"/>
                <w:szCs w:val="22"/>
                <w:u w:val="none" w:color="auto"/>
              </w:rPr>
              <w:t>____人</w:t>
            </w:r>
          </w:p>
        </w:tc>
        <w:tc>
          <w:tcPr>
            <w:tcW w:w="3490" w:type="dxa"/>
            <w:gridSpan w:val="9"/>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5km范围内人口数_______人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4126" w:type="dxa"/>
            <w:gridSpan w:val="1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每公里管段周边200m范围内人口数（最大）</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地表水功能敏感性</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环境敏感目标分级</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地下水功能敏感性</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包气带防污性能</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物质及工艺系统危险性</w:t>
            </w: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Q值</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Q＜1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1≤Q＜10□</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10≤Q＜100□</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M值</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M2□</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M3□</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P值</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P1□</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P2□</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P3□</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P4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环境敏感程度</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E2</w:t>
            </w:r>
            <w:r>
              <w:rPr>
                <w:rFonts w:hint="eastAsia" w:cs="Times New Roman"/>
                <w:color w:val="auto"/>
                <w:sz w:val="22"/>
                <w:szCs w:val="22"/>
                <w:u w:val="none" w:color="auto"/>
                <w:lang w:eastAsia="zh-CN"/>
              </w:rPr>
              <w:t>□</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环境风险潜势</w:t>
            </w:r>
          </w:p>
        </w:tc>
        <w:tc>
          <w:tcPr>
            <w:tcW w:w="1184"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r>
              <w:rPr>
                <w:rFonts w:hint="eastAsia" w:cs="Times New Roman"/>
                <w:color w:val="auto"/>
                <w:sz w:val="22"/>
                <w:szCs w:val="22"/>
                <w:u w:val="none" w:color="auto"/>
                <w:lang w:eastAsia="zh-CN"/>
              </w:rPr>
              <w:t>□</w:t>
            </w:r>
          </w:p>
        </w:tc>
        <w:tc>
          <w:tcPr>
            <w:tcW w:w="12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p>
        </w:tc>
        <w:tc>
          <w:tcPr>
            <w:tcW w:w="1205"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III□</w:t>
            </w:r>
          </w:p>
        </w:tc>
        <w:tc>
          <w:tcPr>
            <w:tcW w:w="137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w:t>
            </w:r>
          </w:p>
        </w:tc>
        <w:tc>
          <w:tcPr>
            <w:tcW w:w="2106"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评价等级</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一级□</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二级□</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三级□</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简单分析</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风险识别</w:t>
            </w: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物质危险性</w:t>
            </w:r>
          </w:p>
        </w:tc>
        <w:tc>
          <w:tcPr>
            <w:tcW w:w="2908" w:type="dxa"/>
            <w:gridSpan w:val="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有毒有害□</w:t>
            </w:r>
          </w:p>
        </w:tc>
        <w:tc>
          <w:tcPr>
            <w:tcW w:w="4179" w:type="dxa"/>
            <w:gridSpan w:val="10"/>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易燃易爆</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环境风险类型</w:t>
            </w:r>
          </w:p>
        </w:tc>
        <w:tc>
          <w:tcPr>
            <w:tcW w:w="2908" w:type="dxa"/>
            <w:gridSpan w:val="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泄漏</w:t>
            </w:r>
            <w:r>
              <w:rPr>
                <w:rFonts w:hint="default" w:ascii="Times New Roman" w:hAnsi="Times New Roman" w:cs="Times New Roman"/>
                <w:color w:val="auto"/>
                <w:sz w:val="22"/>
                <w:szCs w:val="22"/>
                <w:u w:val="none" w:color="auto"/>
              </w:rPr>
              <w:sym w:font="Wingdings 2" w:char="0052"/>
            </w:r>
          </w:p>
        </w:tc>
        <w:tc>
          <w:tcPr>
            <w:tcW w:w="4179" w:type="dxa"/>
            <w:gridSpan w:val="10"/>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火灾、爆炸引发伴生/次生污染物排放</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影响途径</w:t>
            </w:r>
          </w:p>
        </w:tc>
        <w:tc>
          <w:tcPr>
            <w:tcW w:w="1941"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大气</w:t>
            </w:r>
            <w:r>
              <w:rPr>
                <w:rFonts w:hint="default" w:ascii="Times New Roman" w:hAnsi="Times New Roman" w:cs="Times New Roman"/>
                <w:color w:val="auto"/>
                <w:sz w:val="22"/>
                <w:szCs w:val="22"/>
                <w:u w:val="none" w:color="auto"/>
                <w:lang w:eastAsia="zh-CN"/>
              </w:rPr>
              <w:sym w:font="Wingdings 2" w:char="0052"/>
            </w:r>
          </w:p>
        </w:tc>
        <w:tc>
          <w:tcPr>
            <w:tcW w:w="2397" w:type="dxa"/>
            <w:gridSpan w:val="7"/>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地表水</w:t>
            </w:r>
            <w:r>
              <w:rPr>
                <w:rFonts w:hint="default" w:ascii="Times New Roman" w:hAnsi="Times New Roman" w:cs="Times New Roman"/>
                <w:color w:val="auto"/>
                <w:sz w:val="22"/>
                <w:szCs w:val="22"/>
                <w:u w:val="none" w:color="auto"/>
                <w:lang w:eastAsia="zh-CN"/>
              </w:rPr>
              <w:t>☑</w:t>
            </w:r>
          </w:p>
        </w:tc>
        <w:tc>
          <w:tcPr>
            <w:tcW w:w="2749" w:type="dxa"/>
            <w:gridSpan w:val="7"/>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事故情形分析</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源强设定方法</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计算法□</w:t>
            </w:r>
          </w:p>
        </w:tc>
        <w:tc>
          <w:tcPr>
            <w:tcW w:w="1430"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经验估算法□</w:t>
            </w:r>
          </w:p>
        </w:tc>
        <w:tc>
          <w:tcPr>
            <w:tcW w:w="2749" w:type="dxa"/>
            <w:gridSpan w:val="7"/>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其他估算法</w:t>
            </w:r>
            <w:r>
              <w:rPr>
                <w:rFonts w:hint="default" w:ascii="Times New Roman" w:hAnsi="Times New Roman" w:cs="Times New Roman"/>
                <w:color w:val="auto"/>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1345"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风险预测与评价</w:t>
            </w: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预测模型</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SLAB□</w:t>
            </w:r>
          </w:p>
        </w:tc>
        <w:tc>
          <w:tcPr>
            <w:tcW w:w="1556"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AFTOX□</w:t>
            </w:r>
          </w:p>
        </w:tc>
        <w:tc>
          <w:tcPr>
            <w:tcW w:w="262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w:t>
            </w:r>
            <w:r>
              <w:rPr>
                <w:rFonts w:hint="default" w:ascii="Times New Roman" w:hAnsi="Times New Roman" w:cs="Times New Roman"/>
                <w:color w:val="auto"/>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预测结果</w:t>
            </w:r>
          </w:p>
        </w:tc>
        <w:tc>
          <w:tcPr>
            <w:tcW w:w="5554" w:type="dxa"/>
            <w:gridSpan w:val="1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大气毒性终点浓度-1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5554" w:type="dxa"/>
            <w:gridSpan w:val="1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大气毒性终点浓度-2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下游厂区边界到达时间_____d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1345"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重点风险</w:t>
            </w:r>
          </w:p>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防范措施</w:t>
            </w:r>
          </w:p>
        </w:tc>
        <w:tc>
          <w:tcPr>
            <w:tcW w:w="8169" w:type="dxa"/>
            <w:gridSpan w:val="19"/>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地面防渗，设置围堰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1345"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评价结论与建议</w:t>
            </w:r>
          </w:p>
        </w:tc>
        <w:tc>
          <w:tcPr>
            <w:tcW w:w="8169" w:type="dxa"/>
            <w:gridSpan w:val="19"/>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综上所述，项目存在一定风险，在采取相应的风险防范措施下，项目的风险处于环境可接受的水平，项目建设从环境风险角度分析可行</w:t>
            </w:r>
            <w:r>
              <w:rPr>
                <w:rFonts w:hint="default" w:ascii="Times New Roman" w:hAnsi="Times New Roman" w:cs="Times New Roman"/>
                <w:color w:val="auto"/>
                <w:sz w:val="22"/>
                <w:szCs w:val="22"/>
                <w:u w:val="none" w:color="auto"/>
                <w:lang w:val="en-US"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9514" w:type="dxa"/>
            <w:gridSpan w:val="20"/>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注：“□”为勾选项；“_____”为填写项</w:t>
            </w:r>
          </w:p>
        </w:tc>
      </w:tr>
    </w:tbl>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pStyle w:val="5"/>
        <w:rPr>
          <w:rFonts w:hint="default"/>
          <w:color w:val="auto"/>
          <w:u w:val="none" w:color="auto"/>
        </w:rPr>
      </w:pPr>
    </w:p>
    <w:p>
      <w:pPr>
        <w:rPr>
          <w:rFonts w:hint="default"/>
          <w:color w:val="auto"/>
          <w:u w:val="none" w:color="auto"/>
        </w:rPr>
      </w:pPr>
    </w:p>
    <w:p>
      <w:pPr>
        <w:pStyle w:val="5"/>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p>
    <w:p>
      <w:pPr>
        <w:bidi w:val="0"/>
        <w:rPr>
          <w:rFonts w:hint="default"/>
        </w:rPr>
      </w:pPr>
    </w:p>
    <w:p>
      <w:pPr>
        <w:bidi w:val="0"/>
        <w:rPr>
          <w:rFonts w:hint="default"/>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bookmarkStart w:id="15" w:name="_Toc7154"/>
      <w:r>
        <w:rPr>
          <w:rFonts w:hint="default" w:ascii="Times New Roman" w:hAnsi="Times New Roman" w:cs="Times New Roman"/>
          <w:b/>
          <w:bCs/>
          <w:color w:val="auto"/>
          <w:sz w:val="36"/>
          <w:szCs w:val="36"/>
          <w:u w:val="none" w:color="auto"/>
        </w:rPr>
        <w:t>注  释</w:t>
      </w:r>
      <w:bookmarkEnd w:id="15"/>
    </w:p>
    <w:p>
      <w:pPr>
        <w:keepNext w:val="0"/>
        <w:keepLines w:val="0"/>
        <w:pageBreakBefore w:val="0"/>
        <w:widowControl w:val="0"/>
        <w:numPr>
          <w:ilvl w:val="0"/>
          <w:numId w:val="11"/>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本报告表附以下附件、附图：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附件1  委托书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2-1</w:t>
      </w:r>
      <w:r>
        <w:rPr>
          <w:rFonts w:hint="default" w:ascii="Times New Roman" w:hAnsi="Times New Roman" w:cs="Times New Roman"/>
          <w:color w:val="auto"/>
          <w:sz w:val="24"/>
          <w:szCs w:val="24"/>
          <w:u w:val="none" w:color="auto"/>
          <w:lang w:val="en-US" w:eastAsia="zh-CN"/>
        </w:rPr>
        <w:t xml:space="preserve">  </w:t>
      </w:r>
      <w:r>
        <w:rPr>
          <w:rFonts w:hint="eastAsia" w:ascii="Times New Roman" w:hAnsi="Times New Roman" w:cs="Times New Roman"/>
          <w:color w:val="auto"/>
          <w:sz w:val="24"/>
          <w:szCs w:val="24"/>
          <w:u w:val="none" w:color="auto"/>
          <w:lang w:val="en-US" w:eastAsia="zh-CN"/>
        </w:rPr>
        <w:t>土地投资合同书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2-2</w:t>
      </w:r>
      <w:r>
        <w:rPr>
          <w:rFonts w:hint="default" w:ascii="Times New Roman" w:hAnsi="Times New Roman" w:cs="Times New Roman"/>
          <w:color w:val="auto"/>
          <w:sz w:val="24"/>
          <w:szCs w:val="24"/>
          <w:u w:val="none" w:color="auto"/>
          <w:lang w:val="en-US" w:eastAsia="zh-CN"/>
        </w:rPr>
        <w:t xml:space="preserve">  </w:t>
      </w:r>
      <w:r>
        <w:rPr>
          <w:rFonts w:hint="eastAsia" w:ascii="Times New Roman" w:hAnsi="Times New Roman" w:cs="Times New Roman"/>
          <w:color w:val="auto"/>
          <w:sz w:val="24"/>
          <w:szCs w:val="24"/>
          <w:u w:val="none" w:color="auto"/>
          <w:lang w:val="en-US" w:eastAsia="zh-CN"/>
        </w:rPr>
        <w:t>土地投资合同书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营业执照</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val="en-US" w:eastAsia="zh-CN"/>
        </w:rPr>
        <w:t xml:space="preserve">  </w:t>
      </w:r>
      <w:r>
        <w:rPr>
          <w:rFonts w:hint="eastAsia" w:ascii="Times New Roman" w:hAnsi="Times New Roman" w:cs="Times New Roman"/>
          <w:color w:val="auto"/>
          <w:sz w:val="24"/>
          <w:szCs w:val="24"/>
          <w:u w:val="none" w:color="auto"/>
          <w:lang w:val="en-US" w:eastAsia="zh-CN"/>
        </w:rPr>
        <w:t>联审意见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现有项目</w:t>
      </w:r>
      <w:r>
        <w:rPr>
          <w:rFonts w:hint="eastAsia" w:ascii="Times New Roman" w:hAnsi="Times New Roman" w:cs="Times New Roman"/>
          <w:color w:val="auto"/>
          <w:sz w:val="24"/>
          <w:szCs w:val="24"/>
          <w:u w:val="none" w:color="auto"/>
          <w:lang w:val="en-US" w:eastAsia="zh-CN"/>
        </w:rPr>
        <w:t>环评批复及验</w:t>
      </w:r>
      <w:r>
        <w:rPr>
          <w:rFonts w:hint="eastAsia" w:cs="Times New Roman"/>
          <w:color w:val="auto"/>
          <w:sz w:val="24"/>
          <w:szCs w:val="24"/>
          <w:u w:val="none" w:color="auto"/>
          <w:lang w:val="en-US" w:eastAsia="zh-CN"/>
        </w:rPr>
        <w:t>收批复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现有项目排污权交易证明</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 xml:space="preserve">附件7  </w:t>
      </w:r>
      <w:r>
        <w:rPr>
          <w:rFonts w:hint="eastAsia" w:ascii="Times New Roman" w:hAnsi="Times New Roman" w:cs="Times New Roman"/>
          <w:color w:val="auto"/>
          <w:sz w:val="24"/>
          <w:szCs w:val="24"/>
          <w:u w:val="none" w:color="auto"/>
          <w:lang w:val="en-US" w:eastAsia="zh-CN"/>
        </w:rPr>
        <w:t>检测报告质保单</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附件8  关于年产5000件消防设备及器材建设项目备案的证明</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附件9  现有项目污染物检测报告</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附件10 专家意见及专家签到表</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附图1  本项目地理位置图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附图2  本项目总平面布置图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附图3  声环境现状监测点位图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附图</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项目现场照片</w:t>
      </w:r>
    </w:p>
    <w:p>
      <w:pPr>
        <w:keepNext w:val="0"/>
        <w:keepLines w:val="0"/>
        <w:pageBreakBefore w:val="0"/>
        <w:widowControl w:val="0"/>
        <w:numPr>
          <w:ilvl w:val="0"/>
          <w:numId w:val="11"/>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如果本报告表不能说明工程产生的污染及对环境造成的影响，应进行专项评价。根据建设工程的特点和当地环境特征，应选下列1~2项进行专项评价。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 大气环境影响专项评价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 水环境影响专项评价(包括地表水和地下水)</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 生态影响专项评价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 声影响专项评价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5. 土壤影响专项评价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6. 固体废物影响专项评价</w:t>
      </w:r>
    </w:p>
    <w:p>
      <w:pPr>
        <w:rPr>
          <w:color w:val="auto"/>
          <w:u w:val="none" w:color="auto"/>
        </w:rPr>
      </w:pPr>
      <w:r>
        <w:rPr>
          <w:rFonts w:hint="default" w:ascii="Times New Roman" w:hAnsi="Times New Roman" w:cs="Times New Roman"/>
          <w:color w:val="auto"/>
          <w:sz w:val="24"/>
          <w:szCs w:val="24"/>
          <w:u w:val="none" w:color="auto"/>
        </w:rPr>
        <w:t>以上专项评价中未包括的另列专项，专项评价按照《环境影响评价技术导则》中的要求进行</w:t>
      </w:r>
    </w:p>
    <w:p>
      <w:pPr>
        <w:pStyle w:val="38"/>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709954048" behindDoc="0" locked="0" layoutInCell="1" allowOverlap="1">
            <wp:simplePos x="0" y="0"/>
            <wp:positionH relativeFrom="column">
              <wp:posOffset>-15875</wp:posOffset>
            </wp:positionH>
            <wp:positionV relativeFrom="paragraph">
              <wp:posOffset>316230</wp:posOffset>
            </wp:positionV>
            <wp:extent cx="5899150" cy="8113395"/>
            <wp:effectExtent l="0" t="0" r="6350" b="1905"/>
            <wp:wrapNone/>
            <wp:docPr id="23" name="图片 23" descr="eaefb47b3d4b06600023f96f9c5b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aefb47b3d4b06600023f96f9c5b441"/>
                    <pic:cNvPicPr>
                      <a:picLocks noChangeAspect="1"/>
                    </pic:cNvPicPr>
                  </pic:nvPicPr>
                  <pic:blipFill>
                    <a:blip r:embed="rId18"/>
                    <a:stretch>
                      <a:fillRect/>
                    </a:stretch>
                  </pic:blipFill>
                  <pic:spPr>
                    <a:xfrm>
                      <a:off x="0" y="0"/>
                      <a:ext cx="5899150" cy="811339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1 委托书</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lang w:val="en-US" w:eastAsia="zh-CN"/>
        </w:rPr>
      </w:pPr>
      <w:r>
        <w:rPr>
          <w:rFonts w:hint="eastAsia"/>
          <w:lang w:eastAsia="zh-CN"/>
        </w:rPr>
        <w:drawing>
          <wp:anchor distT="0" distB="0" distL="114300" distR="114300" simplePos="0" relativeHeight="1709942784" behindDoc="0" locked="0" layoutInCell="1" allowOverlap="1">
            <wp:simplePos x="0" y="0"/>
            <wp:positionH relativeFrom="column">
              <wp:posOffset>635</wp:posOffset>
            </wp:positionH>
            <wp:positionV relativeFrom="paragraph">
              <wp:posOffset>299085</wp:posOffset>
            </wp:positionV>
            <wp:extent cx="5899150" cy="8120380"/>
            <wp:effectExtent l="0" t="0" r="6350" b="13970"/>
            <wp:wrapNone/>
            <wp:docPr id="32" name="图片 32"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 001"/>
                    <pic:cNvPicPr>
                      <a:picLocks noChangeAspect="1"/>
                    </pic:cNvPicPr>
                  </pic:nvPicPr>
                  <pic:blipFill>
                    <a:blip r:embed="rId19"/>
                    <a:stretch>
                      <a:fillRect/>
                    </a:stretch>
                  </pic:blipFill>
                  <pic:spPr>
                    <a:xfrm>
                      <a:off x="0" y="0"/>
                      <a:ext cx="5899150" cy="812038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2-1 土地投资合同书</w:t>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1709943808" behindDoc="0" locked="0" layoutInCell="1" allowOverlap="1">
            <wp:simplePos x="0" y="0"/>
            <wp:positionH relativeFrom="column">
              <wp:posOffset>0</wp:posOffset>
            </wp:positionH>
            <wp:positionV relativeFrom="paragraph">
              <wp:posOffset>-1804035</wp:posOffset>
            </wp:positionV>
            <wp:extent cx="5899150" cy="8120380"/>
            <wp:effectExtent l="0" t="0" r="6350" b="13970"/>
            <wp:wrapNone/>
            <wp:docPr id="87" name="图片 87" descr="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 001"/>
                    <pic:cNvPicPr>
                      <a:picLocks noChangeAspect="1"/>
                    </pic:cNvPicPr>
                  </pic:nvPicPr>
                  <pic:blipFill>
                    <a:blip r:embed="rId20"/>
                    <a:stretch>
                      <a:fillRect/>
                    </a:stretch>
                  </pic:blipFill>
                  <pic:spPr>
                    <a:xfrm>
                      <a:off x="0" y="0"/>
                      <a:ext cx="5899150" cy="8120380"/>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1709944832" behindDoc="0" locked="0" layoutInCell="1" allowOverlap="1">
            <wp:simplePos x="0" y="0"/>
            <wp:positionH relativeFrom="column">
              <wp:posOffset>0</wp:posOffset>
            </wp:positionH>
            <wp:positionV relativeFrom="paragraph">
              <wp:posOffset>-4272915</wp:posOffset>
            </wp:positionV>
            <wp:extent cx="5899150" cy="8120380"/>
            <wp:effectExtent l="0" t="0" r="6350" b="13970"/>
            <wp:wrapNone/>
            <wp:docPr id="88" name="图片 88" descr="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3 001"/>
                    <pic:cNvPicPr>
                      <a:picLocks noChangeAspect="1"/>
                    </pic:cNvPicPr>
                  </pic:nvPicPr>
                  <pic:blipFill>
                    <a:blip r:embed="rId21"/>
                    <a:stretch>
                      <a:fillRect/>
                    </a:stretch>
                  </pic:blipFill>
                  <pic:spPr>
                    <a:xfrm>
                      <a:off x="0" y="0"/>
                      <a:ext cx="5899150" cy="8120380"/>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1709945856" behindDoc="0" locked="0" layoutInCell="1" allowOverlap="1">
            <wp:simplePos x="0" y="0"/>
            <wp:positionH relativeFrom="column">
              <wp:posOffset>0</wp:posOffset>
            </wp:positionH>
            <wp:positionV relativeFrom="paragraph">
              <wp:posOffset>-1186815</wp:posOffset>
            </wp:positionV>
            <wp:extent cx="5899150" cy="8120380"/>
            <wp:effectExtent l="0" t="0" r="6350" b="13970"/>
            <wp:wrapNone/>
            <wp:docPr id="89" name="图片 89" descr="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4 001"/>
                    <pic:cNvPicPr>
                      <a:picLocks noChangeAspect="1"/>
                    </pic:cNvPicPr>
                  </pic:nvPicPr>
                  <pic:blipFill>
                    <a:blip r:embed="rId22"/>
                    <a:stretch>
                      <a:fillRect/>
                    </a:stretch>
                  </pic:blipFill>
                  <pic:spPr>
                    <a:xfrm>
                      <a:off x="0" y="0"/>
                      <a:ext cx="5899150" cy="8120380"/>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1709946880" behindDoc="0" locked="0" layoutInCell="1" allowOverlap="1">
            <wp:simplePos x="0" y="0"/>
            <wp:positionH relativeFrom="column">
              <wp:posOffset>0</wp:posOffset>
            </wp:positionH>
            <wp:positionV relativeFrom="paragraph">
              <wp:posOffset>-1598295</wp:posOffset>
            </wp:positionV>
            <wp:extent cx="5899150" cy="8120380"/>
            <wp:effectExtent l="0" t="0" r="6350" b="13970"/>
            <wp:wrapNone/>
            <wp:docPr id="90" name="图片 90" descr="5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5 001"/>
                    <pic:cNvPicPr>
                      <a:picLocks noChangeAspect="1"/>
                    </pic:cNvPicPr>
                  </pic:nvPicPr>
                  <pic:blipFill>
                    <a:blip r:embed="rId23"/>
                    <a:stretch>
                      <a:fillRect/>
                    </a:stretch>
                  </pic:blipFill>
                  <pic:spPr>
                    <a:xfrm>
                      <a:off x="0" y="0"/>
                      <a:ext cx="5899150" cy="8120380"/>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1709947904" behindDoc="0" locked="0" layoutInCell="1" allowOverlap="1">
            <wp:simplePos x="0" y="0"/>
            <wp:positionH relativeFrom="column">
              <wp:posOffset>0</wp:posOffset>
            </wp:positionH>
            <wp:positionV relativeFrom="paragraph">
              <wp:posOffset>-775335</wp:posOffset>
            </wp:positionV>
            <wp:extent cx="5899150" cy="8120380"/>
            <wp:effectExtent l="0" t="0" r="6350" b="13970"/>
            <wp:wrapNone/>
            <wp:docPr id="91" name="图片 91" descr="6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6 001"/>
                    <pic:cNvPicPr>
                      <a:picLocks noChangeAspect="1"/>
                    </pic:cNvPicPr>
                  </pic:nvPicPr>
                  <pic:blipFill>
                    <a:blip r:embed="rId24"/>
                    <a:stretch>
                      <a:fillRect/>
                    </a:stretch>
                  </pic:blipFill>
                  <pic:spPr>
                    <a:xfrm>
                      <a:off x="0" y="0"/>
                      <a:ext cx="5899150" cy="8120380"/>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r>
        <w:rPr>
          <w:rFonts w:hint="eastAsia" w:eastAsia="宋体"/>
          <w:color w:val="auto"/>
          <w:u w:val="none" w:color="auto"/>
          <w:lang w:eastAsia="zh-CN"/>
        </w:rPr>
        <w:drawing>
          <wp:anchor distT="0" distB="0" distL="114300" distR="114300" simplePos="0" relativeHeight="2826412032" behindDoc="0" locked="0" layoutInCell="1" allowOverlap="1">
            <wp:simplePos x="0" y="0"/>
            <wp:positionH relativeFrom="column">
              <wp:posOffset>-1905</wp:posOffset>
            </wp:positionH>
            <wp:positionV relativeFrom="paragraph">
              <wp:posOffset>163830</wp:posOffset>
            </wp:positionV>
            <wp:extent cx="5899150" cy="8120380"/>
            <wp:effectExtent l="0" t="0" r="6350" b="13970"/>
            <wp:wrapNone/>
            <wp:docPr id="22" name="图片 22" descr="房产权批准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房产权批准书"/>
                    <pic:cNvPicPr>
                      <a:picLocks noChangeAspect="1"/>
                    </pic:cNvPicPr>
                  </pic:nvPicPr>
                  <pic:blipFill>
                    <a:blip r:embed="rId25"/>
                    <a:stretch>
                      <a:fillRect/>
                    </a:stretch>
                  </pic:blipFill>
                  <pic:spPr>
                    <a:xfrm>
                      <a:off x="0" y="0"/>
                      <a:ext cx="5899150" cy="8120380"/>
                    </a:xfrm>
                    <a:prstGeom prst="rect">
                      <a:avLst/>
                    </a:prstGeom>
                  </pic:spPr>
                </pic:pic>
              </a:graphicData>
            </a:graphic>
          </wp:anchor>
        </w:drawing>
      </w: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bidi w:val="0"/>
        <w:rPr>
          <w:rFonts w:hint="eastAsia"/>
          <w:lang w:eastAsia="zh-CN"/>
        </w:rPr>
      </w:pPr>
    </w:p>
    <w:p>
      <w:pPr>
        <w:bidi w:val="0"/>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r>
        <w:drawing>
          <wp:anchor distT="0" distB="0" distL="114300" distR="114300" simplePos="0" relativeHeight="2826413056" behindDoc="0" locked="0" layoutInCell="1" allowOverlap="1">
            <wp:simplePos x="0" y="0"/>
            <wp:positionH relativeFrom="column">
              <wp:posOffset>19050</wp:posOffset>
            </wp:positionH>
            <wp:positionV relativeFrom="paragraph">
              <wp:posOffset>38100</wp:posOffset>
            </wp:positionV>
            <wp:extent cx="5897245" cy="6350000"/>
            <wp:effectExtent l="0" t="0" r="8255" b="12700"/>
            <wp:wrapNone/>
            <wp:docPr id="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
                    <pic:cNvPicPr>
                      <a:picLocks noChangeAspect="1"/>
                    </pic:cNvPicPr>
                  </pic:nvPicPr>
                  <pic:blipFill>
                    <a:blip r:embed="rId26"/>
                    <a:stretch>
                      <a:fillRect/>
                    </a:stretch>
                  </pic:blipFill>
                  <pic:spPr>
                    <a:xfrm>
                      <a:off x="0" y="0"/>
                      <a:ext cx="5897245" cy="6350000"/>
                    </a:xfrm>
                    <a:prstGeom prst="rect">
                      <a:avLst/>
                    </a:prstGeom>
                    <a:noFill/>
                    <a:ln>
                      <a:noFill/>
                    </a:ln>
                  </pic:spPr>
                </pic:pic>
              </a:graphicData>
            </a:graphic>
          </wp:anchor>
        </w:drawing>
      </w: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290126848" behindDoc="0" locked="0" layoutInCell="1" allowOverlap="1">
            <wp:simplePos x="0" y="0"/>
            <wp:positionH relativeFrom="column">
              <wp:posOffset>-11430</wp:posOffset>
            </wp:positionH>
            <wp:positionV relativeFrom="paragraph">
              <wp:posOffset>287655</wp:posOffset>
            </wp:positionV>
            <wp:extent cx="5902325" cy="8354060"/>
            <wp:effectExtent l="0" t="0" r="3175" b="8890"/>
            <wp:wrapNone/>
            <wp:docPr id="13" name="图片 13" descr="金诺动力第二期购地项目投资合同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金诺动力第二期购地项目投资合同书_00"/>
                    <pic:cNvPicPr>
                      <a:picLocks noChangeAspect="1"/>
                    </pic:cNvPicPr>
                  </pic:nvPicPr>
                  <pic:blipFill>
                    <a:blip r:embed="rId27"/>
                    <a:stretch>
                      <a:fillRect/>
                    </a:stretch>
                  </pic:blipFill>
                  <pic:spPr>
                    <a:xfrm>
                      <a:off x="0" y="0"/>
                      <a:ext cx="5902325" cy="835406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2-2 土地投资合同书</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290127872" behindDoc="0" locked="0" layoutInCell="1" allowOverlap="1">
            <wp:simplePos x="0" y="0"/>
            <wp:positionH relativeFrom="column">
              <wp:posOffset>-3175</wp:posOffset>
            </wp:positionH>
            <wp:positionV relativeFrom="paragraph">
              <wp:posOffset>114935</wp:posOffset>
            </wp:positionV>
            <wp:extent cx="5902325" cy="8354060"/>
            <wp:effectExtent l="0" t="0" r="3175" b="8890"/>
            <wp:wrapNone/>
            <wp:docPr id="14" name="图片 14" descr="金诺动力第二期购地项目投资合同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金诺动力第二期购地项目投资合同书_01"/>
                    <pic:cNvPicPr>
                      <a:picLocks noChangeAspect="1"/>
                    </pic:cNvPicPr>
                  </pic:nvPicPr>
                  <pic:blipFill>
                    <a:blip r:embed="rId28"/>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290128896" behindDoc="0" locked="0" layoutInCell="1" allowOverlap="1">
            <wp:simplePos x="0" y="0"/>
            <wp:positionH relativeFrom="column">
              <wp:posOffset>-11430</wp:posOffset>
            </wp:positionH>
            <wp:positionV relativeFrom="paragraph">
              <wp:posOffset>113665</wp:posOffset>
            </wp:positionV>
            <wp:extent cx="5902325" cy="8354060"/>
            <wp:effectExtent l="0" t="0" r="3175" b="8890"/>
            <wp:wrapNone/>
            <wp:docPr id="15" name="图片 15" descr="金诺动力第二期购地项目投资合同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金诺动力第二期购地项目投资合同书_02"/>
                    <pic:cNvPicPr>
                      <a:picLocks noChangeAspect="1"/>
                    </pic:cNvPicPr>
                  </pic:nvPicPr>
                  <pic:blipFill>
                    <a:blip r:embed="rId29"/>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290129920" behindDoc="0" locked="0" layoutInCell="1" allowOverlap="1">
            <wp:simplePos x="0" y="0"/>
            <wp:positionH relativeFrom="column">
              <wp:posOffset>-11430</wp:posOffset>
            </wp:positionH>
            <wp:positionV relativeFrom="paragraph">
              <wp:posOffset>105410</wp:posOffset>
            </wp:positionV>
            <wp:extent cx="5902325" cy="8354060"/>
            <wp:effectExtent l="0" t="0" r="3175" b="8890"/>
            <wp:wrapNone/>
            <wp:docPr id="16" name="图片 16" descr="金诺动力第二期购地项目投资合同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金诺动力第二期购地项目投资合同书_03"/>
                    <pic:cNvPicPr>
                      <a:picLocks noChangeAspect="1"/>
                    </pic:cNvPicPr>
                  </pic:nvPicPr>
                  <pic:blipFill>
                    <a:blip r:embed="rId30"/>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290130944" behindDoc="0" locked="0" layoutInCell="1" allowOverlap="1">
            <wp:simplePos x="0" y="0"/>
            <wp:positionH relativeFrom="column">
              <wp:posOffset>31115</wp:posOffset>
            </wp:positionH>
            <wp:positionV relativeFrom="paragraph">
              <wp:posOffset>71120</wp:posOffset>
            </wp:positionV>
            <wp:extent cx="5902325" cy="8354060"/>
            <wp:effectExtent l="0" t="0" r="3175" b="8890"/>
            <wp:wrapNone/>
            <wp:docPr id="17" name="图片 17" descr="金诺动力第二期购地项目投资合同书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金诺动力第二期购地项目投资合同书_04"/>
                    <pic:cNvPicPr>
                      <a:picLocks noChangeAspect="1"/>
                    </pic:cNvPicPr>
                  </pic:nvPicPr>
                  <pic:blipFill>
                    <a:blip r:embed="rId31"/>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290131968" behindDoc="0" locked="0" layoutInCell="1" allowOverlap="1">
            <wp:simplePos x="0" y="0"/>
            <wp:positionH relativeFrom="column">
              <wp:posOffset>-19685</wp:posOffset>
            </wp:positionH>
            <wp:positionV relativeFrom="paragraph">
              <wp:posOffset>62230</wp:posOffset>
            </wp:positionV>
            <wp:extent cx="5902325" cy="8354060"/>
            <wp:effectExtent l="0" t="0" r="3175" b="8890"/>
            <wp:wrapNone/>
            <wp:docPr id="18" name="图片 18" descr="金诺动力第二期购地项目投资合同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金诺动力第二期购地项目投资合同书_05"/>
                    <pic:cNvPicPr>
                      <a:picLocks noChangeAspect="1"/>
                    </pic:cNvPicPr>
                  </pic:nvPicPr>
                  <pic:blipFill>
                    <a:blip r:embed="rId32"/>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290132992" behindDoc="0" locked="0" layoutInCell="1" allowOverlap="1">
            <wp:simplePos x="0" y="0"/>
            <wp:positionH relativeFrom="column">
              <wp:posOffset>-20320</wp:posOffset>
            </wp:positionH>
            <wp:positionV relativeFrom="paragraph">
              <wp:posOffset>122555</wp:posOffset>
            </wp:positionV>
            <wp:extent cx="5902325" cy="8354060"/>
            <wp:effectExtent l="0" t="0" r="3175" b="8890"/>
            <wp:wrapNone/>
            <wp:docPr id="19" name="图片 19" descr="金诺动力第二期购地项目投资合同书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金诺动力第二期购地项目投资合同书_06"/>
                    <pic:cNvPicPr>
                      <a:picLocks noChangeAspect="1"/>
                    </pic:cNvPicPr>
                  </pic:nvPicPr>
                  <pic:blipFill>
                    <a:blip r:embed="rId33"/>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290134016" behindDoc="0" locked="0" layoutInCell="1" allowOverlap="1">
            <wp:simplePos x="0" y="0"/>
            <wp:positionH relativeFrom="column">
              <wp:posOffset>-19685</wp:posOffset>
            </wp:positionH>
            <wp:positionV relativeFrom="paragraph">
              <wp:posOffset>44450</wp:posOffset>
            </wp:positionV>
            <wp:extent cx="5902325" cy="8354060"/>
            <wp:effectExtent l="0" t="0" r="3175" b="8890"/>
            <wp:wrapNone/>
            <wp:docPr id="20" name="图片 20" descr="金诺动力第二期购地项目投资合同书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金诺动力第二期购地项目投资合同书_07"/>
                    <pic:cNvPicPr>
                      <a:picLocks noChangeAspect="1"/>
                    </pic:cNvPicPr>
                  </pic:nvPicPr>
                  <pic:blipFill>
                    <a:blip r:embed="rId34"/>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290135040" behindDoc="0" locked="0" layoutInCell="1" allowOverlap="1">
            <wp:simplePos x="0" y="0"/>
            <wp:positionH relativeFrom="column">
              <wp:posOffset>-2540</wp:posOffset>
            </wp:positionH>
            <wp:positionV relativeFrom="paragraph">
              <wp:posOffset>96520</wp:posOffset>
            </wp:positionV>
            <wp:extent cx="5902325" cy="8354060"/>
            <wp:effectExtent l="0" t="0" r="3175" b="8890"/>
            <wp:wrapNone/>
            <wp:docPr id="21" name="图片 21" descr="金诺动力第二期购地项目投资合同书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金诺动力第二期购地项目投资合同书_08"/>
                    <pic:cNvPicPr>
                      <a:picLocks noChangeAspect="1"/>
                    </pic:cNvPicPr>
                  </pic:nvPicPr>
                  <pic:blipFill>
                    <a:blip r:embed="rId35"/>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drawing>
          <wp:anchor distT="0" distB="0" distL="114300" distR="114300" simplePos="0" relativeHeight="2826414080" behindDoc="0" locked="0" layoutInCell="1" allowOverlap="1">
            <wp:simplePos x="0" y="0"/>
            <wp:positionH relativeFrom="column">
              <wp:posOffset>22225</wp:posOffset>
            </wp:positionH>
            <wp:positionV relativeFrom="paragraph">
              <wp:posOffset>133350</wp:posOffset>
            </wp:positionV>
            <wp:extent cx="5898515" cy="7164070"/>
            <wp:effectExtent l="0" t="0" r="6985" b="17780"/>
            <wp:wrapNone/>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36"/>
                    <a:stretch>
                      <a:fillRect/>
                    </a:stretch>
                  </pic:blipFill>
                  <pic:spPr>
                    <a:xfrm>
                      <a:off x="0" y="0"/>
                      <a:ext cx="5898515" cy="7164070"/>
                    </a:xfrm>
                    <a:prstGeom prst="rect">
                      <a:avLst/>
                    </a:prstGeom>
                    <a:noFill/>
                    <a:ln>
                      <a:noFill/>
                    </a:ln>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lang w:val="en-US" w:eastAsia="zh-CN"/>
        </w:rPr>
      </w:pPr>
      <w:r>
        <w:drawing>
          <wp:anchor distT="0" distB="0" distL="114300" distR="114300" simplePos="0" relativeHeight="2826415104" behindDoc="0" locked="0" layoutInCell="1" allowOverlap="1">
            <wp:simplePos x="0" y="0"/>
            <wp:positionH relativeFrom="column">
              <wp:posOffset>22225</wp:posOffset>
            </wp:positionH>
            <wp:positionV relativeFrom="paragraph">
              <wp:posOffset>331470</wp:posOffset>
            </wp:positionV>
            <wp:extent cx="5904865" cy="8248015"/>
            <wp:effectExtent l="0" t="0" r="635" b="635"/>
            <wp:wrapNone/>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37"/>
                    <a:stretch>
                      <a:fillRect/>
                    </a:stretch>
                  </pic:blipFill>
                  <pic:spPr>
                    <a:xfrm>
                      <a:off x="0" y="0"/>
                      <a:ext cx="5904865" cy="8248015"/>
                    </a:xfrm>
                    <a:prstGeom prst="rect">
                      <a:avLst/>
                    </a:prstGeom>
                    <a:noFill/>
                    <a:ln>
                      <a:noFill/>
                    </a:ln>
                  </pic:spPr>
                </pic:pic>
              </a:graphicData>
            </a:graphic>
          </wp:anchor>
        </w:drawing>
      </w:r>
      <w:r>
        <w:rPr>
          <w:rFonts w:hint="eastAsia"/>
          <w:color w:val="auto"/>
          <w:u w:val="none" w:color="auto"/>
          <w:lang w:eastAsia="zh-CN"/>
        </w:rPr>
        <w:t>附件</w:t>
      </w:r>
      <w:r>
        <w:rPr>
          <w:rFonts w:hint="eastAsia"/>
          <w:color w:val="auto"/>
          <w:u w:val="none" w:color="auto"/>
          <w:lang w:val="en-US" w:eastAsia="zh-CN"/>
        </w:rPr>
        <w:t>3 营业执照</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368122368" behindDoc="0" locked="0" layoutInCell="1" allowOverlap="1">
            <wp:simplePos x="0" y="0"/>
            <wp:positionH relativeFrom="column">
              <wp:posOffset>-15875</wp:posOffset>
            </wp:positionH>
            <wp:positionV relativeFrom="paragraph">
              <wp:posOffset>266700</wp:posOffset>
            </wp:positionV>
            <wp:extent cx="5899150" cy="8120380"/>
            <wp:effectExtent l="0" t="0" r="6350" b="13970"/>
            <wp:wrapNone/>
            <wp:docPr id="30" name="图片 30" descr="139f77b1fc461f149b17f50f47178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39f77b1fc461f149b17f50f471781c"/>
                    <pic:cNvPicPr>
                      <a:picLocks noChangeAspect="1"/>
                    </pic:cNvPicPr>
                  </pic:nvPicPr>
                  <pic:blipFill>
                    <a:blip r:embed="rId38"/>
                    <a:stretch>
                      <a:fillRect/>
                    </a:stretch>
                  </pic:blipFill>
                  <pic:spPr>
                    <a:xfrm>
                      <a:off x="0" y="0"/>
                      <a:ext cx="5899150" cy="812038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4 联审意见</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1368123392" behindDoc="0" locked="0" layoutInCell="1" allowOverlap="1">
            <wp:simplePos x="0" y="0"/>
            <wp:positionH relativeFrom="column">
              <wp:posOffset>3175</wp:posOffset>
            </wp:positionH>
            <wp:positionV relativeFrom="paragraph">
              <wp:posOffset>95250</wp:posOffset>
            </wp:positionV>
            <wp:extent cx="5899150" cy="8120380"/>
            <wp:effectExtent l="0" t="0" r="6350" b="13970"/>
            <wp:wrapNone/>
            <wp:docPr id="31" name="图片 31" descr="ffdc2acbde7147d9bf2a366d5afa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ffdc2acbde7147d9bf2a366d5afacad"/>
                    <pic:cNvPicPr>
                      <a:picLocks noChangeAspect="1"/>
                    </pic:cNvPicPr>
                  </pic:nvPicPr>
                  <pic:blipFill>
                    <a:blip r:embed="rId39"/>
                    <a:stretch>
                      <a:fillRect/>
                    </a:stretch>
                  </pic:blipFill>
                  <pic:spPr>
                    <a:xfrm>
                      <a:off x="0" y="0"/>
                      <a:ext cx="5899150" cy="812038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329628160" behindDoc="0" locked="0" layoutInCell="1" allowOverlap="1">
            <wp:simplePos x="0" y="0"/>
            <wp:positionH relativeFrom="column">
              <wp:posOffset>-15875</wp:posOffset>
            </wp:positionH>
            <wp:positionV relativeFrom="paragraph">
              <wp:posOffset>321945</wp:posOffset>
            </wp:positionV>
            <wp:extent cx="5903595" cy="8345805"/>
            <wp:effectExtent l="0" t="0" r="1905" b="17145"/>
            <wp:wrapNone/>
            <wp:docPr id="65" name="图片 65"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D"/>
                    <pic:cNvPicPr>
                      <a:picLocks noChangeAspect="1"/>
                    </pic:cNvPicPr>
                  </pic:nvPicPr>
                  <pic:blipFill>
                    <a:blip r:embed="rId40"/>
                    <a:stretch>
                      <a:fillRect/>
                    </a:stretch>
                  </pic:blipFill>
                  <pic:spPr>
                    <a:xfrm>
                      <a:off x="0" y="0"/>
                      <a:ext cx="5903595" cy="834580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5 现有项目环评批复及验收批复</w:t>
      </w: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1329629184" behindDoc="0" locked="0" layoutInCell="1" allowOverlap="1">
            <wp:simplePos x="0" y="0"/>
            <wp:positionH relativeFrom="column">
              <wp:posOffset>3175</wp:posOffset>
            </wp:positionH>
            <wp:positionV relativeFrom="paragraph">
              <wp:posOffset>112395</wp:posOffset>
            </wp:positionV>
            <wp:extent cx="5903595" cy="8345805"/>
            <wp:effectExtent l="0" t="0" r="1905" b="17145"/>
            <wp:wrapNone/>
            <wp:docPr id="66" name="图片 66" descr="D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D0001"/>
                    <pic:cNvPicPr>
                      <a:picLocks noChangeAspect="1"/>
                    </pic:cNvPicPr>
                  </pic:nvPicPr>
                  <pic:blipFill>
                    <a:blip r:embed="rId41"/>
                    <a:stretch>
                      <a:fillRect/>
                    </a:stretch>
                  </pic:blipFill>
                  <pic:spPr>
                    <a:xfrm>
                      <a:off x="0" y="0"/>
                      <a:ext cx="5903595" cy="8345805"/>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1329630208" behindDoc="0" locked="0" layoutInCell="1" allowOverlap="1">
            <wp:simplePos x="0" y="0"/>
            <wp:positionH relativeFrom="column">
              <wp:posOffset>-6350</wp:posOffset>
            </wp:positionH>
            <wp:positionV relativeFrom="paragraph">
              <wp:posOffset>121920</wp:posOffset>
            </wp:positionV>
            <wp:extent cx="5903595" cy="8345805"/>
            <wp:effectExtent l="0" t="0" r="1905" b="17145"/>
            <wp:wrapNone/>
            <wp:docPr id="67" name="图片 67" descr="D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D0002"/>
                    <pic:cNvPicPr>
                      <a:picLocks noChangeAspect="1"/>
                    </pic:cNvPicPr>
                  </pic:nvPicPr>
                  <pic:blipFill>
                    <a:blip r:embed="rId42"/>
                    <a:stretch>
                      <a:fillRect/>
                    </a:stretch>
                  </pic:blipFill>
                  <pic:spPr>
                    <a:xfrm>
                      <a:off x="0" y="0"/>
                      <a:ext cx="5903595" cy="8345805"/>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1329631232" behindDoc="0" locked="0" layoutInCell="1" allowOverlap="1">
            <wp:simplePos x="0" y="0"/>
            <wp:positionH relativeFrom="column">
              <wp:posOffset>-44450</wp:posOffset>
            </wp:positionH>
            <wp:positionV relativeFrom="paragraph">
              <wp:posOffset>55245</wp:posOffset>
            </wp:positionV>
            <wp:extent cx="5902325" cy="8354060"/>
            <wp:effectExtent l="0" t="0" r="3175" b="8890"/>
            <wp:wrapNone/>
            <wp:docPr id="68" name="图片 68" descr="建设项目竣工环境保护验收申请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建设项目竣工环境保护验收申请_10"/>
                    <pic:cNvPicPr>
                      <a:picLocks noChangeAspect="1"/>
                    </pic:cNvPicPr>
                  </pic:nvPicPr>
                  <pic:blipFill>
                    <a:blip r:embed="rId43"/>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1329632256" behindDoc="0" locked="0" layoutInCell="1" allowOverlap="1">
            <wp:simplePos x="0" y="0"/>
            <wp:positionH relativeFrom="column">
              <wp:posOffset>-6350</wp:posOffset>
            </wp:positionH>
            <wp:positionV relativeFrom="paragraph">
              <wp:posOffset>93345</wp:posOffset>
            </wp:positionV>
            <wp:extent cx="5902325" cy="8354060"/>
            <wp:effectExtent l="0" t="0" r="3175" b="8890"/>
            <wp:wrapNone/>
            <wp:docPr id="69" name="图片 69" descr="建设项目竣工环境保护验收申请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建设项目竣工环境保护验收申请_11"/>
                    <pic:cNvPicPr>
                      <a:picLocks noChangeAspect="1"/>
                    </pic:cNvPicPr>
                  </pic:nvPicPr>
                  <pic:blipFill>
                    <a:blip r:embed="rId44"/>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329634304" behindDoc="0" locked="0" layoutInCell="1" allowOverlap="1">
            <wp:simplePos x="0" y="0"/>
            <wp:positionH relativeFrom="column">
              <wp:posOffset>3175</wp:posOffset>
            </wp:positionH>
            <wp:positionV relativeFrom="paragraph">
              <wp:posOffset>360045</wp:posOffset>
            </wp:positionV>
            <wp:extent cx="5903595" cy="8345805"/>
            <wp:effectExtent l="0" t="0" r="1905" b="17145"/>
            <wp:wrapNone/>
            <wp:docPr id="71" name="图片 7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
                    <pic:cNvPicPr>
                      <a:picLocks noChangeAspect="1"/>
                    </pic:cNvPicPr>
                  </pic:nvPicPr>
                  <pic:blipFill>
                    <a:blip r:embed="rId45"/>
                    <a:stretch>
                      <a:fillRect/>
                    </a:stretch>
                  </pic:blipFill>
                  <pic:spPr>
                    <a:xfrm>
                      <a:off x="0" y="0"/>
                      <a:ext cx="5903595" cy="834580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6 现有项目排污权交易证明</w:t>
      </w: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1329635328" behindDoc="0" locked="0" layoutInCell="1" allowOverlap="1">
            <wp:simplePos x="0" y="0"/>
            <wp:positionH relativeFrom="column">
              <wp:posOffset>-25400</wp:posOffset>
            </wp:positionH>
            <wp:positionV relativeFrom="paragraph">
              <wp:posOffset>112395</wp:posOffset>
            </wp:positionV>
            <wp:extent cx="5903595" cy="8345805"/>
            <wp:effectExtent l="0" t="0" r="1905" b="17145"/>
            <wp:wrapNone/>
            <wp:docPr id="72" name="图片 72" descr="C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0001"/>
                    <pic:cNvPicPr>
                      <a:picLocks noChangeAspect="1"/>
                    </pic:cNvPicPr>
                  </pic:nvPicPr>
                  <pic:blipFill>
                    <a:blip r:embed="rId46"/>
                    <a:stretch>
                      <a:fillRect/>
                    </a:stretch>
                  </pic:blipFill>
                  <pic:spPr>
                    <a:xfrm>
                      <a:off x="0" y="0"/>
                      <a:ext cx="5903595" cy="8345805"/>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1329636352" behindDoc="0" locked="0" layoutInCell="1" allowOverlap="1">
            <wp:simplePos x="0" y="0"/>
            <wp:positionH relativeFrom="column">
              <wp:posOffset>22225</wp:posOffset>
            </wp:positionH>
            <wp:positionV relativeFrom="paragraph">
              <wp:posOffset>55245</wp:posOffset>
            </wp:positionV>
            <wp:extent cx="5903595" cy="8345805"/>
            <wp:effectExtent l="0" t="0" r="1905" b="17145"/>
            <wp:wrapNone/>
            <wp:docPr id="73" name="图片 73" descr="C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0002"/>
                    <pic:cNvPicPr>
                      <a:picLocks noChangeAspect="1"/>
                    </pic:cNvPicPr>
                  </pic:nvPicPr>
                  <pic:blipFill>
                    <a:blip r:embed="rId47"/>
                    <a:stretch>
                      <a:fillRect/>
                    </a:stretch>
                  </pic:blipFill>
                  <pic:spPr>
                    <a:xfrm>
                      <a:off x="0" y="0"/>
                      <a:ext cx="5903595" cy="8345805"/>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1329637376" behindDoc="0" locked="0" layoutInCell="1" allowOverlap="1">
            <wp:simplePos x="0" y="0"/>
            <wp:positionH relativeFrom="column">
              <wp:posOffset>-34925</wp:posOffset>
            </wp:positionH>
            <wp:positionV relativeFrom="paragraph">
              <wp:posOffset>74295</wp:posOffset>
            </wp:positionV>
            <wp:extent cx="5903595" cy="8345805"/>
            <wp:effectExtent l="0" t="0" r="1905" b="17145"/>
            <wp:wrapNone/>
            <wp:docPr id="74" name="图片 74" descr="C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0003"/>
                    <pic:cNvPicPr>
                      <a:picLocks noChangeAspect="1"/>
                    </pic:cNvPicPr>
                  </pic:nvPicPr>
                  <pic:blipFill>
                    <a:blip r:embed="rId48"/>
                    <a:stretch>
                      <a:fillRect/>
                    </a:stretch>
                  </pic:blipFill>
                  <pic:spPr>
                    <a:xfrm>
                      <a:off x="0" y="0"/>
                      <a:ext cx="5903595" cy="8345805"/>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1329633280" behindDoc="0" locked="0" layoutInCell="1" allowOverlap="1">
            <wp:simplePos x="0" y="0"/>
            <wp:positionH relativeFrom="column">
              <wp:posOffset>41275</wp:posOffset>
            </wp:positionH>
            <wp:positionV relativeFrom="paragraph">
              <wp:posOffset>83820</wp:posOffset>
            </wp:positionV>
            <wp:extent cx="5902325" cy="8354060"/>
            <wp:effectExtent l="0" t="0" r="3175" b="8890"/>
            <wp:wrapNone/>
            <wp:docPr id="70" name="图片 70" descr="排污交易确认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排污交易确认表_00"/>
                    <pic:cNvPicPr>
                      <a:picLocks noChangeAspect="1"/>
                    </pic:cNvPicPr>
                  </pic:nvPicPr>
                  <pic:blipFill>
                    <a:blip r:embed="rId49"/>
                    <a:stretch>
                      <a:fillRect/>
                    </a:stretch>
                  </pic:blipFill>
                  <pic:spPr>
                    <a:xfrm>
                      <a:off x="0" y="0"/>
                      <a:ext cx="5902325" cy="835406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290143232" behindDoc="0" locked="0" layoutInCell="1" allowOverlap="1">
            <wp:simplePos x="0" y="0"/>
            <wp:positionH relativeFrom="column">
              <wp:posOffset>-20320</wp:posOffset>
            </wp:positionH>
            <wp:positionV relativeFrom="paragraph">
              <wp:posOffset>370205</wp:posOffset>
            </wp:positionV>
            <wp:extent cx="5900420" cy="8333740"/>
            <wp:effectExtent l="0" t="0" r="5080" b="10160"/>
            <wp:wrapNone/>
            <wp:docPr id="29" name="图片 29" descr="质保单-PTC19081204年产5000件消防设备及器材建设项目-8.20扫描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质保单-PTC19081204年产5000件消防设备及器材建设项目-8.20扫描_00"/>
                    <pic:cNvPicPr>
                      <a:picLocks noChangeAspect="1"/>
                    </pic:cNvPicPr>
                  </pic:nvPicPr>
                  <pic:blipFill>
                    <a:blip r:embed="rId50"/>
                    <a:stretch>
                      <a:fillRect/>
                    </a:stretch>
                  </pic:blipFill>
                  <pic:spPr>
                    <a:xfrm>
                      <a:off x="0" y="0"/>
                      <a:ext cx="5900420" cy="833374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7 检测报告质保单</w:t>
      </w: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8"/>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2826416128" behindDoc="0" locked="0" layoutInCell="1" allowOverlap="1">
            <wp:simplePos x="0" y="0"/>
            <wp:positionH relativeFrom="column">
              <wp:posOffset>-28575</wp:posOffset>
            </wp:positionH>
            <wp:positionV relativeFrom="paragraph">
              <wp:posOffset>333375</wp:posOffset>
            </wp:positionV>
            <wp:extent cx="5899150" cy="8120380"/>
            <wp:effectExtent l="0" t="0" r="6350" b="13970"/>
            <wp:wrapNone/>
            <wp:docPr id="96" name="图片 96" descr="0a31bf55525493cfda0c66b0866f7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0a31bf55525493cfda0c66b0866f78f"/>
                    <pic:cNvPicPr>
                      <a:picLocks noChangeAspect="1"/>
                    </pic:cNvPicPr>
                  </pic:nvPicPr>
                  <pic:blipFill>
                    <a:blip r:embed="rId51"/>
                    <a:stretch>
                      <a:fillRect/>
                    </a:stretch>
                  </pic:blipFill>
                  <pic:spPr>
                    <a:xfrm>
                      <a:off x="0" y="0"/>
                      <a:ext cx="5899150" cy="8120380"/>
                    </a:xfrm>
                    <a:prstGeom prst="rect">
                      <a:avLst/>
                    </a:prstGeom>
                  </pic:spPr>
                </pic:pic>
              </a:graphicData>
            </a:graphic>
          </wp:anchor>
        </w:drawing>
      </w:r>
      <w:r>
        <w:rPr>
          <w:rFonts w:hint="eastAsia"/>
          <w:color w:val="auto"/>
          <w:u w:val="none" w:color="auto"/>
          <w:lang w:val="en-US" w:eastAsia="zh-CN"/>
        </w:rPr>
        <w:t>附件8 关于年产5000件消防设备及器材建设项目备案的证明</w:t>
      </w: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eastAsia"/>
          <w:color w:val="auto"/>
          <w:u w:val="none" w:color="auto"/>
          <w:lang w:val="en-US" w:eastAsia="zh-CN"/>
        </w:rPr>
      </w:pPr>
    </w:p>
    <w:p>
      <w:pPr>
        <w:bidi w:val="0"/>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2826417152" behindDoc="0" locked="0" layoutInCell="1" allowOverlap="1">
            <wp:simplePos x="0" y="0"/>
            <wp:positionH relativeFrom="column">
              <wp:posOffset>-15875</wp:posOffset>
            </wp:positionH>
            <wp:positionV relativeFrom="paragraph">
              <wp:posOffset>114300</wp:posOffset>
            </wp:positionV>
            <wp:extent cx="5899150" cy="8120380"/>
            <wp:effectExtent l="0" t="0" r="6350" b="13970"/>
            <wp:wrapNone/>
            <wp:docPr id="97" name="图片 97" descr="ed736680f44f4e7a383d02c15842a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ed736680f44f4e7a383d02c15842ad6"/>
                    <pic:cNvPicPr>
                      <a:picLocks noChangeAspect="1"/>
                    </pic:cNvPicPr>
                  </pic:nvPicPr>
                  <pic:blipFill>
                    <a:blip r:embed="rId52"/>
                    <a:stretch>
                      <a:fillRect/>
                    </a:stretch>
                  </pic:blipFill>
                  <pic:spPr>
                    <a:xfrm>
                      <a:off x="0" y="0"/>
                      <a:ext cx="5899150" cy="8120380"/>
                    </a:xfrm>
                    <a:prstGeom prst="rect">
                      <a:avLst/>
                    </a:prstGeom>
                  </pic:spPr>
                </pic:pic>
              </a:graphicData>
            </a:graphic>
          </wp:anchor>
        </w:drawing>
      </w: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8"/>
        <w:bidi w:val="0"/>
        <w:rPr>
          <w:rFonts w:hint="eastAsia"/>
          <w:lang w:val="en-US" w:eastAsia="zh-CN"/>
        </w:rPr>
      </w:pPr>
      <w:r>
        <w:rPr>
          <w:rFonts w:hint="eastAsia"/>
          <w:lang w:val="en-US" w:eastAsia="zh-CN"/>
        </w:rPr>
        <w:drawing>
          <wp:anchor distT="0" distB="0" distL="114300" distR="114300" simplePos="0" relativeHeight="1709956096" behindDoc="0" locked="0" layoutInCell="1" allowOverlap="1">
            <wp:simplePos x="0" y="0"/>
            <wp:positionH relativeFrom="column">
              <wp:posOffset>-19050</wp:posOffset>
            </wp:positionH>
            <wp:positionV relativeFrom="paragraph">
              <wp:posOffset>312420</wp:posOffset>
            </wp:positionV>
            <wp:extent cx="5902325" cy="8346440"/>
            <wp:effectExtent l="0" t="0" r="3175" b="16510"/>
            <wp:wrapNone/>
            <wp:docPr id="11" name="图片 11" descr="PTC19111909湖南金诺动力设备制造有限公司环境质量检测项目 检测报告 扫描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PTC19111909湖南金诺动力设备制造有限公司环境质量检测项目 检测报告 扫描件_00"/>
                    <pic:cNvPicPr>
                      <a:picLocks noChangeAspect="1"/>
                    </pic:cNvPicPr>
                  </pic:nvPicPr>
                  <pic:blipFill>
                    <a:blip r:embed="rId53"/>
                    <a:stretch>
                      <a:fillRect/>
                    </a:stretch>
                  </pic:blipFill>
                  <pic:spPr>
                    <a:xfrm>
                      <a:off x="0" y="0"/>
                      <a:ext cx="5902325" cy="8346440"/>
                    </a:xfrm>
                    <a:prstGeom prst="rect">
                      <a:avLst/>
                    </a:prstGeom>
                  </pic:spPr>
                </pic:pic>
              </a:graphicData>
            </a:graphic>
          </wp:anchor>
        </w:drawing>
      </w:r>
      <w:r>
        <w:rPr>
          <w:rFonts w:hint="eastAsia"/>
          <w:lang w:val="en-US" w:eastAsia="zh-CN"/>
        </w:rPr>
        <w:t>附件9  现有项目污染物检测报告</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drawing>
          <wp:anchor distT="0" distB="0" distL="114300" distR="114300" simplePos="0" relativeHeight="1709957120" behindDoc="0" locked="0" layoutInCell="1" allowOverlap="1">
            <wp:simplePos x="0" y="0"/>
            <wp:positionH relativeFrom="column">
              <wp:posOffset>0</wp:posOffset>
            </wp:positionH>
            <wp:positionV relativeFrom="paragraph">
              <wp:posOffset>121920</wp:posOffset>
            </wp:positionV>
            <wp:extent cx="5902325" cy="8346440"/>
            <wp:effectExtent l="0" t="0" r="3175" b="16510"/>
            <wp:wrapNone/>
            <wp:docPr id="24" name="图片 24" descr="PTC19111909湖南金诺动力设备制造有限公司环境质量检测项目 检测报告 扫描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PTC19111909湖南金诺动力设备制造有限公司环境质量检测项目 检测报告 扫描件_01"/>
                    <pic:cNvPicPr>
                      <a:picLocks noChangeAspect="1"/>
                    </pic:cNvPicPr>
                  </pic:nvPicPr>
                  <pic:blipFill>
                    <a:blip r:embed="rId54"/>
                    <a:stretch>
                      <a:fillRect/>
                    </a:stretch>
                  </pic:blipFill>
                  <pic:spPr>
                    <a:xfrm>
                      <a:off x="0" y="0"/>
                      <a:ext cx="5902325" cy="8346440"/>
                    </a:xfrm>
                    <a:prstGeom prst="rect">
                      <a:avLst/>
                    </a:prstGeom>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drawing>
          <wp:anchor distT="0" distB="0" distL="114300" distR="114300" simplePos="0" relativeHeight="1709958144" behindDoc="0" locked="0" layoutInCell="1" allowOverlap="1">
            <wp:simplePos x="0" y="0"/>
            <wp:positionH relativeFrom="column">
              <wp:posOffset>0</wp:posOffset>
            </wp:positionH>
            <wp:positionV relativeFrom="paragraph">
              <wp:posOffset>40005</wp:posOffset>
            </wp:positionV>
            <wp:extent cx="5902325" cy="8346440"/>
            <wp:effectExtent l="0" t="0" r="3175" b="16510"/>
            <wp:wrapNone/>
            <wp:docPr id="25" name="图片 25" descr="PTC19111909湖南金诺动力设备制造有限公司环境质量检测项目 检测报告 扫描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PTC19111909湖南金诺动力设备制造有限公司环境质量检测项目 检测报告 扫描件_02"/>
                    <pic:cNvPicPr>
                      <a:picLocks noChangeAspect="1"/>
                    </pic:cNvPicPr>
                  </pic:nvPicPr>
                  <pic:blipFill>
                    <a:blip r:embed="rId55"/>
                    <a:stretch>
                      <a:fillRect/>
                    </a:stretch>
                  </pic:blipFill>
                  <pic:spPr>
                    <a:xfrm>
                      <a:off x="0" y="0"/>
                      <a:ext cx="5902325" cy="8346440"/>
                    </a:xfrm>
                    <a:prstGeom prst="rect">
                      <a:avLst/>
                    </a:prstGeom>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drawing>
          <wp:anchor distT="0" distB="0" distL="114300" distR="114300" simplePos="0" relativeHeight="1709959168" behindDoc="0" locked="0" layoutInCell="1" allowOverlap="1">
            <wp:simplePos x="0" y="0"/>
            <wp:positionH relativeFrom="column">
              <wp:posOffset>-19050</wp:posOffset>
            </wp:positionH>
            <wp:positionV relativeFrom="paragraph">
              <wp:posOffset>125730</wp:posOffset>
            </wp:positionV>
            <wp:extent cx="5902325" cy="8346440"/>
            <wp:effectExtent l="0" t="0" r="3175" b="16510"/>
            <wp:wrapNone/>
            <wp:docPr id="26" name="图片 26" descr="PTC19111909湖南金诺动力设备制造有限公司环境质量检测项目 检测报告 扫描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PTC19111909湖南金诺动力设备制造有限公司环境质量检测项目 检测报告 扫描件_03"/>
                    <pic:cNvPicPr>
                      <a:picLocks noChangeAspect="1"/>
                    </pic:cNvPicPr>
                  </pic:nvPicPr>
                  <pic:blipFill>
                    <a:blip r:embed="rId56"/>
                    <a:stretch>
                      <a:fillRect/>
                    </a:stretch>
                  </pic:blipFill>
                  <pic:spPr>
                    <a:xfrm>
                      <a:off x="0" y="0"/>
                      <a:ext cx="5902325" cy="8346440"/>
                    </a:xfrm>
                    <a:prstGeom prst="rect">
                      <a:avLst/>
                    </a:prstGeom>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drawing>
          <wp:anchor distT="0" distB="0" distL="114300" distR="114300" simplePos="0" relativeHeight="1709960192" behindDoc="0" locked="0" layoutInCell="1" allowOverlap="1">
            <wp:simplePos x="0" y="0"/>
            <wp:positionH relativeFrom="column">
              <wp:posOffset>28575</wp:posOffset>
            </wp:positionH>
            <wp:positionV relativeFrom="paragraph">
              <wp:posOffset>169545</wp:posOffset>
            </wp:positionV>
            <wp:extent cx="5902325" cy="8346440"/>
            <wp:effectExtent l="0" t="0" r="3175" b="16510"/>
            <wp:wrapNone/>
            <wp:docPr id="27" name="图片 27" descr="PTC19111909湖南金诺动力设备制造有限公司环境质量检测项目 检测报告 扫描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PTC19111909湖南金诺动力设备制造有限公司环境质量检测项目 检测报告 扫描件_04"/>
                    <pic:cNvPicPr>
                      <a:picLocks noChangeAspect="1"/>
                    </pic:cNvPicPr>
                  </pic:nvPicPr>
                  <pic:blipFill>
                    <a:blip r:embed="rId57"/>
                    <a:stretch>
                      <a:fillRect/>
                    </a:stretch>
                  </pic:blipFill>
                  <pic:spPr>
                    <a:xfrm>
                      <a:off x="0" y="0"/>
                      <a:ext cx="5902325" cy="8346440"/>
                    </a:xfrm>
                    <a:prstGeom prst="rect">
                      <a:avLst/>
                    </a:prstGeom>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drawing>
          <wp:anchor distT="0" distB="0" distL="114300" distR="114300" simplePos="0" relativeHeight="1709961216" behindDoc="0" locked="0" layoutInCell="1" allowOverlap="1">
            <wp:simplePos x="0" y="0"/>
            <wp:positionH relativeFrom="column">
              <wp:posOffset>0</wp:posOffset>
            </wp:positionH>
            <wp:positionV relativeFrom="paragraph">
              <wp:posOffset>-581025</wp:posOffset>
            </wp:positionV>
            <wp:extent cx="5902325" cy="8346440"/>
            <wp:effectExtent l="0" t="0" r="3175" b="16510"/>
            <wp:wrapNone/>
            <wp:docPr id="28" name="图片 28" descr="PTC19111909湖南金诺动力设备制造有限公司环境质量检测项目 检测报告 扫描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PTC19111909湖南金诺动力设备制造有限公司环境质量检测项目 检测报告 扫描件_05"/>
                    <pic:cNvPicPr>
                      <a:picLocks noChangeAspect="1"/>
                    </pic:cNvPicPr>
                  </pic:nvPicPr>
                  <pic:blipFill>
                    <a:blip r:embed="rId58"/>
                    <a:stretch>
                      <a:fillRect/>
                    </a:stretch>
                  </pic:blipFill>
                  <pic:spPr>
                    <a:xfrm>
                      <a:off x="0" y="0"/>
                      <a:ext cx="5902325" cy="8346440"/>
                    </a:xfrm>
                    <a:prstGeom prst="rect">
                      <a:avLst/>
                    </a:prstGeom>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drawing>
          <wp:anchor distT="0" distB="0" distL="114300" distR="114300" simplePos="0" relativeHeight="1709962240" behindDoc="0" locked="0" layoutInCell="1" allowOverlap="1">
            <wp:simplePos x="0" y="0"/>
            <wp:positionH relativeFrom="column">
              <wp:posOffset>0</wp:posOffset>
            </wp:positionH>
            <wp:positionV relativeFrom="paragraph">
              <wp:posOffset>-2638425</wp:posOffset>
            </wp:positionV>
            <wp:extent cx="5902325" cy="8346440"/>
            <wp:effectExtent l="0" t="0" r="3175" b="16510"/>
            <wp:wrapNone/>
            <wp:docPr id="34" name="图片 34" descr="PTC19111909湖南金诺动力设备制造有限公司环境质量检测项目 检测报告 扫描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PTC19111909湖南金诺动力设备制造有限公司环境质量检测项目 检测报告 扫描件_06"/>
                    <pic:cNvPicPr>
                      <a:picLocks noChangeAspect="1"/>
                    </pic:cNvPicPr>
                  </pic:nvPicPr>
                  <pic:blipFill>
                    <a:blip r:embed="rId59"/>
                    <a:stretch>
                      <a:fillRect/>
                    </a:stretch>
                  </pic:blipFill>
                  <pic:spPr>
                    <a:xfrm>
                      <a:off x="0" y="0"/>
                      <a:ext cx="5902325" cy="8346440"/>
                    </a:xfrm>
                    <a:prstGeom prst="rect">
                      <a:avLst/>
                    </a:prstGeom>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drawing>
          <wp:anchor distT="0" distB="0" distL="114300" distR="114300" simplePos="0" relativeHeight="1709963264" behindDoc="0" locked="0" layoutInCell="1" allowOverlap="1">
            <wp:simplePos x="0" y="0"/>
            <wp:positionH relativeFrom="column">
              <wp:posOffset>0</wp:posOffset>
            </wp:positionH>
            <wp:positionV relativeFrom="paragraph">
              <wp:posOffset>-2638425</wp:posOffset>
            </wp:positionV>
            <wp:extent cx="5902325" cy="8346440"/>
            <wp:effectExtent l="0" t="0" r="3175" b="16510"/>
            <wp:wrapNone/>
            <wp:docPr id="35" name="图片 35" descr="PTC19111909湖南金诺动力设备制造有限公司环境质量检测项目 检测报告 扫描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PTC19111909湖南金诺动力设备制造有限公司环境质量检测项目 检测报告 扫描件_07"/>
                    <pic:cNvPicPr>
                      <a:picLocks noChangeAspect="1"/>
                    </pic:cNvPicPr>
                  </pic:nvPicPr>
                  <pic:blipFill>
                    <a:blip r:embed="rId60"/>
                    <a:stretch>
                      <a:fillRect/>
                    </a:stretch>
                  </pic:blipFill>
                  <pic:spPr>
                    <a:xfrm>
                      <a:off x="0" y="0"/>
                      <a:ext cx="5902325" cy="8346440"/>
                    </a:xfrm>
                    <a:prstGeom prst="rect">
                      <a:avLst/>
                    </a:prstGeom>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drawing>
          <wp:anchor distT="0" distB="0" distL="114300" distR="114300" simplePos="0" relativeHeight="1709964288" behindDoc="0" locked="0" layoutInCell="1" allowOverlap="1">
            <wp:simplePos x="0" y="0"/>
            <wp:positionH relativeFrom="column">
              <wp:posOffset>0</wp:posOffset>
            </wp:positionH>
            <wp:positionV relativeFrom="paragraph">
              <wp:posOffset>-4901565</wp:posOffset>
            </wp:positionV>
            <wp:extent cx="5902325" cy="8346440"/>
            <wp:effectExtent l="0" t="0" r="3175" b="16510"/>
            <wp:wrapNone/>
            <wp:docPr id="64" name="图片 64" descr="PTC19111909湖南金诺动力设备制造有限公司环境质量检测项目 检测报告 扫描件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PTC19111909湖南金诺动力设备制造有限公司环境质量检测项目 检测报告 扫描件_08"/>
                    <pic:cNvPicPr>
                      <a:picLocks noChangeAspect="1"/>
                    </pic:cNvPicPr>
                  </pic:nvPicPr>
                  <pic:blipFill>
                    <a:blip r:embed="rId61"/>
                    <a:stretch>
                      <a:fillRect/>
                    </a:stretch>
                  </pic:blipFill>
                  <pic:spPr>
                    <a:xfrm>
                      <a:off x="0" y="0"/>
                      <a:ext cx="5902325" cy="8346440"/>
                    </a:xfrm>
                    <a:prstGeom prst="rect">
                      <a:avLst/>
                    </a:prstGeom>
                  </pic:spPr>
                </pic:pic>
              </a:graphicData>
            </a:graphic>
          </wp:anchor>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8"/>
        <w:bidi w:val="0"/>
        <w:rPr>
          <w:rFonts w:hint="default"/>
          <w:lang w:val="en-US" w:eastAsia="zh-CN"/>
        </w:rPr>
      </w:pPr>
      <w:r>
        <w:rPr>
          <w:rFonts w:hint="eastAsia"/>
          <w:lang w:val="en-US" w:eastAsia="zh-CN"/>
        </w:rPr>
        <w:t>附件10  专家意见及专家签到表</w:t>
      </w:r>
    </w:p>
    <w:p>
      <w:pPr>
        <w:pStyle w:val="38"/>
        <w:jc w:val="center"/>
        <w:rPr>
          <w:rFonts w:hint="default"/>
          <w:color w:val="auto"/>
          <w:u w:val="none" w:color="auto"/>
          <w:lang w:val="en-US" w:eastAsia="zh-CN"/>
        </w:rPr>
      </w:pPr>
    </w:p>
    <w:p>
      <w:pPr>
        <w:adjustRightInd w:val="0"/>
        <w:snapToGrid w:val="0"/>
        <w:spacing w:line="360" w:lineRule="auto"/>
        <w:jc w:val="center"/>
        <w:rPr>
          <w:b/>
          <w:bCs/>
          <w:sz w:val="32"/>
          <w:szCs w:val="32"/>
        </w:rPr>
      </w:pPr>
      <w:r>
        <w:rPr>
          <w:rFonts w:hint="eastAsia"/>
          <w:b/>
          <w:bCs/>
          <w:sz w:val="32"/>
          <w:szCs w:val="32"/>
        </w:rPr>
        <w:t>湖南金诺动力设备制造有限公司年产5000件消防设备及</w:t>
      </w:r>
      <w:r>
        <w:rPr>
          <w:b/>
          <w:bCs/>
          <w:sz w:val="32"/>
          <w:szCs w:val="32"/>
        </w:rPr>
        <w:br w:type="textWrapping"/>
      </w:r>
      <w:r>
        <w:rPr>
          <w:rFonts w:hint="eastAsia"/>
          <w:b/>
          <w:bCs/>
          <w:sz w:val="32"/>
          <w:szCs w:val="32"/>
        </w:rPr>
        <w:t>器材建设项目</w:t>
      </w:r>
      <w:r>
        <w:rPr>
          <w:b/>
          <w:bCs/>
          <w:sz w:val="32"/>
          <w:szCs w:val="32"/>
        </w:rPr>
        <w:t>环境影响报告表</w:t>
      </w:r>
      <w:r>
        <w:rPr>
          <w:rFonts w:hint="eastAsia"/>
          <w:b/>
          <w:bCs/>
          <w:sz w:val="32"/>
          <w:szCs w:val="32"/>
        </w:rPr>
        <w:t>技术评审会专家意见</w:t>
      </w:r>
    </w:p>
    <w:p>
      <w:pPr>
        <w:tabs>
          <w:tab w:val="left" w:pos="993"/>
        </w:tabs>
        <w:spacing w:line="360" w:lineRule="auto"/>
        <w:ind w:firstLine="542" w:firstLineChars="200"/>
        <w:rPr>
          <w:b/>
          <w:sz w:val="28"/>
          <w:szCs w:val="28"/>
        </w:rPr>
      </w:pPr>
    </w:p>
    <w:p>
      <w:pPr>
        <w:tabs>
          <w:tab w:val="left" w:pos="993"/>
        </w:tabs>
        <w:spacing w:line="360" w:lineRule="auto"/>
        <w:ind w:firstLine="542" w:firstLineChars="200"/>
        <w:rPr>
          <w:b/>
          <w:sz w:val="28"/>
          <w:szCs w:val="28"/>
        </w:rPr>
      </w:pPr>
      <w:r>
        <w:rPr>
          <w:rFonts w:hint="eastAsia"/>
          <w:b/>
          <w:sz w:val="28"/>
          <w:szCs w:val="28"/>
        </w:rPr>
        <w:t>2019年12月5日</w:t>
      </w:r>
      <w:r>
        <w:rPr>
          <w:b/>
          <w:sz w:val="28"/>
          <w:szCs w:val="28"/>
        </w:rPr>
        <w:t>，</w:t>
      </w:r>
      <w:r>
        <w:rPr>
          <w:rFonts w:hint="eastAsia"/>
          <w:b/>
          <w:sz w:val="28"/>
          <w:szCs w:val="28"/>
        </w:rPr>
        <w:t>岳阳市生态环境局湘阴分局在湘阴县主持召开了《湖南金诺动力设备制造有限公司年产5000件消防设备及器材建设项目环境影响报告表》</w:t>
      </w:r>
      <w:r>
        <w:rPr>
          <w:b/>
          <w:sz w:val="28"/>
          <w:szCs w:val="28"/>
        </w:rPr>
        <w:t>技术</w:t>
      </w:r>
      <w:r>
        <w:rPr>
          <w:rFonts w:hint="eastAsia"/>
          <w:b/>
          <w:sz w:val="28"/>
          <w:szCs w:val="28"/>
        </w:rPr>
        <w:t>评审</w:t>
      </w:r>
      <w:r>
        <w:rPr>
          <w:b/>
          <w:sz w:val="28"/>
          <w:szCs w:val="28"/>
        </w:rPr>
        <w:t>会。参加会议的有</w:t>
      </w:r>
      <w:r>
        <w:rPr>
          <w:rFonts w:hint="eastAsia"/>
          <w:b/>
          <w:sz w:val="28"/>
          <w:szCs w:val="28"/>
        </w:rPr>
        <w:t>建设单位湖南金诺动力设备制造有限公司、编制单位</w:t>
      </w:r>
      <w:r>
        <w:rPr>
          <w:rFonts w:hint="eastAsia"/>
          <w:b/>
          <w:sz w:val="28"/>
          <w:szCs w:val="28"/>
          <w:lang w:eastAsia="zh-CN"/>
        </w:rPr>
        <w:t>北京国环益达环保技术有限公司</w:t>
      </w:r>
      <w:r>
        <w:rPr>
          <w:rFonts w:hint="eastAsia"/>
          <w:b/>
          <w:sz w:val="28"/>
          <w:szCs w:val="28"/>
        </w:rPr>
        <w:t>的代表。</w:t>
      </w:r>
      <w:r>
        <w:rPr>
          <w:b/>
          <w:sz w:val="28"/>
          <w:szCs w:val="28"/>
        </w:rPr>
        <w:t>会议邀请了3位专家组成技术</w:t>
      </w:r>
      <w:r>
        <w:rPr>
          <w:rFonts w:hint="eastAsia"/>
          <w:b/>
          <w:sz w:val="28"/>
          <w:szCs w:val="28"/>
        </w:rPr>
        <w:t>评审</w:t>
      </w:r>
      <w:r>
        <w:rPr>
          <w:b/>
          <w:sz w:val="28"/>
          <w:szCs w:val="28"/>
        </w:rPr>
        <w:t>组（名单附后）。</w:t>
      </w:r>
      <w:r>
        <w:rPr>
          <w:rFonts w:hint="eastAsia"/>
          <w:b/>
          <w:sz w:val="28"/>
          <w:szCs w:val="28"/>
        </w:rPr>
        <w:t>会上建设单位介绍了项目的简要情况，编制单位汇报了环评报告的具体内容。经与会专家及代表认真讨论和评审，形成技术评审会专家意见如下：</w:t>
      </w:r>
    </w:p>
    <w:p>
      <w:pPr>
        <w:tabs>
          <w:tab w:val="left" w:pos="993"/>
        </w:tabs>
        <w:spacing w:line="360" w:lineRule="auto"/>
        <w:rPr>
          <w:b/>
          <w:sz w:val="28"/>
          <w:szCs w:val="28"/>
        </w:rPr>
      </w:pPr>
    </w:p>
    <w:p>
      <w:pPr>
        <w:tabs>
          <w:tab w:val="left" w:pos="993"/>
        </w:tabs>
        <w:spacing w:line="360" w:lineRule="auto"/>
        <w:rPr>
          <w:b/>
          <w:sz w:val="28"/>
          <w:szCs w:val="28"/>
        </w:rPr>
      </w:pPr>
      <w:r>
        <w:rPr>
          <w:b/>
          <w:sz w:val="28"/>
          <w:szCs w:val="28"/>
        </w:rPr>
        <w:t>一、项目概况</w:t>
      </w:r>
    </w:p>
    <w:p>
      <w:pPr>
        <w:tabs>
          <w:tab w:val="left" w:pos="993"/>
        </w:tabs>
        <w:spacing w:line="360" w:lineRule="auto"/>
        <w:ind w:firstLine="542" w:firstLineChars="200"/>
        <w:rPr>
          <w:b/>
          <w:sz w:val="28"/>
          <w:szCs w:val="28"/>
        </w:rPr>
      </w:pPr>
      <w:r>
        <w:rPr>
          <w:rFonts w:hint="eastAsia"/>
          <w:b/>
          <w:sz w:val="28"/>
          <w:szCs w:val="28"/>
        </w:rPr>
        <w:t>详见报告。</w:t>
      </w:r>
    </w:p>
    <w:p>
      <w:pPr>
        <w:spacing w:line="360" w:lineRule="auto"/>
        <w:ind w:firstLine="462" w:firstLineChars="200"/>
        <w:jc w:val="left"/>
        <w:rPr>
          <w:sz w:val="24"/>
        </w:rPr>
      </w:pPr>
    </w:p>
    <w:p>
      <w:pPr>
        <w:numPr>
          <w:ilvl w:val="0"/>
          <w:numId w:val="12"/>
        </w:numPr>
        <w:tabs>
          <w:tab w:val="left" w:pos="993"/>
        </w:tabs>
        <w:spacing w:line="360" w:lineRule="auto"/>
        <w:rPr>
          <w:b/>
          <w:sz w:val="28"/>
          <w:szCs w:val="28"/>
        </w:rPr>
      </w:pPr>
      <w:r>
        <w:rPr>
          <w:b/>
          <w:sz w:val="28"/>
          <w:szCs w:val="28"/>
        </w:rPr>
        <w:t>报告表修改意见</w:t>
      </w:r>
    </w:p>
    <w:p>
      <w:pPr>
        <w:numPr>
          <w:ilvl w:val="0"/>
          <w:numId w:val="13"/>
        </w:numPr>
        <w:tabs>
          <w:tab w:val="left" w:pos="993"/>
        </w:tabs>
        <w:spacing w:line="360" w:lineRule="auto"/>
        <w:ind w:left="0" w:firstLine="542" w:firstLineChars="200"/>
        <w:rPr>
          <w:rFonts w:hint="eastAsia"/>
          <w:b/>
          <w:sz w:val="28"/>
          <w:szCs w:val="28"/>
        </w:rPr>
      </w:pPr>
      <w:r>
        <w:rPr>
          <w:rFonts w:hint="eastAsia"/>
          <w:b/>
          <w:sz w:val="28"/>
          <w:szCs w:val="28"/>
        </w:rPr>
        <w:t>完善项目由来，明确绝缘漆和稀释剂的主要成分，核实各部分的烘干方式、燃料种类及用量。</w:t>
      </w:r>
    </w:p>
    <w:p>
      <w:pPr>
        <w:numPr>
          <w:ilvl w:val="0"/>
          <w:numId w:val="13"/>
        </w:numPr>
        <w:tabs>
          <w:tab w:val="left" w:pos="993"/>
        </w:tabs>
        <w:spacing w:line="360" w:lineRule="auto"/>
        <w:ind w:left="0" w:firstLine="542" w:firstLineChars="200"/>
        <w:rPr>
          <w:rFonts w:hint="eastAsia"/>
          <w:b/>
          <w:sz w:val="28"/>
          <w:szCs w:val="28"/>
        </w:rPr>
      </w:pPr>
      <w:r>
        <w:rPr>
          <w:rFonts w:hint="eastAsia"/>
          <w:b/>
          <w:sz w:val="28"/>
          <w:szCs w:val="28"/>
        </w:rPr>
        <w:t>完善现有项目生产情况、环保设施建设和运行情况及产排污情况说明，完善现有项目存在的环境问题及“以新带老”措施和迁建后场地遗留环境问题及解决方式。</w:t>
      </w:r>
    </w:p>
    <w:p>
      <w:pPr>
        <w:numPr>
          <w:ilvl w:val="0"/>
          <w:numId w:val="13"/>
        </w:numPr>
        <w:tabs>
          <w:tab w:val="left" w:pos="993"/>
        </w:tabs>
        <w:spacing w:line="360" w:lineRule="auto"/>
        <w:ind w:left="0" w:firstLine="542" w:firstLineChars="200"/>
        <w:rPr>
          <w:rFonts w:hint="eastAsia"/>
          <w:b/>
          <w:sz w:val="28"/>
          <w:szCs w:val="28"/>
        </w:rPr>
      </w:pPr>
      <w:r>
        <w:rPr>
          <w:rFonts w:hint="eastAsia"/>
          <w:b/>
          <w:sz w:val="28"/>
          <w:szCs w:val="28"/>
        </w:rPr>
        <w:t>校核项目与主要环保目标的距离、方位、规模等，完善项目引用大气环境质量的有效性，根据项目受纳水体，完善地表水等环境质量现状评价；结合区域污水管网及污水处理设施建设运行情况，校核项目污水排放去向及依托相关污水处理设施处理的可行性。</w:t>
      </w:r>
    </w:p>
    <w:p>
      <w:pPr>
        <w:numPr>
          <w:ilvl w:val="0"/>
          <w:numId w:val="13"/>
        </w:numPr>
        <w:tabs>
          <w:tab w:val="left" w:pos="993"/>
        </w:tabs>
        <w:spacing w:line="360" w:lineRule="auto"/>
        <w:ind w:left="0" w:firstLine="542" w:firstLineChars="200"/>
        <w:rPr>
          <w:b/>
          <w:sz w:val="28"/>
          <w:szCs w:val="28"/>
        </w:rPr>
      </w:pPr>
      <w:r>
        <w:rPr>
          <w:rFonts w:hint="eastAsia"/>
          <w:b/>
          <w:sz w:val="28"/>
          <w:szCs w:val="28"/>
        </w:rPr>
        <w:t>完善项目浸漆、烘干等生产工艺及产排污节点说明。</w:t>
      </w:r>
    </w:p>
    <w:p>
      <w:pPr>
        <w:numPr>
          <w:ilvl w:val="0"/>
          <w:numId w:val="13"/>
        </w:numPr>
        <w:tabs>
          <w:tab w:val="left" w:pos="993"/>
        </w:tabs>
        <w:spacing w:line="360" w:lineRule="auto"/>
        <w:ind w:left="0" w:firstLine="542" w:firstLineChars="200"/>
        <w:rPr>
          <w:rFonts w:hint="eastAsia"/>
          <w:b/>
          <w:sz w:val="28"/>
          <w:szCs w:val="28"/>
        </w:rPr>
      </w:pPr>
      <w:r>
        <w:rPr>
          <w:rFonts w:hint="eastAsia"/>
          <w:b/>
          <w:sz w:val="28"/>
          <w:szCs w:val="28"/>
        </w:rPr>
        <w:t>结合迁建前现有项目的产排污情况，校核项目废气等各类污染源强及处理措施的可靠性，强化项目排气筒设置的合理性分析及优化调整建议；校核废活性炭、漆渣等各类固废的数量和处理处置要求，完善危险废物暂存间建设要求。</w:t>
      </w:r>
    </w:p>
    <w:p>
      <w:pPr>
        <w:numPr>
          <w:ilvl w:val="0"/>
          <w:numId w:val="13"/>
        </w:numPr>
        <w:tabs>
          <w:tab w:val="left" w:pos="993"/>
        </w:tabs>
        <w:spacing w:line="360" w:lineRule="auto"/>
        <w:ind w:left="0" w:firstLine="542" w:firstLineChars="200"/>
        <w:rPr>
          <w:b/>
          <w:sz w:val="28"/>
          <w:szCs w:val="28"/>
        </w:rPr>
      </w:pPr>
      <w:r>
        <w:rPr>
          <w:rFonts w:hint="eastAsia"/>
          <w:b/>
          <w:sz w:val="28"/>
          <w:szCs w:val="28"/>
        </w:rPr>
        <w:t>校核迁建前后“三本账”，核实项目总量，完善项目竣工环保验收一览表，强化项目平面布局的合理性分析及优化调整建议。</w:t>
      </w:r>
    </w:p>
    <w:p>
      <w:pPr>
        <w:spacing w:line="360" w:lineRule="auto"/>
        <w:ind w:firstLine="453" w:firstLineChars="196"/>
        <w:rPr>
          <w:rFonts w:hint="eastAsia"/>
          <w:b/>
          <w:sz w:val="24"/>
        </w:rPr>
      </w:pPr>
    </w:p>
    <w:p>
      <w:pPr>
        <w:spacing w:line="360" w:lineRule="auto"/>
        <w:ind w:firstLine="453" w:firstLineChars="196"/>
        <w:rPr>
          <w:b/>
          <w:sz w:val="24"/>
        </w:rPr>
      </w:pPr>
    </w:p>
    <w:p>
      <w:pPr>
        <w:pStyle w:val="196"/>
        <w:snapToGrid w:val="0"/>
        <w:spacing w:before="0" w:line="360" w:lineRule="auto"/>
        <w:ind w:firstLine="0"/>
        <w:jc w:val="right"/>
        <w:rPr>
          <w:sz w:val="28"/>
          <w:szCs w:val="28"/>
        </w:rPr>
      </w:pPr>
      <w:r>
        <w:rPr>
          <w:sz w:val="28"/>
          <w:szCs w:val="28"/>
        </w:rPr>
        <w:t>评审专家：</w:t>
      </w:r>
      <w:r>
        <w:rPr>
          <w:rFonts w:hint="eastAsia"/>
          <w:sz w:val="28"/>
          <w:szCs w:val="28"/>
        </w:rPr>
        <w:t>钟亚军</w:t>
      </w:r>
      <w:r>
        <w:rPr>
          <w:sz w:val="28"/>
          <w:szCs w:val="28"/>
        </w:rPr>
        <w:t>（组长）、</w:t>
      </w:r>
      <w:r>
        <w:rPr>
          <w:rFonts w:hint="eastAsia"/>
          <w:sz w:val="28"/>
          <w:szCs w:val="28"/>
        </w:rPr>
        <w:t>黄献良</w:t>
      </w:r>
      <w:r>
        <w:rPr>
          <w:sz w:val="28"/>
          <w:szCs w:val="28"/>
        </w:rPr>
        <w:t>、周易鸣（执笔）</w:t>
      </w:r>
    </w:p>
    <w:p>
      <w:pPr>
        <w:pStyle w:val="196"/>
        <w:snapToGrid w:val="0"/>
        <w:spacing w:before="0" w:line="360" w:lineRule="auto"/>
        <w:ind w:firstLine="5886" w:firstLineChars="2172"/>
        <w:rPr>
          <w:sz w:val="28"/>
          <w:szCs w:val="28"/>
        </w:rPr>
      </w:pPr>
      <w:r>
        <w:rPr>
          <w:rFonts w:hint="eastAsia"/>
          <w:sz w:val="28"/>
          <w:szCs w:val="28"/>
        </w:rPr>
        <w:t>2019年12月5日</w:t>
      </w:r>
    </w:p>
    <w:p>
      <w:pPr>
        <w:pStyle w:val="196"/>
        <w:snapToGrid w:val="0"/>
        <w:spacing w:before="0" w:line="360" w:lineRule="auto"/>
        <w:ind w:firstLine="5886" w:firstLineChars="2172"/>
        <w:rPr>
          <w:sz w:val="28"/>
          <w:szCs w:val="28"/>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709948928" behindDoc="0" locked="0" layoutInCell="1" allowOverlap="1">
            <wp:simplePos x="0" y="0"/>
            <wp:positionH relativeFrom="column">
              <wp:posOffset>74930</wp:posOffset>
            </wp:positionH>
            <wp:positionV relativeFrom="paragraph">
              <wp:posOffset>131445</wp:posOffset>
            </wp:positionV>
            <wp:extent cx="5801995" cy="8867775"/>
            <wp:effectExtent l="0" t="0" r="8255" b="9525"/>
            <wp:wrapNone/>
            <wp:docPr id="12" name="图片 12" descr="f42ce90b029a106c12c1acf3ff585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42ce90b029a106c12c1acf3ff585d9"/>
                    <pic:cNvPicPr>
                      <a:picLocks noChangeAspect="1"/>
                    </pic:cNvPicPr>
                  </pic:nvPicPr>
                  <pic:blipFill>
                    <a:blip r:embed="rId62"/>
                    <a:stretch>
                      <a:fillRect/>
                    </a:stretch>
                  </pic:blipFill>
                  <pic:spPr>
                    <a:xfrm>
                      <a:off x="0" y="0"/>
                      <a:ext cx="5801995" cy="8867775"/>
                    </a:xfrm>
                    <a:prstGeom prst="rect">
                      <a:avLst/>
                    </a:prstGeom>
                  </pic:spPr>
                </pic:pic>
              </a:graphicData>
            </a:graphic>
          </wp:anchor>
        </w:drawing>
      </w:r>
    </w:p>
    <w:p>
      <w:pPr>
        <w:pStyle w:val="38"/>
        <w:jc w:val="center"/>
        <w:rPr>
          <w:rFonts w:hint="default"/>
          <w:color w:val="auto"/>
          <w:u w:val="none" w:color="auto"/>
          <w:lang w:val="en-US" w:eastAsia="zh-CN"/>
        </w:rPr>
        <w:sectPr>
          <w:footerReference r:id="rId8" w:type="default"/>
          <w:pgSz w:w="11906" w:h="16838"/>
          <w:pgMar w:top="1418" w:right="1134" w:bottom="1418" w:left="1474" w:header="851" w:footer="992" w:gutter="0"/>
          <w:pgBorders>
            <w:top w:val="none" w:sz="0" w:space="0"/>
            <w:left w:val="none" w:sz="0" w:space="0"/>
            <w:bottom w:val="none" w:sz="0" w:space="0"/>
            <w:right w:val="none" w:sz="0" w:space="0"/>
          </w:pgBorders>
          <w:cols w:space="720" w:num="1"/>
          <w:docGrid w:type="linesAndChars" w:linePitch="324" w:charSpace="-2001"/>
        </w:sectPr>
      </w:pPr>
    </w:p>
    <w:p>
      <w:pPr>
        <w:pStyle w:val="8"/>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329625088" behindDoc="0" locked="0" layoutInCell="1" allowOverlap="1">
            <wp:simplePos x="0" y="0"/>
            <wp:positionH relativeFrom="column">
              <wp:posOffset>8315325</wp:posOffset>
            </wp:positionH>
            <wp:positionV relativeFrom="paragraph">
              <wp:posOffset>349250</wp:posOffset>
            </wp:positionV>
            <wp:extent cx="571500" cy="742950"/>
            <wp:effectExtent l="0" t="0" r="0" b="0"/>
            <wp:wrapNone/>
            <wp:docPr id="60" name="图片 60"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170602165101"/>
                    <pic:cNvPicPr>
                      <a:picLocks noChangeAspect="1"/>
                    </pic:cNvPicPr>
                  </pic:nvPicPr>
                  <pic:blipFill>
                    <a:blip r:embed="rId63"/>
                    <a:stretch>
                      <a:fillRect/>
                    </a:stretch>
                  </pic:blipFill>
                  <pic:spPr>
                    <a:xfrm>
                      <a:off x="0" y="0"/>
                      <a:ext cx="571500" cy="742950"/>
                    </a:xfrm>
                    <a:prstGeom prst="rect">
                      <a:avLst/>
                    </a:prstGeom>
                  </pic:spPr>
                </pic:pic>
              </a:graphicData>
            </a:graphic>
          </wp:anchor>
        </w:drawing>
      </w:r>
      <w:r>
        <w:rPr>
          <w:color w:val="auto"/>
          <w:u w:val="none" w:color="auto"/>
        </w:rPr>
        <w:drawing>
          <wp:anchor distT="0" distB="0" distL="114300" distR="114300" simplePos="0" relativeHeight="290150400" behindDoc="0" locked="0" layoutInCell="1" allowOverlap="1">
            <wp:simplePos x="0" y="0"/>
            <wp:positionH relativeFrom="column">
              <wp:posOffset>-3810</wp:posOffset>
            </wp:positionH>
            <wp:positionV relativeFrom="paragraph">
              <wp:posOffset>379095</wp:posOffset>
            </wp:positionV>
            <wp:extent cx="8886190" cy="5249545"/>
            <wp:effectExtent l="0" t="0" r="10160" b="8255"/>
            <wp:wrapNone/>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64"/>
                    <a:stretch>
                      <a:fillRect/>
                    </a:stretch>
                  </pic:blipFill>
                  <pic:spPr>
                    <a:xfrm>
                      <a:off x="0" y="0"/>
                      <a:ext cx="8886190" cy="5249545"/>
                    </a:xfrm>
                    <a:prstGeom prst="rect">
                      <a:avLst/>
                    </a:prstGeom>
                    <a:noFill/>
                    <a:ln>
                      <a:noFill/>
                    </a:ln>
                  </pic:spPr>
                </pic:pic>
              </a:graphicData>
            </a:graphic>
          </wp:anchor>
        </w:drawing>
      </w:r>
      <w:r>
        <w:rPr>
          <w:rFonts w:hint="eastAsia"/>
          <w:color w:val="auto"/>
          <w:u w:val="none" w:color="auto"/>
          <w:lang w:val="en-US" w:eastAsia="zh-CN"/>
        </w:rPr>
        <w:t>附图1 项目地理位置图</w:t>
      </w: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709955072" behindDoc="0" locked="0" layoutInCell="1" allowOverlap="1">
            <wp:simplePos x="0" y="0"/>
            <wp:positionH relativeFrom="column">
              <wp:posOffset>-92075</wp:posOffset>
            </wp:positionH>
            <wp:positionV relativeFrom="paragraph">
              <wp:posOffset>207010</wp:posOffset>
            </wp:positionV>
            <wp:extent cx="9166225" cy="5514975"/>
            <wp:effectExtent l="0" t="0" r="15875" b="9525"/>
            <wp:wrapNone/>
            <wp:docPr id="33" name="图片 33" descr="18第五批次B地块（2000）路 金诺动力总图10.24_t8(1)(1)-模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8第五批次B地块（2000）路 金诺动力总图10.24_t8(1)(1)-模型_00"/>
                    <pic:cNvPicPr>
                      <a:picLocks noChangeAspect="1"/>
                    </pic:cNvPicPr>
                  </pic:nvPicPr>
                  <pic:blipFill>
                    <a:blip r:embed="rId65"/>
                    <a:srcRect t="4800" r="211" b="4744"/>
                    <a:stretch>
                      <a:fillRect/>
                    </a:stretch>
                  </pic:blipFill>
                  <pic:spPr>
                    <a:xfrm>
                      <a:off x="0" y="0"/>
                      <a:ext cx="9166225" cy="5514975"/>
                    </a:xfrm>
                    <a:prstGeom prst="rect">
                      <a:avLst/>
                    </a:prstGeom>
                  </pic:spPr>
                </pic:pic>
              </a:graphicData>
            </a:graphic>
          </wp:anchor>
        </w:drawing>
      </w:r>
      <w:r>
        <w:rPr>
          <w:rFonts w:hint="eastAsia"/>
          <w:color w:val="auto"/>
          <w:u w:val="none" w:color="auto"/>
          <w:lang w:val="en-US" w:eastAsia="zh-CN"/>
        </w:rPr>
        <w:t>附图2 项目平面布置图</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rPr>
      </w:pPr>
      <w:r>
        <w:rPr>
          <w:rFonts w:hint="default"/>
          <w:color w:val="auto"/>
          <w:u w:val="none" w:color="auto"/>
          <w:lang w:val="en-US" w:eastAsia="zh-CN"/>
        </w:rPr>
        <w:drawing>
          <wp:anchor distT="0" distB="0" distL="114300" distR="114300" simplePos="0" relativeHeight="2407592960" behindDoc="0" locked="0" layoutInCell="1" allowOverlap="1">
            <wp:simplePos x="0" y="0"/>
            <wp:positionH relativeFrom="column">
              <wp:posOffset>8305800</wp:posOffset>
            </wp:positionH>
            <wp:positionV relativeFrom="paragraph">
              <wp:posOffset>292100</wp:posOffset>
            </wp:positionV>
            <wp:extent cx="571500" cy="742950"/>
            <wp:effectExtent l="0" t="0" r="0" b="0"/>
            <wp:wrapNone/>
            <wp:docPr id="48" name="图片 48"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170602165101"/>
                    <pic:cNvPicPr>
                      <a:picLocks noChangeAspect="1"/>
                    </pic:cNvPicPr>
                  </pic:nvPicPr>
                  <pic:blipFill>
                    <a:blip r:embed="rId63"/>
                    <a:stretch>
                      <a:fillRect/>
                    </a:stretch>
                  </pic:blipFill>
                  <pic:spPr>
                    <a:xfrm>
                      <a:off x="0" y="0"/>
                      <a:ext cx="571500" cy="742950"/>
                    </a:xfrm>
                    <a:prstGeom prst="rect">
                      <a:avLst/>
                    </a:prstGeom>
                  </pic:spPr>
                </pic:pic>
              </a:graphicData>
            </a:graphic>
          </wp:anchor>
        </w:drawing>
      </w:r>
      <w:r>
        <w:rPr>
          <w:rFonts w:hint="default"/>
          <w:color w:val="auto"/>
          <w:u w:val="none" w:color="auto"/>
          <w:lang w:val="en-US" w:eastAsia="zh-CN"/>
        </w:rPr>
        <w:drawing>
          <wp:anchor distT="0" distB="0" distL="114300" distR="114300" simplePos="0" relativeHeight="2407592960" behindDoc="0" locked="0" layoutInCell="1" allowOverlap="1">
            <wp:simplePos x="0" y="0"/>
            <wp:positionH relativeFrom="column">
              <wp:posOffset>8286750</wp:posOffset>
            </wp:positionH>
            <wp:positionV relativeFrom="paragraph">
              <wp:posOffset>263525</wp:posOffset>
            </wp:positionV>
            <wp:extent cx="571500" cy="742950"/>
            <wp:effectExtent l="0" t="0" r="0" b="0"/>
            <wp:wrapNone/>
            <wp:docPr id="61" name="图片 61"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微信图片_20170602165101"/>
                    <pic:cNvPicPr>
                      <a:picLocks noChangeAspect="1"/>
                    </pic:cNvPicPr>
                  </pic:nvPicPr>
                  <pic:blipFill>
                    <a:blip r:embed="rId63"/>
                    <a:stretch>
                      <a:fillRect/>
                    </a:stretch>
                  </pic:blipFill>
                  <pic:spPr>
                    <a:xfrm>
                      <a:off x="0" y="0"/>
                      <a:ext cx="571500" cy="742950"/>
                    </a:xfrm>
                    <a:prstGeom prst="rect">
                      <a:avLst/>
                    </a:prstGeom>
                  </pic:spPr>
                </pic:pic>
              </a:graphicData>
            </a:graphic>
          </wp:anchor>
        </w:drawing>
      </w:r>
      <w:r>
        <w:rPr>
          <w:color w:val="auto"/>
          <w:u w:val="none" w:color="auto"/>
        </w:rPr>
        <w:drawing>
          <wp:anchor distT="0" distB="0" distL="114300" distR="114300" simplePos="0" relativeHeight="290151424" behindDoc="0" locked="0" layoutInCell="1" allowOverlap="1">
            <wp:simplePos x="0" y="0"/>
            <wp:positionH relativeFrom="column">
              <wp:posOffset>-10795</wp:posOffset>
            </wp:positionH>
            <wp:positionV relativeFrom="paragraph">
              <wp:posOffset>287020</wp:posOffset>
            </wp:positionV>
            <wp:extent cx="8877300" cy="5146675"/>
            <wp:effectExtent l="0" t="0" r="0" b="15875"/>
            <wp:wrapNone/>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66"/>
                    <a:stretch>
                      <a:fillRect/>
                    </a:stretch>
                  </pic:blipFill>
                  <pic:spPr>
                    <a:xfrm>
                      <a:off x="0" y="0"/>
                      <a:ext cx="8877300" cy="5146675"/>
                    </a:xfrm>
                    <a:prstGeom prst="rect">
                      <a:avLst/>
                    </a:prstGeom>
                    <a:noFill/>
                    <a:ln>
                      <a:noFill/>
                    </a:ln>
                  </pic:spPr>
                </pic:pic>
              </a:graphicData>
            </a:graphic>
          </wp:anchor>
        </w:drawing>
      </w:r>
      <w:r>
        <w:rPr>
          <w:rFonts w:hint="default"/>
          <w:color w:val="auto"/>
          <w:u w:val="none" w:color="auto"/>
        </w:rPr>
        <w:t>附图3  声环境现状监测点位图</w:t>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r>
        <w:rPr>
          <w:color w:val="auto"/>
          <w:sz w:val="21"/>
          <w:u w:val="none" w:color="auto"/>
        </w:rPr>
        <mc:AlternateContent>
          <mc:Choice Requires="wps">
            <w:drawing>
              <wp:anchor distT="0" distB="0" distL="114300" distR="114300" simplePos="0" relativeHeight="290152448" behindDoc="0" locked="0" layoutInCell="1" allowOverlap="1">
                <wp:simplePos x="0" y="0"/>
                <wp:positionH relativeFrom="column">
                  <wp:posOffset>2934970</wp:posOffset>
                </wp:positionH>
                <wp:positionV relativeFrom="paragraph">
                  <wp:posOffset>133985</wp:posOffset>
                </wp:positionV>
                <wp:extent cx="1184910" cy="986790"/>
                <wp:effectExtent l="14605" t="11430" r="19685" b="30480"/>
                <wp:wrapNone/>
                <wp:docPr id="38" name="任意多边形 38"/>
                <wp:cNvGraphicFramePr/>
                <a:graphic xmlns:a="http://schemas.openxmlformats.org/drawingml/2006/main">
                  <a:graphicData uri="http://schemas.microsoft.com/office/word/2010/wordprocessingShape">
                    <wps:wsp>
                      <wps:cNvSpPr/>
                      <wps:spPr>
                        <a:xfrm>
                          <a:off x="3835400" y="2823210"/>
                          <a:ext cx="1184910" cy="986790"/>
                        </a:xfrm>
                        <a:custGeom>
                          <a:avLst/>
                          <a:gdLst>
                            <a:gd name="connisteX0" fmla="*/ 407035 w 1082040"/>
                            <a:gd name="connsiteY0" fmla="*/ 52070 h 926465"/>
                            <a:gd name="connisteX1" fmla="*/ 0 w 1082040"/>
                            <a:gd name="connsiteY1" fmla="*/ 311150 h 926465"/>
                            <a:gd name="connisteX2" fmla="*/ 502285 w 1082040"/>
                            <a:gd name="connsiteY2" fmla="*/ 926465 h 926465"/>
                            <a:gd name="connisteX3" fmla="*/ 1082040 w 1082040"/>
                            <a:gd name="connsiteY3" fmla="*/ 571500 h 926465"/>
                            <a:gd name="connisteX4" fmla="*/ 510540 w 1082040"/>
                            <a:gd name="connsiteY4" fmla="*/ 0 h 926465"/>
                            <a:gd name="connisteX5" fmla="*/ 363855 w 1082040"/>
                            <a:gd name="connsiteY5" fmla="*/ 69215 h 9264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082040" h="926465">
                              <a:moveTo>
                                <a:pt x="407035" y="52070"/>
                              </a:moveTo>
                              <a:lnTo>
                                <a:pt x="0" y="311150"/>
                              </a:lnTo>
                              <a:lnTo>
                                <a:pt x="502285" y="926465"/>
                              </a:lnTo>
                              <a:lnTo>
                                <a:pt x="1082040" y="571500"/>
                              </a:lnTo>
                              <a:lnTo>
                                <a:pt x="510540" y="0"/>
                              </a:lnTo>
                              <a:lnTo>
                                <a:pt x="363855" y="69215"/>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1.1pt;margin-top:10.55pt;height:77.7pt;width:93.3pt;z-index:290152448;mso-width-relative:page;mso-height-relative:page;" filled="f" stroked="t" coordsize="1082040,926465" o:gfxdata="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" path="m407035,52070l0,311150,502285,926465,1082040,571500,510540,0,363855,69215e">
                <v:path o:connectlocs="445731,55460;0,331409;550037,986790;1184910,608712;559077,0;398446,73721" o:connectangles="0,0,0,0,0,0"/>
                <v:fill on="f" focussize="0,0"/>
                <v:stroke weight="1.5pt" color="#FF0000 [3204]" miterlimit="8" joinstyle="miter"/>
                <v:imagedata o:title=""/>
                <o:lock v:ext="edit" aspectratio="f"/>
              </v:shape>
            </w:pict>
          </mc:Fallback>
        </mc:AlternateContent>
      </w:r>
      <w:r>
        <w:rPr>
          <w:color w:val="auto"/>
          <w:sz w:val="21"/>
          <w:u w:val="none" w:color="auto"/>
        </w:rPr>
        <mc:AlternateContent>
          <mc:Choice Requires="wps">
            <w:drawing>
              <wp:anchor distT="0" distB="0" distL="114300" distR="114300" simplePos="0" relativeHeight="290153472" behindDoc="0" locked="0" layoutInCell="1" allowOverlap="1">
                <wp:simplePos x="0" y="0"/>
                <wp:positionH relativeFrom="column">
                  <wp:posOffset>3636010</wp:posOffset>
                </wp:positionH>
                <wp:positionV relativeFrom="paragraph">
                  <wp:posOffset>186690</wp:posOffset>
                </wp:positionV>
                <wp:extent cx="528320" cy="295275"/>
                <wp:effectExtent l="0" t="0" r="0" b="0"/>
                <wp:wrapNone/>
                <wp:docPr id="39" name="文本框 39"/>
                <wp:cNvGraphicFramePr/>
                <a:graphic xmlns:a="http://schemas.openxmlformats.org/drawingml/2006/main">
                  <a:graphicData uri="http://schemas.microsoft.com/office/word/2010/wordprocessingShape">
                    <wps:wsp>
                      <wps:cNvSpPr txBox="1"/>
                      <wps:spPr>
                        <a:xfrm>
                          <a:off x="2345690" y="2217420"/>
                          <a:ext cx="52832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color w:val="FF0000"/>
                                <w:sz w:val="24"/>
                                <w:szCs w:val="22"/>
                                <w:lang w:val="en-US" w:eastAsia="zh-CN"/>
                              </w:rPr>
                            </w:pPr>
                            <w:r>
                              <w:rPr>
                                <w:rFonts w:hint="default" w:ascii="Times New Roman" w:hAnsi="Times New Roman" w:eastAsia="宋体" w:cs="Times New Roman"/>
                                <w:color w:val="FF0000"/>
                                <w:sz w:val="24"/>
                                <w:szCs w:val="22"/>
                              </w:rPr>
                              <w:t>▲</w:t>
                            </w:r>
                            <w:r>
                              <w:rPr>
                                <w:rFonts w:hint="default" w:ascii="Times New Roman" w:hAnsi="Times New Roman" w:eastAsia="宋体" w:cs="Times New Roman"/>
                                <w:color w:val="FF0000"/>
                                <w:sz w:val="24"/>
                                <w:szCs w:val="22"/>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3pt;margin-top:14.7pt;height:23.25pt;width:41.6pt;z-index:290153472;mso-width-relative:page;mso-height-relative:page;" filled="f" stroked="f" coordsize="21600,21600" o:gfxdata="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4m6Fr2wAAAAkBAAAPAAAAAAAAAAEAIAAAACIAAABkcnMvZG93bnJldi54bWxQSwEC&#10;FAAUAAAACACHTuJA2SArkCoCAAAlBAAADgAAAAAAAAABACAAAAAqAQAAZHJzL2Uyb0RvYy54bWxQ&#10;SwUGAAAAAAYABgBZAQAAxgUAAAAA&#10;">
                <v:fill on="f" focussize="0,0"/>
                <v:stroke on="f" weight="0.5pt"/>
                <v:imagedata o:title=""/>
                <o:lock v:ext="edit" aspectratio="f"/>
                <v:textbox>
                  <w:txbxContent>
                    <w:p>
                      <w:pPr>
                        <w:rPr>
                          <w:rFonts w:hint="default" w:ascii="Times New Roman" w:hAnsi="Times New Roman" w:eastAsia="宋体" w:cs="Times New Roman"/>
                          <w:color w:val="FF0000"/>
                          <w:sz w:val="24"/>
                          <w:szCs w:val="22"/>
                          <w:lang w:val="en-US" w:eastAsia="zh-CN"/>
                        </w:rPr>
                      </w:pPr>
                      <w:r>
                        <w:rPr>
                          <w:rFonts w:hint="default" w:ascii="Times New Roman" w:hAnsi="Times New Roman" w:eastAsia="宋体" w:cs="Times New Roman"/>
                          <w:color w:val="FF0000"/>
                          <w:sz w:val="24"/>
                          <w:szCs w:val="22"/>
                        </w:rPr>
                        <w:t>▲</w:t>
                      </w:r>
                      <w:r>
                        <w:rPr>
                          <w:rFonts w:hint="default" w:ascii="Times New Roman" w:hAnsi="Times New Roman" w:eastAsia="宋体" w:cs="Times New Roman"/>
                          <w:color w:val="FF0000"/>
                          <w:sz w:val="24"/>
                          <w:szCs w:val="22"/>
                          <w:lang w:val="en-US" w:eastAsia="zh-CN"/>
                        </w:rPr>
                        <w:t>1</w:t>
                      </w:r>
                    </w:p>
                  </w:txbxContent>
                </v:textbox>
              </v:shape>
            </w:pict>
          </mc:Fallback>
        </mc:AlternateContent>
      </w:r>
      <w:r>
        <w:rPr>
          <w:color w:val="auto"/>
          <w:sz w:val="21"/>
          <w:u w:val="none" w:color="auto"/>
        </w:rPr>
        <mc:AlternateContent>
          <mc:Choice Requires="wps">
            <w:drawing>
              <wp:anchor distT="0" distB="0" distL="114300" distR="114300" simplePos="0" relativeHeight="328649728" behindDoc="0" locked="0" layoutInCell="1" allowOverlap="1">
                <wp:simplePos x="0" y="0"/>
                <wp:positionH relativeFrom="column">
                  <wp:posOffset>2861310</wp:posOffset>
                </wp:positionH>
                <wp:positionV relativeFrom="paragraph">
                  <wp:posOffset>96520</wp:posOffset>
                </wp:positionV>
                <wp:extent cx="528320" cy="32956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528320" cy="3295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eastAsia="宋体" w:cs="Times New Roman"/>
                                <w:color w:val="FF0000"/>
                                <w:sz w:val="24"/>
                                <w:szCs w:val="22"/>
                                <w:lang w:val="en-US" w:eastAsia="zh-CN"/>
                              </w:rPr>
                            </w:pPr>
                            <w:r>
                              <w:rPr>
                                <w:rFonts w:hint="default" w:ascii="Times New Roman" w:hAnsi="Times New Roman" w:eastAsia="宋体" w:cs="Times New Roman"/>
                                <w:color w:val="FF0000"/>
                                <w:sz w:val="24"/>
                                <w:szCs w:val="22"/>
                              </w:rPr>
                              <w:t>▲</w:t>
                            </w:r>
                            <w:r>
                              <w:rPr>
                                <w:rFonts w:hint="eastAsia" w:cs="Times New Roman"/>
                                <w:color w:val="FF0000"/>
                                <w:sz w:val="24"/>
                                <w:szCs w:val="22"/>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3pt;margin-top:7.6pt;height:25.95pt;width:41.6pt;z-index:328649728;mso-width-relative:page;mso-height-relative:page;" filled="f" stroked="f" coordsize="21600,21600" o:gfxdata="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DuAtva&#10;AAAACQEAAA8AAAAAAAAAAQAgAAAAIgAAAGRycy9kb3ducmV2LnhtbFBLAQIUABQAAAAIAIdO4kBI&#10;pD1YHgIAABkEAAAOAAAAAAAAAAEAIAAAACkBAABkcnMvZTJvRG9jLnhtbFBLBQYAAAAABgAGAFkB&#10;AAC5BQAAAAA=&#10;">
                <v:fill on="f" focussize="0,0"/>
                <v:stroke on="f" weight="0.5pt"/>
                <v:imagedata o:title=""/>
                <o:lock v:ext="edit" aspectratio="f"/>
                <v:textbox>
                  <w:txbxContent>
                    <w:p>
                      <w:pPr>
                        <w:rPr>
                          <w:rFonts w:hint="eastAsia" w:ascii="Times New Roman" w:hAnsi="Times New Roman" w:eastAsia="宋体" w:cs="Times New Roman"/>
                          <w:color w:val="FF0000"/>
                          <w:sz w:val="24"/>
                          <w:szCs w:val="22"/>
                          <w:lang w:val="en-US" w:eastAsia="zh-CN"/>
                        </w:rPr>
                      </w:pPr>
                      <w:r>
                        <w:rPr>
                          <w:rFonts w:hint="default" w:ascii="Times New Roman" w:hAnsi="Times New Roman" w:eastAsia="宋体" w:cs="Times New Roman"/>
                          <w:color w:val="FF0000"/>
                          <w:sz w:val="24"/>
                          <w:szCs w:val="22"/>
                        </w:rPr>
                        <w:t>▲</w:t>
                      </w:r>
                      <w:r>
                        <w:rPr>
                          <w:rFonts w:hint="eastAsia" w:cs="Times New Roman"/>
                          <w:color w:val="FF0000"/>
                          <w:sz w:val="24"/>
                          <w:szCs w:val="22"/>
                          <w:lang w:val="en-US" w:eastAsia="zh-CN"/>
                        </w:rPr>
                        <w:t>4</w:t>
                      </w:r>
                    </w:p>
                  </w:txbxContent>
                </v:textbox>
              </v:shape>
            </w:pict>
          </mc:Fallback>
        </mc:AlternateContent>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r>
        <w:rPr>
          <w:color w:val="auto"/>
          <w:sz w:val="21"/>
          <w:u w:val="none" w:color="auto"/>
        </w:rPr>
        <mc:AlternateContent>
          <mc:Choice Requires="wps">
            <w:drawing>
              <wp:anchor distT="0" distB="0" distL="114300" distR="114300" simplePos="0" relativeHeight="405642240" behindDoc="0" locked="0" layoutInCell="1" allowOverlap="1">
                <wp:simplePos x="0" y="0"/>
                <wp:positionH relativeFrom="column">
                  <wp:posOffset>2811780</wp:posOffset>
                </wp:positionH>
                <wp:positionV relativeFrom="paragraph">
                  <wp:posOffset>121285</wp:posOffset>
                </wp:positionV>
                <wp:extent cx="528320" cy="29527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52832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eastAsia="宋体" w:cs="Times New Roman"/>
                                <w:color w:val="FF0000"/>
                                <w:sz w:val="24"/>
                                <w:szCs w:val="22"/>
                                <w:lang w:val="en-US" w:eastAsia="zh-CN"/>
                              </w:rPr>
                            </w:pPr>
                            <w:r>
                              <w:rPr>
                                <w:rFonts w:hint="default" w:ascii="Times New Roman" w:hAnsi="Times New Roman" w:eastAsia="宋体" w:cs="Times New Roman"/>
                                <w:color w:val="FF0000"/>
                                <w:sz w:val="24"/>
                                <w:szCs w:val="22"/>
                              </w:rPr>
                              <w:t>▲</w:t>
                            </w:r>
                            <w:r>
                              <w:rPr>
                                <w:rFonts w:hint="eastAsia" w:cs="Times New Roman"/>
                                <w:color w:val="FF0000"/>
                                <w:sz w:val="24"/>
                                <w:szCs w:val="22"/>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4pt;margin-top:9.55pt;height:23.25pt;width:41.6pt;z-index:405642240;mso-width-relative:page;mso-height-relative:page;" filled="f" stroked="f" coordsize="21600,21600" o:gfxdata="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IDFS+&#10;2QAAAAkBAAAPAAAAAAAAAAEAIAAAACIAAABkcnMvZG93bnJldi54bWxQSwECFAAUAAAACACHTuJA&#10;OO3uWyACAAAZBAAADgAAAAAAAAABACAAAAAoAQAAZHJzL2Uyb0RvYy54bWxQSwUGAAAAAAYABgBZ&#10;AQAAugUAAAAA&#10;">
                <v:fill on="f" focussize="0,0"/>
                <v:stroke on="f" weight="0.5pt"/>
                <v:imagedata o:title=""/>
                <o:lock v:ext="edit" aspectratio="f"/>
                <v:textbox>
                  <w:txbxContent>
                    <w:p>
                      <w:pPr>
                        <w:rPr>
                          <w:rFonts w:hint="eastAsia" w:ascii="Times New Roman" w:hAnsi="Times New Roman" w:eastAsia="宋体" w:cs="Times New Roman"/>
                          <w:color w:val="FF0000"/>
                          <w:sz w:val="24"/>
                          <w:szCs w:val="22"/>
                          <w:lang w:val="en-US" w:eastAsia="zh-CN"/>
                        </w:rPr>
                      </w:pPr>
                      <w:r>
                        <w:rPr>
                          <w:rFonts w:hint="default" w:ascii="Times New Roman" w:hAnsi="Times New Roman" w:eastAsia="宋体" w:cs="Times New Roman"/>
                          <w:color w:val="FF0000"/>
                          <w:sz w:val="24"/>
                          <w:szCs w:val="22"/>
                        </w:rPr>
                        <w:t>▲</w:t>
                      </w:r>
                      <w:r>
                        <w:rPr>
                          <w:rFonts w:hint="eastAsia" w:cs="Times New Roman"/>
                          <w:color w:val="FF0000"/>
                          <w:sz w:val="24"/>
                          <w:szCs w:val="22"/>
                          <w:lang w:val="en-US" w:eastAsia="zh-CN"/>
                        </w:rPr>
                        <w:t>3</w:t>
                      </w:r>
                    </w:p>
                  </w:txbxContent>
                </v:textbox>
              </v:shape>
            </w:pict>
          </mc:Fallback>
        </mc:AlternateContent>
      </w:r>
      <w:r>
        <w:rPr>
          <w:color w:val="auto"/>
          <w:sz w:val="21"/>
          <w:u w:val="none" w:color="auto"/>
        </w:rPr>
        <mc:AlternateContent>
          <mc:Choice Requires="wps">
            <w:drawing>
              <wp:anchor distT="0" distB="0" distL="114300" distR="114300" simplePos="0" relativeHeight="367145984" behindDoc="0" locked="0" layoutInCell="1" allowOverlap="1">
                <wp:simplePos x="0" y="0"/>
                <wp:positionH relativeFrom="column">
                  <wp:posOffset>3490595</wp:posOffset>
                </wp:positionH>
                <wp:positionV relativeFrom="paragraph">
                  <wp:posOffset>271780</wp:posOffset>
                </wp:positionV>
                <wp:extent cx="528320" cy="29527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52832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eastAsia="宋体" w:cs="Times New Roman"/>
                                <w:color w:val="FF0000"/>
                                <w:sz w:val="24"/>
                                <w:szCs w:val="22"/>
                                <w:lang w:val="en-US" w:eastAsia="zh-CN"/>
                              </w:rPr>
                            </w:pPr>
                            <w:r>
                              <w:rPr>
                                <w:rFonts w:hint="default" w:ascii="Times New Roman" w:hAnsi="Times New Roman" w:eastAsia="宋体" w:cs="Times New Roman"/>
                                <w:color w:val="FF0000"/>
                                <w:sz w:val="24"/>
                                <w:szCs w:val="22"/>
                              </w:rPr>
                              <w:t>▲</w:t>
                            </w:r>
                            <w:r>
                              <w:rPr>
                                <w:rFonts w:hint="eastAsia" w:cs="Times New Roman"/>
                                <w:color w:val="FF0000"/>
                                <w:sz w:val="24"/>
                                <w:szCs w:val="22"/>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85pt;margin-top:21.4pt;height:23.25pt;width:41.6pt;z-index:367145984;mso-width-relative:page;mso-height-relative:page;" filled="f" stroked="f" coordsize="21600,21600" o:gfxdata="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zsrL&#10;rtsAAAAJAQAADwAAAAAAAAABACAAAAAiAAAAZHJzL2Rvd25yZXYueG1sUEsBAhQAFAAAAAgAh07i&#10;QJdq2rkfAgAAGQQAAA4AAAAAAAAAAQAgAAAAKgEAAGRycy9lMm9Eb2MueG1sUEsFBgAAAAAGAAYA&#10;WQEAALsFAAAAAA==&#10;">
                <v:fill on="f" focussize="0,0"/>
                <v:stroke on="f" weight="0.5pt"/>
                <v:imagedata o:title=""/>
                <o:lock v:ext="edit" aspectratio="f"/>
                <v:textbox>
                  <w:txbxContent>
                    <w:p>
                      <w:pPr>
                        <w:rPr>
                          <w:rFonts w:hint="eastAsia" w:ascii="Times New Roman" w:hAnsi="Times New Roman" w:eastAsia="宋体" w:cs="Times New Roman"/>
                          <w:color w:val="FF0000"/>
                          <w:sz w:val="24"/>
                          <w:szCs w:val="22"/>
                          <w:lang w:val="en-US" w:eastAsia="zh-CN"/>
                        </w:rPr>
                      </w:pPr>
                      <w:r>
                        <w:rPr>
                          <w:rFonts w:hint="default" w:ascii="Times New Roman" w:hAnsi="Times New Roman" w:eastAsia="宋体" w:cs="Times New Roman"/>
                          <w:color w:val="FF0000"/>
                          <w:sz w:val="24"/>
                          <w:szCs w:val="22"/>
                        </w:rPr>
                        <w:t>▲</w:t>
                      </w:r>
                      <w:r>
                        <w:rPr>
                          <w:rFonts w:hint="eastAsia" w:cs="Times New Roman"/>
                          <w:color w:val="FF0000"/>
                          <w:sz w:val="24"/>
                          <w:szCs w:val="22"/>
                          <w:lang w:val="en-US" w:eastAsia="zh-CN"/>
                        </w:rPr>
                        <w:t>2</w:t>
                      </w:r>
                    </w:p>
                  </w:txbxContent>
                </v:textbox>
              </v:shape>
            </w:pict>
          </mc:Fallback>
        </mc:AlternateContent>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8"/>
        <w:bidi w:val="0"/>
        <w:rPr>
          <w:rFonts w:hint="default"/>
          <w:color w:val="auto"/>
          <w:u w:val="none" w:color="auto"/>
        </w:rPr>
      </w:pPr>
      <w:r>
        <w:rPr>
          <w:rFonts w:hint="default"/>
          <w:color w:val="auto"/>
          <w:u w:val="none" w:color="auto"/>
          <w:lang w:val="en-US" w:eastAsia="zh-CN"/>
        </w:rPr>
        <w:drawing>
          <wp:anchor distT="0" distB="0" distL="114300" distR="114300" simplePos="0" relativeHeight="3485560832" behindDoc="0" locked="0" layoutInCell="1" allowOverlap="1">
            <wp:simplePos x="0" y="0"/>
            <wp:positionH relativeFrom="column">
              <wp:posOffset>8401050</wp:posOffset>
            </wp:positionH>
            <wp:positionV relativeFrom="paragraph">
              <wp:posOffset>292100</wp:posOffset>
            </wp:positionV>
            <wp:extent cx="571500" cy="742950"/>
            <wp:effectExtent l="0" t="0" r="0" b="0"/>
            <wp:wrapNone/>
            <wp:docPr id="63" name="图片 63"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微信图片_20170602165101"/>
                    <pic:cNvPicPr>
                      <a:picLocks noChangeAspect="1"/>
                    </pic:cNvPicPr>
                  </pic:nvPicPr>
                  <pic:blipFill>
                    <a:blip r:embed="rId63"/>
                    <a:stretch>
                      <a:fillRect/>
                    </a:stretch>
                  </pic:blipFill>
                  <pic:spPr>
                    <a:xfrm>
                      <a:off x="0" y="0"/>
                      <a:ext cx="571500" cy="742950"/>
                    </a:xfrm>
                    <a:prstGeom prst="rect">
                      <a:avLst/>
                    </a:prstGeom>
                  </pic:spPr>
                </pic:pic>
              </a:graphicData>
            </a:graphic>
          </wp:anchor>
        </w:drawing>
      </w:r>
      <w:r>
        <w:rPr>
          <w:rFonts w:hint="default"/>
          <w:color w:val="auto"/>
          <w:u w:val="none" w:color="auto"/>
          <w:lang w:val="en-US" w:eastAsia="zh-CN"/>
        </w:rPr>
        <w:drawing>
          <wp:anchor distT="0" distB="0" distL="114300" distR="114300" simplePos="0" relativeHeight="3485560832" behindDoc="0" locked="0" layoutInCell="1" allowOverlap="1">
            <wp:simplePos x="0" y="0"/>
            <wp:positionH relativeFrom="column">
              <wp:posOffset>8391525</wp:posOffset>
            </wp:positionH>
            <wp:positionV relativeFrom="paragraph">
              <wp:posOffset>311150</wp:posOffset>
            </wp:positionV>
            <wp:extent cx="571500" cy="742950"/>
            <wp:effectExtent l="0" t="0" r="0" b="0"/>
            <wp:wrapNone/>
            <wp:docPr id="62" name="图片 62"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微信图片_20170602165101"/>
                    <pic:cNvPicPr>
                      <a:picLocks noChangeAspect="1"/>
                    </pic:cNvPicPr>
                  </pic:nvPicPr>
                  <pic:blipFill>
                    <a:blip r:embed="rId63"/>
                    <a:stretch>
                      <a:fillRect/>
                    </a:stretch>
                  </pic:blipFill>
                  <pic:spPr>
                    <a:xfrm>
                      <a:off x="0" y="0"/>
                      <a:ext cx="571500" cy="742950"/>
                    </a:xfrm>
                    <a:prstGeom prst="rect">
                      <a:avLst/>
                    </a:prstGeom>
                  </pic:spPr>
                </pic:pic>
              </a:graphicData>
            </a:graphic>
          </wp:anchor>
        </w:drawing>
      </w:r>
      <w:r>
        <w:rPr>
          <w:rFonts w:hint="default" w:ascii="Times New Roman" w:hAnsi="Times New Roman" w:cs="Times New Roman"/>
          <w:color w:val="auto"/>
          <w:sz w:val="24"/>
          <w:szCs w:val="24"/>
          <w:u w:val="none" w:color="auto"/>
          <w:lang w:val="en-US" w:eastAsia="zh-CN"/>
        </w:rPr>
        <w:drawing>
          <wp:anchor distT="0" distB="0" distL="114300" distR="114300" simplePos="0" relativeHeight="405643264" behindDoc="0" locked="0" layoutInCell="1" allowOverlap="1">
            <wp:simplePos x="0" y="0"/>
            <wp:positionH relativeFrom="column">
              <wp:posOffset>-78105</wp:posOffset>
            </wp:positionH>
            <wp:positionV relativeFrom="paragraph">
              <wp:posOffset>339725</wp:posOffset>
            </wp:positionV>
            <wp:extent cx="9038590" cy="5000625"/>
            <wp:effectExtent l="0" t="0" r="10160" b="9525"/>
            <wp:wrapNone/>
            <wp:docPr id="43" name="图片 43" descr="微信截图_2019082315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截图_20190823154926"/>
                    <pic:cNvPicPr>
                      <a:picLocks noChangeAspect="1"/>
                    </pic:cNvPicPr>
                  </pic:nvPicPr>
                  <pic:blipFill>
                    <a:blip r:embed="rId67"/>
                    <a:stretch>
                      <a:fillRect/>
                    </a:stretch>
                  </pic:blipFill>
                  <pic:spPr>
                    <a:xfrm>
                      <a:off x="0" y="0"/>
                      <a:ext cx="9038590" cy="5000625"/>
                    </a:xfrm>
                    <a:prstGeom prst="rect">
                      <a:avLst/>
                    </a:prstGeom>
                  </pic:spPr>
                </pic:pic>
              </a:graphicData>
            </a:graphic>
          </wp:anchor>
        </w:drawing>
      </w:r>
      <w:r>
        <w:rPr>
          <w:color w:val="auto"/>
          <w:sz w:val="24"/>
          <w:u w:val="none" w:color="auto"/>
        </w:rPr>
        <mc:AlternateContent>
          <mc:Choice Requires="wps">
            <w:drawing>
              <wp:anchor distT="0" distB="0" distL="114300" distR="114300" simplePos="0" relativeHeight="405651456" behindDoc="0" locked="0" layoutInCell="1" allowOverlap="1">
                <wp:simplePos x="0" y="0"/>
                <wp:positionH relativeFrom="column">
                  <wp:posOffset>1193800</wp:posOffset>
                </wp:positionH>
                <wp:positionV relativeFrom="paragraph">
                  <wp:posOffset>443230</wp:posOffset>
                </wp:positionV>
                <wp:extent cx="2638425" cy="876300"/>
                <wp:effectExtent l="64135" t="13970" r="21590" b="24130"/>
                <wp:wrapNone/>
                <wp:docPr id="52" name="任意多边形 52"/>
                <wp:cNvGraphicFramePr/>
                <a:graphic xmlns:a="http://schemas.openxmlformats.org/drawingml/2006/main">
                  <a:graphicData uri="http://schemas.microsoft.com/office/word/2010/wordprocessingShape">
                    <wps:wsp>
                      <wps:cNvSpPr/>
                      <wps:spPr>
                        <a:xfrm>
                          <a:off x="2094230" y="1379220"/>
                          <a:ext cx="2638425" cy="876300"/>
                        </a:xfrm>
                        <a:custGeom>
                          <a:avLst/>
                          <a:gdLst>
                            <a:gd name="connisteX0" fmla="*/ 2362200 w 2638425"/>
                            <a:gd name="connsiteY0" fmla="*/ 19050 h 876300"/>
                            <a:gd name="connisteX1" fmla="*/ 1733550 w 2638425"/>
                            <a:gd name="connsiteY1" fmla="*/ 314325 h 876300"/>
                            <a:gd name="connisteX2" fmla="*/ 790575 w 2638425"/>
                            <a:gd name="connsiteY2" fmla="*/ 295275 h 876300"/>
                            <a:gd name="connisteX3" fmla="*/ 0 w 2638425"/>
                            <a:gd name="connsiteY3" fmla="*/ 333375 h 876300"/>
                            <a:gd name="connisteX4" fmla="*/ 619125 w 2638425"/>
                            <a:gd name="connsiteY4" fmla="*/ 590550 h 876300"/>
                            <a:gd name="connisteX5" fmla="*/ 819150 w 2638425"/>
                            <a:gd name="connsiteY5" fmla="*/ 800100 h 876300"/>
                            <a:gd name="connisteX6" fmla="*/ 1152525 w 2638425"/>
                            <a:gd name="connsiteY6" fmla="*/ 876300 h 876300"/>
                            <a:gd name="connisteX7" fmla="*/ 1676400 w 2638425"/>
                            <a:gd name="connsiteY7" fmla="*/ 866775 h 876300"/>
                            <a:gd name="connisteX8" fmla="*/ 1952625 w 2638425"/>
                            <a:gd name="connsiteY8" fmla="*/ 685800 h 876300"/>
                            <a:gd name="connisteX9" fmla="*/ 2333625 w 2638425"/>
                            <a:gd name="connsiteY9" fmla="*/ 504825 h 876300"/>
                            <a:gd name="connisteX10" fmla="*/ 2638425 w 2638425"/>
                            <a:gd name="connsiteY10" fmla="*/ 200025 h 876300"/>
                            <a:gd name="connisteX11" fmla="*/ 2600325 w 2638425"/>
                            <a:gd name="connsiteY11" fmla="*/ 76200 h 876300"/>
                            <a:gd name="connisteX12" fmla="*/ 2276475 w 2638425"/>
                            <a:gd name="connsiteY12" fmla="*/ 0 h 8763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2638425" h="876300">
                              <a:moveTo>
                                <a:pt x="2362200" y="19050"/>
                              </a:moveTo>
                              <a:lnTo>
                                <a:pt x="1733550" y="314325"/>
                              </a:lnTo>
                              <a:lnTo>
                                <a:pt x="790575" y="295275"/>
                              </a:lnTo>
                              <a:lnTo>
                                <a:pt x="0" y="333375"/>
                              </a:lnTo>
                              <a:lnTo>
                                <a:pt x="619125" y="590550"/>
                              </a:lnTo>
                              <a:lnTo>
                                <a:pt x="819150" y="800100"/>
                              </a:lnTo>
                              <a:lnTo>
                                <a:pt x="1152525" y="876300"/>
                              </a:lnTo>
                              <a:lnTo>
                                <a:pt x="1676400" y="866775"/>
                              </a:lnTo>
                              <a:lnTo>
                                <a:pt x="1952625" y="685800"/>
                              </a:lnTo>
                              <a:lnTo>
                                <a:pt x="2333625" y="504825"/>
                              </a:lnTo>
                              <a:lnTo>
                                <a:pt x="2638425" y="200025"/>
                              </a:lnTo>
                              <a:lnTo>
                                <a:pt x="2600325" y="76200"/>
                              </a:lnTo>
                              <a:lnTo>
                                <a:pt x="2276475" y="0"/>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94pt;margin-top:34.9pt;height:69pt;width:207.75pt;z-index:405651456;mso-width-relative:page;mso-height-relative:page;" filled="f" stroked="t" coordsize="2638425,876300" o:gfxdata="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" path="m2362200,19050l1733550,314325,790575,295275,0,333375,619125,590550,819150,800100,1152525,876300,1676400,866775,1952625,685800,2333625,504825,2638425,200025,2600325,76200,2276475,0e">
                <v:path o:connectlocs="2362200,19050;1733550,314325;790575,295275;0,333375;619125,590550;819150,800100;1152525,876300;1676400,866775;1952625,685800;2333625,504825;2638425,200025;2600325,76200;2276475,0" o:connectangles="0,0,0,0,0,0,0,0,0,0,0,0,0"/>
                <v:fill on="f" focussize="0,0"/>
                <v:stroke weight="2.25pt" color="#FF0000 [3204]" miterlimit="8" joinstyle="miter"/>
                <v:imagedata o:title=""/>
                <o:lock v:ext="edit" aspectratio="f"/>
              </v:shape>
            </w:pict>
          </mc:Fallback>
        </mc:AlternateContent>
      </w:r>
      <w:r>
        <w:rPr>
          <w:rFonts w:hint="default"/>
          <w:color w:val="auto"/>
          <w:u w:val="none" w:color="auto"/>
        </w:rPr>
        <w:t>附图</w:t>
      </w:r>
      <w:r>
        <w:rPr>
          <w:rFonts w:hint="eastAsia"/>
          <w:color w:val="auto"/>
          <w:u w:val="none" w:color="auto"/>
          <w:lang w:val="en-US" w:eastAsia="zh-CN"/>
        </w:rPr>
        <w:t>4</w:t>
      </w:r>
      <w:r>
        <w:rPr>
          <w:rFonts w:hint="default"/>
          <w:color w:val="auto"/>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1175628800" behindDoc="0" locked="0" layoutInCell="1" allowOverlap="1">
                <wp:simplePos x="0" y="0"/>
                <wp:positionH relativeFrom="column">
                  <wp:posOffset>1936750</wp:posOffset>
                </wp:positionH>
                <wp:positionV relativeFrom="paragraph">
                  <wp:posOffset>172720</wp:posOffset>
                </wp:positionV>
                <wp:extent cx="1276350" cy="49593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276350" cy="495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8"/>
                                <w:szCs w:val="24"/>
                                <w:highlight w:val="yellow"/>
                                <w:lang w:eastAsia="zh-CN"/>
                              </w:rPr>
                            </w:pPr>
                            <w:r>
                              <w:rPr>
                                <w:rFonts w:hint="eastAsia"/>
                                <w:b/>
                                <w:bCs/>
                                <w:color w:val="FF0000"/>
                                <w:sz w:val="28"/>
                                <w:szCs w:val="24"/>
                                <w:highlight w:val="yellow"/>
                                <w:lang w:eastAsia="zh-CN"/>
                              </w:rPr>
                              <w:t>金华村居民点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5pt;margin-top:13.6pt;height:39.05pt;width:100.5pt;z-index:1175628800;mso-width-relative:page;mso-height-relative:page;" filled="f" stroked="f" coordsize="21600,21600" o:gfxdata="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hmtNoA&#10;AAAKAQAADwAAAAAAAAABACAAAAAiAAAAZHJzL2Rvd25yZXYueG1sUEsBAhQAFAAAAAgAh07iQLbX&#10;fAgdAgAAGgQAAA4AAAAAAAAAAQAgAAAAKQEAAGRycy9lMm9Eb2MueG1sUEsFBgAAAAAGAAYAWQEA&#10;ALgFAAAAAA==&#10;">
                <v:fill on="f" focussize="0,0"/>
                <v:stroke on="f" weight="0.5pt"/>
                <v:imagedata o:title=""/>
                <o:lock v:ext="edit" aspectratio="f"/>
                <v:textbox>
                  <w:txbxContent>
                    <w:p>
                      <w:pPr>
                        <w:rPr>
                          <w:rFonts w:hint="eastAsia" w:eastAsia="宋体"/>
                          <w:b/>
                          <w:bCs/>
                          <w:color w:val="FF0000"/>
                          <w:sz w:val="28"/>
                          <w:szCs w:val="24"/>
                          <w:highlight w:val="yellow"/>
                          <w:lang w:eastAsia="zh-CN"/>
                        </w:rPr>
                      </w:pPr>
                      <w:r>
                        <w:rPr>
                          <w:rFonts w:hint="eastAsia"/>
                          <w:b/>
                          <w:bCs/>
                          <w:color w:val="FF0000"/>
                          <w:sz w:val="28"/>
                          <w:szCs w:val="24"/>
                          <w:highlight w:val="yellow"/>
                          <w:lang w:eastAsia="zh-CN"/>
                        </w:rPr>
                        <w:t>金华村居民点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405649408" behindDoc="0" locked="0" layoutInCell="1" allowOverlap="1">
                <wp:simplePos x="0" y="0"/>
                <wp:positionH relativeFrom="column">
                  <wp:posOffset>7508875</wp:posOffset>
                </wp:positionH>
                <wp:positionV relativeFrom="paragraph">
                  <wp:posOffset>224155</wp:posOffset>
                </wp:positionV>
                <wp:extent cx="1323975" cy="1428750"/>
                <wp:effectExtent l="7620" t="8255" r="20955" b="10795"/>
                <wp:wrapNone/>
                <wp:docPr id="50" name="任意多边形 50"/>
                <wp:cNvGraphicFramePr/>
                <a:graphic xmlns:a="http://schemas.openxmlformats.org/drawingml/2006/main">
                  <a:graphicData uri="http://schemas.microsoft.com/office/word/2010/wordprocessingShape">
                    <wps:wsp>
                      <wps:cNvSpPr/>
                      <wps:spPr>
                        <a:xfrm>
                          <a:off x="8409305" y="2013585"/>
                          <a:ext cx="1323975" cy="1428750"/>
                        </a:xfrm>
                        <a:custGeom>
                          <a:avLst/>
                          <a:gdLst>
                            <a:gd name="connisteX0" fmla="*/ 152400 w 1323975"/>
                            <a:gd name="connsiteY0" fmla="*/ 0 h 1428750"/>
                            <a:gd name="connisteX1" fmla="*/ 19050 w 1323975"/>
                            <a:gd name="connsiteY1" fmla="*/ 114300 h 1428750"/>
                            <a:gd name="connisteX2" fmla="*/ 114300 w 1323975"/>
                            <a:gd name="connsiteY2" fmla="*/ 533400 h 1428750"/>
                            <a:gd name="connisteX3" fmla="*/ 0 w 1323975"/>
                            <a:gd name="connsiteY3" fmla="*/ 857250 h 1428750"/>
                            <a:gd name="connisteX4" fmla="*/ 361950 w 1323975"/>
                            <a:gd name="connsiteY4" fmla="*/ 1200150 h 1428750"/>
                            <a:gd name="connisteX5" fmla="*/ 590550 w 1323975"/>
                            <a:gd name="connsiteY5" fmla="*/ 1428750 h 1428750"/>
                            <a:gd name="connisteX6" fmla="*/ 1085850 w 1323975"/>
                            <a:gd name="connsiteY6" fmla="*/ 1285875 h 1428750"/>
                            <a:gd name="connisteX7" fmla="*/ 1323975 w 1323975"/>
                            <a:gd name="connsiteY7" fmla="*/ 981075 h 1428750"/>
                            <a:gd name="connisteX8" fmla="*/ 1133475 w 1323975"/>
                            <a:gd name="connsiteY8" fmla="*/ 781050 h 1428750"/>
                            <a:gd name="connisteX9" fmla="*/ 657225 w 1323975"/>
                            <a:gd name="connsiteY9" fmla="*/ 314325 h 1428750"/>
                            <a:gd name="connisteX10" fmla="*/ 361950 w 1323975"/>
                            <a:gd name="connsiteY10" fmla="*/ 95250 h 1428750"/>
                            <a:gd name="connisteX11" fmla="*/ 95250 w 1323975"/>
                            <a:gd name="connsiteY11" fmla="*/ 0 h 1428750"/>
                            <a:gd name="connisteX12" fmla="*/ 28575 w 1323975"/>
                            <a:gd name="connsiteY12" fmla="*/ 190500 h 1428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1323975" h="1428750">
                              <a:moveTo>
                                <a:pt x="152400" y="0"/>
                              </a:moveTo>
                              <a:lnTo>
                                <a:pt x="19050" y="114300"/>
                              </a:lnTo>
                              <a:lnTo>
                                <a:pt x="114300" y="533400"/>
                              </a:lnTo>
                              <a:lnTo>
                                <a:pt x="0" y="857250"/>
                              </a:lnTo>
                              <a:lnTo>
                                <a:pt x="361950" y="1200150"/>
                              </a:lnTo>
                              <a:lnTo>
                                <a:pt x="590550" y="1428750"/>
                              </a:lnTo>
                              <a:lnTo>
                                <a:pt x="1085850" y="1285875"/>
                              </a:lnTo>
                              <a:lnTo>
                                <a:pt x="1323975" y="981075"/>
                              </a:lnTo>
                              <a:lnTo>
                                <a:pt x="1133475" y="781050"/>
                              </a:lnTo>
                              <a:lnTo>
                                <a:pt x="657225" y="314325"/>
                              </a:lnTo>
                              <a:lnTo>
                                <a:pt x="361950" y="95250"/>
                              </a:lnTo>
                              <a:lnTo>
                                <a:pt x="95250" y="0"/>
                              </a:lnTo>
                              <a:lnTo>
                                <a:pt x="28575" y="19050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91.25pt;margin-top:17.65pt;height:112.5pt;width:104.25pt;z-index:405649408;mso-width-relative:page;mso-height-relative:page;" filled="f" stroked="t" coordsize="1323975,1428750" o:gfxdata="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" path="m152400,0l19050,114300,114300,533400,0,857250,361950,1200150,590550,1428750,1085850,1285875,1323975,981075,1133475,781050,657225,314325,361950,95250,95250,0,28575,190500e">
                <v:path o:connectlocs="152400,0;19050,114300;114300,533400;0,857250;361950,1200150;590550,1428750;1085850,1285875;1323975,981075;1133475,781050;657225,314325;361950,95250;95250,0;28575,190500" o:connectangles="0,0,0,0,0,0,0,0,0,0,0,0,0"/>
                <v:fill on="f" focussize="0,0"/>
                <v:stroke weight="1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867638272" behindDoc="0" locked="0" layoutInCell="1" allowOverlap="1">
                <wp:simplePos x="0" y="0"/>
                <wp:positionH relativeFrom="column">
                  <wp:posOffset>7461250</wp:posOffset>
                </wp:positionH>
                <wp:positionV relativeFrom="paragraph">
                  <wp:posOffset>152400</wp:posOffset>
                </wp:positionV>
                <wp:extent cx="1276350" cy="495935"/>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276350" cy="495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庙塘垅居民点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7.5pt;margin-top:12pt;height:39.05pt;width:100.5pt;z-index:867638272;mso-width-relative:page;mso-height-relative:page;" filled="f" stroked="f" coordsize="21600,21600" o:gfxdata="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mHfdza&#10;AAAADAEAAA8AAAAAAAAAAQAgAAAAIgAAAGRycy9kb3ducmV2LnhtbFBLAQIUABQAAAAIAIdO4kBk&#10;C/4EHgIAABoEAAAOAAAAAAAAAAEAIAAAACkBAABkcnMvZTJvRG9jLnhtbFBLBQYAAAAABgAGAFkB&#10;AAC5BQAAAAA=&#10;">
                <v:fill on="f" focussize="0,0"/>
                <v:stroke on="f" weight="0.5pt"/>
                <v:imagedata o:title=""/>
                <o:lock v:ext="edit" aspectratio="f"/>
                <v:textbo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庙塘垅居民点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1021633536" behindDoc="0" locked="0" layoutInCell="1" allowOverlap="1">
                <wp:simplePos x="0" y="0"/>
                <wp:positionH relativeFrom="column">
                  <wp:posOffset>1689100</wp:posOffset>
                </wp:positionH>
                <wp:positionV relativeFrom="paragraph">
                  <wp:posOffset>147955</wp:posOffset>
                </wp:positionV>
                <wp:extent cx="1276350" cy="495935"/>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276350" cy="495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黄家冲居民点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pt;margin-top:11.65pt;height:39.05pt;width:100.5pt;z-index:1021633536;mso-width-relative:page;mso-height-relative:page;" filled="f" stroked="f" coordsize="21600,21600" o:gfxdata="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idNue&#10;2wAAAAoBAAAPAAAAAAAAAAEAIAAAACIAAABkcnMvZG93bnJldi54bWxQSwECFAAUAAAACACHTuJA&#10;8XCojx4CAAAaBAAADgAAAAAAAAABACAAAAAqAQAAZHJzL2Uyb0RvYy54bWxQSwUGAAAAAAYABgBZ&#10;AQAAugUAAAAA&#10;">
                <v:fill on="f" focussize="0,0"/>
                <v:stroke on="f" weight="0.5pt"/>
                <v:imagedata o:title=""/>
                <o:lock v:ext="edit" aspectratio="f"/>
                <v:textbo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黄家冲居民点</w:t>
                      </w:r>
                    </w:p>
                  </w:txbxContent>
                </v:textbox>
              </v:shape>
            </w:pict>
          </mc:Fallback>
        </mc:AlternateContent>
      </w:r>
      <w:r>
        <w:rPr>
          <w:color w:val="auto"/>
          <w:sz w:val="24"/>
          <w:u w:val="none" w:color="auto"/>
        </w:rPr>
        <mc:AlternateContent>
          <mc:Choice Requires="wps">
            <w:drawing>
              <wp:anchor distT="0" distB="0" distL="114300" distR="114300" simplePos="0" relativeHeight="405650432" behindDoc="0" locked="0" layoutInCell="1" allowOverlap="1">
                <wp:simplePos x="0" y="0"/>
                <wp:positionH relativeFrom="column">
                  <wp:posOffset>1879600</wp:posOffset>
                </wp:positionH>
                <wp:positionV relativeFrom="paragraph">
                  <wp:posOffset>98425</wp:posOffset>
                </wp:positionV>
                <wp:extent cx="714375" cy="600075"/>
                <wp:effectExtent l="15875" t="12065" r="31750" b="16510"/>
                <wp:wrapNone/>
                <wp:docPr id="51" name="任意多边形 51"/>
                <wp:cNvGraphicFramePr/>
                <a:graphic xmlns:a="http://schemas.openxmlformats.org/drawingml/2006/main">
                  <a:graphicData uri="http://schemas.microsoft.com/office/word/2010/wordprocessingShape">
                    <wps:wsp>
                      <wps:cNvSpPr/>
                      <wps:spPr>
                        <a:xfrm>
                          <a:off x="2780030" y="3737610"/>
                          <a:ext cx="714375" cy="600075"/>
                        </a:xfrm>
                        <a:custGeom>
                          <a:avLst/>
                          <a:gdLst>
                            <a:gd name="connisteX0" fmla="*/ 361950 w 714375"/>
                            <a:gd name="connsiteY0" fmla="*/ 0 h 600075"/>
                            <a:gd name="connisteX1" fmla="*/ 0 w 714375"/>
                            <a:gd name="connsiteY1" fmla="*/ 209550 h 600075"/>
                            <a:gd name="connisteX2" fmla="*/ 47625 w 714375"/>
                            <a:gd name="connsiteY2" fmla="*/ 523875 h 600075"/>
                            <a:gd name="connisteX3" fmla="*/ 247650 w 714375"/>
                            <a:gd name="connsiteY3" fmla="*/ 600075 h 600075"/>
                            <a:gd name="connisteX4" fmla="*/ 714375 w 714375"/>
                            <a:gd name="connsiteY4" fmla="*/ 323850 h 600075"/>
                            <a:gd name="connisteX5" fmla="*/ 504825 w 714375"/>
                            <a:gd name="connsiteY5" fmla="*/ 95250 h 600075"/>
                            <a:gd name="connisteX6" fmla="*/ 228600 w 714375"/>
                            <a:gd name="connsiteY6" fmla="*/ 28575 h 6000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714375" h="600075">
                              <a:moveTo>
                                <a:pt x="361950" y="0"/>
                              </a:moveTo>
                              <a:lnTo>
                                <a:pt x="0" y="209550"/>
                              </a:lnTo>
                              <a:lnTo>
                                <a:pt x="47625" y="523875"/>
                              </a:lnTo>
                              <a:lnTo>
                                <a:pt x="247650" y="600075"/>
                              </a:lnTo>
                              <a:lnTo>
                                <a:pt x="714375" y="323850"/>
                              </a:lnTo>
                              <a:lnTo>
                                <a:pt x="504825" y="95250"/>
                              </a:lnTo>
                              <a:lnTo>
                                <a:pt x="228600" y="28575"/>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48pt;margin-top:7.75pt;height:47.25pt;width:56.25pt;z-index:405650432;mso-width-relative:page;mso-height-relative:page;" filled="f" stroked="t" coordsize="714375,600075" o:gfxdata="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" path="m361950,0l0,209550,47625,523875,247650,600075,714375,323850,504825,95250,228600,28575e">
                <v:path o:connectlocs="361950,0;0,209550;47625,523875;247650,600075;714375,323850;504825,95250;228600,28575" o:connectangles="0,0,0,0,0,0,0"/>
                <v:fill on="f" focussize="0,0"/>
                <v:stroke weight="2.25pt" color="#FF0000 [3204]" miterlimit="8" joinstyle="miter"/>
                <v:imagedata o:title=""/>
                <o:lock v:ext="edit" aspectratio="f"/>
              </v:shape>
            </w:pict>
          </mc:Fallback>
        </mc:AlternateContent>
      </w:r>
      <w:r>
        <w:rPr>
          <w:color w:val="auto"/>
          <w:sz w:val="24"/>
          <w:u w:val="none" w:color="auto"/>
        </w:rPr>
        <mc:AlternateContent>
          <mc:Choice Requires="wps">
            <w:drawing>
              <wp:anchor distT="0" distB="0" distL="114300" distR="114300" simplePos="0" relativeHeight="405644288" behindDoc="0" locked="0" layoutInCell="1" allowOverlap="1">
                <wp:simplePos x="0" y="0"/>
                <wp:positionH relativeFrom="column">
                  <wp:posOffset>4156075</wp:posOffset>
                </wp:positionH>
                <wp:positionV relativeFrom="paragraph">
                  <wp:posOffset>98425</wp:posOffset>
                </wp:positionV>
                <wp:extent cx="152400" cy="142875"/>
                <wp:effectExtent l="6350" t="6350" r="12700" b="22225"/>
                <wp:wrapNone/>
                <wp:docPr id="44" name="椭圆 44"/>
                <wp:cNvGraphicFramePr/>
                <a:graphic xmlns:a="http://schemas.openxmlformats.org/drawingml/2006/main">
                  <a:graphicData uri="http://schemas.microsoft.com/office/word/2010/wordprocessingShape">
                    <wps:wsp>
                      <wps:cNvSpPr/>
                      <wps:spPr>
                        <a:xfrm>
                          <a:off x="5056505" y="3737610"/>
                          <a:ext cx="152400" cy="14287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7.25pt;margin-top:7.75pt;height:11.25pt;width:12pt;z-index:405644288;v-text-anchor:middle;mso-width-relative:page;mso-height-relative:page;" fillcolor="#FF0000" filled="t" stroked="t" coordsize="21600,21600" o:gfxdata="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2&#10;E6yh1QAAAAkBAAAPAAAAAAAAAAEAIAAAACIAAABkcnMvZG93bnJldi54bWxQSwECFAAUAAAACACH&#10;TuJA6A6m5GACAAC2BAAADgAAAAAAAAABACAAAAAkAQAAZHJzL2Uyb0RvYy54bWxQSwUGAAAAAAYA&#10;BgBZAQAA9gUAAAAA&#10;">
                <v:fill on="t" focussize="0,0"/>
                <v:stroke weight="1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713643008" behindDoc="0" locked="0" layoutInCell="1" allowOverlap="1">
                <wp:simplePos x="0" y="0"/>
                <wp:positionH relativeFrom="column">
                  <wp:posOffset>6699250</wp:posOffset>
                </wp:positionH>
                <wp:positionV relativeFrom="paragraph">
                  <wp:posOffset>248920</wp:posOffset>
                </wp:positionV>
                <wp:extent cx="1276350" cy="49593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276350" cy="495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马鞍塘居民点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7.5pt;margin-top:19.6pt;height:39.05pt;width:100.5pt;z-index:713643008;mso-width-relative:page;mso-height-relative:page;" filled="f" stroked="f" coordsize="21600,21600" o:gfxdata="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1hGn&#10;R9wAAAAMAQAADwAAAAAAAAABACAAAAAiAAAAZHJzL2Rvd25yZXYueG1sUEsBAhQAFAAAAAgAh07i&#10;QJqBdUIeAgAAGgQAAA4AAAAAAAAAAQAgAAAAKwEAAGRycy9lMm9Eb2MueG1sUEsFBgAAAAAGAAYA&#10;WQEAALsFAAAAAA==&#10;">
                <v:fill on="f" focussize="0,0"/>
                <v:stroke on="f" weight="0.5pt"/>
                <v:imagedata o:title=""/>
                <o:lock v:ext="edit" aspectratio="f"/>
                <v:textbo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马鞍塘居民点</w:t>
                      </w:r>
                    </w:p>
                  </w:txbxContent>
                </v:textbox>
              </v:shape>
            </w:pict>
          </mc:Fallback>
        </mc:AlternateContent>
      </w:r>
      <w:r>
        <w:rPr>
          <w:color w:val="auto"/>
          <w:sz w:val="24"/>
          <w:u w:val="none" w:color="auto"/>
        </w:rPr>
        <mc:AlternateContent>
          <mc:Choice Requires="wps">
            <w:drawing>
              <wp:anchor distT="0" distB="0" distL="114300" distR="114300" simplePos="0" relativeHeight="405648384" behindDoc="0" locked="0" layoutInCell="1" allowOverlap="1">
                <wp:simplePos x="0" y="0"/>
                <wp:positionH relativeFrom="column">
                  <wp:posOffset>6337300</wp:posOffset>
                </wp:positionH>
                <wp:positionV relativeFrom="paragraph">
                  <wp:posOffset>170815</wp:posOffset>
                </wp:positionV>
                <wp:extent cx="1695450" cy="723900"/>
                <wp:effectExtent l="29210" t="17145" r="27940" b="20955"/>
                <wp:wrapNone/>
                <wp:docPr id="49" name="任意多边形 49"/>
                <wp:cNvGraphicFramePr/>
                <a:graphic xmlns:a="http://schemas.openxmlformats.org/drawingml/2006/main">
                  <a:graphicData uri="http://schemas.microsoft.com/office/word/2010/wordprocessingShape">
                    <wps:wsp>
                      <wps:cNvSpPr/>
                      <wps:spPr>
                        <a:xfrm>
                          <a:off x="7237730" y="4118610"/>
                          <a:ext cx="1695450" cy="723900"/>
                        </a:xfrm>
                        <a:custGeom>
                          <a:avLst/>
                          <a:gdLst>
                            <a:gd name="connisteX0" fmla="*/ 1181100 w 1695450"/>
                            <a:gd name="connsiteY0" fmla="*/ 161925 h 723900"/>
                            <a:gd name="connisteX1" fmla="*/ 133350 w 1695450"/>
                            <a:gd name="connsiteY1" fmla="*/ 447675 h 723900"/>
                            <a:gd name="connisteX2" fmla="*/ 0 w 1695450"/>
                            <a:gd name="connsiteY2" fmla="*/ 561975 h 723900"/>
                            <a:gd name="connisteX3" fmla="*/ 323850 w 1695450"/>
                            <a:gd name="connsiteY3" fmla="*/ 657225 h 723900"/>
                            <a:gd name="connisteX4" fmla="*/ 819150 w 1695450"/>
                            <a:gd name="connsiteY4" fmla="*/ 723900 h 723900"/>
                            <a:gd name="connisteX5" fmla="*/ 1238250 w 1695450"/>
                            <a:gd name="connsiteY5" fmla="*/ 533400 h 723900"/>
                            <a:gd name="connisteX6" fmla="*/ 1695450 w 1695450"/>
                            <a:gd name="connsiteY6" fmla="*/ 209550 h 723900"/>
                            <a:gd name="connisteX7" fmla="*/ 1647825 w 1695450"/>
                            <a:gd name="connsiteY7" fmla="*/ 0 h 723900"/>
                            <a:gd name="connisteX8" fmla="*/ 1257300 w 1695450"/>
                            <a:gd name="connsiteY8" fmla="*/ 85725 h 723900"/>
                            <a:gd name="connisteX9" fmla="*/ 971550 w 1695450"/>
                            <a:gd name="connsiteY9" fmla="*/ 238125 h 723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695450" h="723900">
                              <a:moveTo>
                                <a:pt x="1181100" y="161925"/>
                              </a:moveTo>
                              <a:lnTo>
                                <a:pt x="133350" y="447675"/>
                              </a:lnTo>
                              <a:lnTo>
                                <a:pt x="0" y="561975"/>
                              </a:lnTo>
                              <a:lnTo>
                                <a:pt x="323850" y="657225"/>
                              </a:lnTo>
                              <a:lnTo>
                                <a:pt x="819150" y="723900"/>
                              </a:lnTo>
                              <a:lnTo>
                                <a:pt x="1238250" y="533400"/>
                              </a:lnTo>
                              <a:lnTo>
                                <a:pt x="1695450" y="209550"/>
                              </a:lnTo>
                              <a:lnTo>
                                <a:pt x="1647825" y="0"/>
                              </a:lnTo>
                              <a:lnTo>
                                <a:pt x="1257300" y="85725"/>
                              </a:lnTo>
                              <a:lnTo>
                                <a:pt x="971550" y="238125"/>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99pt;margin-top:13.45pt;height:57pt;width:133.5pt;z-index:405648384;mso-width-relative:page;mso-height-relative:page;" filled="f" stroked="t" coordsize="1695450,723900" o:gfxdata="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" path="m1181100,161925l133350,447675,0,561975,323850,657225,819150,723900,1238250,533400,1695450,209550,1647825,0,1257300,85725,971550,238125e">
                <v:path o:connectlocs="1181100,161925;133350,447675;0,561975;323850,657225;819150,723900;1238250,533400;1695450,209550;1647825,0;1257300,85725;971550,238125" o:connectangles="0,0,0,0,0,0,0,0,0,0"/>
                <v:fill on="f" focussize="0,0"/>
                <v:stroke weight="2.25pt" color="#FF0000 [3204]" miterlimit="8" joinstyle="miter"/>
                <v:imagedata o:title=""/>
                <o:lock v:ext="edit" aspectratio="f"/>
              </v:shape>
            </w:pict>
          </mc:Fallback>
        </mc:AlternateContent>
      </w:r>
      <w:r>
        <w:rPr>
          <w:color w:val="auto"/>
          <w:sz w:val="24"/>
          <w:u w:val="none" w:color="auto"/>
        </w:rPr>
        <mc:AlternateContent>
          <mc:Choice Requires="wps">
            <w:drawing>
              <wp:anchor distT="0" distB="0" distL="114300" distR="114300" simplePos="0" relativeHeight="405645312" behindDoc="0" locked="0" layoutInCell="1" allowOverlap="1">
                <wp:simplePos x="0" y="0"/>
                <wp:positionH relativeFrom="column">
                  <wp:posOffset>3775075</wp:posOffset>
                </wp:positionH>
                <wp:positionV relativeFrom="paragraph">
                  <wp:posOffset>304165</wp:posOffset>
                </wp:positionV>
                <wp:extent cx="1714500" cy="1600200"/>
                <wp:effectExtent l="21590" t="13970" r="16510" b="24130"/>
                <wp:wrapNone/>
                <wp:docPr id="45" name="任意多边形 45"/>
                <wp:cNvGraphicFramePr/>
                <a:graphic xmlns:a="http://schemas.openxmlformats.org/drawingml/2006/main">
                  <a:graphicData uri="http://schemas.microsoft.com/office/word/2010/wordprocessingShape">
                    <wps:wsp>
                      <wps:cNvSpPr/>
                      <wps:spPr>
                        <a:xfrm>
                          <a:off x="4675505" y="4251960"/>
                          <a:ext cx="1714500" cy="1600200"/>
                        </a:xfrm>
                        <a:custGeom>
                          <a:avLst/>
                          <a:gdLst>
                            <a:gd name="connisteX0" fmla="*/ 1057275 w 1714500"/>
                            <a:gd name="connsiteY0" fmla="*/ 0 h 1600200"/>
                            <a:gd name="connisteX1" fmla="*/ 685800 w 1714500"/>
                            <a:gd name="connsiteY1" fmla="*/ 0 h 1600200"/>
                            <a:gd name="connisteX2" fmla="*/ 209550 w 1714500"/>
                            <a:gd name="connsiteY2" fmla="*/ 152400 h 1600200"/>
                            <a:gd name="connisteX3" fmla="*/ 9525 w 1714500"/>
                            <a:gd name="connsiteY3" fmla="*/ 295275 h 1600200"/>
                            <a:gd name="connisteX4" fmla="*/ 47625 w 1714500"/>
                            <a:gd name="connsiteY4" fmla="*/ 647700 h 1600200"/>
                            <a:gd name="connisteX5" fmla="*/ 323850 w 1714500"/>
                            <a:gd name="connsiteY5" fmla="*/ 819150 h 1600200"/>
                            <a:gd name="connisteX6" fmla="*/ 171450 w 1714500"/>
                            <a:gd name="connsiteY6" fmla="*/ 1247775 h 1600200"/>
                            <a:gd name="connisteX7" fmla="*/ 0 w 1714500"/>
                            <a:gd name="connsiteY7" fmla="*/ 1562100 h 1600200"/>
                            <a:gd name="connisteX8" fmla="*/ 152400 w 1714500"/>
                            <a:gd name="connsiteY8" fmla="*/ 1600200 h 1600200"/>
                            <a:gd name="connisteX9" fmla="*/ 523875 w 1714500"/>
                            <a:gd name="connsiteY9" fmla="*/ 1390650 h 1600200"/>
                            <a:gd name="connisteX10" fmla="*/ 542925 w 1714500"/>
                            <a:gd name="connsiteY10" fmla="*/ 914400 h 1600200"/>
                            <a:gd name="connisteX11" fmla="*/ 514350 w 1714500"/>
                            <a:gd name="connsiteY11" fmla="*/ 638175 h 1600200"/>
                            <a:gd name="connisteX12" fmla="*/ 457200 w 1714500"/>
                            <a:gd name="connsiteY12" fmla="*/ 381000 h 1600200"/>
                            <a:gd name="connisteX13" fmla="*/ 523875 w 1714500"/>
                            <a:gd name="connsiteY13" fmla="*/ 190500 h 1600200"/>
                            <a:gd name="connisteX14" fmla="*/ 838200 w 1714500"/>
                            <a:gd name="connsiteY14" fmla="*/ 257175 h 1600200"/>
                            <a:gd name="connisteX15" fmla="*/ 904875 w 1714500"/>
                            <a:gd name="connsiteY15" fmla="*/ 304800 h 1600200"/>
                            <a:gd name="connisteX16" fmla="*/ 1219200 w 1714500"/>
                            <a:gd name="connsiteY16" fmla="*/ 523875 h 1600200"/>
                            <a:gd name="connisteX17" fmla="*/ 1619250 w 1714500"/>
                            <a:gd name="connsiteY17" fmla="*/ 561975 h 1600200"/>
                            <a:gd name="connisteX18" fmla="*/ 1714500 w 1714500"/>
                            <a:gd name="connsiteY18" fmla="*/ 466725 h 1600200"/>
                            <a:gd name="connisteX19" fmla="*/ 1647825 w 1714500"/>
                            <a:gd name="connsiteY19" fmla="*/ 276225 h 1600200"/>
                            <a:gd name="connisteX20" fmla="*/ 1476375 w 1714500"/>
                            <a:gd name="connsiteY20" fmla="*/ 152400 h 1600200"/>
                            <a:gd name="connisteX21" fmla="*/ 1057275 w 1714500"/>
                            <a:gd name="connsiteY21" fmla="*/ 0 h 1600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Lst>
                          <a:rect l="l" t="t" r="r" b="b"/>
                          <a:pathLst>
                            <a:path w="1714500" h="1600200">
                              <a:moveTo>
                                <a:pt x="1057275" y="0"/>
                              </a:moveTo>
                              <a:lnTo>
                                <a:pt x="685800" y="0"/>
                              </a:lnTo>
                              <a:lnTo>
                                <a:pt x="209550" y="152400"/>
                              </a:lnTo>
                              <a:lnTo>
                                <a:pt x="9525" y="295275"/>
                              </a:lnTo>
                              <a:lnTo>
                                <a:pt x="47625" y="647700"/>
                              </a:lnTo>
                              <a:lnTo>
                                <a:pt x="323850" y="819150"/>
                              </a:lnTo>
                              <a:lnTo>
                                <a:pt x="171450" y="1247775"/>
                              </a:lnTo>
                              <a:lnTo>
                                <a:pt x="0" y="1562100"/>
                              </a:lnTo>
                              <a:lnTo>
                                <a:pt x="152400" y="1600200"/>
                              </a:lnTo>
                              <a:lnTo>
                                <a:pt x="523875" y="1390650"/>
                              </a:lnTo>
                              <a:lnTo>
                                <a:pt x="542925" y="914400"/>
                              </a:lnTo>
                              <a:lnTo>
                                <a:pt x="514350" y="638175"/>
                              </a:lnTo>
                              <a:lnTo>
                                <a:pt x="457200" y="381000"/>
                              </a:lnTo>
                              <a:lnTo>
                                <a:pt x="523875" y="190500"/>
                              </a:lnTo>
                              <a:lnTo>
                                <a:pt x="838200" y="257175"/>
                              </a:lnTo>
                              <a:lnTo>
                                <a:pt x="904875" y="304800"/>
                              </a:lnTo>
                              <a:lnTo>
                                <a:pt x="1219200" y="523875"/>
                              </a:lnTo>
                              <a:lnTo>
                                <a:pt x="1619250" y="561975"/>
                              </a:lnTo>
                              <a:lnTo>
                                <a:pt x="1714500" y="466725"/>
                              </a:lnTo>
                              <a:lnTo>
                                <a:pt x="1647825" y="276225"/>
                              </a:lnTo>
                              <a:lnTo>
                                <a:pt x="1476375" y="152400"/>
                              </a:lnTo>
                              <a:lnTo>
                                <a:pt x="1057275" y="0"/>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97.25pt;margin-top:23.95pt;height:126pt;width:135pt;z-index:405645312;mso-width-relative:page;mso-height-relative:page;" filled="f" stroked="t" coordsize="1714500,1600200" o:gfxdata="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" path="m1057275,0l685800,0,209550,152400,9525,295275,47625,647700,323850,819150,171450,1247775,0,1562100,152400,1600200,523875,1390650,542925,914400,514350,638175,457200,381000,523875,190500,838200,257175,904875,304800,1219200,523875,1619250,561975,1714500,466725,1647825,276225,1476375,152400,1057275,0xe">
                <v:path o:connectlocs="1057275,0;685800,0;209550,152400;9525,295275;47625,647700;323850,819150;171450,1247775;0,1562100;152400,1600200;523875,1390650;542925,914400;514350,638175;457200,381000;523875,190500;838200,257175;904875,304800;1219200,523875;1619250,561975;1714500,466725;1647825,276225;1476375,152400;1057275,0" o:connectangles="0,0,0,0,0,0,0,0,0,0,0,0,0,0,0,0,0,0,0,0,0,0"/>
                <v:fill on="f" focussize="0,0"/>
                <v:stroke weight="2.2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559647744" behindDoc="0" locked="0" layoutInCell="1" allowOverlap="1">
                <wp:simplePos x="0" y="0"/>
                <wp:positionH relativeFrom="column">
                  <wp:posOffset>3517900</wp:posOffset>
                </wp:positionH>
                <wp:positionV relativeFrom="paragraph">
                  <wp:posOffset>283845</wp:posOffset>
                </wp:positionV>
                <wp:extent cx="1276350" cy="495935"/>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276350" cy="495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文家龙居民点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pt;margin-top:22.35pt;height:39.05pt;width:100.5pt;z-index:559647744;mso-width-relative:page;mso-height-relative:page;" filled="f" stroked="f" coordsize="21600,21600" o:gfxdata="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i+uFTa&#10;AAAACgEAAA8AAAAAAAAAAQAgAAAAIgAAAGRycy9kb3ducmV2LnhtbFBLAQIUABQAAAAIAIdO4kAP&#10;+iPJHgIAABoEAAAOAAAAAAAAAAEAIAAAACkBAABkcnMvZTJvRG9jLnhtbFBLBQYAAAAABgAGAFkB&#10;AAC5BQAAAAA=&#10;">
                <v:fill on="f" focussize="0,0"/>
                <v:stroke on="f" weight="0.5pt"/>
                <v:imagedata o:title=""/>
                <o:lock v:ext="edit" aspectratio="f"/>
                <v:textbo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文家龙居民点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405647360" behindDoc="0" locked="0" layoutInCell="1" allowOverlap="1">
                <wp:simplePos x="0" y="0"/>
                <wp:positionH relativeFrom="column">
                  <wp:posOffset>7642225</wp:posOffset>
                </wp:positionH>
                <wp:positionV relativeFrom="paragraph">
                  <wp:posOffset>211455</wp:posOffset>
                </wp:positionV>
                <wp:extent cx="895350" cy="1333500"/>
                <wp:effectExtent l="14605" t="5080" r="23495" b="33020"/>
                <wp:wrapNone/>
                <wp:docPr id="47" name="任意多边形 47"/>
                <wp:cNvGraphicFramePr/>
                <a:graphic xmlns:a="http://schemas.openxmlformats.org/drawingml/2006/main">
                  <a:graphicData uri="http://schemas.microsoft.com/office/word/2010/wordprocessingShape">
                    <wps:wsp>
                      <wps:cNvSpPr/>
                      <wps:spPr>
                        <a:xfrm>
                          <a:off x="8542655" y="4775835"/>
                          <a:ext cx="895350" cy="1333500"/>
                        </a:xfrm>
                        <a:custGeom>
                          <a:avLst/>
                          <a:gdLst>
                            <a:gd name="connisteX0" fmla="*/ 314325 w 895350"/>
                            <a:gd name="connsiteY0" fmla="*/ 0 h 1333500"/>
                            <a:gd name="connisteX1" fmla="*/ 285750 w 895350"/>
                            <a:gd name="connsiteY1" fmla="*/ 76200 h 1333500"/>
                            <a:gd name="connisteX2" fmla="*/ 85725 w 895350"/>
                            <a:gd name="connsiteY2" fmla="*/ 257175 h 1333500"/>
                            <a:gd name="connisteX3" fmla="*/ 47625 w 895350"/>
                            <a:gd name="connsiteY3" fmla="*/ 628650 h 1333500"/>
                            <a:gd name="connisteX4" fmla="*/ 0 w 895350"/>
                            <a:gd name="connsiteY4" fmla="*/ 1000125 h 1333500"/>
                            <a:gd name="connisteX5" fmla="*/ 123825 w 895350"/>
                            <a:gd name="connsiteY5" fmla="*/ 1190625 h 1333500"/>
                            <a:gd name="connisteX6" fmla="*/ 438150 w 895350"/>
                            <a:gd name="connsiteY6" fmla="*/ 1333500 h 1333500"/>
                            <a:gd name="connisteX7" fmla="*/ 771525 w 895350"/>
                            <a:gd name="connsiteY7" fmla="*/ 1028700 h 1333500"/>
                            <a:gd name="connisteX8" fmla="*/ 895350 w 895350"/>
                            <a:gd name="connsiteY8" fmla="*/ 552450 h 1333500"/>
                            <a:gd name="connisteX9" fmla="*/ 685800 w 895350"/>
                            <a:gd name="connsiteY9" fmla="*/ 142875 h 1333500"/>
                            <a:gd name="connisteX10" fmla="*/ 361950 w 895350"/>
                            <a:gd name="connsiteY10" fmla="*/ 47625 h 1333500"/>
                            <a:gd name="connisteX11" fmla="*/ 295275 w 895350"/>
                            <a:gd name="connsiteY11" fmla="*/ 123825 h 1333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895350" h="1333500">
                              <a:moveTo>
                                <a:pt x="314325" y="0"/>
                              </a:moveTo>
                              <a:lnTo>
                                <a:pt x="285750" y="76200"/>
                              </a:lnTo>
                              <a:lnTo>
                                <a:pt x="85725" y="257175"/>
                              </a:lnTo>
                              <a:lnTo>
                                <a:pt x="47625" y="628650"/>
                              </a:lnTo>
                              <a:lnTo>
                                <a:pt x="0" y="1000125"/>
                              </a:lnTo>
                              <a:lnTo>
                                <a:pt x="123825" y="1190625"/>
                              </a:lnTo>
                              <a:lnTo>
                                <a:pt x="438150" y="1333500"/>
                              </a:lnTo>
                              <a:lnTo>
                                <a:pt x="771525" y="1028700"/>
                              </a:lnTo>
                              <a:lnTo>
                                <a:pt x="895350" y="552450"/>
                              </a:lnTo>
                              <a:lnTo>
                                <a:pt x="685800" y="142875"/>
                              </a:lnTo>
                              <a:lnTo>
                                <a:pt x="361950" y="47625"/>
                              </a:lnTo>
                              <a:lnTo>
                                <a:pt x="295275" y="123825"/>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601.75pt;margin-top:16.65pt;height:105pt;width:70.5pt;z-index:405647360;mso-width-relative:page;mso-height-relative:page;" filled="f" stroked="t" coordsize="895350,1333500" o:gfxdata="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" path="m314325,0l285750,76200,85725,257175,47625,628650,0,1000125,123825,1190625,438150,1333500,771525,1028700,895350,552450,685800,142875,361950,47625,295275,123825e">
                <v:path o:connectlocs="314325,0;285750,76200;85725,257175;47625,628650;0,1000125;123825,1190625;438150,1333500;771525,1028700;895350,552450;685800,142875;361950,47625;295275,123825" o:connectangles="0,0,0,0,0,0,0,0,0,0,0,0"/>
                <v:fill on="f" focussize="0,0"/>
                <v:stroke weight="2.2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405652480" behindDoc="0" locked="0" layoutInCell="1" allowOverlap="1">
                <wp:simplePos x="0" y="0"/>
                <wp:positionH relativeFrom="column">
                  <wp:posOffset>7442200</wp:posOffset>
                </wp:positionH>
                <wp:positionV relativeFrom="paragraph">
                  <wp:posOffset>210185</wp:posOffset>
                </wp:positionV>
                <wp:extent cx="1276350" cy="495935"/>
                <wp:effectExtent l="0" t="0" r="0" b="0"/>
                <wp:wrapNone/>
                <wp:docPr id="53" name="文本框 53"/>
                <wp:cNvGraphicFramePr/>
                <a:graphic xmlns:a="http://schemas.openxmlformats.org/drawingml/2006/main">
                  <a:graphicData uri="http://schemas.microsoft.com/office/word/2010/wordprocessingShape">
                    <wps:wsp>
                      <wps:cNvSpPr txBox="1"/>
                      <wps:spPr>
                        <a:xfrm>
                          <a:off x="2018030" y="2777490"/>
                          <a:ext cx="1276350" cy="495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白泥塘居民点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6pt;margin-top:16.55pt;height:39.05pt;width:100.5pt;z-index:405652480;mso-width-relative:page;mso-height-relative:page;" filled="f" stroked="f" coordsize="21600,21600" o:gfxdata="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AAZLa7aAAAADAEAAA8AAAAAAAAAAQAgAAAAIgAAAGRycy9kb3ducmV2LnhtbFBLAQIUABQA&#10;AAAIAIdO4kDoV6wdJwIAACYEAAAOAAAAAAAAAAEAIAAAACkBAABkcnMvZTJvRG9jLnhtbFBLBQYA&#10;AAAABgAGAFkBAADCBQAAAAA=&#10;">
                <v:fill on="f" focussize="0,0"/>
                <v:stroke on="f" weight="0.5pt"/>
                <v:imagedata o:title=""/>
                <o:lock v:ext="edit" aspectratio="f"/>
                <v:textbo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白泥塘居民点</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color w:val="auto"/>
          <w:sz w:val="24"/>
          <w:u w:val="none" w:color="auto"/>
        </w:rPr>
        <mc:AlternateContent>
          <mc:Choice Requires="wps">
            <w:drawing>
              <wp:anchor distT="0" distB="0" distL="114300" distR="114300" simplePos="0" relativeHeight="1329624064" behindDoc="0" locked="0" layoutInCell="1" allowOverlap="1">
                <wp:simplePos x="0" y="0"/>
                <wp:positionH relativeFrom="column">
                  <wp:posOffset>5461000</wp:posOffset>
                </wp:positionH>
                <wp:positionV relativeFrom="paragraph">
                  <wp:posOffset>215900</wp:posOffset>
                </wp:positionV>
                <wp:extent cx="1276350" cy="495935"/>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276350" cy="495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新光村居民点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0pt;margin-top:17pt;height:39.05pt;width:100.5pt;z-index:1329624064;mso-width-relative:page;mso-height-relative:page;" filled="f" stroked="f" coordsize="21600,21600" o:gfxdata="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PSA5ODa&#10;AAAACwEAAA8AAAAAAAAAAQAgAAAAIgAAAGRycy9kb3ducmV2LnhtbFBLAQIUABQAAAAIAIdO4kAj&#10;rCqDHgIAABoEAAAOAAAAAAAAAAEAIAAAACkBAABkcnMvZTJvRG9jLnhtbFBLBQYAAAAABgAGAFkB&#10;AAC5BQAAAAA=&#10;">
                <v:fill on="f" focussize="0,0"/>
                <v:stroke on="f" weight="0.5pt"/>
                <v:imagedata o:title=""/>
                <o:lock v:ext="edit" aspectratio="f"/>
                <v:textbox>
                  <w:txbxContent>
                    <w:p>
                      <w:pPr>
                        <w:rPr>
                          <w:rFonts w:hint="eastAsia" w:eastAsia="宋体"/>
                          <w:color w:val="FF0000"/>
                          <w:sz w:val="28"/>
                          <w:szCs w:val="24"/>
                          <w:highlight w:val="yellow"/>
                          <w:lang w:eastAsia="zh-CN"/>
                        </w:rPr>
                      </w:pPr>
                      <w:r>
                        <w:rPr>
                          <w:rFonts w:hint="eastAsia"/>
                          <w:color w:val="FF0000"/>
                          <w:sz w:val="28"/>
                          <w:szCs w:val="24"/>
                          <w:highlight w:val="yellow"/>
                          <w:lang w:eastAsia="zh-CN"/>
                        </w:rPr>
                        <w:t>新光村居民点</w:t>
                      </w:r>
                    </w:p>
                  </w:txbxContent>
                </v:textbox>
              </v:shape>
            </w:pict>
          </mc:Fallback>
        </mc:AlternateContent>
      </w:r>
      <w:r>
        <w:rPr>
          <w:color w:val="auto"/>
          <w:sz w:val="24"/>
          <w:u w:val="none" w:color="auto"/>
        </w:rPr>
        <mc:AlternateContent>
          <mc:Choice Requires="wps">
            <w:drawing>
              <wp:anchor distT="0" distB="0" distL="114300" distR="114300" simplePos="0" relativeHeight="405646336" behindDoc="0" locked="0" layoutInCell="1" allowOverlap="1">
                <wp:simplePos x="0" y="0"/>
                <wp:positionH relativeFrom="column">
                  <wp:posOffset>5441950</wp:posOffset>
                </wp:positionH>
                <wp:positionV relativeFrom="paragraph">
                  <wp:posOffset>52070</wp:posOffset>
                </wp:positionV>
                <wp:extent cx="1162050" cy="895350"/>
                <wp:effectExtent l="15875" t="24130" r="22225" b="33020"/>
                <wp:wrapNone/>
                <wp:docPr id="46" name="任意多边形 46"/>
                <wp:cNvGraphicFramePr/>
                <a:graphic xmlns:a="http://schemas.openxmlformats.org/drawingml/2006/main">
                  <a:graphicData uri="http://schemas.microsoft.com/office/word/2010/wordprocessingShape">
                    <wps:wsp>
                      <wps:cNvSpPr/>
                      <wps:spPr>
                        <a:xfrm>
                          <a:off x="6342380" y="5233035"/>
                          <a:ext cx="1162050" cy="895350"/>
                        </a:xfrm>
                        <a:custGeom>
                          <a:avLst/>
                          <a:gdLst>
                            <a:gd name="connisteX0" fmla="*/ 885825 w 1162050"/>
                            <a:gd name="connsiteY0" fmla="*/ 66675 h 895350"/>
                            <a:gd name="connisteX1" fmla="*/ 695325 w 1162050"/>
                            <a:gd name="connsiteY1" fmla="*/ 285750 h 895350"/>
                            <a:gd name="connisteX2" fmla="*/ 381000 w 1162050"/>
                            <a:gd name="connsiteY2" fmla="*/ 295275 h 895350"/>
                            <a:gd name="connisteX3" fmla="*/ 171450 w 1162050"/>
                            <a:gd name="connsiteY3" fmla="*/ 0 h 895350"/>
                            <a:gd name="connisteX4" fmla="*/ 0 w 1162050"/>
                            <a:gd name="connsiteY4" fmla="*/ 219075 h 895350"/>
                            <a:gd name="connisteX5" fmla="*/ 104775 w 1162050"/>
                            <a:gd name="connsiteY5" fmla="*/ 542925 h 895350"/>
                            <a:gd name="connisteX6" fmla="*/ 209550 w 1162050"/>
                            <a:gd name="connsiteY6" fmla="*/ 809625 h 895350"/>
                            <a:gd name="connisteX7" fmla="*/ 581025 w 1162050"/>
                            <a:gd name="connsiteY7" fmla="*/ 895350 h 895350"/>
                            <a:gd name="connisteX8" fmla="*/ 419100 w 1162050"/>
                            <a:gd name="connsiteY8" fmla="*/ 552450 h 895350"/>
                            <a:gd name="connisteX9" fmla="*/ 685800 w 1162050"/>
                            <a:gd name="connsiteY9" fmla="*/ 561975 h 895350"/>
                            <a:gd name="connisteX10" fmla="*/ 752475 w 1162050"/>
                            <a:gd name="connsiteY10" fmla="*/ 790575 h 895350"/>
                            <a:gd name="connisteX11" fmla="*/ 1123950 w 1162050"/>
                            <a:gd name="connsiteY11" fmla="*/ 838200 h 895350"/>
                            <a:gd name="connisteX12" fmla="*/ 1162050 w 1162050"/>
                            <a:gd name="connsiteY12" fmla="*/ 400050 h 895350"/>
                            <a:gd name="connisteX13" fmla="*/ 1085850 w 1162050"/>
                            <a:gd name="connsiteY13" fmla="*/ 66675 h 895350"/>
                            <a:gd name="connisteX14" fmla="*/ 885825 w 1162050"/>
                            <a:gd name="connsiteY14" fmla="*/ 66675 h 8953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Lst>
                          <a:rect l="l" t="t" r="r" b="b"/>
                          <a:pathLst>
                            <a:path w="1162050" h="895350">
                              <a:moveTo>
                                <a:pt x="885825" y="66675"/>
                              </a:moveTo>
                              <a:lnTo>
                                <a:pt x="695325" y="285750"/>
                              </a:lnTo>
                              <a:lnTo>
                                <a:pt x="381000" y="295275"/>
                              </a:lnTo>
                              <a:lnTo>
                                <a:pt x="171450" y="0"/>
                              </a:lnTo>
                              <a:lnTo>
                                <a:pt x="0" y="219075"/>
                              </a:lnTo>
                              <a:lnTo>
                                <a:pt x="104775" y="542925"/>
                              </a:lnTo>
                              <a:lnTo>
                                <a:pt x="209550" y="809625"/>
                              </a:lnTo>
                              <a:lnTo>
                                <a:pt x="581025" y="895350"/>
                              </a:lnTo>
                              <a:lnTo>
                                <a:pt x="419100" y="552450"/>
                              </a:lnTo>
                              <a:lnTo>
                                <a:pt x="685800" y="561975"/>
                              </a:lnTo>
                              <a:lnTo>
                                <a:pt x="752475" y="790575"/>
                              </a:lnTo>
                              <a:lnTo>
                                <a:pt x="1123950" y="838200"/>
                              </a:lnTo>
                              <a:lnTo>
                                <a:pt x="1162050" y="400050"/>
                              </a:lnTo>
                              <a:lnTo>
                                <a:pt x="1085850" y="66675"/>
                              </a:lnTo>
                              <a:lnTo>
                                <a:pt x="885825" y="66675"/>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28.5pt;margin-top:4.1pt;height:70.5pt;width:91.5pt;z-index:405646336;mso-width-relative:page;mso-height-relative:page;" filled="f" stroked="t" coordsize="1162050,895350" o:gfxdata="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" path="m885825,66675l695325,285750,381000,295275,171450,0,0,219075,104775,542925,209550,809625,581025,895350,419100,552450,685800,561975,752475,790575,1123950,838200,1162050,400050,1085850,66675,885825,66675xe">
                <v:path o:connectlocs="885825,66675;695325,285750;381000,295275;171450,0;0,219075;104775,542925;209550,809625;581025,895350;419100,552450;685800,561975;752475,790575;1123950,838200;1162050,400050;1085850,66675;885825,66675" o:connectangles="0,0,0,0,0,0,0,0,0,0,0,0,0,0,0"/>
                <v:fill on="f" focussize="0,0"/>
                <v:stroke weight="2.2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pStyle w:val="8"/>
        <w:bidi w:val="0"/>
        <w:rPr>
          <w:rFonts w:hint="default"/>
          <w:color w:val="auto"/>
          <w:u w:val="none" w:color="auto"/>
          <w:lang w:val="en-US" w:eastAsia="zh-CN"/>
        </w:rPr>
      </w:pPr>
      <w:r>
        <w:rPr>
          <w:rFonts w:hint="default"/>
          <w:color w:val="auto"/>
          <w:u w:val="none" w:color="auto"/>
          <w:lang w:val="en-US" w:eastAsia="zh-CN"/>
        </w:rPr>
        <w:t>附图</w:t>
      </w:r>
      <w:r>
        <w:rPr>
          <w:rFonts w:hint="eastAsia"/>
          <w:color w:val="auto"/>
          <w:u w:val="none" w:color="auto"/>
          <w:lang w:val="en-US" w:eastAsia="zh-CN"/>
        </w:rPr>
        <w:t>5</w:t>
      </w:r>
      <w:r>
        <w:rPr>
          <w:rFonts w:hint="default"/>
          <w:color w:val="auto"/>
          <w:u w:val="none" w:color="auto"/>
          <w:lang w:val="en-US" w:eastAsia="zh-CN"/>
        </w:rPr>
        <w:t xml:space="preserve">  项目现场照片</w:t>
      </w:r>
    </w:p>
    <w:tbl>
      <w:tblPr>
        <w:tblStyle w:val="40"/>
        <w:tblW w:w="142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9"/>
        <w:gridCol w:w="7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6" w:hRule="atLeast"/>
        </w:trPr>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1368121344" behindDoc="0" locked="0" layoutInCell="1" allowOverlap="1">
                  <wp:simplePos x="0" y="0"/>
                  <wp:positionH relativeFrom="column">
                    <wp:posOffset>50800</wp:posOffset>
                  </wp:positionH>
                  <wp:positionV relativeFrom="paragraph">
                    <wp:posOffset>62865</wp:posOffset>
                  </wp:positionV>
                  <wp:extent cx="4290060" cy="2235835"/>
                  <wp:effectExtent l="0" t="0" r="15240" b="12065"/>
                  <wp:wrapNone/>
                  <wp:docPr id="82" name="图片 82" descr="IMG_20190911_09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0190911_091730"/>
                          <pic:cNvPicPr>
                            <a:picLocks noChangeAspect="1"/>
                          </pic:cNvPicPr>
                        </pic:nvPicPr>
                        <pic:blipFill>
                          <a:blip r:embed="rId68"/>
                          <a:srcRect t="31764" r="1802"/>
                          <a:stretch>
                            <a:fillRect/>
                          </a:stretch>
                        </pic:blipFill>
                        <pic:spPr>
                          <a:xfrm>
                            <a:off x="0" y="0"/>
                            <a:ext cx="4290060" cy="2235835"/>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1848" w:firstLineChars="8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项目东面</w:t>
            </w:r>
          </w:p>
        </w:tc>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1368118272" behindDoc="0" locked="0" layoutInCell="1" allowOverlap="1">
                  <wp:simplePos x="0" y="0"/>
                  <wp:positionH relativeFrom="column">
                    <wp:posOffset>-15875</wp:posOffset>
                  </wp:positionH>
                  <wp:positionV relativeFrom="paragraph">
                    <wp:posOffset>49530</wp:posOffset>
                  </wp:positionV>
                  <wp:extent cx="4368800" cy="2152015"/>
                  <wp:effectExtent l="0" t="0" r="12700" b="635"/>
                  <wp:wrapNone/>
                  <wp:docPr id="79" name="图片 79" descr="IMG_20190911_09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190911_091624"/>
                          <pic:cNvPicPr>
                            <a:picLocks noChangeAspect="1"/>
                          </pic:cNvPicPr>
                        </pic:nvPicPr>
                        <pic:blipFill>
                          <a:blip r:embed="rId69"/>
                          <a:stretch>
                            <a:fillRect/>
                          </a:stretch>
                        </pic:blipFill>
                        <pic:spPr>
                          <a:xfrm>
                            <a:off x="0" y="0"/>
                            <a:ext cx="4368800" cy="2152015"/>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2310" w:firstLineChars="10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项目北面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0" w:hRule="atLeast"/>
        </w:trPr>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1368120320" behindDoc="0" locked="0" layoutInCell="1" allowOverlap="1">
                  <wp:simplePos x="0" y="0"/>
                  <wp:positionH relativeFrom="column">
                    <wp:posOffset>-6350</wp:posOffset>
                  </wp:positionH>
                  <wp:positionV relativeFrom="paragraph">
                    <wp:posOffset>64135</wp:posOffset>
                  </wp:positionV>
                  <wp:extent cx="4366260" cy="1952625"/>
                  <wp:effectExtent l="0" t="0" r="15240" b="9525"/>
                  <wp:wrapNone/>
                  <wp:docPr id="81" name="图片 81" descr="IMG_20190911_09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_20190911_091653"/>
                          <pic:cNvPicPr>
                            <a:picLocks noChangeAspect="1"/>
                          </pic:cNvPicPr>
                        </pic:nvPicPr>
                        <pic:blipFill>
                          <a:blip r:embed="rId70"/>
                          <a:srcRect t="44981" r="58" b="9089"/>
                          <a:stretch>
                            <a:fillRect/>
                          </a:stretch>
                        </pic:blipFill>
                        <pic:spPr>
                          <a:xfrm>
                            <a:off x="0" y="0"/>
                            <a:ext cx="4366260" cy="1952625"/>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1848" w:firstLineChars="8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项目南面</w:t>
            </w:r>
          </w:p>
        </w:tc>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1368119296" behindDoc="0" locked="0" layoutInCell="1" allowOverlap="1">
                  <wp:simplePos x="0" y="0"/>
                  <wp:positionH relativeFrom="column">
                    <wp:posOffset>31750</wp:posOffset>
                  </wp:positionH>
                  <wp:positionV relativeFrom="paragraph">
                    <wp:posOffset>57150</wp:posOffset>
                  </wp:positionV>
                  <wp:extent cx="4368800" cy="1923415"/>
                  <wp:effectExtent l="0" t="0" r="12700" b="635"/>
                  <wp:wrapNone/>
                  <wp:docPr id="80" name="图片 80" descr="IMG_20190911_09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190911_091643"/>
                          <pic:cNvPicPr>
                            <a:picLocks noChangeAspect="1"/>
                          </pic:cNvPicPr>
                        </pic:nvPicPr>
                        <pic:blipFill>
                          <a:blip r:embed="rId71"/>
                          <a:stretch>
                            <a:fillRect/>
                          </a:stretch>
                        </pic:blipFill>
                        <pic:spPr>
                          <a:xfrm>
                            <a:off x="0" y="0"/>
                            <a:ext cx="4368800" cy="1923415"/>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2541" w:firstLineChars="11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项目现场地</w:t>
            </w:r>
          </w:p>
        </w:tc>
      </w:tr>
    </w:tbl>
    <w:p>
      <w:pPr>
        <w:pStyle w:val="38"/>
        <w:ind w:left="0" w:leftChars="0" w:firstLine="0" w:firstLineChars="0"/>
        <w:rPr>
          <w:rFonts w:hint="default" w:eastAsia="宋体"/>
          <w:color w:val="auto"/>
          <w:u w:val="none" w:color="auto"/>
          <w:lang w:val="en-US" w:eastAsia="zh-CN"/>
        </w:rPr>
      </w:pPr>
    </w:p>
    <w:sectPr>
      <w:pgSz w:w="16838" w:h="11906" w:orient="landscape"/>
      <w:pgMar w:top="1474" w:right="1418" w:bottom="1134" w:left="1418" w:header="851" w:footer="992" w:gutter="0"/>
      <w:pgBorders>
        <w:top w:val="none" w:sz="0" w:space="0"/>
        <w:left w:val="none" w:sz="0" w:space="0"/>
        <w:bottom w:val="none" w:sz="0" w:space="0"/>
        <w:right w:val="none" w:sz="0" w:space="0"/>
      </w:pgBorders>
      <w:cols w:space="0" w:num="1"/>
      <w:rtlGutter w:val="0"/>
      <w:docGrid w:type="linesAndChars" w:linePitch="332" w:charSpace="-200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font-weight : 400">
    <w:altName w:val="Courier New"/>
    <w:panose1 w:val="00000000000000000000"/>
    <w:charset w:val="00"/>
    <w:family w:val="auto"/>
    <w:pitch w:val="default"/>
    <w:sig w:usb0="00000000" w:usb1="00000000" w:usb2="00000000" w:usb3="00000000" w:csb0="00040001" w:csb1="00000000"/>
  </w:font>
  <w:font w:name="CG Times (W1)">
    <w:altName w:val="Times New Roman"/>
    <w:panose1 w:val="00000000000000000000"/>
    <w:charset w:val="00"/>
    <w:family w:val="moder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auto"/>
    <w:pitch w:val="default"/>
    <w:sig w:usb0="00000000" w:usb1="00000000" w:usb2="00000000" w:usb3="00000000" w:csb0="00000000"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tabs>
        <w:tab w:val="center" w:pos="4450"/>
        <w:tab w:val="clear" w:pos="4153"/>
      </w:tabs>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7"/>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pPr>
                            <w:pStyle w:val="25"/>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7"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OqXm5zwAAAAUB&#10;AAAPAAAAAAAAAAEAIAAAACIAAABkcnMvZG93bnJldi54bWxQSwECFAAUAAAACACHTuJA5gQ/F+sB&#10;AAC3AwAADgAAAAAAAAABACAAAAAeAQAAZHJzL2Uyb0RvYy54bWxQSwUGAAAAAAYABgBZAQAAewUA&#10;AAAA&#10;">
              <v:fill on="f" focussize="0,0"/>
              <v:stroke on="f"/>
              <v:imagedata o:title=""/>
              <o:lock v:ext="edit" aspectratio="f"/>
              <v:textbox inset="0mm,0mm,0mm,0mm" style="mso-fit-shape-to-text:t;">
                <w:txbxContent>
                  <w:p>
                    <w:pPr>
                      <w:pStyle w:val="25"/>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0</wp:posOffset>
              </wp:positionV>
              <wp:extent cx="57785" cy="131445"/>
              <wp:effectExtent l="1905" t="0" r="0" b="0"/>
              <wp:wrapNone/>
              <wp:docPr id="2" name="文本框 9"/>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5"/>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9" o:spid="_x0000_s1026" o:spt="202" type="#_x0000_t202" style="position:absolute;left:0pt;margin-top:0pt;height:10.35pt;width:4.55pt;mso-position-horizontal:center;mso-position-horizontal-relative:margin;mso-wrap-style:none;z-index:251657216;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Dn&#10;PBtF7wEAALMDAAAOAAAAAAAAAAEAIAAAAB8BAABkcnMvZTJvRG9jLnhtbFBLBQYAAAAABgAGAFkB&#10;AACABQAAAAA=&#10;">
              <v:fill on="f" focussize="0,0"/>
              <v:stroke on="f"/>
              <v:imagedata o:title=""/>
              <o:lock v:ext="edit" aspectratio="f"/>
              <v:textbox inset="0mm,0mm,0mm,0mm" style="mso-fit-shape-to-text:t;">
                <w:txbxContent>
                  <w:p>
                    <w:pPr>
                      <w:pStyle w:val="25"/>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57785" cy="131445"/>
              <wp:effectExtent l="1905" t="0" r="0" b="3810"/>
              <wp:wrapNone/>
              <wp:docPr id="1"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5"/>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0" o:spid="_x0000_s1026" o:spt="202" type="#_x0000_t202" style="position:absolute;left:0pt;margin-top:0pt;height:10.35pt;width:4.55pt;mso-position-horizontal:center;mso-position-horizontal-relative:margin;mso-wrap-style:none;z-index:251658240;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A/&#10;43xc7wEAALQDAAAOAAAAAAAAAAEAIAAAAB8BAABkcnMvZTJvRG9jLnhtbFBLBQYAAAAABgAGAFkB&#10;AACABQAAAAA=&#10;">
              <v:fill on="f" focussize="0,0"/>
              <v:stroke on="f"/>
              <v:imagedata o:title=""/>
              <o:lock v:ext="edit" aspectratio="f"/>
              <v:textbox inset="0mm,0mm,0mm,0mm" style="mso-fit-shape-to-text:t;">
                <w:txbxContent>
                  <w:p>
                    <w:pPr>
                      <w:pStyle w:val="25"/>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v:textbox>
            </v:shape>
          </w:pict>
        </mc:Fallback>
      </mc:AlternateContent>
    </w:r>
  </w:p>
  <w:p>
    <w:pPr>
      <w:pStyle w:val="2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tabs>
        <w:tab w:val="left" w:pos="7667"/>
        <w:tab w:val="clear" w:pos="4153"/>
      </w:tabs>
    </w:pPr>
    <w:r>
      <w:rPr>
        <w:rFonts w:hint="eastAsia"/>
        <w:szCs w:val="18"/>
        <w:lang w:eastAsia="zh-CN"/>
      </w:rPr>
      <w:t>年产5000件消防设备及器材建设项目</w:t>
    </w:r>
    <w:r>
      <w:rPr>
        <w:szCs w:val="18"/>
      </w:rPr>
      <w:t>环境影响报告表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C602D4A"/>
    <w:multiLevelType w:val="singleLevel"/>
    <w:tmpl w:val="8C602D4A"/>
    <w:lvl w:ilvl="0" w:tentative="0">
      <w:start w:val="2"/>
      <w:numFmt w:val="chineseCounting"/>
      <w:suff w:val="nothing"/>
      <w:lvlText w:val="%1、"/>
      <w:lvlJc w:val="left"/>
      <w:rPr>
        <w:rFonts w:hint="eastAsia"/>
      </w:rPr>
    </w:lvl>
  </w:abstractNum>
  <w:abstractNum w:abstractNumId="1">
    <w:nsid w:val="EE573DEC"/>
    <w:multiLevelType w:val="singleLevel"/>
    <w:tmpl w:val="EE573DEC"/>
    <w:lvl w:ilvl="0" w:tentative="0">
      <w:start w:val="1"/>
      <w:numFmt w:val="decimal"/>
      <w:pStyle w:val="29"/>
      <w:lvlText w:val="%1."/>
      <w:lvlJc w:val="left"/>
      <w:pPr>
        <w:tabs>
          <w:tab w:val="left" w:pos="6902"/>
        </w:tabs>
        <w:ind w:left="6902" w:hanging="360"/>
      </w:pPr>
    </w:lvl>
  </w:abstractNum>
  <w:abstractNum w:abstractNumId="2">
    <w:nsid w:val="00000006"/>
    <w:multiLevelType w:val="multilevel"/>
    <w:tmpl w:val="00000006"/>
    <w:lvl w:ilvl="0" w:tentative="0">
      <w:start w:val="1"/>
      <w:numFmt w:val="none"/>
      <w:suff w:val="nothing"/>
      <w:lvlText w:val="%1"/>
      <w:lvlJc w:val="left"/>
      <w:pPr>
        <w:ind w:left="0" w:firstLine="0"/>
      </w:pPr>
      <w:rPr>
        <w:rFonts w:hint="default" w:ascii="Times New Roman" w:hAnsi="Times New Roman"/>
        <w:b/>
        <w:i w:val="0"/>
        <w:sz w:val="21"/>
      </w:rPr>
    </w:lvl>
    <w:lvl w:ilvl="1" w:tentative="0">
      <w:start w:val="1"/>
      <w:numFmt w:val="decimal"/>
      <w:lvlText w:val="%2."/>
      <w:lvlJc w:val="left"/>
      <w:pPr>
        <w:ind w:left="0" w:firstLine="0"/>
      </w:pPr>
      <w:rPr>
        <w:rFonts w:hint="eastAsia"/>
        <w:b w:val="0"/>
        <w:i w:val="0"/>
        <w:sz w:val="32"/>
        <w:szCs w:val="32"/>
      </w:rPr>
    </w:lvl>
    <w:lvl w:ilvl="2" w:tentative="0">
      <w:start w:val="1"/>
      <w:numFmt w:val="decimal"/>
      <w:pStyle w:val="54"/>
      <w:suff w:val="nothing"/>
      <w:lvlText w:val="%1%2.%3　"/>
      <w:lvlJc w:val="left"/>
      <w:pPr>
        <w:ind w:left="426" w:firstLine="0"/>
      </w:pPr>
      <w:rPr>
        <w:rFonts w:hint="eastAsia" w:ascii="黑体" w:hAnsi="Times New Roman" w:eastAsia="黑体"/>
        <w:b w:val="0"/>
        <w:i w:val="0"/>
        <w:sz w:val="28"/>
        <w:szCs w:val="28"/>
      </w:rPr>
    </w:lvl>
    <w:lvl w:ilvl="3" w:tentative="0">
      <w:start w:val="1"/>
      <w:numFmt w:val="decimal"/>
      <w:pStyle w:val="53"/>
      <w:suff w:val="nothing"/>
      <w:lvlText w:val="%1%2.%3.%4　"/>
      <w:lvlJc w:val="left"/>
      <w:pPr>
        <w:ind w:left="0" w:firstLine="0"/>
      </w:pPr>
      <w:rPr>
        <w:rFonts w:hint="eastAsia" w:ascii="黑体" w:hAnsi="Times New Roman" w:eastAsia="黑体"/>
        <w:b w:val="0"/>
        <w:i w:val="0"/>
        <w:sz w:val="24"/>
        <w:szCs w:val="24"/>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3">
    <w:nsid w:val="0000000E"/>
    <w:multiLevelType w:val="singleLevel"/>
    <w:tmpl w:val="0000000E"/>
    <w:lvl w:ilvl="0" w:tentative="0">
      <w:start w:val="1"/>
      <w:numFmt w:val="chineseCounting"/>
      <w:suff w:val="nothing"/>
      <w:lvlText w:val="%1、"/>
      <w:lvlJc w:val="left"/>
    </w:lvl>
  </w:abstractNum>
  <w:abstractNum w:abstractNumId="4">
    <w:nsid w:val="0B377108"/>
    <w:multiLevelType w:val="singleLevel"/>
    <w:tmpl w:val="0B377108"/>
    <w:lvl w:ilvl="0" w:tentative="0">
      <w:start w:val="2"/>
      <w:numFmt w:val="decimal"/>
      <w:suff w:val="nothing"/>
      <w:lvlText w:val="（%1）"/>
      <w:lvlJc w:val="left"/>
    </w:lvl>
  </w:abstractNum>
  <w:abstractNum w:abstractNumId="5">
    <w:nsid w:val="0F722FDC"/>
    <w:multiLevelType w:val="multilevel"/>
    <w:tmpl w:val="0F722FDC"/>
    <w:lvl w:ilvl="0" w:tentative="0">
      <w:start w:val="2"/>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1C18019C"/>
    <w:multiLevelType w:val="multilevel"/>
    <w:tmpl w:val="1C18019C"/>
    <w:lvl w:ilvl="0" w:tentative="0">
      <w:start w:val="1"/>
      <w:numFmt w:val="decimal"/>
      <w:lvlText w:val="（%1）"/>
      <w:lvlJc w:val="left"/>
      <w:pPr>
        <w:ind w:left="1120" w:hanging="720"/>
      </w:pPr>
      <w:rPr>
        <w:rFonts w:hint="default"/>
      </w:rPr>
    </w:lvl>
    <w:lvl w:ilvl="1" w:tentative="0">
      <w:start w:val="1"/>
      <w:numFmt w:val="decimalEnclosedCircle"/>
      <w:lvlText w:val="%2"/>
      <w:lvlJc w:val="left"/>
      <w:pPr>
        <w:ind w:left="1180" w:hanging="360"/>
      </w:pPr>
      <w:rPr>
        <w:rFonts w:hint="default" w:ascii="宋体" w:hAnsi="宋体"/>
      </w:r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7">
    <w:nsid w:val="56EFB405"/>
    <w:multiLevelType w:val="multilevel"/>
    <w:tmpl w:val="56EFB405"/>
    <w:lvl w:ilvl="0" w:tentative="0">
      <w:start w:val="1"/>
      <w:numFmt w:val="decimal"/>
      <w:pStyle w:val="108"/>
      <w:lvlText w:val="第%1章"/>
      <w:lvlJc w:val="left"/>
      <w:pPr>
        <w:ind w:left="1800"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1" w:tentative="0">
      <w:start w:val="1"/>
      <w:numFmt w:val="decimal"/>
      <w:pStyle w:val="107"/>
      <w:suff w:val="space"/>
      <w:lvlText w:val="%1.%2"/>
      <w:lvlJc w:val="left"/>
      <w:pPr>
        <w:ind w:left="0" w:firstLine="0"/>
      </w:pPr>
      <w:rPr>
        <w:rFonts w:hint="eastAsia" w:eastAsia="Times New Roman"/>
      </w:rPr>
    </w:lvl>
    <w:lvl w:ilvl="2" w:tentative="0">
      <w:start w:val="1"/>
      <w:numFmt w:val="decimal"/>
      <w:suff w:val="space"/>
      <w:lvlText w:val="%1.%2.%3"/>
      <w:lvlJc w:val="left"/>
      <w:pPr>
        <w:ind w:left="600" w:firstLine="0"/>
      </w:pPr>
      <w:rPr>
        <w:rFonts w:hint="eastAsia" w:ascii="Times New Roman" w:hAnsi="Times New Roman" w:eastAsia="Times New Roman"/>
        <w:dstrike w:val="0"/>
        <w:snapToGrid/>
        <w:kern w:val="0"/>
        <w:sz w:val="28"/>
        <w:szCs w:val="28"/>
        <w:vertAlign w:val="baseline"/>
      </w:rPr>
    </w:lvl>
    <w:lvl w:ilvl="3" w:tentative="0">
      <w:start w:val="1"/>
      <w:numFmt w:val="decimal"/>
      <w:lvlText w:val="%1.%2.%3.%4"/>
      <w:lvlJc w:val="left"/>
      <w:pPr>
        <w:ind w:left="6271" w:hanging="708"/>
      </w:pPr>
      <w:rPr>
        <w:rFonts w:hint="eastAsia"/>
      </w:rPr>
    </w:lvl>
    <w:lvl w:ilvl="4" w:tentative="0">
      <w:start w:val="1"/>
      <w:numFmt w:val="decimal"/>
      <w:lvlText w:val="%1.%2.%3.%4.%5"/>
      <w:lvlJc w:val="left"/>
      <w:pPr>
        <w:ind w:left="6838" w:hanging="850"/>
      </w:pPr>
      <w:rPr>
        <w:rFonts w:hint="eastAsia"/>
      </w:rPr>
    </w:lvl>
    <w:lvl w:ilvl="5" w:tentative="0">
      <w:start w:val="1"/>
      <w:numFmt w:val="decimal"/>
      <w:lvlText w:val="%1.%2.%3.%4.%5.%6"/>
      <w:lvlJc w:val="left"/>
      <w:pPr>
        <w:ind w:left="7547" w:hanging="1134"/>
      </w:pPr>
      <w:rPr>
        <w:rFonts w:hint="eastAsia"/>
      </w:rPr>
    </w:lvl>
    <w:lvl w:ilvl="6" w:tentative="0">
      <w:start w:val="1"/>
      <w:numFmt w:val="decimal"/>
      <w:lvlText w:val="%1.%2.%3.%4.%5.%6.%7"/>
      <w:lvlJc w:val="left"/>
      <w:pPr>
        <w:ind w:left="8114" w:hanging="1276"/>
      </w:pPr>
      <w:rPr>
        <w:rFonts w:hint="eastAsia"/>
      </w:rPr>
    </w:lvl>
    <w:lvl w:ilvl="7" w:tentative="0">
      <w:start w:val="1"/>
      <w:numFmt w:val="decimal"/>
      <w:lvlText w:val="%1.%2.%3.%4.%5.%6.%7.%8"/>
      <w:lvlJc w:val="left"/>
      <w:pPr>
        <w:ind w:left="8681" w:hanging="1418"/>
      </w:pPr>
      <w:rPr>
        <w:rFonts w:hint="eastAsia"/>
      </w:rPr>
    </w:lvl>
    <w:lvl w:ilvl="8" w:tentative="0">
      <w:start w:val="1"/>
      <w:numFmt w:val="decimal"/>
      <w:lvlText w:val="%1.%2.%3.%4.%5.%6.%7.%8.%9"/>
      <w:lvlJc w:val="left"/>
      <w:pPr>
        <w:ind w:left="9389" w:hanging="1700"/>
      </w:pPr>
      <w:rPr>
        <w:rFonts w:hint="eastAsia"/>
      </w:rPr>
    </w:lvl>
  </w:abstractNum>
  <w:abstractNum w:abstractNumId="8">
    <w:nsid w:val="58F2FF14"/>
    <w:multiLevelType w:val="singleLevel"/>
    <w:tmpl w:val="58F2FF14"/>
    <w:lvl w:ilvl="0" w:tentative="0">
      <w:start w:val="2"/>
      <w:numFmt w:val="decimal"/>
      <w:suff w:val="nothing"/>
      <w:lvlText w:val="%1、"/>
      <w:lvlJc w:val="left"/>
    </w:lvl>
  </w:abstractNum>
  <w:abstractNum w:abstractNumId="9">
    <w:nsid w:val="621F0DDE"/>
    <w:multiLevelType w:val="multilevel"/>
    <w:tmpl w:val="621F0DDE"/>
    <w:lvl w:ilvl="0" w:tentative="0">
      <w:start w:val="1"/>
      <w:numFmt w:val="japaneseCounting"/>
      <w:pStyle w:val="12"/>
      <w:lvlText w:val="%1、"/>
      <w:lvlJc w:val="left"/>
      <w:pPr>
        <w:tabs>
          <w:tab w:val="left" w:pos="962"/>
        </w:tabs>
        <w:ind w:left="962" w:hanging="480"/>
      </w:pPr>
      <w:rPr>
        <w:rFonts w:hint="default"/>
      </w:rPr>
    </w:lvl>
    <w:lvl w:ilvl="1" w:tentative="0">
      <w:start w:val="1"/>
      <w:numFmt w:val="lowerLetter"/>
      <w:lvlText w:val="%2)"/>
      <w:lvlJc w:val="left"/>
      <w:pPr>
        <w:tabs>
          <w:tab w:val="left" w:pos="1322"/>
        </w:tabs>
        <w:ind w:left="1322" w:hanging="420"/>
      </w:pPr>
    </w:lvl>
    <w:lvl w:ilvl="2" w:tentative="0">
      <w:start w:val="1"/>
      <w:numFmt w:val="lowerRoman"/>
      <w:lvlText w:val="%3."/>
      <w:lvlJc w:val="right"/>
      <w:pPr>
        <w:tabs>
          <w:tab w:val="left" w:pos="1742"/>
        </w:tabs>
        <w:ind w:left="1742" w:hanging="420"/>
      </w:pPr>
    </w:lvl>
    <w:lvl w:ilvl="3" w:tentative="0">
      <w:start w:val="1"/>
      <w:numFmt w:val="decimal"/>
      <w:lvlText w:val="%4."/>
      <w:lvlJc w:val="left"/>
      <w:pPr>
        <w:tabs>
          <w:tab w:val="left" w:pos="2162"/>
        </w:tabs>
        <w:ind w:left="2162" w:hanging="420"/>
      </w:pPr>
    </w:lvl>
    <w:lvl w:ilvl="4" w:tentative="0">
      <w:start w:val="1"/>
      <w:numFmt w:val="lowerLetter"/>
      <w:lvlText w:val="%5)"/>
      <w:lvlJc w:val="left"/>
      <w:pPr>
        <w:tabs>
          <w:tab w:val="left" w:pos="2582"/>
        </w:tabs>
        <w:ind w:left="2582" w:hanging="420"/>
      </w:pPr>
    </w:lvl>
    <w:lvl w:ilvl="5" w:tentative="0">
      <w:start w:val="1"/>
      <w:numFmt w:val="lowerRoman"/>
      <w:lvlText w:val="%6."/>
      <w:lvlJc w:val="right"/>
      <w:pPr>
        <w:tabs>
          <w:tab w:val="left" w:pos="3002"/>
        </w:tabs>
        <w:ind w:left="3002" w:hanging="420"/>
      </w:pPr>
    </w:lvl>
    <w:lvl w:ilvl="6" w:tentative="0">
      <w:start w:val="1"/>
      <w:numFmt w:val="decimal"/>
      <w:lvlText w:val="%7."/>
      <w:lvlJc w:val="left"/>
      <w:pPr>
        <w:tabs>
          <w:tab w:val="left" w:pos="3422"/>
        </w:tabs>
        <w:ind w:left="3422" w:hanging="420"/>
      </w:pPr>
    </w:lvl>
    <w:lvl w:ilvl="7" w:tentative="0">
      <w:start w:val="1"/>
      <w:numFmt w:val="lowerLetter"/>
      <w:lvlText w:val="%8)"/>
      <w:lvlJc w:val="left"/>
      <w:pPr>
        <w:tabs>
          <w:tab w:val="left" w:pos="3842"/>
        </w:tabs>
        <w:ind w:left="3842" w:hanging="420"/>
      </w:pPr>
    </w:lvl>
    <w:lvl w:ilvl="8" w:tentative="0">
      <w:start w:val="1"/>
      <w:numFmt w:val="lowerRoman"/>
      <w:lvlText w:val="%9."/>
      <w:lvlJc w:val="right"/>
      <w:pPr>
        <w:tabs>
          <w:tab w:val="left" w:pos="4262"/>
        </w:tabs>
        <w:ind w:left="4262" w:hanging="420"/>
      </w:pPr>
    </w:lvl>
  </w:abstractNum>
  <w:abstractNum w:abstractNumId="10">
    <w:nsid w:val="6B628263"/>
    <w:multiLevelType w:val="singleLevel"/>
    <w:tmpl w:val="6B628263"/>
    <w:lvl w:ilvl="0" w:tentative="0">
      <w:start w:val="1"/>
      <w:numFmt w:val="decimal"/>
      <w:suff w:val="nothing"/>
      <w:lvlText w:val="（%1）"/>
      <w:lvlJc w:val="left"/>
    </w:lvl>
  </w:abstractNum>
  <w:abstractNum w:abstractNumId="11">
    <w:nsid w:val="6BC479B0"/>
    <w:multiLevelType w:val="multilevel"/>
    <w:tmpl w:val="6BC479B0"/>
    <w:lvl w:ilvl="0" w:tentative="0">
      <w:start w:val="1"/>
      <w:numFmt w:val="decimal"/>
      <w:lvlText w:val="%1、"/>
      <w:lvlJc w:val="left"/>
      <w:pPr>
        <w:ind w:left="562" w:hanging="420"/>
      </w:pPr>
      <w:rPr>
        <w:rFonts w:hint="default" w:ascii="Times New Roman" w:hAnsi="Times New Roman" w:eastAsia="宋体" w:cs="Times New Roman"/>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12">
    <w:nsid w:val="7397EC63"/>
    <w:multiLevelType w:val="singleLevel"/>
    <w:tmpl w:val="7397EC63"/>
    <w:lvl w:ilvl="0" w:tentative="0">
      <w:start w:val="1"/>
      <w:numFmt w:val="decimal"/>
      <w:suff w:val="nothing"/>
      <w:lvlText w:val="（%1）"/>
      <w:lvlJc w:val="left"/>
    </w:lvl>
  </w:abstractNum>
  <w:num w:numId="1">
    <w:abstractNumId w:val="9"/>
  </w:num>
  <w:num w:numId="2">
    <w:abstractNumId w:val="1"/>
  </w:num>
  <w:num w:numId="3">
    <w:abstractNumId w:val="2"/>
  </w:num>
  <w:num w:numId="4">
    <w:abstractNumId w:val="7"/>
  </w:num>
  <w:num w:numId="5">
    <w:abstractNumId w:val="10"/>
  </w:num>
  <w:num w:numId="6">
    <w:abstractNumId w:val="5"/>
  </w:num>
  <w:num w:numId="7">
    <w:abstractNumId w:val="4"/>
  </w:num>
  <w:num w:numId="8">
    <w:abstractNumId w:val="12"/>
  </w:num>
  <w:num w:numId="9">
    <w:abstractNumId w:val="6"/>
  </w:num>
  <w:num w:numId="10">
    <w:abstractNumId w:val="8"/>
  </w:num>
  <w:num w:numId="11">
    <w:abstractNumId w:val="3"/>
  </w:num>
  <w:num w:numId="12">
    <w:abstractNumId w:val="0"/>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6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5D0"/>
    <w:rsid w:val="0000160B"/>
    <w:rsid w:val="000026D9"/>
    <w:rsid w:val="00002AE4"/>
    <w:rsid w:val="00006E26"/>
    <w:rsid w:val="000122A5"/>
    <w:rsid w:val="00013A83"/>
    <w:rsid w:val="00017209"/>
    <w:rsid w:val="000210A2"/>
    <w:rsid w:val="00031DA1"/>
    <w:rsid w:val="00033313"/>
    <w:rsid w:val="00034232"/>
    <w:rsid w:val="00034B96"/>
    <w:rsid w:val="0003541E"/>
    <w:rsid w:val="00036963"/>
    <w:rsid w:val="00037E3C"/>
    <w:rsid w:val="00040F1C"/>
    <w:rsid w:val="000423BC"/>
    <w:rsid w:val="00043577"/>
    <w:rsid w:val="000435F3"/>
    <w:rsid w:val="00043CA2"/>
    <w:rsid w:val="00044092"/>
    <w:rsid w:val="00044145"/>
    <w:rsid w:val="00045F96"/>
    <w:rsid w:val="000461C5"/>
    <w:rsid w:val="00046D1B"/>
    <w:rsid w:val="00054858"/>
    <w:rsid w:val="00055614"/>
    <w:rsid w:val="00055FE1"/>
    <w:rsid w:val="000564D4"/>
    <w:rsid w:val="00057513"/>
    <w:rsid w:val="00060986"/>
    <w:rsid w:val="0006505F"/>
    <w:rsid w:val="00066EE4"/>
    <w:rsid w:val="0006777B"/>
    <w:rsid w:val="00080666"/>
    <w:rsid w:val="00081D7C"/>
    <w:rsid w:val="00083B87"/>
    <w:rsid w:val="00084610"/>
    <w:rsid w:val="000852BD"/>
    <w:rsid w:val="0009217D"/>
    <w:rsid w:val="00093BD6"/>
    <w:rsid w:val="00096071"/>
    <w:rsid w:val="000962CF"/>
    <w:rsid w:val="00096C15"/>
    <w:rsid w:val="000A08B6"/>
    <w:rsid w:val="000A139F"/>
    <w:rsid w:val="000A2CCB"/>
    <w:rsid w:val="000A4674"/>
    <w:rsid w:val="000A6B56"/>
    <w:rsid w:val="000A6BE3"/>
    <w:rsid w:val="000A7206"/>
    <w:rsid w:val="000A79D4"/>
    <w:rsid w:val="000B217A"/>
    <w:rsid w:val="000B2F17"/>
    <w:rsid w:val="000B7022"/>
    <w:rsid w:val="000C0211"/>
    <w:rsid w:val="000C2A6F"/>
    <w:rsid w:val="000C35A3"/>
    <w:rsid w:val="000C514F"/>
    <w:rsid w:val="000C70EB"/>
    <w:rsid w:val="000C7DEF"/>
    <w:rsid w:val="000D0277"/>
    <w:rsid w:val="000D09A4"/>
    <w:rsid w:val="000D3C5B"/>
    <w:rsid w:val="000D3E66"/>
    <w:rsid w:val="000D7FE9"/>
    <w:rsid w:val="000E7226"/>
    <w:rsid w:val="000E7D99"/>
    <w:rsid w:val="000F1C1E"/>
    <w:rsid w:val="000F1FEF"/>
    <w:rsid w:val="000F2DB2"/>
    <w:rsid w:val="000F458B"/>
    <w:rsid w:val="000F49F3"/>
    <w:rsid w:val="000F58D5"/>
    <w:rsid w:val="000F6C7B"/>
    <w:rsid w:val="00101077"/>
    <w:rsid w:val="00102286"/>
    <w:rsid w:val="0010284E"/>
    <w:rsid w:val="00111C91"/>
    <w:rsid w:val="001123C0"/>
    <w:rsid w:val="0011388B"/>
    <w:rsid w:val="001138C9"/>
    <w:rsid w:val="00113D94"/>
    <w:rsid w:val="00115B96"/>
    <w:rsid w:val="0012211C"/>
    <w:rsid w:val="00124092"/>
    <w:rsid w:val="00124D30"/>
    <w:rsid w:val="00125707"/>
    <w:rsid w:val="00126619"/>
    <w:rsid w:val="00126D58"/>
    <w:rsid w:val="001313B6"/>
    <w:rsid w:val="00131552"/>
    <w:rsid w:val="001340C6"/>
    <w:rsid w:val="00134706"/>
    <w:rsid w:val="00135AF9"/>
    <w:rsid w:val="00136143"/>
    <w:rsid w:val="00143B16"/>
    <w:rsid w:val="00146989"/>
    <w:rsid w:val="001469CC"/>
    <w:rsid w:val="00150C66"/>
    <w:rsid w:val="00150F74"/>
    <w:rsid w:val="00153DD6"/>
    <w:rsid w:val="00153ED3"/>
    <w:rsid w:val="00154252"/>
    <w:rsid w:val="00161F27"/>
    <w:rsid w:val="00163675"/>
    <w:rsid w:val="00167386"/>
    <w:rsid w:val="00172A27"/>
    <w:rsid w:val="0017512B"/>
    <w:rsid w:val="00175F80"/>
    <w:rsid w:val="001826DE"/>
    <w:rsid w:val="00182B96"/>
    <w:rsid w:val="00184357"/>
    <w:rsid w:val="001854E9"/>
    <w:rsid w:val="00185A07"/>
    <w:rsid w:val="0018609B"/>
    <w:rsid w:val="00187806"/>
    <w:rsid w:val="00187DAB"/>
    <w:rsid w:val="00187E34"/>
    <w:rsid w:val="001918A7"/>
    <w:rsid w:val="00194C80"/>
    <w:rsid w:val="0019510A"/>
    <w:rsid w:val="00195EDD"/>
    <w:rsid w:val="001A168D"/>
    <w:rsid w:val="001A4313"/>
    <w:rsid w:val="001A454D"/>
    <w:rsid w:val="001B0AFD"/>
    <w:rsid w:val="001B1766"/>
    <w:rsid w:val="001B1A48"/>
    <w:rsid w:val="001C1C09"/>
    <w:rsid w:val="001C273F"/>
    <w:rsid w:val="001D23F8"/>
    <w:rsid w:val="001D4EAE"/>
    <w:rsid w:val="001E1D10"/>
    <w:rsid w:val="001E2E76"/>
    <w:rsid w:val="001F072F"/>
    <w:rsid w:val="001F0A18"/>
    <w:rsid w:val="001F1929"/>
    <w:rsid w:val="001F26C3"/>
    <w:rsid w:val="001F29D8"/>
    <w:rsid w:val="001F30E9"/>
    <w:rsid w:val="001F338C"/>
    <w:rsid w:val="001F3458"/>
    <w:rsid w:val="002009F8"/>
    <w:rsid w:val="00201D54"/>
    <w:rsid w:val="00203D9B"/>
    <w:rsid w:val="0020440C"/>
    <w:rsid w:val="00210ACF"/>
    <w:rsid w:val="00212419"/>
    <w:rsid w:val="00213FC0"/>
    <w:rsid w:val="00222C8D"/>
    <w:rsid w:val="0022316C"/>
    <w:rsid w:val="00223502"/>
    <w:rsid w:val="00223791"/>
    <w:rsid w:val="00226A1F"/>
    <w:rsid w:val="00230B07"/>
    <w:rsid w:val="00232E12"/>
    <w:rsid w:val="002352A4"/>
    <w:rsid w:val="002364F0"/>
    <w:rsid w:val="0024212E"/>
    <w:rsid w:val="002438D3"/>
    <w:rsid w:val="002439B6"/>
    <w:rsid w:val="00245793"/>
    <w:rsid w:val="002458B2"/>
    <w:rsid w:val="0024711D"/>
    <w:rsid w:val="00251B48"/>
    <w:rsid w:val="00252976"/>
    <w:rsid w:val="002535D9"/>
    <w:rsid w:val="002558D2"/>
    <w:rsid w:val="002561EB"/>
    <w:rsid w:val="00256EBD"/>
    <w:rsid w:val="002608BC"/>
    <w:rsid w:val="00266081"/>
    <w:rsid w:val="00267920"/>
    <w:rsid w:val="002710A7"/>
    <w:rsid w:val="00272E74"/>
    <w:rsid w:val="002743E7"/>
    <w:rsid w:val="002746C7"/>
    <w:rsid w:val="00274D8E"/>
    <w:rsid w:val="00275EC7"/>
    <w:rsid w:val="00277558"/>
    <w:rsid w:val="00282994"/>
    <w:rsid w:val="00286B05"/>
    <w:rsid w:val="00286CEC"/>
    <w:rsid w:val="0028788E"/>
    <w:rsid w:val="002904FC"/>
    <w:rsid w:val="00290A50"/>
    <w:rsid w:val="00291059"/>
    <w:rsid w:val="00294554"/>
    <w:rsid w:val="00296D93"/>
    <w:rsid w:val="0029777A"/>
    <w:rsid w:val="002A1195"/>
    <w:rsid w:val="002A52D0"/>
    <w:rsid w:val="002A6CF1"/>
    <w:rsid w:val="002A6F41"/>
    <w:rsid w:val="002A725B"/>
    <w:rsid w:val="002A7D95"/>
    <w:rsid w:val="002B1D2A"/>
    <w:rsid w:val="002B372E"/>
    <w:rsid w:val="002B658C"/>
    <w:rsid w:val="002B6F77"/>
    <w:rsid w:val="002B7638"/>
    <w:rsid w:val="002C06B4"/>
    <w:rsid w:val="002C13E6"/>
    <w:rsid w:val="002C3520"/>
    <w:rsid w:val="002C35D8"/>
    <w:rsid w:val="002C46E9"/>
    <w:rsid w:val="002C48CD"/>
    <w:rsid w:val="002C620C"/>
    <w:rsid w:val="002C622A"/>
    <w:rsid w:val="002C6E6C"/>
    <w:rsid w:val="002C78B3"/>
    <w:rsid w:val="002D0E6F"/>
    <w:rsid w:val="002D1000"/>
    <w:rsid w:val="002D69B4"/>
    <w:rsid w:val="002E127B"/>
    <w:rsid w:val="002E2069"/>
    <w:rsid w:val="002E2992"/>
    <w:rsid w:val="002E4B01"/>
    <w:rsid w:val="002E7846"/>
    <w:rsid w:val="002E7CAB"/>
    <w:rsid w:val="002F4230"/>
    <w:rsid w:val="002F4398"/>
    <w:rsid w:val="002F5A32"/>
    <w:rsid w:val="00301A0E"/>
    <w:rsid w:val="00301FCA"/>
    <w:rsid w:val="00303782"/>
    <w:rsid w:val="00303BA3"/>
    <w:rsid w:val="00303CFF"/>
    <w:rsid w:val="003058A6"/>
    <w:rsid w:val="0031034B"/>
    <w:rsid w:val="00310CC2"/>
    <w:rsid w:val="00312BAA"/>
    <w:rsid w:val="00312E9A"/>
    <w:rsid w:val="00314549"/>
    <w:rsid w:val="00315C84"/>
    <w:rsid w:val="003172E1"/>
    <w:rsid w:val="00317EEC"/>
    <w:rsid w:val="003240F9"/>
    <w:rsid w:val="00330A50"/>
    <w:rsid w:val="003318DE"/>
    <w:rsid w:val="00332FEF"/>
    <w:rsid w:val="003423C6"/>
    <w:rsid w:val="003427C4"/>
    <w:rsid w:val="00342C34"/>
    <w:rsid w:val="00343418"/>
    <w:rsid w:val="0034408A"/>
    <w:rsid w:val="0034675D"/>
    <w:rsid w:val="00352E8A"/>
    <w:rsid w:val="003545C9"/>
    <w:rsid w:val="00355845"/>
    <w:rsid w:val="00355E60"/>
    <w:rsid w:val="00362679"/>
    <w:rsid w:val="00362FA3"/>
    <w:rsid w:val="00364CA1"/>
    <w:rsid w:val="003663AA"/>
    <w:rsid w:val="00366E3E"/>
    <w:rsid w:val="0036790D"/>
    <w:rsid w:val="00375076"/>
    <w:rsid w:val="00383711"/>
    <w:rsid w:val="003849DA"/>
    <w:rsid w:val="00385FC7"/>
    <w:rsid w:val="00387316"/>
    <w:rsid w:val="003933F8"/>
    <w:rsid w:val="003A09A0"/>
    <w:rsid w:val="003A0A93"/>
    <w:rsid w:val="003A6254"/>
    <w:rsid w:val="003A645D"/>
    <w:rsid w:val="003A671A"/>
    <w:rsid w:val="003B04A1"/>
    <w:rsid w:val="003B5555"/>
    <w:rsid w:val="003B5FC1"/>
    <w:rsid w:val="003B6B31"/>
    <w:rsid w:val="003C36CB"/>
    <w:rsid w:val="003C3873"/>
    <w:rsid w:val="003C4293"/>
    <w:rsid w:val="003C6BA1"/>
    <w:rsid w:val="003D09C5"/>
    <w:rsid w:val="003D1BA5"/>
    <w:rsid w:val="003D4B31"/>
    <w:rsid w:val="003D6DD6"/>
    <w:rsid w:val="003E2520"/>
    <w:rsid w:val="003E2D7A"/>
    <w:rsid w:val="003E701F"/>
    <w:rsid w:val="003F3D22"/>
    <w:rsid w:val="003F5853"/>
    <w:rsid w:val="003F7A40"/>
    <w:rsid w:val="00402994"/>
    <w:rsid w:val="00403443"/>
    <w:rsid w:val="00404534"/>
    <w:rsid w:val="004054D6"/>
    <w:rsid w:val="00406392"/>
    <w:rsid w:val="00407D82"/>
    <w:rsid w:val="00414039"/>
    <w:rsid w:val="00417F91"/>
    <w:rsid w:val="0042045D"/>
    <w:rsid w:val="00420C30"/>
    <w:rsid w:val="00421BE1"/>
    <w:rsid w:val="00422319"/>
    <w:rsid w:val="00426917"/>
    <w:rsid w:val="00426B7E"/>
    <w:rsid w:val="00426F73"/>
    <w:rsid w:val="0043166A"/>
    <w:rsid w:val="004318C3"/>
    <w:rsid w:val="00432C0C"/>
    <w:rsid w:val="00434857"/>
    <w:rsid w:val="00436D01"/>
    <w:rsid w:val="004405F1"/>
    <w:rsid w:val="00444C35"/>
    <w:rsid w:val="00446333"/>
    <w:rsid w:val="00460467"/>
    <w:rsid w:val="004606AC"/>
    <w:rsid w:val="00460C8F"/>
    <w:rsid w:val="00461283"/>
    <w:rsid w:val="00465D29"/>
    <w:rsid w:val="00471F5F"/>
    <w:rsid w:val="00472E0A"/>
    <w:rsid w:val="00476604"/>
    <w:rsid w:val="00476D6A"/>
    <w:rsid w:val="00480A45"/>
    <w:rsid w:val="00481550"/>
    <w:rsid w:val="00483514"/>
    <w:rsid w:val="00483709"/>
    <w:rsid w:val="00483901"/>
    <w:rsid w:val="00490D19"/>
    <w:rsid w:val="00494476"/>
    <w:rsid w:val="004964A0"/>
    <w:rsid w:val="0049672A"/>
    <w:rsid w:val="00497423"/>
    <w:rsid w:val="004A0056"/>
    <w:rsid w:val="004A0881"/>
    <w:rsid w:val="004A0F2F"/>
    <w:rsid w:val="004A175B"/>
    <w:rsid w:val="004A1D68"/>
    <w:rsid w:val="004A1E2E"/>
    <w:rsid w:val="004A261E"/>
    <w:rsid w:val="004B1970"/>
    <w:rsid w:val="004B1D9A"/>
    <w:rsid w:val="004B2251"/>
    <w:rsid w:val="004B77DF"/>
    <w:rsid w:val="004C0D5E"/>
    <w:rsid w:val="004C3DB2"/>
    <w:rsid w:val="004C461D"/>
    <w:rsid w:val="004C7670"/>
    <w:rsid w:val="004D3FC9"/>
    <w:rsid w:val="004D7919"/>
    <w:rsid w:val="004E0539"/>
    <w:rsid w:val="004E0A02"/>
    <w:rsid w:val="004E1CE7"/>
    <w:rsid w:val="004E26E1"/>
    <w:rsid w:val="004E46DD"/>
    <w:rsid w:val="004E513A"/>
    <w:rsid w:val="004E7A8C"/>
    <w:rsid w:val="004F180C"/>
    <w:rsid w:val="004F1B4C"/>
    <w:rsid w:val="004F444A"/>
    <w:rsid w:val="004F4BF2"/>
    <w:rsid w:val="004F6488"/>
    <w:rsid w:val="004F6625"/>
    <w:rsid w:val="00500C89"/>
    <w:rsid w:val="00501B8E"/>
    <w:rsid w:val="00506253"/>
    <w:rsid w:val="00506931"/>
    <w:rsid w:val="005103B7"/>
    <w:rsid w:val="00510AF7"/>
    <w:rsid w:val="005235DC"/>
    <w:rsid w:val="00524F88"/>
    <w:rsid w:val="00525304"/>
    <w:rsid w:val="0052666B"/>
    <w:rsid w:val="005328F4"/>
    <w:rsid w:val="005355D7"/>
    <w:rsid w:val="005359EE"/>
    <w:rsid w:val="00536288"/>
    <w:rsid w:val="0053699E"/>
    <w:rsid w:val="005369EE"/>
    <w:rsid w:val="00541678"/>
    <w:rsid w:val="00546738"/>
    <w:rsid w:val="005507F5"/>
    <w:rsid w:val="0055674B"/>
    <w:rsid w:val="00560DCC"/>
    <w:rsid w:val="00562036"/>
    <w:rsid w:val="00562FF7"/>
    <w:rsid w:val="00564816"/>
    <w:rsid w:val="00565156"/>
    <w:rsid w:val="0056625F"/>
    <w:rsid w:val="00566DE8"/>
    <w:rsid w:val="00567C72"/>
    <w:rsid w:val="00572867"/>
    <w:rsid w:val="00573F91"/>
    <w:rsid w:val="00574B81"/>
    <w:rsid w:val="00575277"/>
    <w:rsid w:val="00575DEF"/>
    <w:rsid w:val="00583D11"/>
    <w:rsid w:val="00586A9D"/>
    <w:rsid w:val="00591907"/>
    <w:rsid w:val="00592FD7"/>
    <w:rsid w:val="005A075E"/>
    <w:rsid w:val="005A48AD"/>
    <w:rsid w:val="005A4F71"/>
    <w:rsid w:val="005A63AA"/>
    <w:rsid w:val="005A7110"/>
    <w:rsid w:val="005A7D41"/>
    <w:rsid w:val="005B18C2"/>
    <w:rsid w:val="005B2905"/>
    <w:rsid w:val="005B46EB"/>
    <w:rsid w:val="005B6EA7"/>
    <w:rsid w:val="005C5E9C"/>
    <w:rsid w:val="005D0B2E"/>
    <w:rsid w:val="005D74DF"/>
    <w:rsid w:val="005E20E6"/>
    <w:rsid w:val="005F25E6"/>
    <w:rsid w:val="00601E55"/>
    <w:rsid w:val="006025CA"/>
    <w:rsid w:val="00604993"/>
    <w:rsid w:val="00606964"/>
    <w:rsid w:val="00606ED9"/>
    <w:rsid w:val="00607085"/>
    <w:rsid w:val="00607558"/>
    <w:rsid w:val="00607575"/>
    <w:rsid w:val="0061488B"/>
    <w:rsid w:val="006229B1"/>
    <w:rsid w:val="006245C8"/>
    <w:rsid w:val="006317FF"/>
    <w:rsid w:val="00631C70"/>
    <w:rsid w:val="00631D9D"/>
    <w:rsid w:val="0063211F"/>
    <w:rsid w:val="006349C1"/>
    <w:rsid w:val="00634A6B"/>
    <w:rsid w:val="0063643D"/>
    <w:rsid w:val="00636E4B"/>
    <w:rsid w:val="0064522A"/>
    <w:rsid w:val="00646426"/>
    <w:rsid w:val="00646CCD"/>
    <w:rsid w:val="0065356E"/>
    <w:rsid w:val="0065359A"/>
    <w:rsid w:val="00654F9F"/>
    <w:rsid w:val="00655664"/>
    <w:rsid w:val="006558D8"/>
    <w:rsid w:val="00655917"/>
    <w:rsid w:val="00657D22"/>
    <w:rsid w:val="006634F2"/>
    <w:rsid w:val="006637CC"/>
    <w:rsid w:val="00666FDD"/>
    <w:rsid w:val="00667641"/>
    <w:rsid w:val="0066791D"/>
    <w:rsid w:val="00667DF0"/>
    <w:rsid w:val="00670299"/>
    <w:rsid w:val="00673AE1"/>
    <w:rsid w:val="00674EC4"/>
    <w:rsid w:val="00676771"/>
    <w:rsid w:val="0068045A"/>
    <w:rsid w:val="00690558"/>
    <w:rsid w:val="006A3F3F"/>
    <w:rsid w:val="006A772B"/>
    <w:rsid w:val="006B0FC9"/>
    <w:rsid w:val="006B2930"/>
    <w:rsid w:val="006B2AE1"/>
    <w:rsid w:val="006B4D4F"/>
    <w:rsid w:val="006B6474"/>
    <w:rsid w:val="006C0178"/>
    <w:rsid w:val="006C10F1"/>
    <w:rsid w:val="006C166B"/>
    <w:rsid w:val="006C18B8"/>
    <w:rsid w:val="006C2682"/>
    <w:rsid w:val="006C48F1"/>
    <w:rsid w:val="006D290F"/>
    <w:rsid w:val="006D56A2"/>
    <w:rsid w:val="006D621D"/>
    <w:rsid w:val="006D6297"/>
    <w:rsid w:val="006D651A"/>
    <w:rsid w:val="006E27D6"/>
    <w:rsid w:val="006E2F84"/>
    <w:rsid w:val="006E65D0"/>
    <w:rsid w:val="006E7AB2"/>
    <w:rsid w:val="006F051E"/>
    <w:rsid w:val="006F0945"/>
    <w:rsid w:val="006F6E60"/>
    <w:rsid w:val="007003AA"/>
    <w:rsid w:val="0070174E"/>
    <w:rsid w:val="00703610"/>
    <w:rsid w:val="00706022"/>
    <w:rsid w:val="007060E6"/>
    <w:rsid w:val="0070690A"/>
    <w:rsid w:val="0071148D"/>
    <w:rsid w:val="007118C3"/>
    <w:rsid w:val="0071301D"/>
    <w:rsid w:val="00713477"/>
    <w:rsid w:val="00716622"/>
    <w:rsid w:val="00720153"/>
    <w:rsid w:val="0072272D"/>
    <w:rsid w:val="00723814"/>
    <w:rsid w:val="00723E2A"/>
    <w:rsid w:val="00724D12"/>
    <w:rsid w:val="00727EE1"/>
    <w:rsid w:val="00731A9A"/>
    <w:rsid w:val="0073278C"/>
    <w:rsid w:val="00735C34"/>
    <w:rsid w:val="00736C41"/>
    <w:rsid w:val="00740295"/>
    <w:rsid w:val="00741D64"/>
    <w:rsid w:val="00747569"/>
    <w:rsid w:val="007505EB"/>
    <w:rsid w:val="00754B8A"/>
    <w:rsid w:val="007565A2"/>
    <w:rsid w:val="00756F22"/>
    <w:rsid w:val="00757C6B"/>
    <w:rsid w:val="00762537"/>
    <w:rsid w:val="007632A5"/>
    <w:rsid w:val="0076375C"/>
    <w:rsid w:val="00763BAB"/>
    <w:rsid w:val="007647E7"/>
    <w:rsid w:val="00770246"/>
    <w:rsid w:val="00770AE4"/>
    <w:rsid w:val="00770B7C"/>
    <w:rsid w:val="0077170E"/>
    <w:rsid w:val="007765B5"/>
    <w:rsid w:val="00776A7A"/>
    <w:rsid w:val="00781615"/>
    <w:rsid w:val="007843FA"/>
    <w:rsid w:val="007856F4"/>
    <w:rsid w:val="007879DB"/>
    <w:rsid w:val="00790857"/>
    <w:rsid w:val="00790DE7"/>
    <w:rsid w:val="00792252"/>
    <w:rsid w:val="0079267D"/>
    <w:rsid w:val="00792D3B"/>
    <w:rsid w:val="007944EF"/>
    <w:rsid w:val="0079485B"/>
    <w:rsid w:val="00796365"/>
    <w:rsid w:val="007968A0"/>
    <w:rsid w:val="007A164C"/>
    <w:rsid w:val="007A23CC"/>
    <w:rsid w:val="007A3C24"/>
    <w:rsid w:val="007A66FC"/>
    <w:rsid w:val="007A7E78"/>
    <w:rsid w:val="007B1AA9"/>
    <w:rsid w:val="007B2BC3"/>
    <w:rsid w:val="007B37CD"/>
    <w:rsid w:val="007B6311"/>
    <w:rsid w:val="007B653C"/>
    <w:rsid w:val="007B6F9A"/>
    <w:rsid w:val="007B73DA"/>
    <w:rsid w:val="007C0861"/>
    <w:rsid w:val="007C08F9"/>
    <w:rsid w:val="007C0D0C"/>
    <w:rsid w:val="007C1D01"/>
    <w:rsid w:val="007C4A2F"/>
    <w:rsid w:val="007C5174"/>
    <w:rsid w:val="007C694A"/>
    <w:rsid w:val="007C7658"/>
    <w:rsid w:val="007C79C9"/>
    <w:rsid w:val="007D11AB"/>
    <w:rsid w:val="007D29E6"/>
    <w:rsid w:val="007D442B"/>
    <w:rsid w:val="007D4538"/>
    <w:rsid w:val="007D4906"/>
    <w:rsid w:val="007D5F9E"/>
    <w:rsid w:val="007D6F38"/>
    <w:rsid w:val="007D7C44"/>
    <w:rsid w:val="007D7EA5"/>
    <w:rsid w:val="007E43A1"/>
    <w:rsid w:val="007E4CA7"/>
    <w:rsid w:val="007E5B6F"/>
    <w:rsid w:val="007E5C6B"/>
    <w:rsid w:val="007E7AA7"/>
    <w:rsid w:val="007F2DAF"/>
    <w:rsid w:val="007F671D"/>
    <w:rsid w:val="0080159F"/>
    <w:rsid w:val="008018B1"/>
    <w:rsid w:val="00802DC7"/>
    <w:rsid w:val="00803F15"/>
    <w:rsid w:val="00804B45"/>
    <w:rsid w:val="00806ADF"/>
    <w:rsid w:val="008110AF"/>
    <w:rsid w:val="00811ED5"/>
    <w:rsid w:val="00814441"/>
    <w:rsid w:val="00820891"/>
    <w:rsid w:val="00822E7D"/>
    <w:rsid w:val="00830AAB"/>
    <w:rsid w:val="00833A3C"/>
    <w:rsid w:val="00836731"/>
    <w:rsid w:val="00837904"/>
    <w:rsid w:val="00837E8E"/>
    <w:rsid w:val="00842800"/>
    <w:rsid w:val="00842825"/>
    <w:rsid w:val="008448D4"/>
    <w:rsid w:val="00847D8D"/>
    <w:rsid w:val="00851CC0"/>
    <w:rsid w:val="00852158"/>
    <w:rsid w:val="0085292F"/>
    <w:rsid w:val="00854555"/>
    <w:rsid w:val="00855224"/>
    <w:rsid w:val="00856088"/>
    <w:rsid w:val="00856F8A"/>
    <w:rsid w:val="00857C58"/>
    <w:rsid w:val="00861EC5"/>
    <w:rsid w:val="00863907"/>
    <w:rsid w:val="00865952"/>
    <w:rsid w:val="00870AA2"/>
    <w:rsid w:val="008714F0"/>
    <w:rsid w:val="00872E25"/>
    <w:rsid w:val="008745AE"/>
    <w:rsid w:val="00874B27"/>
    <w:rsid w:val="00876507"/>
    <w:rsid w:val="008800C3"/>
    <w:rsid w:val="0088182D"/>
    <w:rsid w:val="00881D02"/>
    <w:rsid w:val="00882844"/>
    <w:rsid w:val="008866CD"/>
    <w:rsid w:val="00890F40"/>
    <w:rsid w:val="00891037"/>
    <w:rsid w:val="00893261"/>
    <w:rsid w:val="0089480B"/>
    <w:rsid w:val="00894F57"/>
    <w:rsid w:val="008961C9"/>
    <w:rsid w:val="00897AAA"/>
    <w:rsid w:val="008A104F"/>
    <w:rsid w:val="008A3B09"/>
    <w:rsid w:val="008A4599"/>
    <w:rsid w:val="008A59AE"/>
    <w:rsid w:val="008A6A4A"/>
    <w:rsid w:val="008A75BD"/>
    <w:rsid w:val="008A7D91"/>
    <w:rsid w:val="008B1C12"/>
    <w:rsid w:val="008B3C7C"/>
    <w:rsid w:val="008B3E72"/>
    <w:rsid w:val="008B4974"/>
    <w:rsid w:val="008B6B40"/>
    <w:rsid w:val="008B7296"/>
    <w:rsid w:val="008C0CC1"/>
    <w:rsid w:val="008C1298"/>
    <w:rsid w:val="008C29BA"/>
    <w:rsid w:val="008C4FC5"/>
    <w:rsid w:val="008C647C"/>
    <w:rsid w:val="008C6D6C"/>
    <w:rsid w:val="008D0E67"/>
    <w:rsid w:val="008D199A"/>
    <w:rsid w:val="008D1ABE"/>
    <w:rsid w:val="008D2C35"/>
    <w:rsid w:val="008E345B"/>
    <w:rsid w:val="008E544E"/>
    <w:rsid w:val="008F1145"/>
    <w:rsid w:val="008F2F2D"/>
    <w:rsid w:val="008F770D"/>
    <w:rsid w:val="00902434"/>
    <w:rsid w:val="00903254"/>
    <w:rsid w:val="009052E8"/>
    <w:rsid w:val="00907D99"/>
    <w:rsid w:val="00907EAA"/>
    <w:rsid w:val="00913354"/>
    <w:rsid w:val="00913717"/>
    <w:rsid w:val="00913968"/>
    <w:rsid w:val="00913C43"/>
    <w:rsid w:val="0091625E"/>
    <w:rsid w:val="00916C10"/>
    <w:rsid w:val="00917343"/>
    <w:rsid w:val="00917651"/>
    <w:rsid w:val="00917C13"/>
    <w:rsid w:val="00922BBD"/>
    <w:rsid w:val="0092405F"/>
    <w:rsid w:val="00925F07"/>
    <w:rsid w:val="009261D6"/>
    <w:rsid w:val="009271B7"/>
    <w:rsid w:val="00933AA1"/>
    <w:rsid w:val="009376B1"/>
    <w:rsid w:val="00941259"/>
    <w:rsid w:val="00946AE0"/>
    <w:rsid w:val="00950A9D"/>
    <w:rsid w:val="00952279"/>
    <w:rsid w:val="009523B3"/>
    <w:rsid w:val="00953576"/>
    <w:rsid w:val="009567FD"/>
    <w:rsid w:val="0095748D"/>
    <w:rsid w:val="00961964"/>
    <w:rsid w:val="00961F90"/>
    <w:rsid w:val="009634BE"/>
    <w:rsid w:val="00963D65"/>
    <w:rsid w:val="00965DE5"/>
    <w:rsid w:val="00967964"/>
    <w:rsid w:val="00970147"/>
    <w:rsid w:val="00972B04"/>
    <w:rsid w:val="0097401C"/>
    <w:rsid w:val="009754DA"/>
    <w:rsid w:val="00980E58"/>
    <w:rsid w:val="00981221"/>
    <w:rsid w:val="00981390"/>
    <w:rsid w:val="00981B22"/>
    <w:rsid w:val="00982EAC"/>
    <w:rsid w:val="00985123"/>
    <w:rsid w:val="00985941"/>
    <w:rsid w:val="0098630F"/>
    <w:rsid w:val="009873BC"/>
    <w:rsid w:val="00987448"/>
    <w:rsid w:val="0098751E"/>
    <w:rsid w:val="00990E86"/>
    <w:rsid w:val="00991EE8"/>
    <w:rsid w:val="00992BB2"/>
    <w:rsid w:val="00993F70"/>
    <w:rsid w:val="00995F3D"/>
    <w:rsid w:val="009A15A8"/>
    <w:rsid w:val="009A4F31"/>
    <w:rsid w:val="009A6D66"/>
    <w:rsid w:val="009B1D05"/>
    <w:rsid w:val="009B1D26"/>
    <w:rsid w:val="009B231A"/>
    <w:rsid w:val="009B4570"/>
    <w:rsid w:val="009B4A6F"/>
    <w:rsid w:val="009C1035"/>
    <w:rsid w:val="009C2859"/>
    <w:rsid w:val="009C4511"/>
    <w:rsid w:val="009D0BA4"/>
    <w:rsid w:val="009D1159"/>
    <w:rsid w:val="009D2905"/>
    <w:rsid w:val="009D2E11"/>
    <w:rsid w:val="009D66F5"/>
    <w:rsid w:val="009E2F94"/>
    <w:rsid w:val="009E5E3E"/>
    <w:rsid w:val="009E66A0"/>
    <w:rsid w:val="009E74F7"/>
    <w:rsid w:val="009E75D5"/>
    <w:rsid w:val="009E7A56"/>
    <w:rsid w:val="009F060E"/>
    <w:rsid w:val="009F0A44"/>
    <w:rsid w:val="009F0C3B"/>
    <w:rsid w:val="009F12D6"/>
    <w:rsid w:val="009F1D78"/>
    <w:rsid w:val="009F2B68"/>
    <w:rsid w:val="009F5542"/>
    <w:rsid w:val="009F72FD"/>
    <w:rsid w:val="00A00084"/>
    <w:rsid w:val="00A0071D"/>
    <w:rsid w:val="00A020C8"/>
    <w:rsid w:val="00A02187"/>
    <w:rsid w:val="00A05327"/>
    <w:rsid w:val="00A12746"/>
    <w:rsid w:val="00A14249"/>
    <w:rsid w:val="00A143E8"/>
    <w:rsid w:val="00A157FA"/>
    <w:rsid w:val="00A16152"/>
    <w:rsid w:val="00A177AE"/>
    <w:rsid w:val="00A17DD7"/>
    <w:rsid w:val="00A204F5"/>
    <w:rsid w:val="00A20B9E"/>
    <w:rsid w:val="00A21444"/>
    <w:rsid w:val="00A22F69"/>
    <w:rsid w:val="00A23166"/>
    <w:rsid w:val="00A233F1"/>
    <w:rsid w:val="00A236B7"/>
    <w:rsid w:val="00A2543F"/>
    <w:rsid w:val="00A3319D"/>
    <w:rsid w:val="00A338DC"/>
    <w:rsid w:val="00A34209"/>
    <w:rsid w:val="00A34A4B"/>
    <w:rsid w:val="00A406E5"/>
    <w:rsid w:val="00A429D4"/>
    <w:rsid w:val="00A4333F"/>
    <w:rsid w:val="00A43F2F"/>
    <w:rsid w:val="00A50531"/>
    <w:rsid w:val="00A52534"/>
    <w:rsid w:val="00A533F5"/>
    <w:rsid w:val="00A5666E"/>
    <w:rsid w:val="00A60FE1"/>
    <w:rsid w:val="00A6267C"/>
    <w:rsid w:val="00A62A51"/>
    <w:rsid w:val="00A62A79"/>
    <w:rsid w:val="00A63E8F"/>
    <w:rsid w:val="00A64E66"/>
    <w:rsid w:val="00A650CE"/>
    <w:rsid w:val="00A651EF"/>
    <w:rsid w:val="00A7047D"/>
    <w:rsid w:val="00A705AF"/>
    <w:rsid w:val="00A71CE2"/>
    <w:rsid w:val="00A72E2F"/>
    <w:rsid w:val="00A735BB"/>
    <w:rsid w:val="00A7380B"/>
    <w:rsid w:val="00A74607"/>
    <w:rsid w:val="00A810E4"/>
    <w:rsid w:val="00A822FB"/>
    <w:rsid w:val="00A83867"/>
    <w:rsid w:val="00A87902"/>
    <w:rsid w:val="00A87E1F"/>
    <w:rsid w:val="00A922DD"/>
    <w:rsid w:val="00A92F96"/>
    <w:rsid w:val="00A93746"/>
    <w:rsid w:val="00A93AE9"/>
    <w:rsid w:val="00A94D71"/>
    <w:rsid w:val="00A95CF8"/>
    <w:rsid w:val="00A96CBD"/>
    <w:rsid w:val="00A978A1"/>
    <w:rsid w:val="00AA06F5"/>
    <w:rsid w:val="00AA1B27"/>
    <w:rsid w:val="00AA2BFA"/>
    <w:rsid w:val="00AA3AA8"/>
    <w:rsid w:val="00AA42AE"/>
    <w:rsid w:val="00AB1089"/>
    <w:rsid w:val="00AB22DE"/>
    <w:rsid w:val="00AB2478"/>
    <w:rsid w:val="00AB41E2"/>
    <w:rsid w:val="00AB5D41"/>
    <w:rsid w:val="00AC0CA7"/>
    <w:rsid w:val="00AC3183"/>
    <w:rsid w:val="00AC3590"/>
    <w:rsid w:val="00AC70C9"/>
    <w:rsid w:val="00AD5707"/>
    <w:rsid w:val="00AD5A12"/>
    <w:rsid w:val="00AD73A0"/>
    <w:rsid w:val="00AE1E9D"/>
    <w:rsid w:val="00AE2279"/>
    <w:rsid w:val="00AE276F"/>
    <w:rsid w:val="00AE386F"/>
    <w:rsid w:val="00AE3A97"/>
    <w:rsid w:val="00AE5E22"/>
    <w:rsid w:val="00AE6BF3"/>
    <w:rsid w:val="00AE78B9"/>
    <w:rsid w:val="00AF0168"/>
    <w:rsid w:val="00AF6892"/>
    <w:rsid w:val="00AF719F"/>
    <w:rsid w:val="00B0276F"/>
    <w:rsid w:val="00B054CC"/>
    <w:rsid w:val="00B05515"/>
    <w:rsid w:val="00B055A0"/>
    <w:rsid w:val="00B07543"/>
    <w:rsid w:val="00B10322"/>
    <w:rsid w:val="00B115B3"/>
    <w:rsid w:val="00B1431B"/>
    <w:rsid w:val="00B220B4"/>
    <w:rsid w:val="00B23828"/>
    <w:rsid w:val="00B247EC"/>
    <w:rsid w:val="00B272BD"/>
    <w:rsid w:val="00B34143"/>
    <w:rsid w:val="00B34550"/>
    <w:rsid w:val="00B35A17"/>
    <w:rsid w:val="00B3601C"/>
    <w:rsid w:val="00B367B2"/>
    <w:rsid w:val="00B42DA8"/>
    <w:rsid w:val="00B45045"/>
    <w:rsid w:val="00B4789F"/>
    <w:rsid w:val="00B50A51"/>
    <w:rsid w:val="00B5161B"/>
    <w:rsid w:val="00B527A2"/>
    <w:rsid w:val="00B55FDD"/>
    <w:rsid w:val="00B56DB9"/>
    <w:rsid w:val="00B623D3"/>
    <w:rsid w:val="00B641E2"/>
    <w:rsid w:val="00B665C8"/>
    <w:rsid w:val="00B67252"/>
    <w:rsid w:val="00B70A5A"/>
    <w:rsid w:val="00B713A2"/>
    <w:rsid w:val="00B74DFF"/>
    <w:rsid w:val="00B76BA3"/>
    <w:rsid w:val="00B775D3"/>
    <w:rsid w:val="00B80CDC"/>
    <w:rsid w:val="00B81770"/>
    <w:rsid w:val="00B82D85"/>
    <w:rsid w:val="00B84E65"/>
    <w:rsid w:val="00B85A7D"/>
    <w:rsid w:val="00B87BF5"/>
    <w:rsid w:val="00B9137D"/>
    <w:rsid w:val="00B94024"/>
    <w:rsid w:val="00B96CEB"/>
    <w:rsid w:val="00BA1469"/>
    <w:rsid w:val="00BB1294"/>
    <w:rsid w:val="00BB1BB0"/>
    <w:rsid w:val="00BB257B"/>
    <w:rsid w:val="00BB2852"/>
    <w:rsid w:val="00BB5842"/>
    <w:rsid w:val="00BB6E7C"/>
    <w:rsid w:val="00BB7625"/>
    <w:rsid w:val="00BC0E58"/>
    <w:rsid w:val="00BC37B4"/>
    <w:rsid w:val="00BC4EEB"/>
    <w:rsid w:val="00BC6220"/>
    <w:rsid w:val="00BC7213"/>
    <w:rsid w:val="00BD0365"/>
    <w:rsid w:val="00BD1359"/>
    <w:rsid w:val="00BD2324"/>
    <w:rsid w:val="00BE37FE"/>
    <w:rsid w:val="00BE6CD2"/>
    <w:rsid w:val="00C003F4"/>
    <w:rsid w:val="00C01938"/>
    <w:rsid w:val="00C02090"/>
    <w:rsid w:val="00C06B1B"/>
    <w:rsid w:val="00C06CAE"/>
    <w:rsid w:val="00C10B3E"/>
    <w:rsid w:val="00C14D8C"/>
    <w:rsid w:val="00C17A36"/>
    <w:rsid w:val="00C219DE"/>
    <w:rsid w:val="00C22187"/>
    <w:rsid w:val="00C22FC1"/>
    <w:rsid w:val="00C24CAD"/>
    <w:rsid w:val="00C24D61"/>
    <w:rsid w:val="00C34E9B"/>
    <w:rsid w:val="00C3551B"/>
    <w:rsid w:val="00C35B1C"/>
    <w:rsid w:val="00C3788C"/>
    <w:rsid w:val="00C46839"/>
    <w:rsid w:val="00C502C0"/>
    <w:rsid w:val="00C50BEB"/>
    <w:rsid w:val="00C53104"/>
    <w:rsid w:val="00C53147"/>
    <w:rsid w:val="00C54322"/>
    <w:rsid w:val="00C55552"/>
    <w:rsid w:val="00C55B0C"/>
    <w:rsid w:val="00C56DCA"/>
    <w:rsid w:val="00C61F52"/>
    <w:rsid w:val="00C62577"/>
    <w:rsid w:val="00C65A5E"/>
    <w:rsid w:val="00C7034F"/>
    <w:rsid w:val="00C70DDB"/>
    <w:rsid w:val="00C73920"/>
    <w:rsid w:val="00C74897"/>
    <w:rsid w:val="00C766EB"/>
    <w:rsid w:val="00C80982"/>
    <w:rsid w:val="00C82355"/>
    <w:rsid w:val="00C82700"/>
    <w:rsid w:val="00C8280A"/>
    <w:rsid w:val="00C87096"/>
    <w:rsid w:val="00C906EA"/>
    <w:rsid w:val="00C90AC7"/>
    <w:rsid w:val="00C93F29"/>
    <w:rsid w:val="00C95485"/>
    <w:rsid w:val="00C97F3B"/>
    <w:rsid w:val="00CA21C9"/>
    <w:rsid w:val="00CB0CFD"/>
    <w:rsid w:val="00CB1C85"/>
    <w:rsid w:val="00CB37EF"/>
    <w:rsid w:val="00CB3EBD"/>
    <w:rsid w:val="00CB4E3C"/>
    <w:rsid w:val="00CB5782"/>
    <w:rsid w:val="00CB7F47"/>
    <w:rsid w:val="00CC2472"/>
    <w:rsid w:val="00CC2D40"/>
    <w:rsid w:val="00CC4165"/>
    <w:rsid w:val="00CD0A43"/>
    <w:rsid w:val="00CD249A"/>
    <w:rsid w:val="00CD30BD"/>
    <w:rsid w:val="00CD3158"/>
    <w:rsid w:val="00CD6473"/>
    <w:rsid w:val="00CE02DA"/>
    <w:rsid w:val="00CE0CEF"/>
    <w:rsid w:val="00CE1F1E"/>
    <w:rsid w:val="00CE219F"/>
    <w:rsid w:val="00CE4DE1"/>
    <w:rsid w:val="00CE5E6C"/>
    <w:rsid w:val="00CE68EC"/>
    <w:rsid w:val="00CE7A29"/>
    <w:rsid w:val="00CF0C02"/>
    <w:rsid w:val="00CF12CB"/>
    <w:rsid w:val="00CF63F2"/>
    <w:rsid w:val="00CF6592"/>
    <w:rsid w:val="00D00856"/>
    <w:rsid w:val="00D00D01"/>
    <w:rsid w:val="00D06588"/>
    <w:rsid w:val="00D10C1B"/>
    <w:rsid w:val="00D1360F"/>
    <w:rsid w:val="00D13AC8"/>
    <w:rsid w:val="00D1574A"/>
    <w:rsid w:val="00D159CC"/>
    <w:rsid w:val="00D2279A"/>
    <w:rsid w:val="00D242F5"/>
    <w:rsid w:val="00D246BD"/>
    <w:rsid w:val="00D2472F"/>
    <w:rsid w:val="00D24B2F"/>
    <w:rsid w:val="00D2510E"/>
    <w:rsid w:val="00D25376"/>
    <w:rsid w:val="00D31313"/>
    <w:rsid w:val="00D3228F"/>
    <w:rsid w:val="00D33028"/>
    <w:rsid w:val="00D3322B"/>
    <w:rsid w:val="00D36A3C"/>
    <w:rsid w:val="00D36F03"/>
    <w:rsid w:val="00D376FE"/>
    <w:rsid w:val="00D42554"/>
    <w:rsid w:val="00D436DC"/>
    <w:rsid w:val="00D43E10"/>
    <w:rsid w:val="00D45318"/>
    <w:rsid w:val="00D47303"/>
    <w:rsid w:val="00D51651"/>
    <w:rsid w:val="00D52C59"/>
    <w:rsid w:val="00D5385E"/>
    <w:rsid w:val="00D548E1"/>
    <w:rsid w:val="00D55FC0"/>
    <w:rsid w:val="00D56445"/>
    <w:rsid w:val="00D56CD6"/>
    <w:rsid w:val="00D6097B"/>
    <w:rsid w:val="00D6117D"/>
    <w:rsid w:val="00D61DF3"/>
    <w:rsid w:val="00D63F26"/>
    <w:rsid w:val="00D73120"/>
    <w:rsid w:val="00D731DB"/>
    <w:rsid w:val="00D7335C"/>
    <w:rsid w:val="00D73DE9"/>
    <w:rsid w:val="00D749D5"/>
    <w:rsid w:val="00D75EC3"/>
    <w:rsid w:val="00D84101"/>
    <w:rsid w:val="00D84EED"/>
    <w:rsid w:val="00D854E7"/>
    <w:rsid w:val="00D87F9A"/>
    <w:rsid w:val="00D91AA1"/>
    <w:rsid w:val="00D93A91"/>
    <w:rsid w:val="00D94E21"/>
    <w:rsid w:val="00D9612C"/>
    <w:rsid w:val="00D96508"/>
    <w:rsid w:val="00DA27E6"/>
    <w:rsid w:val="00DA29B9"/>
    <w:rsid w:val="00DA4679"/>
    <w:rsid w:val="00DA5B5F"/>
    <w:rsid w:val="00DA7146"/>
    <w:rsid w:val="00DA7741"/>
    <w:rsid w:val="00DA7966"/>
    <w:rsid w:val="00DB1DFF"/>
    <w:rsid w:val="00DB377A"/>
    <w:rsid w:val="00DB3B7F"/>
    <w:rsid w:val="00DB446B"/>
    <w:rsid w:val="00DB6F37"/>
    <w:rsid w:val="00DC0AAF"/>
    <w:rsid w:val="00DC1FCB"/>
    <w:rsid w:val="00DC1FD4"/>
    <w:rsid w:val="00DC25FC"/>
    <w:rsid w:val="00DC49EC"/>
    <w:rsid w:val="00DD091D"/>
    <w:rsid w:val="00DD1E8E"/>
    <w:rsid w:val="00DD320A"/>
    <w:rsid w:val="00DD371E"/>
    <w:rsid w:val="00DD3730"/>
    <w:rsid w:val="00DD4311"/>
    <w:rsid w:val="00DE4421"/>
    <w:rsid w:val="00DE5105"/>
    <w:rsid w:val="00DE5CB0"/>
    <w:rsid w:val="00DE607E"/>
    <w:rsid w:val="00DE6153"/>
    <w:rsid w:val="00DE62AA"/>
    <w:rsid w:val="00DF2659"/>
    <w:rsid w:val="00DF3258"/>
    <w:rsid w:val="00DF5650"/>
    <w:rsid w:val="00DF57EE"/>
    <w:rsid w:val="00DF5A08"/>
    <w:rsid w:val="00DF7646"/>
    <w:rsid w:val="00E00D63"/>
    <w:rsid w:val="00E05049"/>
    <w:rsid w:val="00E05742"/>
    <w:rsid w:val="00E05E5F"/>
    <w:rsid w:val="00E07C6E"/>
    <w:rsid w:val="00E12B71"/>
    <w:rsid w:val="00E155CC"/>
    <w:rsid w:val="00E216BC"/>
    <w:rsid w:val="00E23670"/>
    <w:rsid w:val="00E24544"/>
    <w:rsid w:val="00E24A6F"/>
    <w:rsid w:val="00E300E6"/>
    <w:rsid w:val="00E3204A"/>
    <w:rsid w:val="00E3325B"/>
    <w:rsid w:val="00E346FD"/>
    <w:rsid w:val="00E35652"/>
    <w:rsid w:val="00E36952"/>
    <w:rsid w:val="00E372A7"/>
    <w:rsid w:val="00E402A2"/>
    <w:rsid w:val="00E42846"/>
    <w:rsid w:val="00E42CD5"/>
    <w:rsid w:val="00E43B30"/>
    <w:rsid w:val="00E5450C"/>
    <w:rsid w:val="00E55360"/>
    <w:rsid w:val="00E55595"/>
    <w:rsid w:val="00E57D47"/>
    <w:rsid w:val="00E607E1"/>
    <w:rsid w:val="00E6291A"/>
    <w:rsid w:val="00E62DC0"/>
    <w:rsid w:val="00E66754"/>
    <w:rsid w:val="00E721C0"/>
    <w:rsid w:val="00E752C0"/>
    <w:rsid w:val="00E75FC8"/>
    <w:rsid w:val="00E76267"/>
    <w:rsid w:val="00E77E9C"/>
    <w:rsid w:val="00E82263"/>
    <w:rsid w:val="00E83008"/>
    <w:rsid w:val="00E847AE"/>
    <w:rsid w:val="00E8488E"/>
    <w:rsid w:val="00E85004"/>
    <w:rsid w:val="00E86F08"/>
    <w:rsid w:val="00E86F32"/>
    <w:rsid w:val="00E92496"/>
    <w:rsid w:val="00E9265A"/>
    <w:rsid w:val="00EA27EB"/>
    <w:rsid w:val="00EA369A"/>
    <w:rsid w:val="00EB07F2"/>
    <w:rsid w:val="00EB0A40"/>
    <w:rsid w:val="00EB3CF5"/>
    <w:rsid w:val="00EB66FB"/>
    <w:rsid w:val="00EB6DFB"/>
    <w:rsid w:val="00EB7CEA"/>
    <w:rsid w:val="00EC0DB1"/>
    <w:rsid w:val="00EC1210"/>
    <w:rsid w:val="00EC295A"/>
    <w:rsid w:val="00EC431F"/>
    <w:rsid w:val="00EC6C5B"/>
    <w:rsid w:val="00ED2A61"/>
    <w:rsid w:val="00ED7223"/>
    <w:rsid w:val="00ED78B9"/>
    <w:rsid w:val="00EE0BFB"/>
    <w:rsid w:val="00EE23EF"/>
    <w:rsid w:val="00EE2485"/>
    <w:rsid w:val="00EE3387"/>
    <w:rsid w:val="00EE5D22"/>
    <w:rsid w:val="00EE6AA8"/>
    <w:rsid w:val="00EF0375"/>
    <w:rsid w:val="00EF0B29"/>
    <w:rsid w:val="00EF0C15"/>
    <w:rsid w:val="00EF1585"/>
    <w:rsid w:val="00EF3395"/>
    <w:rsid w:val="00EF45F1"/>
    <w:rsid w:val="00EF567B"/>
    <w:rsid w:val="00F00C29"/>
    <w:rsid w:val="00F0131A"/>
    <w:rsid w:val="00F0638B"/>
    <w:rsid w:val="00F06B37"/>
    <w:rsid w:val="00F07E46"/>
    <w:rsid w:val="00F108D2"/>
    <w:rsid w:val="00F10ED9"/>
    <w:rsid w:val="00F206DA"/>
    <w:rsid w:val="00F206E4"/>
    <w:rsid w:val="00F2304A"/>
    <w:rsid w:val="00F23286"/>
    <w:rsid w:val="00F237BD"/>
    <w:rsid w:val="00F24B40"/>
    <w:rsid w:val="00F2688D"/>
    <w:rsid w:val="00F27E64"/>
    <w:rsid w:val="00F30F43"/>
    <w:rsid w:val="00F32E30"/>
    <w:rsid w:val="00F34C71"/>
    <w:rsid w:val="00F369A2"/>
    <w:rsid w:val="00F418AE"/>
    <w:rsid w:val="00F47F68"/>
    <w:rsid w:val="00F51311"/>
    <w:rsid w:val="00F54959"/>
    <w:rsid w:val="00F549FA"/>
    <w:rsid w:val="00F56D5B"/>
    <w:rsid w:val="00F56F95"/>
    <w:rsid w:val="00F57C8F"/>
    <w:rsid w:val="00F60675"/>
    <w:rsid w:val="00F6475B"/>
    <w:rsid w:val="00F701A4"/>
    <w:rsid w:val="00F723BC"/>
    <w:rsid w:val="00F73D90"/>
    <w:rsid w:val="00F76973"/>
    <w:rsid w:val="00F76DD1"/>
    <w:rsid w:val="00F77008"/>
    <w:rsid w:val="00F77F6F"/>
    <w:rsid w:val="00F80766"/>
    <w:rsid w:val="00F82325"/>
    <w:rsid w:val="00F84686"/>
    <w:rsid w:val="00F857F8"/>
    <w:rsid w:val="00F868EE"/>
    <w:rsid w:val="00F87FA9"/>
    <w:rsid w:val="00F9119D"/>
    <w:rsid w:val="00F94174"/>
    <w:rsid w:val="00FA0575"/>
    <w:rsid w:val="00FA24FA"/>
    <w:rsid w:val="00FA654B"/>
    <w:rsid w:val="00FB03B0"/>
    <w:rsid w:val="00FB0FA5"/>
    <w:rsid w:val="00FB1BC6"/>
    <w:rsid w:val="00FB21D2"/>
    <w:rsid w:val="00FB24BC"/>
    <w:rsid w:val="00FB5065"/>
    <w:rsid w:val="00FB6D2A"/>
    <w:rsid w:val="00FC2AC0"/>
    <w:rsid w:val="00FC7278"/>
    <w:rsid w:val="00FD4505"/>
    <w:rsid w:val="00FD50C8"/>
    <w:rsid w:val="00FE023C"/>
    <w:rsid w:val="00FE25BD"/>
    <w:rsid w:val="00FE37C1"/>
    <w:rsid w:val="00FE6762"/>
    <w:rsid w:val="00FE6B58"/>
    <w:rsid w:val="00FE7049"/>
    <w:rsid w:val="00FE75AB"/>
    <w:rsid w:val="00FF11FA"/>
    <w:rsid w:val="00FF4BBD"/>
    <w:rsid w:val="0109513D"/>
    <w:rsid w:val="010E7E38"/>
    <w:rsid w:val="01283CE6"/>
    <w:rsid w:val="012E1C6C"/>
    <w:rsid w:val="012F1157"/>
    <w:rsid w:val="01356F26"/>
    <w:rsid w:val="013E7931"/>
    <w:rsid w:val="015A171E"/>
    <w:rsid w:val="0196185A"/>
    <w:rsid w:val="0198208F"/>
    <w:rsid w:val="019A0E24"/>
    <w:rsid w:val="01AE7847"/>
    <w:rsid w:val="01BE6750"/>
    <w:rsid w:val="01C54C7D"/>
    <w:rsid w:val="02021C0D"/>
    <w:rsid w:val="02076A0A"/>
    <w:rsid w:val="020A6570"/>
    <w:rsid w:val="021E392A"/>
    <w:rsid w:val="02296E4E"/>
    <w:rsid w:val="02317260"/>
    <w:rsid w:val="023536E6"/>
    <w:rsid w:val="025A5A4A"/>
    <w:rsid w:val="0265732C"/>
    <w:rsid w:val="02670DAF"/>
    <w:rsid w:val="027A183F"/>
    <w:rsid w:val="02870D83"/>
    <w:rsid w:val="02AA7B2E"/>
    <w:rsid w:val="02C17CF5"/>
    <w:rsid w:val="02E348F7"/>
    <w:rsid w:val="031518CE"/>
    <w:rsid w:val="031B114C"/>
    <w:rsid w:val="0320457B"/>
    <w:rsid w:val="033D11B0"/>
    <w:rsid w:val="034574AF"/>
    <w:rsid w:val="036433DC"/>
    <w:rsid w:val="036B1263"/>
    <w:rsid w:val="0379799E"/>
    <w:rsid w:val="03890649"/>
    <w:rsid w:val="03893112"/>
    <w:rsid w:val="03AB7ED9"/>
    <w:rsid w:val="03AC1EA9"/>
    <w:rsid w:val="03AD1F20"/>
    <w:rsid w:val="03CA3E93"/>
    <w:rsid w:val="04082B57"/>
    <w:rsid w:val="043104A2"/>
    <w:rsid w:val="04312652"/>
    <w:rsid w:val="04715F69"/>
    <w:rsid w:val="047542BB"/>
    <w:rsid w:val="047C4F99"/>
    <w:rsid w:val="04813C3B"/>
    <w:rsid w:val="048B4253"/>
    <w:rsid w:val="04B47E84"/>
    <w:rsid w:val="04CB62F7"/>
    <w:rsid w:val="04E8398A"/>
    <w:rsid w:val="050119F0"/>
    <w:rsid w:val="05251A71"/>
    <w:rsid w:val="05536A73"/>
    <w:rsid w:val="058479B7"/>
    <w:rsid w:val="05887CDC"/>
    <w:rsid w:val="05A01558"/>
    <w:rsid w:val="05A06829"/>
    <w:rsid w:val="05C06718"/>
    <w:rsid w:val="05D7148A"/>
    <w:rsid w:val="05DB54A9"/>
    <w:rsid w:val="05E30855"/>
    <w:rsid w:val="05EB1897"/>
    <w:rsid w:val="05F201FB"/>
    <w:rsid w:val="06103708"/>
    <w:rsid w:val="0617610F"/>
    <w:rsid w:val="061D16C4"/>
    <w:rsid w:val="062D1053"/>
    <w:rsid w:val="064F3BEE"/>
    <w:rsid w:val="065D5597"/>
    <w:rsid w:val="066255ED"/>
    <w:rsid w:val="0670726C"/>
    <w:rsid w:val="06850360"/>
    <w:rsid w:val="068A2908"/>
    <w:rsid w:val="068A5FEE"/>
    <w:rsid w:val="06983DE4"/>
    <w:rsid w:val="06A63FE3"/>
    <w:rsid w:val="06AE456A"/>
    <w:rsid w:val="06B462A9"/>
    <w:rsid w:val="06C14902"/>
    <w:rsid w:val="06E011D1"/>
    <w:rsid w:val="06F641EF"/>
    <w:rsid w:val="070F69EF"/>
    <w:rsid w:val="0716411F"/>
    <w:rsid w:val="071A6A70"/>
    <w:rsid w:val="072A5D43"/>
    <w:rsid w:val="072E78A6"/>
    <w:rsid w:val="074A1CED"/>
    <w:rsid w:val="075601AB"/>
    <w:rsid w:val="07792E18"/>
    <w:rsid w:val="077F1047"/>
    <w:rsid w:val="078056AF"/>
    <w:rsid w:val="078B5C22"/>
    <w:rsid w:val="07980765"/>
    <w:rsid w:val="07A73072"/>
    <w:rsid w:val="07CB1685"/>
    <w:rsid w:val="07DB3C63"/>
    <w:rsid w:val="07F930A6"/>
    <w:rsid w:val="080C1E90"/>
    <w:rsid w:val="084A4701"/>
    <w:rsid w:val="085436DE"/>
    <w:rsid w:val="08574847"/>
    <w:rsid w:val="08721AE8"/>
    <w:rsid w:val="0872661A"/>
    <w:rsid w:val="0874575C"/>
    <w:rsid w:val="088D2CF1"/>
    <w:rsid w:val="08A75FEC"/>
    <w:rsid w:val="08AD64F5"/>
    <w:rsid w:val="08CB44C5"/>
    <w:rsid w:val="08E225A7"/>
    <w:rsid w:val="08FC02FE"/>
    <w:rsid w:val="090E0819"/>
    <w:rsid w:val="091E063C"/>
    <w:rsid w:val="09241AED"/>
    <w:rsid w:val="09245209"/>
    <w:rsid w:val="09252B68"/>
    <w:rsid w:val="093552A6"/>
    <w:rsid w:val="0935787A"/>
    <w:rsid w:val="09413BDA"/>
    <w:rsid w:val="095331DF"/>
    <w:rsid w:val="095A4558"/>
    <w:rsid w:val="095A7464"/>
    <w:rsid w:val="095F08F3"/>
    <w:rsid w:val="096E106C"/>
    <w:rsid w:val="09701136"/>
    <w:rsid w:val="0994741B"/>
    <w:rsid w:val="09A16CA7"/>
    <w:rsid w:val="09B11813"/>
    <w:rsid w:val="09B1552D"/>
    <w:rsid w:val="09B84C6F"/>
    <w:rsid w:val="09C82537"/>
    <w:rsid w:val="09CA1FCC"/>
    <w:rsid w:val="09D15FCF"/>
    <w:rsid w:val="09E50961"/>
    <w:rsid w:val="09E60E28"/>
    <w:rsid w:val="09FB20DA"/>
    <w:rsid w:val="0A0006E0"/>
    <w:rsid w:val="0A090753"/>
    <w:rsid w:val="0A0D01A4"/>
    <w:rsid w:val="0A243755"/>
    <w:rsid w:val="0A31642E"/>
    <w:rsid w:val="0A3F1C89"/>
    <w:rsid w:val="0A434147"/>
    <w:rsid w:val="0A6C67DD"/>
    <w:rsid w:val="0A741271"/>
    <w:rsid w:val="0A815BA2"/>
    <w:rsid w:val="0A856526"/>
    <w:rsid w:val="0A900B47"/>
    <w:rsid w:val="0A9B5783"/>
    <w:rsid w:val="0AB42B78"/>
    <w:rsid w:val="0AC669AC"/>
    <w:rsid w:val="0AF55188"/>
    <w:rsid w:val="0B154CD7"/>
    <w:rsid w:val="0B24107A"/>
    <w:rsid w:val="0B2B42DA"/>
    <w:rsid w:val="0B4351F1"/>
    <w:rsid w:val="0B482030"/>
    <w:rsid w:val="0B5F1271"/>
    <w:rsid w:val="0B6F4DB9"/>
    <w:rsid w:val="0B814E1E"/>
    <w:rsid w:val="0B8C058E"/>
    <w:rsid w:val="0BAE0ABB"/>
    <w:rsid w:val="0BBE651E"/>
    <w:rsid w:val="0BC319C7"/>
    <w:rsid w:val="0BC7296A"/>
    <w:rsid w:val="0BC81557"/>
    <w:rsid w:val="0BEA469E"/>
    <w:rsid w:val="0BF314AC"/>
    <w:rsid w:val="0C384E7F"/>
    <w:rsid w:val="0C646D55"/>
    <w:rsid w:val="0C6E7EB2"/>
    <w:rsid w:val="0C72336D"/>
    <w:rsid w:val="0C943E94"/>
    <w:rsid w:val="0CCB4B87"/>
    <w:rsid w:val="0D0700F8"/>
    <w:rsid w:val="0D2F62D9"/>
    <w:rsid w:val="0D594644"/>
    <w:rsid w:val="0D6D0250"/>
    <w:rsid w:val="0D753F62"/>
    <w:rsid w:val="0D7A092F"/>
    <w:rsid w:val="0D7D2EF1"/>
    <w:rsid w:val="0D81087C"/>
    <w:rsid w:val="0DAC7893"/>
    <w:rsid w:val="0DBA4C83"/>
    <w:rsid w:val="0DDC17C2"/>
    <w:rsid w:val="0DDC5C9C"/>
    <w:rsid w:val="0DDE08D8"/>
    <w:rsid w:val="0DEC0AAC"/>
    <w:rsid w:val="0E200415"/>
    <w:rsid w:val="0E423271"/>
    <w:rsid w:val="0E511E28"/>
    <w:rsid w:val="0E523C99"/>
    <w:rsid w:val="0E585E37"/>
    <w:rsid w:val="0E590164"/>
    <w:rsid w:val="0E7744F2"/>
    <w:rsid w:val="0EA2664C"/>
    <w:rsid w:val="0EA5693D"/>
    <w:rsid w:val="0EBA3E44"/>
    <w:rsid w:val="0ECF4C69"/>
    <w:rsid w:val="0F09489A"/>
    <w:rsid w:val="0F2405DE"/>
    <w:rsid w:val="0F2F292B"/>
    <w:rsid w:val="0F480F11"/>
    <w:rsid w:val="0F4B2A3A"/>
    <w:rsid w:val="0F581E88"/>
    <w:rsid w:val="0F5A6ACA"/>
    <w:rsid w:val="0F754CC5"/>
    <w:rsid w:val="0F8C348A"/>
    <w:rsid w:val="0F907DE4"/>
    <w:rsid w:val="0FA657F0"/>
    <w:rsid w:val="0FCA4890"/>
    <w:rsid w:val="0FD900DB"/>
    <w:rsid w:val="0FD901D9"/>
    <w:rsid w:val="0FDB46D3"/>
    <w:rsid w:val="0FDD3167"/>
    <w:rsid w:val="10101C50"/>
    <w:rsid w:val="10296A65"/>
    <w:rsid w:val="10297CAE"/>
    <w:rsid w:val="10397E2D"/>
    <w:rsid w:val="103E2CFA"/>
    <w:rsid w:val="105F3F44"/>
    <w:rsid w:val="10627DE9"/>
    <w:rsid w:val="10706ADD"/>
    <w:rsid w:val="109A3053"/>
    <w:rsid w:val="10A95D14"/>
    <w:rsid w:val="10BC66AD"/>
    <w:rsid w:val="10C20A32"/>
    <w:rsid w:val="10C43C9C"/>
    <w:rsid w:val="10D379B8"/>
    <w:rsid w:val="10D84ED2"/>
    <w:rsid w:val="10E83F15"/>
    <w:rsid w:val="11191B26"/>
    <w:rsid w:val="1158549D"/>
    <w:rsid w:val="117013E6"/>
    <w:rsid w:val="11775BF6"/>
    <w:rsid w:val="118B1725"/>
    <w:rsid w:val="11AF63CD"/>
    <w:rsid w:val="11B35D01"/>
    <w:rsid w:val="11C87C09"/>
    <w:rsid w:val="11CF7CD5"/>
    <w:rsid w:val="11D431A3"/>
    <w:rsid w:val="12020F96"/>
    <w:rsid w:val="12137C6C"/>
    <w:rsid w:val="12170602"/>
    <w:rsid w:val="12206F5E"/>
    <w:rsid w:val="1228342F"/>
    <w:rsid w:val="12480979"/>
    <w:rsid w:val="1254220B"/>
    <w:rsid w:val="126E16AC"/>
    <w:rsid w:val="12766B2B"/>
    <w:rsid w:val="127856F4"/>
    <w:rsid w:val="12C327BF"/>
    <w:rsid w:val="12D31EAB"/>
    <w:rsid w:val="12E34449"/>
    <w:rsid w:val="12E602BC"/>
    <w:rsid w:val="12FA4E80"/>
    <w:rsid w:val="130131AC"/>
    <w:rsid w:val="130202AB"/>
    <w:rsid w:val="1308433D"/>
    <w:rsid w:val="131D6F28"/>
    <w:rsid w:val="13324DBE"/>
    <w:rsid w:val="134E369A"/>
    <w:rsid w:val="13695765"/>
    <w:rsid w:val="13B303FB"/>
    <w:rsid w:val="13FC4402"/>
    <w:rsid w:val="141628D6"/>
    <w:rsid w:val="142678B8"/>
    <w:rsid w:val="1429361E"/>
    <w:rsid w:val="142D2FA5"/>
    <w:rsid w:val="143375F4"/>
    <w:rsid w:val="144613A2"/>
    <w:rsid w:val="145458F0"/>
    <w:rsid w:val="146F38F0"/>
    <w:rsid w:val="14761FA0"/>
    <w:rsid w:val="147911E9"/>
    <w:rsid w:val="147D42CA"/>
    <w:rsid w:val="14BB71FF"/>
    <w:rsid w:val="14C02C1D"/>
    <w:rsid w:val="14D74ACE"/>
    <w:rsid w:val="14DC6561"/>
    <w:rsid w:val="14E345F4"/>
    <w:rsid w:val="14F0337C"/>
    <w:rsid w:val="14F22EA6"/>
    <w:rsid w:val="14FB1969"/>
    <w:rsid w:val="14FB755D"/>
    <w:rsid w:val="1504456E"/>
    <w:rsid w:val="150660D3"/>
    <w:rsid w:val="15167FD8"/>
    <w:rsid w:val="15317166"/>
    <w:rsid w:val="153E782D"/>
    <w:rsid w:val="155143CE"/>
    <w:rsid w:val="158D333F"/>
    <w:rsid w:val="15B55042"/>
    <w:rsid w:val="15F41BAD"/>
    <w:rsid w:val="16053F02"/>
    <w:rsid w:val="16104439"/>
    <w:rsid w:val="162B021C"/>
    <w:rsid w:val="16324237"/>
    <w:rsid w:val="16506CC7"/>
    <w:rsid w:val="168A3B5A"/>
    <w:rsid w:val="168B59A8"/>
    <w:rsid w:val="16AC2F0C"/>
    <w:rsid w:val="16B53231"/>
    <w:rsid w:val="16C11879"/>
    <w:rsid w:val="16C622EA"/>
    <w:rsid w:val="16D27E56"/>
    <w:rsid w:val="16DE7B56"/>
    <w:rsid w:val="170427AB"/>
    <w:rsid w:val="17106E30"/>
    <w:rsid w:val="17161B54"/>
    <w:rsid w:val="17294251"/>
    <w:rsid w:val="172F560A"/>
    <w:rsid w:val="1754014B"/>
    <w:rsid w:val="1773450E"/>
    <w:rsid w:val="1774095B"/>
    <w:rsid w:val="1788476D"/>
    <w:rsid w:val="178F0769"/>
    <w:rsid w:val="17AF25E1"/>
    <w:rsid w:val="17B45232"/>
    <w:rsid w:val="17B9356E"/>
    <w:rsid w:val="17DA0305"/>
    <w:rsid w:val="17FD49A3"/>
    <w:rsid w:val="18041BDA"/>
    <w:rsid w:val="18187285"/>
    <w:rsid w:val="18240F7F"/>
    <w:rsid w:val="18564F37"/>
    <w:rsid w:val="187C2E93"/>
    <w:rsid w:val="187C518F"/>
    <w:rsid w:val="189368DE"/>
    <w:rsid w:val="18A04609"/>
    <w:rsid w:val="18B52DD8"/>
    <w:rsid w:val="18CD3727"/>
    <w:rsid w:val="18CE2BCB"/>
    <w:rsid w:val="18E33C57"/>
    <w:rsid w:val="18E46238"/>
    <w:rsid w:val="18F66642"/>
    <w:rsid w:val="19037C7A"/>
    <w:rsid w:val="190578A0"/>
    <w:rsid w:val="1910750B"/>
    <w:rsid w:val="19133CDA"/>
    <w:rsid w:val="19204547"/>
    <w:rsid w:val="192B6867"/>
    <w:rsid w:val="193E5965"/>
    <w:rsid w:val="196E6B7A"/>
    <w:rsid w:val="1978512C"/>
    <w:rsid w:val="19804606"/>
    <w:rsid w:val="198460C7"/>
    <w:rsid w:val="19863298"/>
    <w:rsid w:val="19E260F2"/>
    <w:rsid w:val="19E842AE"/>
    <w:rsid w:val="19E951DC"/>
    <w:rsid w:val="19EE7653"/>
    <w:rsid w:val="19EF5C39"/>
    <w:rsid w:val="1A1A5329"/>
    <w:rsid w:val="1A1B4364"/>
    <w:rsid w:val="1A336DCF"/>
    <w:rsid w:val="1A497CAF"/>
    <w:rsid w:val="1A525A6B"/>
    <w:rsid w:val="1A575E27"/>
    <w:rsid w:val="1A640328"/>
    <w:rsid w:val="1A724D74"/>
    <w:rsid w:val="1A7C19DE"/>
    <w:rsid w:val="1A83044F"/>
    <w:rsid w:val="1A9B169F"/>
    <w:rsid w:val="1AA01C45"/>
    <w:rsid w:val="1AA566A9"/>
    <w:rsid w:val="1AB3109A"/>
    <w:rsid w:val="1ABF3D1B"/>
    <w:rsid w:val="1AC05B21"/>
    <w:rsid w:val="1AC66A6F"/>
    <w:rsid w:val="1AD7606D"/>
    <w:rsid w:val="1AE81EA5"/>
    <w:rsid w:val="1AEA37AB"/>
    <w:rsid w:val="1AEB4F8F"/>
    <w:rsid w:val="1B1939C8"/>
    <w:rsid w:val="1B377850"/>
    <w:rsid w:val="1B402CF8"/>
    <w:rsid w:val="1B591EC3"/>
    <w:rsid w:val="1B7D1C68"/>
    <w:rsid w:val="1B885CCC"/>
    <w:rsid w:val="1B8E6C53"/>
    <w:rsid w:val="1BEC6094"/>
    <w:rsid w:val="1BFF6576"/>
    <w:rsid w:val="1C291495"/>
    <w:rsid w:val="1C394701"/>
    <w:rsid w:val="1C3F2113"/>
    <w:rsid w:val="1C46241C"/>
    <w:rsid w:val="1C555928"/>
    <w:rsid w:val="1C577A16"/>
    <w:rsid w:val="1C5A6E4A"/>
    <w:rsid w:val="1C7D13C0"/>
    <w:rsid w:val="1C8A6D69"/>
    <w:rsid w:val="1C993E2E"/>
    <w:rsid w:val="1CBE77FA"/>
    <w:rsid w:val="1CCE3A82"/>
    <w:rsid w:val="1CD00845"/>
    <w:rsid w:val="1CD52C7B"/>
    <w:rsid w:val="1D19203E"/>
    <w:rsid w:val="1D1E3BB1"/>
    <w:rsid w:val="1D242231"/>
    <w:rsid w:val="1D250771"/>
    <w:rsid w:val="1D372933"/>
    <w:rsid w:val="1D5630A6"/>
    <w:rsid w:val="1D62334F"/>
    <w:rsid w:val="1D6402CD"/>
    <w:rsid w:val="1D641BA5"/>
    <w:rsid w:val="1D6F1F94"/>
    <w:rsid w:val="1D763F7E"/>
    <w:rsid w:val="1D8470AA"/>
    <w:rsid w:val="1DA96897"/>
    <w:rsid w:val="1DAC69B1"/>
    <w:rsid w:val="1DD55280"/>
    <w:rsid w:val="1DED40B4"/>
    <w:rsid w:val="1E0A41CC"/>
    <w:rsid w:val="1E2F315F"/>
    <w:rsid w:val="1E47755C"/>
    <w:rsid w:val="1E663662"/>
    <w:rsid w:val="1E95289E"/>
    <w:rsid w:val="1EB36195"/>
    <w:rsid w:val="1EB72EF4"/>
    <w:rsid w:val="1EBD15D5"/>
    <w:rsid w:val="1EF923AB"/>
    <w:rsid w:val="1F102E3F"/>
    <w:rsid w:val="1F15725E"/>
    <w:rsid w:val="1F1D1B25"/>
    <w:rsid w:val="1F235977"/>
    <w:rsid w:val="1F3C49BA"/>
    <w:rsid w:val="1F440FD5"/>
    <w:rsid w:val="1F5E5702"/>
    <w:rsid w:val="1F736A29"/>
    <w:rsid w:val="1F876125"/>
    <w:rsid w:val="1F8A04A3"/>
    <w:rsid w:val="1FB03A8F"/>
    <w:rsid w:val="1FB30150"/>
    <w:rsid w:val="1FE12855"/>
    <w:rsid w:val="1FE57EE8"/>
    <w:rsid w:val="1FEF09C8"/>
    <w:rsid w:val="1FF010E5"/>
    <w:rsid w:val="1FF510D9"/>
    <w:rsid w:val="1FF55A2B"/>
    <w:rsid w:val="20382AE0"/>
    <w:rsid w:val="203A4585"/>
    <w:rsid w:val="203C7CC0"/>
    <w:rsid w:val="203F16B0"/>
    <w:rsid w:val="204C6639"/>
    <w:rsid w:val="20542580"/>
    <w:rsid w:val="208504C5"/>
    <w:rsid w:val="208D7F89"/>
    <w:rsid w:val="20906BDA"/>
    <w:rsid w:val="20980932"/>
    <w:rsid w:val="20B64BD8"/>
    <w:rsid w:val="20C72E12"/>
    <w:rsid w:val="20D31B94"/>
    <w:rsid w:val="20E41E79"/>
    <w:rsid w:val="20EA39CF"/>
    <w:rsid w:val="20EB0A1A"/>
    <w:rsid w:val="20F94FFC"/>
    <w:rsid w:val="211D5DB6"/>
    <w:rsid w:val="2120599C"/>
    <w:rsid w:val="212F2B2E"/>
    <w:rsid w:val="213735C6"/>
    <w:rsid w:val="213A7004"/>
    <w:rsid w:val="215D5F8A"/>
    <w:rsid w:val="215F05B6"/>
    <w:rsid w:val="21795A9A"/>
    <w:rsid w:val="219B7CCB"/>
    <w:rsid w:val="21A473B5"/>
    <w:rsid w:val="21C26656"/>
    <w:rsid w:val="21C86C87"/>
    <w:rsid w:val="21EA5CE6"/>
    <w:rsid w:val="21EC70E4"/>
    <w:rsid w:val="21FA0D89"/>
    <w:rsid w:val="22173FB8"/>
    <w:rsid w:val="22462D4A"/>
    <w:rsid w:val="22513ADB"/>
    <w:rsid w:val="22757ED6"/>
    <w:rsid w:val="22A03488"/>
    <w:rsid w:val="22B810B7"/>
    <w:rsid w:val="22CA2534"/>
    <w:rsid w:val="22E56A1A"/>
    <w:rsid w:val="22E960A7"/>
    <w:rsid w:val="22F13239"/>
    <w:rsid w:val="23090AA4"/>
    <w:rsid w:val="230C06A9"/>
    <w:rsid w:val="23541C5C"/>
    <w:rsid w:val="236261CD"/>
    <w:rsid w:val="23666474"/>
    <w:rsid w:val="23920628"/>
    <w:rsid w:val="2392739C"/>
    <w:rsid w:val="239600A0"/>
    <w:rsid w:val="239D322E"/>
    <w:rsid w:val="23A72F04"/>
    <w:rsid w:val="23C04277"/>
    <w:rsid w:val="23C23E2C"/>
    <w:rsid w:val="23EC4965"/>
    <w:rsid w:val="23ED6B98"/>
    <w:rsid w:val="240C0A0E"/>
    <w:rsid w:val="241A1298"/>
    <w:rsid w:val="2423386C"/>
    <w:rsid w:val="242875DA"/>
    <w:rsid w:val="24482965"/>
    <w:rsid w:val="244E43EB"/>
    <w:rsid w:val="24625747"/>
    <w:rsid w:val="24664269"/>
    <w:rsid w:val="246B4886"/>
    <w:rsid w:val="249F55BB"/>
    <w:rsid w:val="24A156D9"/>
    <w:rsid w:val="24B6090C"/>
    <w:rsid w:val="24B7117A"/>
    <w:rsid w:val="24D075C4"/>
    <w:rsid w:val="24D357BC"/>
    <w:rsid w:val="24E41EBD"/>
    <w:rsid w:val="24F47E88"/>
    <w:rsid w:val="25006AB6"/>
    <w:rsid w:val="251D6150"/>
    <w:rsid w:val="252D0EDC"/>
    <w:rsid w:val="25427763"/>
    <w:rsid w:val="255F46C0"/>
    <w:rsid w:val="25894F1C"/>
    <w:rsid w:val="25910F73"/>
    <w:rsid w:val="259B4EAA"/>
    <w:rsid w:val="25B50668"/>
    <w:rsid w:val="2601730F"/>
    <w:rsid w:val="26140589"/>
    <w:rsid w:val="261A0447"/>
    <w:rsid w:val="26304A03"/>
    <w:rsid w:val="265E428B"/>
    <w:rsid w:val="26731A45"/>
    <w:rsid w:val="268A2E9F"/>
    <w:rsid w:val="269536D2"/>
    <w:rsid w:val="269B3FDD"/>
    <w:rsid w:val="269C61AD"/>
    <w:rsid w:val="26A53175"/>
    <w:rsid w:val="26B900D5"/>
    <w:rsid w:val="26BC7BF6"/>
    <w:rsid w:val="26D311FF"/>
    <w:rsid w:val="26D47BBD"/>
    <w:rsid w:val="26D80CCE"/>
    <w:rsid w:val="26DA04FE"/>
    <w:rsid w:val="26E11C81"/>
    <w:rsid w:val="270952D9"/>
    <w:rsid w:val="27272A96"/>
    <w:rsid w:val="27283244"/>
    <w:rsid w:val="27376DC6"/>
    <w:rsid w:val="274055D0"/>
    <w:rsid w:val="274B46B3"/>
    <w:rsid w:val="27535D84"/>
    <w:rsid w:val="276052A0"/>
    <w:rsid w:val="277512F4"/>
    <w:rsid w:val="278F1145"/>
    <w:rsid w:val="279436AC"/>
    <w:rsid w:val="27981532"/>
    <w:rsid w:val="27AA21B2"/>
    <w:rsid w:val="27B73A1A"/>
    <w:rsid w:val="27BF29B0"/>
    <w:rsid w:val="27CF4540"/>
    <w:rsid w:val="27D61472"/>
    <w:rsid w:val="27DE2D94"/>
    <w:rsid w:val="27EE4A9C"/>
    <w:rsid w:val="280458A8"/>
    <w:rsid w:val="28264760"/>
    <w:rsid w:val="28274F18"/>
    <w:rsid w:val="28282657"/>
    <w:rsid w:val="28333119"/>
    <w:rsid w:val="284F6C96"/>
    <w:rsid w:val="28654F05"/>
    <w:rsid w:val="28664F00"/>
    <w:rsid w:val="286716A7"/>
    <w:rsid w:val="28716C78"/>
    <w:rsid w:val="289D73A3"/>
    <w:rsid w:val="28A34D78"/>
    <w:rsid w:val="28A7275C"/>
    <w:rsid w:val="28AF543D"/>
    <w:rsid w:val="28C26D95"/>
    <w:rsid w:val="28D019DC"/>
    <w:rsid w:val="28D50FDF"/>
    <w:rsid w:val="28DF5AF6"/>
    <w:rsid w:val="28EE2872"/>
    <w:rsid w:val="28F138A5"/>
    <w:rsid w:val="28FA4362"/>
    <w:rsid w:val="28FA66C3"/>
    <w:rsid w:val="292F4988"/>
    <w:rsid w:val="293002B5"/>
    <w:rsid w:val="293A3C68"/>
    <w:rsid w:val="29482CFD"/>
    <w:rsid w:val="294F7299"/>
    <w:rsid w:val="29541A3E"/>
    <w:rsid w:val="29680A5D"/>
    <w:rsid w:val="29791F3B"/>
    <w:rsid w:val="297D1992"/>
    <w:rsid w:val="29825BBC"/>
    <w:rsid w:val="29997AF6"/>
    <w:rsid w:val="29A25FFE"/>
    <w:rsid w:val="29A45906"/>
    <w:rsid w:val="29A506FC"/>
    <w:rsid w:val="29A95DAC"/>
    <w:rsid w:val="29BD5C6D"/>
    <w:rsid w:val="29CB2F2E"/>
    <w:rsid w:val="29CD3C84"/>
    <w:rsid w:val="29D05E22"/>
    <w:rsid w:val="29EC1B96"/>
    <w:rsid w:val="2A017C21"/>
    <w:rsid w:val="2A0D61D2"/>
    <w:rsid w:val="2A1F107E"/>
    <w:rsid w:val="2A286490"/>
    <w:rsid w:val="2A2F6C73"/>
    <w:rsid w:val="2A313078"/>
    <w:rsid w:val="2A7321CD"/>
    <w:rsid w:val="2A8069DE"/>
    <w:rsid w:val="2A89556C"/>
    <w:rsid w:val="2AD27564"/>
    <w:rsid w:val="2AF94D50"/>
    <w:rsid w:val="2B0058DE"/>
    <w:rsid w:val="2B0E6870"/>
    <w:rsid w:val="2B222450"/>
    <w:rsid w:val="2B25739C"/>
    <w:rsid w:val="2B2A73BF"/>
    <w:rsid w:val="2B4572CE"/>
    <w:rsid w:val="2B484A17"/>
    <w:rsid w:val="2B711F28"/>
    <w:rsid w:val="2B761F33"/>
    <w:rsid w:val="2B7F27D3"/>
    <w:rsid w:val="2B863FB0"/>
    <w:rsid w:val="2B95102F"/>
    <w:rsid w:val="2B985264"/>
    <w:rsid w:val="2B9C7794"/>
    <w:rsid w:val="2BC37EC0"/>
    <w:rsid w:val="2BCF5B2C"/>
    <w:rsid w:val="2BDD73DE"/>
    <w:rsid w:val="2BE04876"/>
    <w:rsid w:val="2BE805A8"/>
    <w:rsid w:val="2BEC2235"/>
    <w:rsid w:val="2BEE1898"/>
    <w:rsid w:val="2C08491D"/>
    <w:rsid w:val="2C145A60"/>
    <w:rsid w:val="2C310072"/>
    <w:rsid w:val="2C321771"/>
    <w:rsid w:val="2C3A7715"/>
    <w:rsid w:val="2C5E46AE"/>
    <w:rsid w:val="2C764E32"/>
    <w:rsid w:val="2C7A45DE"/>
    <w:rsid w:val="2C821439"/>
    <w:rsid w:val="2C8E261E"/>
    <w:rsid w:val="2C957B0A"/>
    <w:rsid w:val="2CAF0476"/>
    <w:rsid w:val="2CBA7C54"/>
    <w:rsid w:val="2CBB4533"/>
    <w:rsid w:val="2CCF1C8A"/>
    <w:rsid w:val="2CFE413E"/>
    <w:rsid w:val="2D081A1B"/>
    <w:rsid w:val="2D204C5E"/>
    <w:rsid w:val="2D2A0D7D"/>
    <w:rsid w:val="2D322B06"/>
    <w:rsid w:val="2D357BC4"/>
    <w:rsid w:val="2D4E7F5B"/>
    <w:rsid w:val="2D543EC1"/>
    <w:rsid w:val="2D55527B"/>
    <w:rsid w:val="2D5D3C0C"/>
    <w:rsid w:val="2D6D69E3"/>
    <w:rsid w:val="2D7333BF"/>
    <w:rsid w:val="2D7F2732"/>
    <w:rsid w:val="2D8F7CFB"/>
    <w:rsid w:val="2D9211D0"/>
    <w:rsid w:val="2D990B9C"/>
    <w:rsid w:val="2D9E2037"/>
    <w:rsid w:val="2DA53921"/>
    <w:rsid w:val="2DA6121D"/>
    <w:rsid w:val="2DAA47C7"/>
    <w:rsid w:val="2DB13E52"/>
    <w:rsid w:val="2DC31B03"/>
    <w:rsid w:val="2DD972D9"/>
    <w:rsid w:val="2DDF3E3D"/>
    <w:rsid w:val="2DE30AE2"/>
    <w:rsid w:val="2DE6023D"/>
    <w:rsid w:val="2E040334"/>
    <w:rsid w:val="2E0532FE"/>
    <w:rsid w:val="2E3A1FC5"/>
    <w:rsid w:val="2E5E5416"/>
    <w:rsid w:val="2E6E2922"/>
    <w:rsid w:val="2E7A120C"/>
    <w:rsid w:val="2E7A66FC"/>
    <w:rsid w:val="2E7E53C3"/>
    <w:rsid w:val="2E8D4D26"/>
    <w:rsid w:val="2E9927A3"/>
    <w:rsid w:val="2EA122AD"/>
    <w:rsid w:val="2ECB17EB"/>
    <w:rsid w:val="2ECB5E92"/>
    <w:rsid w:val="2EE82886"/>
    <w:rsid w:val="2EEE27ED"/>
    <w:rsid w:val="2EF201EA"/>
    <w:rsid w:val="2EF75335"/>
    <w:rsid w:val="2F0B2DD5"/>
    <w:rsid w:val="2F0C3E64"/>
    <w:rsid w:val="2F2039C0"/>
    <w:rsid w:val="2F21032A"/>
    <w:rsid w:val="2F210D27"/>
    <w:rsid w:val="2F2E6E09"/>
    <w:rsid w:val="2F467284"/>
    <w:rsid w:val="2F8C3113"/>
    <w:rsid w:val="2F940AB6"/>
    <w:rsid w:val="2FA71E09"/>
    <w:rsid w:val="2FB90B9B"/>
    <w:rsid w:val="2FD1530B"/>
    <w:rsid w:val="2FE90991"/>
    <w:rsid w:val="2FED36DB"/>
    <w:rsid w:val="2FED7A26"/>
    <w:rsid w:val="2FF351B1"/>
    <w:rsid w:val="300346D5"/>
    <w:rsid w:val="300C14D7"/>
    <w:rsid w:val="30264FAC"/>
    <w:rsid w:val="30355611"/>
    <w:rsid w:val="30504C5C"/>
    <w:rsid w:val="306D0246"/>
    <w:rsid w:val="307739D9"/>
    <w:rsid w:val="307B7F53"/>
    <w:rsid w:val="307E0C8B"/>
    <w:rsid w:val="30A2540D"/>
    <w:rsid w:val="30C3204A"/>
    <w:rsid w:val="30DA0679"/>
    <w:rsid w:val="30EA06B3"/>
    <w:rsid w:val="311A339B"/>
    <w:rsid w:val="312D7213"/>
    <w:rsid w:val="314F230B"/>
    <w:rsid w:val="318B66C4"/>
    <w:rsid w:val="319B0473"/>
    <w:rsid w:val="31D42819"/>
    <w:rsid w:val="31F95A80"/>
    <w:rsid w:val="32131AD0"/>
    <w:rsid w:val="322722F3"/>
    <w:rsid w:val="32490371"/>
    <w:rsid w:val="32545C17"/>
    <w:rsid w:val="328321E7"/>
    <w:rsid w:val="328A70FD"/>
    <w:rsid w:val="32AC4779"/>
    <w:rsid w:val="32B4451E"/>
    <w:rsid w:val="32C369AC"/>
    <w:rsid w:val="32E71A71"/>
    <w:rsid w:val="32E83609"/>
    <w:rsid w:val="32EC3387"/>
    <w:rsid w:val="32F05CA0"/>
    <w:rsid w:val="33002D7F"/>
    <w:rsid w:val="330B029A"/>
    <w:rsid w:val="330C2A6F"/>
    <w:rsid w:val="33121752"/>
    <w:rsid w:val="332D40C2"/>
    <w:rsid w:val="333F7B79"/>
    <w:rsid w:val="334B2675"/>
    <w:rsid w:val="33530D5D"/>
    <w:rsid w:val="33536431"/>
    <w:rsid w:val="33561838"/>
    <w:rsid w:val="33577D64"/>
    <w:rsid w:val="33600DD6"/>
    <w:rsid w:val="3381788D"/>
    <w:rsid w:val="33900AD5"/>
    <w:rsid w:val="33987FE8"/>
    <w:rsid w:val="33B311B3"/>
    <w:rsid w:val="33D644A8"/>
    <w:rsid w:val="33ED5577"/>
    <w:rsid w:val="340B208B"/>
    <w:rsid w:val="34377B0A"/>
    <w:rsid w:val="344B7127"/>
    <w:rsid w:val="34BD5D44"/>
    <w:rsid w:val="34C101C1"/>
    <w:rsid w:val="34DC2644"/>
    <w:rsid w:val="34E77ECD"/>
    <w:rsid w:val="34FB718B"/>
    <w:rsid w:val="34FE5200"/>
    <w:rsid w:val="35027FFE"/>
    <w:rsid w:val="352C5755"/>
    <w:rsid w:val="35332DA5"/>
    <w:rsid w:val="35385F19"/>
    <w:rsid w:val="3541520B"/>
    <w:rsid w:val="35566F4D"/>
    <w:rsid w:val="357A34F0"/>
    <w:rsid w:val="35804B54"/>
    <w:rsid w:val="35B15849"/>
    <w:rsid w:val="35C258CD"/>
    <w:rsid w:val="35DE085F"/>
    <w:rsid w:val="35E21547"/>
    <w:rsid w:val="36040E2C"/>
    <w:rsid w:val="360D4C4A"/>
    <w:rsid w:val="36110BB9"/>
    <w:rsid w:val="36343A72"/>
    <w:rsid w:val="36491401"/>
    <w:rsid w:val="365D508B"/>
    <w:rsid w:val="369B6A0E"/>
    <w:rsid w:val="369D5767"/>
    <w:rsid w:val="36A87BBE"/>
    <w:rsid w:val="36AE7C65"/>
    <w:rsid w:val="36DD5C81"/>
    <w:rsid w:val="36E233F0"/>
    <w:rsid w:val="36FF1C5E"/>
    <w:rsid w:val="37021F31"/>
    <w:rsid w:val="373D1A36"/>
    <w:rsid w:val="37556F27"/>
    <w:rsid w:val="37781ACC"/>
    <w:rsid w:val="379D203C"/>
    <w:rsid w:val="379E68E4"/>
    <w:rsid w:val="37B413CC"/>
    <w:rsid w:val="37D7330D"/>
    <w:rsid w:val="37EF1A1D"/>
    <w:rsid w:val="37F13E18"/>
    <w:rsid w:val="37F71530"/>
    <w:rsid w:val="38004B13"/>
    <w:rsid w:val="380254F3"/>
    <w:rsid w:val="380A71F4"/>
    <w:rsid w:val="381714C5"/>
    <w:rsid w:val="381E11CA"/>
    <w:rsid w:val="385F455C"/>
    <w:rsid w:val="386052D2"/>
    <w:rsid w:val="38682503"/>
    <w:rsid w:val="387820EE"/>
    <w:rsid w:val="388E4824"/>
    <w:rsid w:val="38A27406"/>
    <w:rsid w:val="38AB04DD"/>
    <w:rsid w:val="38B1613D"/>
    <w:rsid w:val="38B42DF8"/>
    <w:rsid w:val="38CC0AD8"/>
    <w:rsid w:val="38D72DC0"/>
    <w:rsid w:val="38F35E91"/>
    <w:rsid w:val="38F62947"/>
    <w:rsid w:val="38F745EA"/>
    <w:rsid w:val="38FA4FE2"/>
    <w:rsid w:val="391A2D9D"/>
    <w:rsid w:val="392171F8"/>
    <w:rsid w:val="392A12B1"/>
    <w:rsid w:val="392E478D"/>
    <w:rsid w:val="393461AE"/>
    <w:rsid w:val="397D4B49"/>
    <w:rsid w:val="398A6349"/>
    <w:rsid w:val="39A21CE3"/>
    <w:rsid w:val="39CB3DA2"/>
    <w:rsid w:val="39F32293"/>
    <w:rsid w:val="39FF77B6"/>
    <w:rsid w:val="3A03056E"/>
    <w:rsid w:val="3A061029"/>
    <w:rsid w:val="3A0812AA"/>
    <w:rsid w:val="3A097111"/>
    <w:rsid w:val="3A306F82"/>
    <w:rsid w:val="3A362B17"/>
    <w:rsid w:val="3A4117EF"/>
    <w:rsid w:val="3A5835CA"/>
    <w:rsid w:val="3A6158E7"/>
    <w:rsid w:val="3A652295"/>
    <w:rsid w:val="3A6D6F01"/>
    <w:rsid w:val="3A6F689B"/>
    <w:rsid w:val="3A7B3DA6"/>
    <w:rsid w:val="3A9835D4"/>
    <w:rsid w:val="3AA53C7E"/>
    <w:rsid w:val="3AE76180"/>
    <w:rsid w:val="3AF25226"/>
    <w:rsid w:val="3AF32B72"/>
    <w:rsid w:val="3AF43933"/>
    <w:rsid w:val="3AF81B60"/>
    <w:rsid w:val="3AFA06D3"/>
    <w:rsid w:val="3AFC455B"/>
    <w:rsid w:val="3AFF5F80"/>
    <w:rsid w:val="3B355D3B"/>
    <w:rsid w:val="3B4A3888"/>
    <w:rsid w:val="3B4D2C8A"/>
    <w:rsid w:val="3B5A7171"/>
    <w:rsid w:val="3B8861D5"/>
    <w:rsid w:val="3BA04801"/>
    <w:rsid w:val="3BAC7B48"/>
    <w:rsid w:val="3BB96578"/>
    <w:rsid w:val="3BCE589D"/>
    <w:rsid w:val="3BD16847"/>
    <w:rsid w:val="3BFC1A20"/>
    <w:rsid w:val="3C03716C"/>
    <w:rsid w:val="3C0E6D98"/>
    <w:rsid w:val="3C662976"/>
    <w:rsid w:val="3C8601EE"/>
    <w:rsid w:val="3C985662"/>
    <w:rsid w:val="3CC82D1A"/>
    <w:rsid w:val="3CE70CB0"/>
    <w:rsid w:val="3D295D6B"/>
    <w:rsid w:val="3D2A5D53"/>
    <w:rsid w:val="3D2F7075"/>
    <w:rsid w:val="3D3340A8"/>
    <w:rsid w:val="3D54258F"/>
    <w:rsid w:val="3D7658FA"/>
    <w:rsid w:val="3DAA3B69"/>
    <w:rsid w:val="3DBA4E22"/>
    <w:rsid w:val="3DDD764F"/>
    <w:rsid w:val="3DE67D91"/>
    <w:rsid w:val="3E046C9F"/>
    <w:rsid w:val="3E3543F1"/>
    <w:rsid w:val="3E502662"/>
    <w:rsid w:val="3E5543AC"/>
    <w:rsid w:val="3E5E11C6"/>
    <w:rsid w:val="3E8E3C86"/>
    <w:rsid w:val="3E911700"/>
    <w:rsid w:val="3EBF4075"/>
    <w:rsid w:val="3EE63D3B"/>
    <w:rsid w:val="3EF827D2"/>
    <w:rsid w:val="3F1F50B1"/>
    <w:rsid w:val="3F403AC3"/>
    <w:rsid w:val="3F425D4A"/>
    <w:rsid w:val="3F583EB5"/>
    <w:rsid w:val="3F6C7322"/>
    <w:rsid w:val="3F753A39"/>
    <w:rsid w:val="3F787457"/>
    <w:rsid w:val="3FC25ADE"/>
    <w:rsid w:val="3FD2570A"/>
    <w:rsid w:val="3FE4547E"/>
    <w:rsid w:val="40051B04"/>
    <w:rsid w:val="4013120B"/>
    <w:rsid w:val="401D75AE"/>
    <w:rsid w:val="4026430F"/>
    <w:rsid w:val="402C64BF"/>
    <w:rsid w:val="40300523"/>
    <w:rsid w:val="40301FC1"/>
    <w:rsid w:val="40371E75"/>
    <w:rsid w:val="405705F5"/>
    <w:rsid w:val="406A310F"/>
    <w:rsid w:val="406E5C8F"/>
    <w:rsid w:val="40804C32"/>
    <w:rsid w:val="408F07C9"/>
    <w:rsid w:val="40D21B1D"/>
    <w:rsid w:val="40ED3623"/>
    <w:rsid w:val="40F476B6"/>
    <w:rsid w:val="414F1A0A"/>
    <w:rsid w:val="41557FAD"/>
    <w:rsid w:val="417E059E"/>
    <w:rsid w:val="418A0B5A"/>
    <w:rsid w:val="41A94951"/>
    <w:rsid w:val="41AC0759"/>
    <w:rsid w:val="41AF7D55"/>
    <w:rsid w:val="41B15FF2"/>
    <w:rsid w:val="41C15CA7"/>
    <w:rsid w:val="422E0FDC"/>
    <w:rsid w:val="42353388"/>
    <w:rsid w:val="427A7E2A"/>
    <w:rsid w:val="428576F0"/>
    <w:rsid w:val="428A41C7"/>
    <w:rsid w:val="42C352A0"/>
    <w:rsid w:val="42D47B9E"/>
    <w:rsid w:val="43097248"/>
    <w:rsid w:val="43227D24"/>
    <w:rsid w:val="4334324C"/>
    <w:rsid w:val="43367048"/>
    <w:rsid w:val="43380103"/>
    <w:rsid w:val="433F54B9"/>
    <w:rsid w:val="43465128"/>
    <w:rsid w:val="43640C0A"/>
    <w:rsid w:val="437752F4"/>
    <w:rsid w:val="439E64C0"/>
    <w:rsid w:val="43A932A4"/>
    <w:rsid w:val="43B525A4"/>
    <w:rsid w:val="43DC25B2"/>
    <w:rsid w:val="440B2C6F"/>
    <w:rsid w:val="44136510"/>
    <w:rsid w:val="442C1839"/>
    <w:rsid w:val="44334166"/>
    <w:rsid w:val="4437127F"/>
    <w:rsid w:val="443C78E6"/>
    <w:rsid w:val="446169BE"/>
    <w:rsid w:val="44671275"/>
    <w:rsid w:val="44744ACD"/>
    <w:rsid w:val="448B72B2"/>
    <w:rsid w:val="449F7CCD"/>
    <w:rsid w:val="44B60464"/>
    <w:rsid w:val="44E6098D"/>
    <w:rsid w:val="44FA7E6E"/>
    <w:rsid w:val="45131D9C"/>
    <w:rsid w:val="451372B3"/>
    <w:rsid w:val="45201856"/>
    <w:rsid w:val="45232BED"/>
    <w:rsid w:val="454F73EC"/>
    <w:rsid w:val="45501EE0"/>
    <w:rsid w:val="45873BF9"/>
    <w:rsid w:val="458804AD"/>
    <w:rsid w:val="45A202D1"/>
    <w:rsid w:val="45AD60F2"/>
    <w:rsid w:val="45D954EC"/>
    <w:rsid w:val="45F474B6"/>
    <w:rsid w:val="460D4E70"/>
    <w:rsid w:val="460D55B1"/>
    <w:rsid w:val="4615699D"/>
    <w:rsid w:val="461F29E8"/>
    <w:rsid w:val="4649016D"/>
    <w:rsid w:val="4650089E"/>
    <w:rsid w:val="466A50BF"/>
    <w:rsid w:val="468C5F42"/>
    <w:rsid w:val="46933026"/>
    <w:rsid w:val="4698491F"/>
    <w:rsid w:val="469B257B"/>
    <w:rsid w:val="469C0B90"/>
    <w:rsid w:val="46B85AD7"/>
    <w:rsid w:val="46B92CCF"/>
    <w:rsid w:val="46E473D0"/>
    <w:rsid w:val="46F86283"/>
    <w:rsid w:val="470A1DF9"/>
    <w:rsid w:val="4715007E"/>
    <w:rsid w:val="47156DDD"/>
    <w:rsid w:val="47275F83"/>
    <w:rsid w:val="473D6B29"/>
    <w:rsid w:val="47475E43"/>
    <w:rsid w:val="47587B4E"/>
    <w:rsid w:val="47751955"/>
    <w:rsid w:val="47927FD4"/>
    <w:rsid w:val="47C2788A"/>
    <w:rsid w:val="47D760AC"/>
    <w:rsid w:val="48020EF5"/>
    <w:rsid w:val="480F6F18"/>
    <w:rsid w:val="48110F06"/>
    <w:rsid w:val="4826495F"/>
    <w:rsid w:val="48313FAB"/>
    <w:rsid w:val="483E0A8D"/>
    <w:rsid w:val="484540A0"/>
    <w:rsid w:val="484C1B66"/>
    <w:rsid w:val="485300F2"/>
    <w:rsid w:val="48706310"/>
    <w:rsid w:val="488A436F"/>
    <w:rsid w:val="488B4BAD"/>
    <w:rsid w:val="48BC04FA"/>
    <w:rsid w:val="48E12D60"/>
    <w:rsid w:val="4919795E"/>
    <w:rsid w:val="49332778"/>
    <w:rsid w:val="493A776C"/>
    <w:rsid w:val="49472BE0"/>
    <w:rsid w:val="494F634D"/>
    <w:rsid w:val="495B788B"/>
    <w:rsid w:val="49694317"/>
    <w:rsid w:val="496A46B7"/>
    <w:rsid w:val="498243F0"/>
    <w:rsid w:val="498841A1"/>
    <w:rsid w:val="49992AEC"/>
    <w:rsid w:val="499E7AA5"/>
    <w:rsid w:val="49A47C69"/>
    <w:rsid w:val="49AC6B23"/>
    <w:rsid w:val="49B12E5C"/>
    <w:rsid w:val="49B33D02"/>
    <w:rsid w:val="49C83B58"/>
    <w:rsid w:val="49E660C0"/>
    <w:rsid w:val="49F141E9"/>
    <w:rsid w:val="49FA60CD"/>
    <w:rsid w:val="4A0060A8"/>
    <w:rsid w:val="4A0913A7"/>
    <w:rsid w:val="4A0B67DE"/>
    <w:rsid w:val="4A151F1C"/>
    <w:rsid w:val="4A24193C"/>
    <w:rsid w:val="4A29366D"/>
    <w:rsid w:val="4A564E1C"/>
    <w:rsid w:val="4A5E21AB"/>
    <w:rsid w:val="4A777BE8"/>
    <w:rsid w:val="4A901EF0"/>
    <w:rsid w:val="4AB51DE1"/>
    <w:rsid w:val="4AB74A8E"/>
    <w:rsid w:val="4AC14768"/>
    <w:rsid w:val="4AC62608"/>
    <w:rsid w:val="4ACC3ACD"/>
    <w:rsid w:val="4AE46E58"/>
    <w:rsid w:val="4AF25861"/>
    <w:rsid w:val="4AF900AC"/>
    <w:rsid w:val="4B0F6D9E"/>
    <w:rsid w:val="4B115E09"/>
    <w:rsid w:val="4B172C96"/>
    <w:rsid w:val="4B1A3A3B"/>
    <w:rsid w:val="4B22570A"/>
    <w:rsid w:val="4B4D65C7"/>
    <w:rsid w:val="4B5472DF"/>
    <w:rsid w:val="4B576832"/>
    <w:rsid w:val="4B7A01D0"/>
    <w:rsid w:val="4B976E58"/>
    <w:rsid w:val="4BBB4AE8"/>
    <w:rsid w:val="4BBB5677"/>
    <w:rsid w:val="4BC83610"/>
    <w:rsid w:val="4BDD7204"/>
    <w:rsid w:val="4C197F51"/>
    <w:rsid w:val="4C3014A4"/>
    <w:rsid w:val="4C446A4E"/>
    <w:rsid w:val="4C5F7190"/>
    <w:rsid w:val="4C61480D"/>
    <w:rsid w:val="4C6E27E3"/>
    <w:rsid w:val="4C6F0CE9"/>
    <w:rsid w:val="4C763035"/>
    <w:rsid w:val="4C8118B9"/>
    <w:rsid w:val="4CBD2CE3"/>
    <w:rsid w:val="4CCE4045"/>
    <w:rsid w:val="4D4C473B"/>
    <w:rsid w:val="4D4F3380"/>
    <w:rsid w:val="4D68725A"/>
    <w:rsid w:val="4DBF45C2"/>
    <w:rsid w:val="4DD601B5"/>
    <w:rsid w:val="4DDA084B"/>
    <w:rsid w:val="4E08582B"/>
    <w:rsid w:val="4E194D5A"/>
    <w:rsid w:val="4E390C4C"/>
    <w:rsid w:val="4E440E94"/>
    <w:rsid w:val="4E492772"/>
    <w:rsid w:val="4E4E5768"/>
    <w:rsid w:val="4E503F96"/>
    <w:rsid w:val="4E574300"/>
    <w:rsid w:val="4E880754"/>
    <w:rsid w:val="4E9E2997"/>
    <w:rsid w:val="4EB32A97"/>
    <w:rsid w:val="4EB41C51"/>
    <w:rsid w:val="4EC82A17"/>
    <w:rsid w:val="4ECA4C3D"/>
    <w:rsid w:val="4ECF09C4"/>
    <w:rsid w:val="4ED36269"/>
    <w:rsid w:val="4ED6528A"/>
    <w:rsid w:val="4EE0329E"/>
    <w:rsid w:val="4F0C7BD1"/>
    <w:rsid w:val="4F377A7E"/>
    <w:rsid w:val="4F3C3FED"/>
    <w:rsid w:val="4F4814CB"/>
    <w:rsid w:val="4F4A5A41"/>
    <w:rsid w:val="4F6146AB"/>
    <w:rsid w:val="4F6D70F8"/>
    <w:rsid w:val="4F732766"/>
    <w:rsid w:val="4F95084B"/>
    <w:rsid w:val="4F996A2F"/>
    <w:rsid w:val="4F9F359A"/>
    <w:rsid w:val="4FCC12F3"/>
    <w:rsid w:val="4FDA0213"/>
    <w:rsid w:val="4FDF6722"/>
    <w:rsid w:val="501472E1"/>
    <w:rsid w:val="501777DD"/>
    <w:rsid w:val="506C02F6"/>
    <w:rsid w:val="50737EB9"/>
    <w:rsid w:val="50795217"/>
    <w:rsid w:val="507D2A84"/>
    <w:rsid w:val="50843DF8"/>
    <w:rsid w:val="5085704B"/>
    <w:rsid w:val="50953BA3"/>
    <w:rsid w:val="50A055ED"/>
    <w:rsid w:val="50B22415"/>
    <w:rsid w:val="50C16E29"/>
    <w:rsid w:val="50DC235F"/>
    <w:rsid w:val="50E9789A"/>
    <w:rsid w:val="50F4013B"/>
    <w:rsid w:val="51173D18"/>
    <w:rsid w:val="51295380"/>
    <w:rsid w:val="51306C83"/>
    <w:rsid w:val="5143337C"/>
    <w:rsid w:val="51464D28"/>
    <w:rsid w:val="51681BD4"/>
    <w:rsid w:val="5177787E"/>
    <w:rsid w:val="51891565"/>
    <w:rsid w:val="51C51AD8"/>
    <w:rsid w:val="51E733D2"/>
    <w:rsid w:val="51ED581F"/>
    <w:rsid w:val="51ED7B1B"/>
    <w:rsid w:val="51EE0686"/>
    <w:rsid w:val="51FE5B7A"/>
    <w:rsid w:val="52312980"/>
    <w:rsid w:val="524A5938"/>
    <w:rsid w:val="525B5F5B"/>
    <w:rsid w:val="525C1C3C"/>
    <w:rsid w:val="527243C4"/>
    <w:rsid w:val="527A0408"/>
    <w:rsid w:val="52C6081B"/>
    <w:rsid w:val="52D61297"/>
    <w:rsid w:val="52D7389B"/>
    <w:rsid w:val="52E4451C"/>
    <w:rsid w:val="52ED11FF"/>
    <w:rsid w:val="531E5ABF"/>
    <w:rsid w:val="5336706D"/>
    <w:rsid w:val="534B3EF0"/>
    <w:rsid w:val="536C3E36"/>
    <w:rsid w:val="536D51C0"/>
    <w:rsid w:val="537275A1"/>
    <w:rsid w:val="537A2483"/>
    <w:rsid w:val="538600D8"/>
    <w:rsid w:val="539217C8"/>
    <w:rsid w:val="539471D3"/>
    <w:rsid w:val="53960889"/>
    <w:rsid w:val="539C0E9E"/>
    <w:rsid w:val="53A546DF"/>
    <w:rsid w:val="53A567D2"/>
    <w:rsid w:val="53CC1099"/>
    <w:rsid w:val="53CF2378"/>
    <w:rsid w:val="53D30CBF"/>
    <w:rsid w:val="53E56014"/>
    <w:rsid w:val="53F01C7D"/>
    <w:rsid w:val="541F1508"/>
    <w:rsid w:val="542715FB"/>
    <w:rsid w:val="543716E9"/>
    <w:rsid w:val="54453B78"/>
    <w:rsid w:val="54A914EA"/>
    <w:rsid w:val="54AC5402"/>
    <w:rsid w:val="54AF4AEE"/>
    <w:rsid w:val="54B33101"/>
    <w:rsid w:val="54CC4290"/>
    <w:rsid w:val="54EA712A"/>
    <w:rsid w:val="54F97692"/>
    <w:rsid w:val="54FD5035"/>
    <w:rsid w:val="54FF1B35"/>
    <w:rsid w:val="55240897"/>
    <w:rsid w:val="553A1002"/>
    <w:rsid w:val="555122CB"/>
    <w:rsid w:val="555552B8"/>
    <w:rsid w:val="55624E03"/>
    <w:rsid w:val="556C080C"/>
    <w:rsid w:val="557C1BB2"/>
    <w:rsid w:val="55DD37AF"/>
    <w:rsid w:val="56117E69"/>
    <w:rsid w:val="561262B0"/>
    <w:rsid w:val="56172336"/>
    <w:rsid w:val="56193A2E"/>
    <w:rsid w:val="561A0963"/>
    <w:rsid w:val="56383F81"/>
    <w:rsid w:val="564D26C7"/>
    <w:rsid w:val="56697849"/>
    <w:rsid w:val="566C3E4C"/>
    <w:rsid w:val="56A16B09"/>
    <w:rsid w:val="56A274BB"/>
    <w:rsid w:val="56A5249B"/>
    <w:rsid w:val="56BB0E9E"/>
    <w:rsid w:val="56BC61BB"/>
    <w:rsid w:val="56C37188"/>
    <w:rsid w:val="56C734DB"/>
    <w:rsid w:val="570279A4"/>
    <w:rsid w:val="5718551D"/>
    <w:rsid w:val="571F69D0"/>
    <w:rsid w:val="57410CC1"/>
    <w:rsid w:val="574462A7"/>
    <w:rsid w:val="5765253A"/>
    <w:rsid w:val="576A443C"/>
    <w:rsid w:val="577309FA"/>
    <w:rsid w:val="57883F28"/>
    <w:rsid w:val="5791242C"/>
    <w:rsid w:val="57950165"/>
    <w:rsid w:val="57A406B6"/>
    <w:rsid w:val="57BB02DB"/>
    <w:rsid w:val="57BD4EF1"/>
    <w:rsid w:val="57DB48D4"/>
    <w:rsid w:val="57DC2EDB"/>
    <w:rsid w:val="58510A4A"/>
    <w:rsid w:val="585B31F9"/>
    <w:rsid w:val="58623F3E"/>
    <w:rsid w:val="5891081D"/>
    <w:rsid w:val="58A56F38"/>
    <w:rsid w:val="58AB47A1"/>
    <w:rsid w:val="58AB5CBB"/>
    <w:rsid w:val="58BF03AD"/>
    <w:rsid w:val="58CB2844"/>
    <w:rsid w:val="58D009AE"/>
    <w:rsid w:val="58DC3CFE"/>
    <w:rsid w:val="58F659A2"/>
    <w:rsid w:val="591079CB"/>
    <w:rsid w:val="59183B30"/>
    <w:rsid w:val="5935517D"/>
    <w:rsid w:val="59493F41"/>
    <w:rsid w:val="594F79E3"/>
    <w:rsid w:val="595373B8"/>
    <w:rsid w:val="598600A2"/>
    <w:rsid w:val="598F3AC0"/>
    <w:rsid w:val="599418CE"/>
    <w:rsid w:val="59B31A79"/>
    <w:rsid w:val="59B549B6"/>
    <w:rsid w:val="59C14BC6"/>
    <w:rsid w:val="59C8125B"/>
    <w:rsid w:val="59CE448F"/>
    <w:rsid w:val="59D17213"/>
    <w:rsid w:val="59D94BC8"/>
    <w:rsid w:val="59E12331"/>
    <w:rsid w:val="59E51821"/>
    <w:rsid w:val="59FF337E"/>
    <w:rsid w:val="5A0538EB"/>
    <w:rsid w:val="5A067C2D"/>
    <w:rsid w:val="5A096AFC"/>
    <w:rsid w:val="5A28252C"/>
    <w:rsid w:val="5A7F21B4"/>
    <w:rsid w:val="5A7F6762"/>
    <w:rsid w:val="5A8E0759"/>
    <w:rsid w:val="5AB62FAA"/>
    <w:rsid w:val="5ABA709E"/>
    <w:rsid w:val="5AD72471"/>
    <w:rsid w:val="5AE90AB1"/>
    <w:rsid w:val="5AF951C8"/>
    <w:rsid w:val="5B0A723B"/>
    <w:rsid w:val="5B100DAA"/>
    <w:rsid w:val="5B1012DD"/>
    <w:rsid w:val="5B4936C8"/>
    <w:rsid w:val="5B5973FA"/>
    <w:rsid w:val="5B5A198F"/>
    <w:rsid w:val="5B65332F"/>
    <w:rsid w:val="5B9A20BA"/>
    <w:rsid w:val="5BA14FFA"/>
    <w:rsid w:val="5BA4750A"/>
    <w:rsid w:val="5BE87363"/>
    <w:rsid w:val="5BEF4723"/>
    <w:rsid w:val="5BF7485F"/>
    <w:rsid w:val="5BFD4AB3"/>
    <w:rsid w:val="5BFD57E8"/>
    <w:rsid w:val="5C015121"/>
    <w:rsid w:val="5C0A3453"/>
    <w:rsid w:val="5C0F65F2"/>
    <w:rsid w:val="5C2A31CE"/>
    <w:rsid w:val="5C384421"/>
    <w:rsid w:val="5C51066C"/>
    <w:rsid w:val="5C662BA1"/>
    <w:rsid w:val="5C6E3947"/>
    <w:rsid w:val="5C827B46"/>
    <w:rsid w:val="5CA23B6C"/>
    <w:rsid w:val="5CA56C7A"/>
    <w:rsid w:val="5CB4587F"/>
    <w:rsid w:val="5CB5392D"/>
    <w:rsid w:val="5CEF1CD5"/>
    <w:rsid w:val="5CFC130C"/>
    <w:rsid w:val="5D2F1EA3"/>
    <w:rsid w:val="5D5F509A"/>
    <w:rsid w:val="5D674CF8"/>
    <w:rsid w:val="5D7E68F3"/>
    <w:rsid w:val="5D82708B"/>
    <w:rsid w:val="5DE7236C"/>
    <w:rsid w:val="5DF53344"/>
    <w:rsid w:val="5E0E03B6"/>
    <w:rsid w:val="5E10546C"/>
    <w:rsid w:val="5E463616"/>
    <w:rsid w:val="5E4D7601"/>
    <w:rsid w:val="5E695614"/>
    <w:rsid w:val="5E8D2AC3"/>
    <w:rsid w:val="5E8E6D53"/>
    <w:rsid w:val="5EB23633"/>
    <w:rsid w:val="5EBA7D8F"/>
    <w:rsid w:val="5EC224BA"/>
    <w:rsid w:val="5EE44C8A"/>
    <w:rsid w:val="5EF047A6"/>
    <w:rsid w:val="5F195C07"/>
    <w:rsid w:val="5F2062FC"/>
    <w:rsid w:val="5F212CC1"/>
    <w:rsid w:val="5F2B2393"/>
    <w:rsid w:val="5F313F9A"/>
    <w:rsid w:val="5F381851"/>
    <w:rsid w:val="5F61209E"/>
    <w:rsid w:val="5F6F5575"/>
    <w:rsid w:val="5F835427"/>
    <w:rsid w:val="5FC823D6"/>
    <w:rsid w:val="5FDB4E15"/>
    <w:rsid w:val="5FED406A"/>
    <w:rsid w:val="600852DD"/>
    <w:rsid w:val="602F6574"/>
    <w:rsid w:val="606C120D"/>
    <w:rsid w:val="60D32635"/>
    <w:rsid w:val="60D554F1"/>
    <w:rsid w:val="60DE0F30"/>
    <w:rsid w:val="60F65E69"/>
    <w:rsid w:val="60FA7EC1"/>
    <w:rsid w:val="61084FEB"/>
    <w:rsid w:val="610B4F05"/>
    <w:rsid w:val="61432ADA"/>
    <w:rsid w:val="614F4F4C"/>
    <w:rsid w:val="616502BC"/>
    <w:rsid w:val="61684EF9"/>
    <w:rsid w:val="616869BE"/>
    <w:rsid w:val="617756DB"/>
    <w:rsid w:val="61942516"/>
    <w:rsid w:val="619B464A"/>
    <w:rsid w:val="61CB7B18"/>
    <w:rsid w:val="61D3345D"/>
    <w:rsid w:val="61D51448"/>
    <w:rsid w:val="61EE1426"/>
    <w:rsid w:val="62153B7B"/>
    <w:rsid w:val="622B65EA"/>
    <w:rsid w:val="623F3ADB"/>
    <w:rsid w:val="62526D0C"/>
    <w:rsid w:val="625C76B5"/>
    <w:rsid w:val="626732CA"/>
    <w:rsid w:val="6275464A"/>
    <w:rsid w:val="628120D0"/>
    <w:rsid w:val="628C15DF"/>
    <w:rsid w:val="62933327"/>
    <w:rsid w:val="62963F8A"/>
    <w:rsid w:val="62AA1DCF"/>
    <w:rsid w:val="62B43B0D"/>
    <w:rsid w:val="62BD60CF"/>
    <w:rsid w:val="62C4748D"/>
    <w:rsid w:val="62C61E01"/>
    <w:rsid w:val="62CF0B1F"/>
    <w:rsid w:val="631A5E32"/>
    <w:rsid w:val="632D1657"/>
    <w:rsid w:val="63411BAF"/>
    <w:rsid w:val="634C6EEE"/>
    <w:rsid w:val="63711368"/>
    <w:rsid w:val="637F46F6"/>
    <w:rsid w:val="63A1657D"/>
    <w:rsid w:val="63A47126"/>
    <w:rsid w:val="63A903F3"/>
    <w:rsid w:val="63E51D29"/>
    <w:rsid w:val="63E77572"/>
    <w:rsid w:val="63EB6929"/>
    <w:rsid w:val="63F348D9"/>
    <w:rsid w:val="64040604"/>
    <w:rsid w:val="641E4151"/>
    <w:rsid w:val="642A11B5"/>
    <w:rsid w:val="64452F29"/>
    <w:rsid w:val="6456236E"/>
    <w:rsid w:val="64626F6F"/>
    <w:rsid w:val="64665458"/>
    <w:rsid w:val="64893C0E"/>
    <w:rsid w:val="648E1BC0"/>
    <w:rsid w:val="64B41591"/>
    <w:rsid w:val="64D812FF"/>
    <w:rsid w:val="64D92FA0"/>
    <w:rsid w:val="64E87B44"/>
    <w:rsid w:val="64EB0FBE"/>
    <w:rsid w:val="64EB7B01"/>
    <w:rsid w:val="65136AF1"/>
    <w:rsid w:val="652A6D49"/>
    <w:rsid w:val="652A7142"/>
    <w:rsid w:val="652D0A19"/>
    <w:rsid w:val="654B1B04"/>
    <w:rsid w:val="65506C25"/>
    <w:rsid w:val="65603BEF"/>
    <w:rsid w:val="657C2366"/>
    <w:rsid w:val="65815295"/>
    <w:rsid w:val="65903BC0"/>
    <w:rsid w:val="65A5003C"/>
    <w:rsid w:val="65D22B1F"/>
    <w:rsid w:val="65E61FDC"/>
    <w:rsid w:val="65E768FB"/>
    <w:rsid w:val="65E93500"/>
    <w:rsid w:val="65F56543"/>
    <w:rsid w:val="65FA04F9"/>
    <w:rsid w:val="660671D2"/>
    <w:rsid w:val="66394CCA"/>
    <w:rsid w:val="66476A3E"/>
    <w:rsid w:val="66522722"/>
    <w:rsid w:val="668D309D"/>
    <w:rsid w:val="669259D6"/>
    <w:rsid w:val="66AF52E3"/>
    <w:rsid w:val="66BF4894"/>
    <w:rsid w:val="66C23257"/>
    <w:rsid w:val="66C97BDC"/>
    <w:rsid w:val="66FF2696"/>
    <w:rsid w:val="672F2CB5"/>
    <w:rsid w:val="67344EEE"/>
    <w:rsid w:val="67512CD4"/>
    <w:rsid w:val="676644C1"/>
    <w:rsid w:val="679623CC"/>
    <w:rsid w:val="67AA1BD4"/>
    <w:rsid w:val="67B03E1C"/>
    <w:rsid w:val="67B63ADD"/>
    <w:rsid w:val="67BA24F7"/>
    <w:rsid w:val="67BD327A"/>
    <w:rsid w:val="67BE743F"/>
    <w:rsid w:val="67DD5CD3"/>
    <w:rsid w:val="67F4187F"/>
    <w:rsid w:val="67FD6F7B"/>
    <w:rsid w:val="680349A7"/>
    <w:rsid w:val="68046717"/>
    <w:rsid w:val="68282FC4"/>
    <w:rsid w:val="683B6C01"/>
    <w:rsid w:val="68522D85"/>
    <w:rsid w:val="68552A33"/>
    <w:rsid w:val="68581A6B"/>
    <w:rsid w:val="689A650C"/>
    <w:rsid w:val="68A1661F"/>
    <w:rsid w:val="68C9427C"/>
    <w:rsid w:val="68E0788A"/>
    <w:rsid w:val="69082581"/>
    <w:rsid w:val="6910135B"/>
    <w:rsid w:val="69162D19"/>
    <w:rsid w:val="69306998"/>
    <w:rsid w:val="693717F2"/>
    <w:rsid w:val="69442FE9"/>
    <w:rsid w:val="695A3AF9"/>
    <w:rsid w:val="696145BC"/>
    <w:rsid w:val="696463EB"/>
    <w:rsid w:val="69734D74"/>
    <w:rsid w:val="697B6A64"/>
    <w:rsid w:val="69862CE3"/>
    <w:rsid w:val="6986629D"/>
    <w:rsid w:val="69D76785"/>
    <w:rsid w:val="69EC155B"/>
    <w:rsid w:val="6A152EFB"/>
    <w:rsid w:val="6A3F2D2E"/>
    <w:rsid w:val="6A425CD3"/>
    <w:rsid w:val="6A5F0006"/>
    <w:rsid w:val="6A7925A8"/>
    <w:rsid w:val="6A830B01"/>
    <w:rsid w:val="6A8A41CB"/>
    <w:rsid w:val="6A976A33"/>
    <w:rsid w:val="6A9D6E15"/>
    <w:rsid w:val="6AA54363"/>
    <w:rsid w:val="6AB24160"/>
    <w:rsid w:val="6ABA4896"/>
    <w:rsid w:val="6AD206F4"/>
    <w:rsid w:val="6ADF1F96"/>
    <w:rsid w:val="6AF77BC8"/>
    <w:rsid w:val="6B000B6C"/>
    <w:rsid w:val="6B050FD0"/>
    <w:rsid w:val="6B0E317F"/>
    <w:rsid w:val="6B216572"/>
    <w:rsid w:val="6B277DA2"/>
    <w:rsid w:val="6B501A20"/>
    <w:rsid w:val="6B592A06"/>
    <w:rsid w:val="6B601C74"/>
    <w:rsid w:val="6B752969"/>
    <w:rsid w:val="6B814F29"/>
    <w:rsid w:val="6B870A98"/>
    <w:rsid w:val="6B9F4803"/>
    <w:rsid w:val="6BD73C64"/>
    <w:rsid w:val="6BF43D27"/>
    <w:rsid w:val="6C1B0E01"/>
    <w:rsid w:val="6C1F7BCC"/>
    <w:rsid w:val="6C4145B4"/>
    <w:rsid w:val="6C5972A7"/>
    <w:rsid w:val="6C6047AE"/>
    <w:rsid w:val="6C672D36"/>
    <w:rsid w:val="6C733352"/>
    <w:rsid w:val="6C7C747A"/>
    <w:rsid w:val="6CD400B2"/>
    <w:rsid w:val="6CE97BF1"/>
    <w:rsid w:val="6D404CA9"/>
    <w:rsid w:val="6D472903"/>
    <w:rsid w:val="6D723243"/>
    <w:rsid w:val="6D78793E"/>
    <w:rsid w:val="6D9E2848"/>
    <w:rsid w:val="6DA34920"/>
    <w:rsid w:val="6DA9096F"/>
    <w:rsid w:val="6DB0280C"/>
    <w:rsid w:val="6DB1336D"/>
    <w:rsid w:val="6DE97DFA"/>
    <w:rsid w:val="6DF92ABB"/>
    <w:rsid w:val="6DFC1659"/>
    <w:rsid w:val="6E044FCF"/>
    <w:rsid w:val="6E0B6526"/>
    <w:rsid w:val="6E0E1276"/>
    <w:rsid w:val="6E1A137E"/>
    <w:rsid w:val="6E3E507C"/>
    <w:rsid w:val="6E4228F4"/>
    <w:rsid w:val="6E5E44CA"/>
    <w:rsid w:val="6E5E6AE5"/>
    <w:rsid w:val="6E915B2B"/>
    <w:rsid w:val="6EA0426C"/>
    <w:rsid w:val="6EB73738"/>
    <w:rsid w:val="6ECF3481"/>
    <w:rsid w:val="6EE258B6"/>
    <w:rsid w:val="6EE33B44"/>
    <w:rsid w:val="6EEF486F"/>
    <w:rsid w:val="6EF401C3"/>
    <w:rsid w:val="6F1E572C"/>
    <w:rsid w:val="6F1E67F9"/>
    <w:rsid w:val="6F3B5009"/>
    <w:rsid w:val="6F4E55B4"/>
    <w:rsid w:val="6F4F7EE5"/>
    <w:rsid w:val="6F7C56EC"/>
    <w:rsid w:val="6F99794B"/>
    <w:rsid w:val="6FAB786B"/>
    <w:rsid w:val="6FAD5482"/>
    <w:rsid w:val="6FC2332A"/>
    <w:rsid w:val="6FD43EFC"/>
    <w:rsid w:val="6FD50C02"/>
    <w:rsid w:val="70167118"/>
    <w:rsid w:val="70254322"/>
    <w:rsid w:val="702F65E6"/>
    <w:rsid w:val="705010AC"/>
    <w:rsid w:val="705F560F"/>
    <w:rsid w:val="706711CC"/>
    <w:rsid w:val="707A5A81"/>
    <w:rsid w:val="70A5017C"/>
    <w:rsid w:val="70A95B73"/>
    <w:rsid w:val="70F62ADA"/>
    <w:rsid w:val="70F9025B"/>
    <w:rsid w:val="70FE2D47"/>
    <w:rsid w:val="71071084"/>
    <w:rsid w:val="71075340"/>
    <w:rsid w:val="7126257A"/>
    <w:rsid w:val="7129391D"/>
    <w:rsid w:val="713C7E5B"/>
    <w:rsid w:val="71694FD9"/>
    <w:rsid w:val="717E46EB"/>
    <w:rsid w:val="71817136"/>
    <w:rsid w:val="71925D1D"/>
    <w:rsid w:val="71AF2210"/>
    <w:rsid w:val="71CA0D5E"/>
    <w:rsid w:val="71DB5A01"/>
    <w:rsid w:val="721915C9"/>
    <w:rsid w:val="721B753E"/>
    <w:rsid w:val="72285892"/>
    <w:rsid w:val="723138DA"/>
    <w:rsid w:val="724D3390"/>
    <w:rsid w:val="72577CDB"/>
    <w:rsid w:val="726D363D"/>
    <w:rsid w:val="726F39E2"/>
    <w:rsid w:val="727F2BF1"/>
    <w:rsid w:val="7291426D"/>
    <w:rsid w:val="729736F6"/>
    <w:rsid w:val="72A72EF0"/>
    <w:rsid w:val="72BE185C"/>
    <w:rsid w:val="72C1068E"/>
    <w:rsid w:val="72CE2F89"/>
    <w:rsid w:val="72EC4945"/>
    <w:rsid w:val="730640FD"/>
    <w:rsid w:val="730F547D"/>
    <w:rsid w:val="730F56F4"/>
    <w:rsid w:val="731745A4"/>
    <w:rsid w:val="733539C1"/>
    <w:rsid w:val="733D5BF9"/>
    <w:rsid w:val="735348AA"/>
    <w:rsid w:val="7361714C"/>
    <w:rsid w:val="736D650D"/>
    <w:rsid w:val="736F4CA0"/>
    <w:rsid w:val="738E2B4B"/>
    <w:rsid w:val="73916DD4"/>
    <w:rsid w:val="739C40DD"/>
    <w:rsid w:val="739F4721"/>
    <w:rsid w:val="73AD290B"/>
    <w:rsid w:val="73B93D66"/>
    <w:rsid w:val="73C17A50"/>
    <w:rsid w:val="73D33243"/>
    <w:rsid w:val="73D4049D"/>
    <w:rsid w:val="73DD3E20"/>
    <w:rsid w:val="73E2566E"/>
    <w:rsid w:val="73F2290F"/>
    <w:rsid w:val="73FD1032"/>
    <w:rsid w:val="741930C3"/>
    <w:rsid w:val="743D2D86"/>
    <w:rsid w:val="744805BD"/>
    <w:rsid w:val="744A3664"/>
    <w:rsid w:val="744D6CBF"/>
    <w:rsid w:val="74643211"/>
    <w:rsid w:val="74655062"/>
    <w:rsid w:val="746F4E37"/>
    <w:rsid w:val="747F51EF"/>
    <w:rsid w:val="748F4977"/>
    <w:rsid w:val="749A2D3C"/>
    <w:rsid w:val="74AD131B"/>
    <w:rsid w:val="74D62315"/>
    <w:rsid w:val="74DF6994"/>
    <w:rsid w:val="750055AC"/>
    <w:rsid w:val="75063B1B"/>
    <w:rsid w:val="750A66F9"/>
    <w:rsid w:val="75273D41"/>
    <w:rsid w:val="758A653E"/>
    <w:rsid w:val="75961649"/>
    <w:rsid w:val="75A00FB4"/>
    <w:rsid w:val="75B400F6"/>
    <w:rsid w:val="75CF5209"/>
    <w:rsid w:val="75D950F9"/>
    <w:rsid w:val="760C57AA"/>
    <w:rsid w:val="76163BCE"/>
    <w:rsid w:val="761B0B1B"/>
    <w:rsid w:val="7628188A"/>
    <w:rsid w:val="765062A0"/>
    <w:rsid w:val="7663289D"/>
    <w:rsid w:val="76790ADF"/>
    <w:rsid w:val="768E7646"/>
    <w:rsid w:val="76A26E06"/>
    <w:rsid w:val="76B2276B"/>
    <w:rsid w:val="76BB585B"/>
    <w:rsid w:val="76D96FB9"/>
    <w:rsid w:val="76E94E87"/>
    <w:rsid w:val="76F20DF1"/>
    <w:rsid w:val="77106EBA"/>
    <w:rsid w:val="77163160"/>
    <w:rsid w:val="77214A06"/>
    <w:rsid w:val="77215136"/>
    <w:rsid w:val="772B5EA8"/>
    <w:rsid w:val="77454297"/>
    <w:rsid w:val="777D19FE"/>
    <w:rsid w:val="778871A2"/>
    <w:rsid w:val="77921AE7"/>
    <w:rsid w:val="77A410DD"/>
    <w:rsid w:val="77C37958"/>
    <w:rsid w:val="77D508C0"/>
    <w:rsid w:val="77F3010A"/>
    <w:rsid w:val="780633D3"/>
    <w:rsid w:val="78631056"/>
    <w:rsid w:val="786D0427"/>
    <w:rsid w:val="78737360"/>
    <w:rsid w:val="78974FFF"/>
    <w:rsid w:val="78B3330A"/>
    <w:rsid w:val="78E368F2"/>
    <w:rsid w:val="793D4ABD"/>
    <w:rsid w:val="79492CDF"/>
    <w:rsid w:val="79802F5F"/>
    <w:rsid w:val="798749BE"/>
    <w:rsid w:val="798E7305"/>
    <w:rsid w:val="79BA618A"/>
    <w:rsid w:val="79C4400F"/>
    <w:rsid w:val="7A001C0B"/>
    <w:rsid w:val="7A2351C7"/>
    <w:rsid w:val="7A3E739D"/>
    <w:rsid w:val="7A6A0313"/>
    <w:rsid w:val="7A8E6064"/>
    <w:rsid w:val="7AB13763"/>
    <w:rsid w:val="7AD043A4"/>
    <w:rsid w:val="7AED691F"/>
    <w:rsid w:val="7AF0153E"/>
    <w:rsid w:val="7AF75B8C"/>
    <w:rsid w:val="7B2A6400"/>
    <w:rsid w:val="7B314879"/>
    <w:rsid w:val="7B3E431F"/>
    <w:rsid w:val="7B5778B1"/>
    <w:rsid w:val="7B6B503D"/>
    <w:rsid w:val="7B783589"/>
    <w:rsid w:val="7B8B3E2D"/>
    <w:rsid w:val="7B8C6F4A"/>
    <w:rsid w:val="7B8D3EC5"/>
    <w:rsid w:val="7BE12942"/>
    <w:rsid w:val="7BE71E9D"/>
    <w:rsid w:val="7C130F84"/>
    <w:rsid w:val="7C161AE6"/>
    <w:rsid w:val="7C3743DA"/>
    <w:rsid w:val="7C505E7A"/>
    <w:rsid w:val="7C851534"/>
    <w:rsid w:val="7C882158"/>
    <w:rsid w:val="7C8E0964"/>
    <w:rsid w:val="7C973094"/>
    <w:rsid w:val="7CA43F68"/>
    <w:rsid w:val="7CA91C4F"/>
    <w:rsid w:val="7CAD2604"/>
    <w:rsid w:val="7CD56075"/>
    <w:rsid w:val="7CE771D7"/>
    <w:rsid w:val="7D06381E"/>
    <w:rsid w:val="7D0C4762"/>
    <w:rsid w:val="7D2B6B73"/>
    <w:rsid w:val="7D2C4A96"/>
    <w:rsid w:val="7D2E3A96"/>
    <w:rsid w:val="7D3578D6"/>
    <w:rsid w:val="7D49333C"/>
    <w:rsid w:val="7D6E66D5"/>
    <w:rsid w:val="7D7D108B"/>
    <w:rsid w:val="7D8C0CB6"/>
    <w:rsid w:val="7D9F16FD"/>
    <w:rsid w:val="7DBB12A7"/>
    <w:rsid w:val="7DC33BE2"/>
    <w:rsid w:val="7DCF183C"/>
    <w:rsid w:val="7DD86355"/>
    <w:rsid w:val="7DDB2C21"/>
    <w:rsid w:val="7DE70D9D"/>
    <w:rsid w:val="7DED64A1"/>
    <w:rsid w:val="7DEF258E"/>
    <w:rsid w:val="7DF52A8D"/>
    <w:rsid w:val="7E013C02"/>
    <w:rsid w:val="7E015A30"/>
    <w:rsid w:val="7E0E140A"/>
    <w:rsid w:val="7E1E15DD"/>
    <w:rsid w:val="7E2B53AE"/>
    <w:rsid w:val="7E2E19B0"/>
    <w:rsid w:val="7E63691E"/>
    <w:rsid w:val="7E814A68"/>
    <w:rsid w:val="7E900B7E"/>
    <w:rsid w:val="7E99309E"/>
    <w:rsid w:val="7EB7298D"/>
    <w:rsid w:val="7EC15ADF"/>
    <w:rsid w:val="7EC7328B"/>
    <w:rsid w:val="7EC81C49"/>
    <w:rsid w:val="7ED7341E"/>
    <w:rsid w:val="7EEB51F6"/>
    <w:rsid w:val="7EED1710"/>
    <w:rsid w:val="7F124B9B"/>
    <w:rsid w:val="7F3B13D4"/>
    <w:rsid w:val="7F582019"/>
    <w:rsid w:val="7F596ADA"/>
    <w:rsid w:val="7F6678BE"/>
    <w:rsid w:val="7F8419B7"/>
    <w:rsid w:val="7F9528CE"/>
    <w:rsid w:val="7FC0112C"/>
    <w:rsid w:val="7FC8149F"/>
    <w:rsid w:val="7FCF3BB2"/>
    <w:rsid w:val="7FD94153"/>
    <w:rsid w:val="7FF70B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4"/>
    <w:link w:val="93"/>
    <w:qFormat/>
    <w:uiPriority w:val="0"/>
    <w:pPr>
      <w:keepNext/>
      <w:keepLines/>
      <w:adjustRightInd w:val="0"/>
      <w:snapToGrid w:val="0"/>
      <w:spacing w:before="156" w:beforeLines="50" w:line="360" w:lineRule="auto"/>
      <w:jc w:val="left"/>
      <w:outlineLvl w:val="0"/>
    </w:pPr>
    <w:rPr>
      <w:rFonts w:eastAsia="黑体"/>
      <w:b/>
      <w:kern w:val="44"/>
      <w:sz w:val="32"/>
    </w:rPr>
  </w:style>
  <w:style w:type="paragraph" w:styleId="5">
    <w:name w:val="heading 2"/>
    <w:basedOn w:val="1"/>
    <w:next w:val="1"/>
    <w:link w:val="65"/>
    <w:qFormat/>
    <w:uiPriority w:val="0"/>
    <w:pPr>
      <w:keepNext/>
      <w:keepLines/>
      <w:tabs>
        <w:tab w:val="left" w:pos="630"/>
      </w:tabs>
      <w:spacing w:before="260" w:after="120" w:line="360" w:lineRule="auto"/>
      <w:ind w:left="936" w:hanging="576"/>
      <w:outlineLvl w:val="1"/>
    </w:pPr>
    <w:rPr>
      <w:b/>
      <w:sz w:val="32"/>
    </w:rPr>
  </w:style>
  <w:style w:type="paragraph" w:styleId="6">
    <w:name w:val="heading 3"/>
    <w:basedOn w:val="1"/>
    <w:next w:val="7"/>
    <w:link w:val="115"/>
    <w:qFormat/>
    <w:uiPriority w:val="0"/>
    <w:pPr>
      <w:keepNext/>
      <w:keepLines/>
      <w:spacing w:before="260" w:after="260" w:line="416" w:lineRule="auto"/>
      <w:outlineLvl w:val="2"/>
    </w:pPr>
    <w:rPr>
      <w:b/>
      <w:bCs/>
      <w:sz w:val="32"/>
      <w:szCs w:val="32"/>
    </w:rPr>
  </w:style>
  <w:style w:type="paragraph" w:styleId="8">
    <w:name w:val="heading 4"/>
    <w:basedOn w:val="1"/>
    <w:next w:val="1"/>
    <w:link w:val="114"/>
    <w:qFormat/>
    <w:uiPriority w:val="0"/>
    <w:pPr>
      <w:keepNext/>
      <w:keepLines/>
      <w:widowControl/>
      <w:adjustRightInd w:val="0"/>
      <w:snapToGrid w:val="0"/>
      <w:spacing w:before="280" w:after="290" w:line="376" w:lineRule="auto"/>
      <w:jc w:val="left"/>
      <w:outlineLvl w:val="3"/>
    </w:pPr>
    <w:rPr>
      <w:rFonts w:ascii="Cambria" w:hAnsi="Cambria"/>
      <w:b/>
      <w:bCs/>
      <w:kern w:val="0"/>
      <w:sz w:val="28"/>
      <w:szCs w:val="28"/>
    </w:rPr>
  </w:style>
  <w:style w:type="character" w:default="1" w:styleId="42">
    <w:name w:val="Default Paragraph Font"/>
    <w:link w:val="43"/>
    <w:semiHidden/>
    <w:unhideWhenUsed/>
    <w:qFormat/>
    <w:uiPriority w:val="1"/>
    <w:rPr>
      <w:rFonts w:ascii="Calibri" w:hAnsi="Calibri"/>
      <w:szCs w:val="22"/>
    </w:rPr>
  </w:style>
  <w:style w:type="table" w:default="1" w:styleId="39">
    <w:name w:val="Normal Table"/>
    <w:semiHidden/>
    <w:unhideWhenUsed/>
    <w:qFormat/>
    <w:uiPriority w:val="99"/>
    <w:tblPr>
      <w:tblCellMar>
        <w:top w:w="0" w:type="dxa"/>
        <w:left w:w="108" w:type="dxa"/>
        <w:bottom w:w="0" w:type="dxa"/>
        <w:right w:w="108" w:type="dxa"/>
      </w:tblCellMar>
    </w:tblPr>
  </w:style>
  <w:style w:type="paragraph" w:customStyle="1" w:styleId="2">
    <w:name w:val="Default"/>
    <w:link w:val="89"/>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styleId="4">
    <w:name w:val="Body Text First Indent"/>
    <w:basedOn w:val="1"/>
    <w:next w:val="1"/>
    <w:link w:val="100"/>
    <w:qFormat/>
    <w:uiPriority w:val="0"/>
    <w:pPr>
      <w:adjustRightInd w:val="0"/>
      <w:snapToGrid w:val="0"/>
      <w:spacing w:before="156" w:beforeLines="50" w:after="0" w:line="360" w:lineRule="auto"/>
      <w:ind w:firstLine="200" w:firstLineChars="200"/>
    </w:pPr>
    <w:rPr>
      <w:sz w:val="24"/>
    </w:rPr>
  </w:style>
  <w:style w:type="paragraph" w:styleId="7">
    <w:name w:val="Normal Indent"/>
    <w:basedOn w:val="1"/>
    <w:link w:val="72"/>
    <w:qFormat/>
    <w:uiPriority w:val="0"/>
    <w:pPr>
      <w:jc w:val="center"/>
    </w:pPr>
    <w:rPr>
      <w:rFonts w:eastAsia="黑体"/>
      <w:sz w:val="24"/>
      <w:szCs w:val="21"/>
    </w:rPr>
  </w:style>
  <w:style w:type="paragraph" w:styleId="9">
    <w:name w:val="toc 7"/>
    <w:basedOn w:val="1"/>
    <w:next w:val="1"/>
    <w:qFormat/>
    <w:uiPriority w:val="0"/>
    <w:pPr>
      <w:ind w:left="2520" w:leftChars="1200"/>
    </w:pPr>
    <w:rPr>
      <w:szCs w:val="24"/>
    </w:rPr>
  </w:style>
  <w:style w:type="paragraph" w:styleId="10">
    <w:name w:val="Note Heading"/>
    <w:basedOn w:val="1"/>
    <w:next w:val="1"/>
    <w:qFormat/>
    <w:uiPriority w:val="0"/>
    <w:pPr>
      <w:jc w:val="center"/>
    </w:pPr>
  </w:style>
  <w:style w:type="paragraph" w:styleId="11">
    <w:name w:val="caption"/>
    <w:basedOn w:val="1"/>
    <w:next w:val="1"/>
    <w:qFormat/>
    <w:uiPriority w:val="0"/>
    <w:pPr>
      <w:adjustRightInd w:val="0"/>
      <w:snapToGrid w:val="0"/>
      <w:spacing w:line="360" w:lineRule="auto"/>
      <w:jc w:val="left"/>
    </w:pPr>
    <w:rPr>
      <w:rFonts w:eastAsia="黑体"/>
      <w:sz w:val="24"/>
    </w:rPr>
  </w:style>
  <w:style w:type="paragraph" w:styleId="12">
    <w:name w:val="List Bullet"/>
    <w:basedOn w:val="1"/>
    <w:qFormat/>
    <w:uiPriority w:val="0"/>
    <w:pPr>
      <w:numPr>
        <w:ilvl w:val="0"/>
        <w:numId w:val="1"/>
      </w:numPr>
      <w:tabs>
        <w:tab w:val="left" w:pos="360"/>
      </w:tabs>
    </w:pPr>
  </w:style>
  <w:style w:type="paragraph" w:styleId="13">
    <w:name w:val="Document Map"/>
    <w:basedOn w:val="1"/>
    <w:semiHidden/>
    <w:qFormat/>
    <w:uiPriority w:val="0"/>
    <w:pPr>
      <w:shd w:val="clear" w:color="auto" w:fill="000080"/>
    </w:pPr>
  </w:style>
  <w:style w:type="paragraph" w:styleId="14">
    <w:name w:val="annotation text"/>
    <w:basedOn w:val="1"/>
    <w:link w:val="71"/>
    <w:qFormat/>
    <w:uiPriority w:val="0"/>
    <w:pPr>
      <w:jc w:val="left"/>
    </w:pPr>
  </w:style>
  <w:style w:type="paragraph" w:styleId="15">
    <w:name w:val="Body Text"/>
    <w:basedOn w:val="1"/>
    <w:next w:val="1"/>
    <w:link w:val="61"/>
    <w:qFormat/>
    <w:uiPriority w:val="0"/>
    <w:pPr>
      <w:spacing w:after="120"/>
    </w:pPr>
  </w:style>
  <w:style w:type="paragraph" w:styleId="16">
    <w:name w:val="Body Text Indent"/>
    <w:basedOn w:val="1"/>
    <w:link w:val="63"/>
    <w:qFormat/>
    <w:uiPriority w:val="0"/>
    <w:pPr>
      <w:spacing w:after="120"/>
      <w:ind w:left="420" w:leftChars="200"/>
    </w:pPr>
  </w:style>
  <w:style w:type="paragraph" w:styleId="17">
    <w:name w:val="Block Text"/>
    <w:basedOn w:val="1"/>
    <w:qFormat/>
    <w:uiPriority w:val="0"/>
    <w:pPr>
      <w:spacing w:line="500" w:lineRule="exact"/>
      <w:ind w:left="-105" w:leftChars="-50" w:right="-105" w:rightChars="-50"/>
      <w:jc w:val="center"/>
    </w:pPr>
    <w:rPr>
      <w:rFonts w:eastAsia="仿宋_GB2312"/>
      <w:sz w:val="28"/>
      <w:szCs w:val="24"/>
    </w:rPr>
  </w:style>
  <w:style w:type="paragraph" w:styleId="18">
    <w:name w:val="toc 5"/>
    <w:basedOn w:val="1"/>
    <w:next w:val="1"/>
    <w:qFormat/>
    <w:uiPriority w:val="0"/>
    <w:pPr>
      <w:ind w:left="1680" w:leftChars="800"/>
    </w:pPr>
    <w:rPr>
      <w:szCs w:val="24"/>
    </w:rPr>
  </w:style>
  <w:style w:type="paragraph" w:styleId="19">
    <w:name w:val="toc 3"/>
    <w:basedOn w:val="1"/>
    <w:next w:val="1"/>
    <w:qFormat/>
    <w:uiPriority w:val="0"/>
    <w:pPr>
      <w:ind w:left="840" w:leftChars="400"/>
    </w:pPr>
    <w:rPr>
      <w:szCs w:val="24"/>
    </w:rPr>
  </w:style>
  <w:style w:type="paragraph" w:styleId="20">
    <w:name w:val="Plain Text"/>
    <w:basedOn w:val="1"/>
    <w:link w:val="67"/>
    <w:qFormat/>
    <w:uiPriority w:val="0"/>
    <w:rPr>
      <w:rFonts w:ascii="宋体" w:hAnsi="Courier New"/>
    </w:rPr>
  </w:style>
  <w:style w:type="paragraph" w:styleId="21">
    <w:name w:val="toc 8"/>
    <w:basedOn w:val="1"/>
    <w:next w:val="1"/>
    <w:qFormat/>
    <w:uiPriority w:val="0"/>
    <w:pPr>
      <w:ind w:left="2940" w:leftChars="1400"/>
    </w:pPr>
    <w:rPr>
      <w:szCs w:val="24"/>
    </w:rPr>
  </w:style>
  <w:style w:type="paragraph" w:styleId="22">
    <w:name w:val="Date"/>
    <w:basedOn w:val="1"/>
    <w:next w:val="1"/>
    <w:qFormat/>
    <w:uiPriority w:val="0"/>
    <w:pPr>
      <w:ind w:left="100" w:leftChars="2500"/>
    </w:pPr>
  </w:style>
  <w:style w:type="paragraph" w:styleId="23">
    <w:name w:val="Body Text Indent 2"/>
    <w:basedOn w:val="1"/>
    <w:qFormat/>
    <w:uiPriority w:val="0"/>
    <w:pPr>
      <w:spacing w:after="120" w:line="480" w:lineRule="auto"/>
      <w:ind w:left="420" w:leftChars="200"/>
    </w:pPr>
  </w:style>
  <w:style w:type="paragraph" w:styleId="24">
    <w:name w:val="Balloon Text"/>
    <w:basedOn w:val="1"/>
    <w:link w:val="86"/>
    <w:qFormat/>
    <w:uiPriority w:val="0"/>
    <w:rPr>
      <w:sz w:val="18"/>
      <w:szCs w:val="18"/>
    </w:rPr>
  </w:style>
  <w:style w:type="paragraph" w:styleId="25">
    <w:name w:val="footer"/>
    <w:basedOn w:val="1"/>
    <w:link w:val="102"/>
    <w:qFormat/>
    <w:uiPriority w:val="99"/>
    <w:pPr>
      <w:tabs>
        <w:tab w:val="center" w:pos="4153"/>
        <w:tab w:val="right" w:pos="8306"/>
      </w:tabs>
      <w:snapToGrid w:val="0"/>
      <w:jc w:val="left"/>
    </w:pPr>
    <w:rPr>
      <w:sz w:val="18"/>
    </w:rPr>
  </w:style>
  <w:style w:type="paragraph" w:styleId="26">
    <w:name w:val="header"/>
    <w:basedOn w:val="1"/>
    <w:qFormat/>
    <w:uiPriority w:val="0"/>
    <w:pPr>
      <w:pBdr>
        <w:bottom w:val="single" w:color="auto" w:sz="6" w:space="1"/>
      </w:pBdr>
      <w:tabs>
        <w:tab w:val="center" w:pos="4153"/>
        <w:tab w:val="right" w:pos="8306"/>
      </w:tabs>
      <w:snapToGrid w:val="0"/>
      <w:jc w:val="center"/>
    </w:pPr>
    <w:rPr>
      <w:sz w:val="18"/>
    </w:rPr>
  </w:style>
  <w:style w:type="paragraph" w:styleId="27">
    <w:name w:val="toc 1"/>
    <w:basedOn w:val="1"/>
    <w:next w:val="1"/>
    <w:qFormat/>
    <w:uiPriority w:val="39"/>
    <w:pPr>
      <w:tabs>
        <w:tab w:val="right" w:leader="dot" w:pos="8891"/>
      </w:tabs>
      <w:spacing w:line="360" w:lineRule="auto"/>
    </w:pPr>
    <w:rPr>
      <w:sz w:val="28"/>
    </w:rPr>
  </w:style>
  <w:style w:type="paragraph" w:styleId="28">
    <w:name w:val="toc 4"/>
    <w:basedOn w:val="1"/>
    <w:next w:val="1"/>
    <w:qFormat/>
    <w:uiPriority w:val="0"/>
    <w:pPr>
      <w:ind w:left="1260" w:leftChars="600"/>
    </w:pPr>
    <w:rPr>
      <w:szCs w:val="24"/>
    </w:rPr>
  </w:style>
  <w:style w:type="paragraph" w:styleId="29">
    <w:name w:val="List Number 5"/>
    <w:basedOn w:val="1"/>
    <w:qFormat/>
    <w:uiPriority w:val="0"/>
    <w:pPr>
      <w:numPr>
        <w:ilvl w:val="0"/>
        <w:numId w:val="2"/>
      </w:numPr>
      <w:tabs>
        <w:tab w:val="left" w:pos="2040"/>
      </w:tabs>
    </w:pPr>
  </w:style>
  <w:style w:type="paragraph" w:styleId="30">
    <w:name w:val="List"/>
    <w:basedOn w:val="1"/>
    <w:qFormat/>
    <w:uiPriority w:val="0"/>
    <w:pPr>
      <w:widowControl/>
      <w:ind w:left="200" w:hanging="200" w:hangingChars="200"/>
      <w:jc w:val="left"/>
    </w:pPr>
    <w:rPr>
      <w:rFonts w:ascii="宋体" w:hAnsi="宋体" w:cs="宋体"/>
      <w:kern w:val="0"/>
      <w:sz w:val="24"/>
      <w:szCs w:val="24"/>
    </w:rPr>
  </w:style>
  <w:style w:type="paragraph" w:styleId="31">
    <w:name w:val="toc 6"/>
    <w:basedOn w:val="1"/>
    <w:next w:val="1"/>
    <w:qFormat/>
    <w:uiPriority w:val="0"/>
    <w:pPr>
      <w:ind w:left="2100" w:leftChars="1000"/>
    </w:pPr>
    <w:rPr>
      <w:szCs w:val="24"/>
    </w:rPr>
  </w:style>
  <w:style w:type="paragraph" w:styleId="32">
    <w:name w:val="Body Text Indent 3"/>
    <w:basedOn w:val="1"/>
    <w:qFormat/>
    <w:uiPriority w:val="0"/>
    <w:pPr>
      <w:spacing w:after="120"/>
      <w:ind w:left="420" w:leftChars="200"/>
    </w:pPr>
    <w:rPr>
      <w:sz w:val="16"/>
      <w:szCs w:val="16"/>
    </w:rPr>
  </w:style>
  <w:style w:type="paragraph" w:styleId="33">
    <w:name w:val="toc 2"/>
    <w:basedOn w:val="1"/>
    <w:next w:val="1"/>
    <w:qFormat/>
    <w:uiPriority w:val="0"/>
    <w:pPr>
      <w:ind w:left="420" w:leftChars="200"/>
    </w:pPr>
    <w:rPr>
      <w:szCs w:val="24"/>
    </w:rPr>
  </w:style>
  <w:style w:type="paragraph" w:styleId="34">
    <w:name w:val="toc 9"/>
    <w:basedOn w:val="1"/>
    <w:next w:val="1"/>
    <w:qFormat/>
    <w:uiPriority w:val="0"/>
    <w:pPr>
      <w:ind w:left="3360" w:leftChars="1600"/>
    </w:pPr>
    <w:rPr>
      <w:szCs w:val="24"/>
    </w:rPr>
  </w:style>
  <w:style w:type="paragraph" w:styleId="35">
    <w:name w:val="Body Text 2"/>
    <w:basedOn w:val="1"/>
    <w:qFormat/>
    <w:uiPriority w:val="0"/>
    <w:pPr>
      <w:spacing w:after="120" w:line="480" w:lineRule="auto"/>
    </w:pPr>
  </w:style>
  <w:style w:type="paragraph" w:styleId="36">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paragraph" w:styleId="37">
    <w:name w:val="annotation subject"/>
    <w:basedOn w:val="14"/>
    <w:next w:val="14"/>
    <w:link w:val="83"/>
    <w:qFormat/>
    <w:uiPriority w:val="0"/>
    <w:rPr>
      <w:b/>
      <w:bCs/>
    </w:rPr>
  </w:style>
  <w:style w:type="paragraph" w:styleId="38">
    <w:name w:val="Body Text First Indent 2"/>
    <w:basedOn w:val="16"/>
    <w:qFormat/>
    <w:uiPriority w:val="0"/>
    <w:pPr>
      <w:ind w:firstLine="420" w:firstLineChars="200"/>
    </w:pPr>
  </w:style>
  <w:style w:type="table" w:styleId="40">
    <w:name w:val="Table Grid"/>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1">
    <w:name w:val="Table Grid 5"/>
    <w:basedOn w:val="39"/>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paragraph" w:customStyle="1" w:styleId="43">
    <w:name w:val="默认段落字体 Para Char Char Char Char Char Char Char"/>
    <w:basedOn w:val="1"/>
    <w:link w:val="42"/>
    <w:qFormat/>
    <w:uiPriority w:val="0"/>
    <w:rPr>
      <w:rFonts w:ascii="Calibri" w:hAnsi="Calibri"/>
      <w:szCs w:val="22"/>
    </w:rPr>
  </w:style>
  <w:style w:type="character" w:styleId="44">
    <w:name w:val="Strong"/>
    <w:qFormat/>
    <w:uiPriority w:val="0"/>
    <w:rPr>
      <w:b/>
      <w:bCs/>
    </w:rPr>
  </w:style>
  <w:style w:type="character" w:styleId="45">
    <w:name w:val="page number"/>
    <w:basedOn w:val="42"/>
    <w:qFormat/>
    <w:uiPriority w:val="0"/>
  </w:style>
  <w:style w:type="character" w:styleId="46">
    <w:name w:val="FollowedHyperlink"/>
    <w:qFormat/>
    <w:uiPriority w:val="0"/>
    <w:rPr>
      <w:color w:val="800080"/>
      <w:u w:val="none"/>
    </w:rPr>
  </w:style>
  <w:style w:type="character" w:styleId="47">
    <w:name w:val="Emphasis"/>
    <w:qFormat/>
    <w:uiPriority w:val="0"/>
    <w:rPr>
      <w:i/>
    </w:rPr>
  </w:style>
  <w:style w:type="character" w:styleId="48">
    <w:name w:val="Hyperlink"/>
    <w:qFormat/>
    <w:uiPriority w:val="99"/>
    <w:rPr>
      <w:color w:val="0000FF"/>
      <w:u w:val="none"/>
    </w:rPr>
  </w:style>
  <w:style w:type="character" w:styleId="49">
    <w:name w:val="annotation reference"/>
    <w:basedOn w:val="42"/>
    <w:qFormat/>
    <w:uiPriority w:val="0"/>
    <w:rPr>
      <w:sz w:val="21"/>
      <w:szCs w:val="21"/>
    </w:rPr>
  </w:style>
  <w:style w:type="paragraph" w:customStyle="1" w:styleId="50">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51">
    <w:name w:val="四级条标题"/>
    <w:basedOn w:val="52"/>
    <w:next w:val="56"/>
    <w:qFormat/>
    <w:uiPriority w:val="0"/>
    <w:pPr>
      <w:widowControl/>
      <w:numPr>
        <w:ilvl w:val="3"/>
        <w:numId w:val="0"/>
      </w:numPr>
      <w:outlineLvl w:val="5"/>
    </w:pPr>
    <w:rPr>
      <w:rFonts w:ascii="黑体" w:eastAsia="黑体"/>
      <w:kern w:val="0"/>
      <w:szCs w:val="20"/>
    </w:rPr>
  </w:style>
  <w:style w:type="paragraph" w:customStyle="1" w:styleId="52">
    <w:name w:val="三级条标题"/>
    <w:basedOn w:val="53"/>
    <w:next w:val="56"/>
    <w:qFormat/>
    <w:uiPriority w:val="0"/>
    <w:pPr>
      <w:numPr>
        <w:ilvl w:val="3"/>
        <w:numId w:val="0"/>
      </w:numPr>
      <w:outlineLvl w:val="4"/>
    </w:pPr>
  </w:style>
  <w:style w:type="paragraph" w:customStyle="1" w:styleId="53">
    <w:name w:val="二级条标题"/>
    <w:basedOn w:val="54"/>
    <w:next w:val="56"/>
    <w:qFormat/>
    <w:uiPriority w:val="0"/>
    <w:pPr>
      <w:numPr>
        <w:ilvl w:val="3"/>
        <w:numId w:val="3"/>
      </w:numPr>
      <w:outlineLvl w:val="3"/>
    </w:pPr>
  </w:style>
  <w:style w:type="paragraph" w:customStyle="1" w:styleId="54">
    <w:name w:val="一级条标题"/>
    <w:basedOn w:val="55"/>
    <w:next w:val="56"/>
    <w:qFormat/>
    <w:uiPriority w:val="0"/>
    <w:pPr>
      <w:numPr>
        <w:ilvl w:val="2"/>
        <w:numId w:val="3"/>
      </w:numPr>
      <w:spacing w:before="0" w:beforeLines="0" w:after="0" w:afterLines="0"/>
      <w:outlineLvl w:val="2"/>
    </w:pPr>
  </w:style>
  <w:style w:type="paragraph" w:customStyle="1" w:styleId="55">
    <w:name w:val="章标题"/>
    <w:next w:val="56"/>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56">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7">
    <w:name w:val="font51"/>
    <w:qFormat/>
    <w:uiPriority w:val="0"/>
    <w:rPr>
      <w:rFonts w:hint="eastAsia" w:ascii="宋体" w:hAnsi="宋体" w:eastAsia="宋体" w:cs="宋体"/>
      <w:color w:val="000000"/>
      <w:sz w:val="20"/>
      <w:szCs w:val="20"/>
      <w:u w:val="none"/>
    </w:rPr>
  </w:style>
  <w:style w:type="character" w:customStyle="1" w:styleId="58">
    <w:name w:val="Char Char6"/>
    <w:semiHidden/>
    <w:qFormat/>
    <w:locked/>
    <w:uiPriority w:val="0"/>
    <w:rPr>
      <w:rFonts w:ascii="宋体" w:hAnsi="宋体" w:eastAsia="宋体"/>
      <w:kern w:val="2"/>
      <w:sz w:val="18"/>
      <w:szCs w:val="18"/>
      <w:lang w:val="en-US" w:eastAsia="zh-CN" w:bidi="ar-SA"/>
    </w:rPr>
  </w:style>
  <w:style w:type="character" w:customStyle="1" w:styleId="59">
    <w:name w:val="表 Char"/>
    <w:link w:val="60"/>
    <w:qFormat/>
    <w:uiPriority w:val="0"/>
    <w:rPr>
      <w:sz w:val="24"/>
      <w:lang w:val="en-US" w:eastAsia="zh-CN" w:bidi="ar-SA"/>
    </w:rPr>
  </w:style>
  <w:style w:type="paragraph" w:customStyle="1" w:styleId="60">
    <w:name w:val="表"/>
    <w:link w:val="59"/>
    <w:qFormat/>
    <w:uiPriority w:val="0"/>
    <w:pPr>
      <w:spacing w:line="440" w:lineRule="exact"/>
      <w:ind w:firstLine="200" w:firstLineChars="200"/>
      <w:jc w:val="both"/>
    </w:pPr>
    <w:rPr>
      <w:rFonts w:ascii="Times New Roman" w:hAnsi="Times New Roman" w:eastAsia="宋体" w:cs="Times New Roman"/>
      <w:sz w:val="24"/>
      <w:lang w:val="en-US" w:eastAsia="zh-CN" w:bidi="ar-SA"/>
    </w:rPr>
  </w:style>
  <w:style w:type="character" w:customStyle="1" w:styleId="61">
    <w:name w:val="正文文本 字符"/>
    <w:link w:val="15"/>
    <w:qFormat/>
    <w:uiPriority w:val="0"/>
    <w:rPr>
      <w:kern w:val="2"/>
      <w:sz w:val="21"/>
    </w:rPr>
  </w:style>
  <w:style w:type="character" w:customStyle="1" w:styleId="62">
    <w:name w:val="postbody1"/>
    <w:qFormat/>
    <w:uiPriority w:val="0"/>
    <w:rPr>
      <w:sz w:val="21"/>
      <w:szCs w:val="21"/>
    </w:rPr>
  </w:style>
  <w:style w:type="character" w:customStyle="1" w:styleId="63">
    <w:name w:val="正文文本缩进 字符"/>
    <w:link w:val="16"/>
    <w:qFormat/>
    <w:uiPriority w:val="0"/>
    <w:rPr>
      <w:kern w:val="2"/>
      <w:sz w:val="21"/>
    </w:rPr>
  </w:style>
  <w:style w:type="character" w:customStyle="1" w:styleId="64">
    <w:name w:val="font31"/>
    <w:basedOn w:val="42"/>
    <w:qFormat/>
    <w:uiPriority w:val="0"/>
    <w:rPr>
      <w:rFonts w:hint="default" w:ascii="Times New Roman" w:hAnsi="Times New Roman" w:cs="Times New Roman"/>
      <w:color w:val="000000"/>
      <w:sz w:val="21"/>
      <w:szCs w:val="21"/>
      <w:u w:val="none"/>
    </w:rPr>
  </w:style>
  <w:style w:type="character" w:customStyle="1" w:styleId="65">
    <w:name w:val="标题 2 字符"/>
    <w:link w:val="5"/>
    <w:qFormat/>
    <w:uiPriority w:val="0"/>
    <w:rPr>
      <w:b/>
      <w:kern w:val="2"/>
      <w:sz w:val="32"/>
    </w:rPr>
  </w:style>
  <w:style w:type="character" w:customStyle="1" w:styleId="66">
    <w:name w:val="普通文字 Char Char1"/>
    <w:qFormat/>
    <w:uiPriority w:val="0"/>
    <w:rPr>
      <w:rFonts w:ascii="宋体" w:hAnsi="Courier New" w:eastAsia="宋体"/>
      <w:kern w:val="2"/>
      <w:sz w:val="21"/>
      <w:lang w:val="en-US" w:eastAsia="zh-CN" w:bidi="ar-SA"/>
    </w:rPr>
  </w:style>
  <w:style w:type="character" w:customStyle="1" w:styleId="67">
    <w:name w:val="纯文本 字符"/>
    <w:link w:val="20"/>
    <w:qFormat/>
    <w:uiPriority w:val="0"/>
    <w:rPr>
      <w:rFonts w:ascii="宋体" w:hAnsi="Courier New" w:eastAsia="宋体"/>
      <w:kern w:val="2"/>
      <w:sz w:val="21"/>
      <w:lang w:val="en-US" w:eastAsia="zh-CN" w:bidi="ar-SA"/>
    </w:rPr>
  </w:style>
  <w:style w:type="character" w:customStyle="1" w:styleId="68">
    <w:name w:val="表格第一行 Char Char"/>
    <w:link w:val="69"/>
    <w:qFormat/>
    <w:uiPriority w:val="0"/>
    <w:rPr>
      <w:b/>
      <w:szCs w:val="21"/>
    </w:rPr>
  </w:style>
  <w:style w:type="paragraph" w:customStyle="1" w:styleId="69">
    <w:name w:val="表格第一行"/>
    <w:basedOn w:val="1"/>
    <w:link w:val="68"/>
    <w:qFormat/>
    <w:uiPriority w:val="0"/>
    <w:pPr>
      <w:widowControl/>
      <w:adjustRightInd w:val="0"/>
      <w:snapToGrid w:val="0"/>
      <w:spacing w:before="156" w:after="156"/>
      <w:jc w:val="center"/>
      <w:textAlignment w:val="baseline"/>
    </w:pPr>
    <w:rPr>
      <w:b/>
      <w:kern w:val="0"/>
      <w:sz w:val="20"/>
      <w:szCs w:val="21"/>
    </w:rPr>
  </w:style>
  <w:style w:type="character" w:customStyle="1" w:styleId="70">
    <w:name w:val="font61"/>
    <w:qFormat/>
    <w:uiPriority w:val="0"/>
    <w:rPr>
      <w:rFonts w:hint="default" w:ascii="Times New Roman" w:hAnsi="Times New Roman" w:cs="Times New Roman"/>
      <w:color w:val="000000"/>
      <w:sz w:val="20"/>
      <w:szCs w:val="20"/>
      <w:u w:val="none"/>
    </w:rPr>
  </w:style>
  <w:style w:type="character" w:customStyle="1" w:styleId="71">
    <w:name w:val="批注文字 字符"/>
    <w:link w:val="14"/>
    <w:qFormat/>
    <w:uiPriority w:val="0"/>
    <w:rPr>
      <w:kern w:val="2"/>
      <w:sz w:val="21"/>
    </w:rPr>
  </w:style>
  <w:style w:type="character" w:customStyle="1" w:styleId="72">
    <w:name w:val="正文缩进 字符"/>
    <w:link w:val="7"/>
    <w:qFormat/>
    <w:uiPriority w:val="0"/>
    <w:rPr>
      <w:rFonts w:eastAsia="黑体"/>
      <w:kern w:val="2"/>
      <w:sz w:val="24"/>
      <w:szCs w:val="21"/>
      <w:lang w:bidi="ar-SA"/>
    </w:rPr>
  </w:style>
  <w:style w:type="character" w:customStyle="1" w:styleId="73">
    <w:name w:val="三级 Char Char"/>
    <w:link w:val="74"/>
    <w:qFormat/>
    <w:locked/>
    <w:uiPriority w:val="0"/>
    <w:rPr>
      <w:b/>
      <w:kern w:val="2"/>
      <w:sz w:val="24"/>
    </w:rPr>
  </w:style>
  <w:style w:type="paragraph" w:customStyle="1" w:styleId="74">
    <w:name w:val="三级"/>
    <w:basedOn w:val="1"/>
    <w:link w:val="73"/>
    <w:qFormat/>
    <w:uiPriority w:val="0"/>
    <w:pPr>
      <w:tabs>
        <w:tab w:val="left" w:pos="567"/>
      </w:tabs>
      <w:spacing w:beforeLines="50" w:afterLines="50" w:line="360" w:lineRule="auto"/>
      <w:ind w:left="720" w:hanging="720"/>
      <w:outlineLvl w:val="2"/>
    </w:pPr>
    <w:rPr>
      <w:b/>
      <w:sz w:val="24"/>
    </w:rPr>
  </w:style>
  <w:style w:type="character" w:customStyle="1" w:styleId="75">
    <w:name w:val="表格文字 Char"/>
    <w:link w:val="76"/>
    <w:qFormat/>
    <w:uiPriority w:val="0"/>
    <w:rPr>
      <w:rFonts w:eastAsia="宋体"/>
      <w:kern w:val="2"/>
      <w:sz w:val="21"/>
      <w:lang w:val="en-US" w:eastAsia="zh-CN" w:bidi="ar-SA"/>
    </w:rPr>
  </w:style>
  <w:style w:type="paragraph" w:customStyle="1" w:styleId="76">
    <w:name w:val="表格文字"/>
    <w:basedOn w:val="1"/>
    <w:link w:val="75"/>
    <w:qFormat/>
    <w:uiPriority w:val="0"/>
    <w:pPr>
      <w:adjustRightInd w:val="0"/>
      <w:snapToGrid w:val="0"/>
      <w:jc w:val="center"/>
      <w:textAlignment w:val="center"/>
    </w:pPr>
  </w:style>
  <w:style w:type="character" w:customStyle="1" w:styleId="77">
    <w:name w:val="中气表头 Char"/>
    <w:link w:val="78"/>
    <w:qFormat/>
    <w:uiPriority w:val="0"/>
    <w:rPr>
      <w:rFonts w:eastAsia="黑体"/>
      <w:b/>
      <w:kern w:val="2"/>
      <w:sz w:val="21"/>
      <w:szCs w:val="21"/>
    </w:rPr>
  </w:style>
  <w:style w:type="paragraph" w:customStyle="1" w:styleId="78">
    <w:name w:val="中气表头"/>
    <w:basedOn w:val="1"/>
    <w:link w:val="77"/>
    <w:qFormat/>
    <w:uiPriority w:val="0"/>
    <w:pPr>
      <w:jc w:val="center"/>
    </w:pPr>
    <w:rPr>
      <w:rFonts w:eastAsia="黑体"/>
      <w:b/>
      <w:szCs w:val="21"/>
    </w:rPr>
  </w:style>
  <w:style w:type="character" w:customStyle="1" w:styleId="79">
    <w:name w:val="hover69"/>
    <w:basedOn w:val="42"/>
    <w:qFormat/>
    <w:uiPriority w:val="0"/>
  </w:style>
  <w:style w:type="character" w:customStyle="1" w:styleId="80">
    <w:name w:val="content1"/>
    <w:qFormat/>
    <w:uiPriority w:val="0"/>
    <w:rPr>
      <w:color w:val="000000"/>
      <w:sz w:val="20"/>
      <w:szCs w:val="20"/>
    </w:rPr>
  </w:style>
  <w:style w:type="character" w:customStyle="1" w:styleId="81">
    <w:name w:val="表格标题 Char"/>
    <w:link w:val="82"/>
    <w:qFormat/>
    <w:uiPriority w:val="0"/>
    <w:rPr>
      <w:rFonts w:eastAsia="黑体"/>
      <w:kern w:val="2"/>
      <w:sz w:val="24"/>
    </w:rPr>
  </w:style>
  <w:style w:type="paragraph" w:customStyle="1" w:styleId="82">
    <w:name w:val="表格标题"/>
    <w:basedOn w:val="15"/>
    <w:link w:val="81"/>
    <w:qFormat/>
    <w:uiPriority w:val="0"/>
    <w:pPr>
      <w:spacing w:before="0" w:beforeLines="0"/>
      <w:ind w:firstLine="0" w:firstLineChars="0"/>
      <w:jc w:val="center"/>
    </w:pPr>
    <w:rPr>
      <w:rFonts w:eastAsia="黑体"/>
    </w:rPr>
  </w:style>
  <w:style w:type="character" w:customStyle="1" w:styleId="83">
    <w:name w:val="批注主题 字符"/>
    <w:link w:val="37"/>
    <w:qFormat/>
    <w:uiPriority w:val="0"/>
    <w:rPr>
      <w:b/>
      <w:bCs/>
      <w:kern w:val="2"/>
      <w:sz w:val="21"/>
    </w:rPr>
  </w:style>
  <w:style w:type="character" w:customStyle="1" w:styleId="84">
    <w:name w:val="apple-converted-space"/>
    <w:basedOn w:val="42"/>
    <w:qFormat/>
    <w:uiPriority w:val="0"/>
  </w:style>
  <w:style w:type="character" w:customStyle="1" w:styleId="85">
    <w:name w:val="ca-21"/>
    <w:basedOn w:val="42"/>
    <w:qFormat/>
    <w:uiPriority w:val="0"/>
  </w:style>
  <w:style w:type="character" w:customStyle="1" w:styleId="86">
    <w:name w:val="批注框文本 字符"/>
    <w:link w:val="24"/>
    <w:qFormat/>
    <w:uiPriority w:val="0"/>
    <w:rPr>
      <w:kern w:val="2"/>
      <w:sz w:val="18"/>
      <w:szCs w:val="18"/>
    </w:rPr>
  </w:style>
  <w:style w:type="character" w:customStyle="1" w:styleId="87">
    <w:name w:val="标题3 Char"/>
    <w:qFormat/>
    <w:locked/>
    <w:uiPriority w:val="0"/>
    <w:rPr>
      <w:rFonts w:ascii="Times New Roman" w:hAnsi="Times New Roman" w:eastAsia="宋体" w:cs="Times New Roman"/>
      <w:kern w:val="2"/>
      <w:sz w:val="32"/>
      <w:szCs w:val="32"/>
    </w:rPr>
  </w:style>
  <w:style w:type="character" w:customStyle="1" w:styleId="88">
    <w:name w:val="表文字 Char"/>
    <w:qFormat/>
    <w:uiPriority w:val="0"/>
    <w:rPr>
      <w:rFonts w:eastAsia="宋体"/>
      <w:sz w:val="24"/>
      <w:lang w:val="en-US" w:eastAsia="zh-CN"/>
    </w:rPr>
  </w:style>
  <w:style w:type="character" w:customStyle="1" w:styleId="89">
    <w:name w:val="Default Char"/>
    <w:link w:val="2"/>
    <w:qFormat/>
    <w:uiPriority w:val="0"/>
    <w:rPr>
      <w:rFonts w:ascii="宋体"/>
      <w:color w:val="000000"/>
      <w:sz w:val="24"/>
      <w:szCs w:val="24"/>
      <w:lang w:val="en-US" w:eastAsia="zh-CN" w:bidi="ar-SA"/>
    </w:rPr>
  </w:style>
  <w:style w:type="character" w:customStyle="1" w:styleId="90">
    <w:name w:val="hover70"/>
    <w:qFormat/>
    <w:uiPriority w:val="0"/>
    <w:rPr>
      <w:color w:val="000000"/>
      <w:shd w:val="clear" w:color="auto" w:fill="FFFFFF"/>
    </w:rPr>
  </w:style>
  <w:style w:type="character" w:customStyle="1" w:styleId="91">
    <w:name w:val="金光华文本正文 Char Char"/>
    <w:link w:val="92"/>
    <w:qFormat/>
    <w:uiPriority w:val="0"/>
    <w:rPr>
      <w:rFonts w:ascii="宋体" w:hAnsi="宋体"/>
      <w:sz w:val="24"/>
      <w:szCs w:val="24"/>
    </w:rPr>
  </w:style>
  <w:style w:type="paragraph" w:customStyle="1" w:styleId="92">
    <w:name w:val="金光华文本正文"/>
    <w:basedOn w:val="1"/>
    <w:link w:val="91"/>
    <w:qFormat/>
    <w:uiPriority w:val="0"/>
    <w:pPr>
      <w:widowControl/>
      <w:tabs>
        <w:tab w:val="left" w:pos="6840"/>
      </w:tabs>
      <w:spacing w:line="360" w:lineRule="auto"/>
      <w:ind w:firstLine="510"/>
      <w:jc w:val="left"/>
    </w:pPr>
    <w:rPr>
      <w:rFonts w:ascii="宋体" w:hAnsi="宋体"/>
      <w:kern w:val="0"/>
      <w:sz w:val="24"/>
      <w:szCs w:val="24"/>
    </w:rPr>
  </w:style>
  <w:style w:type="character" w:customStyle="1" w:styleId="93">
    <w:name w:val="标题 1 字符"/>
    <w:link w:val="3"/>
    <w:qFormat/>
    <w:uiPriority w:val="0"/>
    <w:rPr>
      <w:rFonts w:eastAsia="黑体"/>
      <w:b/>
      <w:kern w:val="44"/>
      <w:sz w:val="32"/>
    </w:rPr>
  </w:style>
  <w:style w:type="character" w:customStyle="1" w:styleId="94">
    <w:name w:val="标准正文 Char"/>
    <w:link w:val="95"/>
    <w:qFormat/>
    <w:uiPriority w:val="0"/>
    <w:rPr>
      <w:rFonts w:eastAsia="宋体"/>
      <w:bCs/>
      <w:kern w:val="2"/>
      <w:sz w:val="24"/>
      <w:lang w:val="en-US" w:eastAsia="zh-CN" w:bidi="ar-SA"/>
    </w:rPr>
  </w:style>
  <w:style w:type="paragraph" w:customStyle="1" w:styleId="95">
    <w:name w:val="标准正文"/>
    <w:basedOn w:val="1"/>
    <w:link w:val="94"/>
    <w:qFormat/>
    <w:uiPriority w:val="0"/>
    <w:pPr>
      <w:spacing w:line="540" w:lineRule="exact"/>
      <w:ind w:firstLine="480" w:firstLineChars="200"/>
    </w:pPr>
    <w:rPr>
      <w:bCs/>
      <w:sz w:val="24"/>
    </w:rPr>
  </w:style>
  <w:style w:type="character" w:customStyle="1" w:styleId="96">
    <w:name w:val="表格文字 Char Char"/>
    <w:qFormat/>
    <w:uiPriority w:val="0"/>
    <w:rPr>
      <w:position w:val="-10"/>
    </w:rPr>
  </w:style>
  <w:style w:type="character" w:customStyle="1" w:styleId="97">
    <w:name w:val="样式 文本正文 + 首行缩进:  2 字符 Char Char"/>
    <w:link w:val="98"/>
    <w:qFormat/>
    <w:uiPriority w:val="0"/>
    <w:rPr>
      <w:rFonts w:ascii="宋体"/>
      <w:spacing w:val="4"/>
      <w:kern w:val="2"/>
      <w:sz w:val="24"/>
      <w:szCs w:val="24"/>
      <w:lang w:val="zh-CN"/>
    </w:rPr>
  </w:style>
  <w:style w:type="paragraph" w:customStyle="1" w:styleId="98">
    <w:name w:val="样式 文本正文 + 首行缩进:  2 字符"/>
    <w:basedOn w:val="1"/>
    <w:link w:val="97"/>
    <w:qFormat/>
    <w:uiPriority w:val="0"/>
    <w:pPr>
      <w:widowControl/>
      <w:adjustRightInd w:val="0"/>
      <w:snapToGrid w:val="0"/>
      <w:spacing w:line="360" w:lineRule="auto"/>
      <w:ind w:firstLine="480" w:firstLineChars="200"/>
      <w:jc w:val="left"/>
    </w:pPr>
    <w:rPr>
      <w:rFonts w:ascii="宋体"/>
      <w:spacing w:val="4"/>
      <w:sz w:val="24"/>
      <w:szCs w:val="24"/>
      <w:lang w:val="zh-CN"/>
    </w:rPr>
  </w:style>
  <w:style w:type="character" w:customStyle="1" w:styleId="99">
    <w:name w:val="font11"/>
    <w:basedOn w:val="42"/>
    <w:qFormat/>
    <w:uiPriority w:val="0"/>
    <w:rPr>
      <w:rFonts w:ascii="font-weight : 400" w:hAnsi="font-weight : 400" w:eastAsia="font-weight : 400" w:cs="font-weight : 400"/>
      <w:color w:val="000000"/>
      <w:sz w:val="22"/>
      <w:szCs w:val="22"/>
      <w:u w:val="none"/>
      <w:vertAlign w:val="superscript"/>
    </w:rPr>
  </w:style>
  <w:style w:type="character" w:customStyle="1" w:styleId="100">
    <w:name w:val="正文首行缩进 字符"/>
    <w:link w:val="4"/>
    <w:qFormat/>
    <w:uiPriority w:val="0"/>
    <w:rPr>
      <w:kern w:val="2"/>
      <w:sz w:val="24"/>
    </w:rPr>
  </w:style>
  <w:style w:type="character" w:customStyle="1" w:styleId="101">
    <w:name w:val="hover68"/>
    <w:basedOn w:val="42"/>
    <w:qFormat/>
    <w:uiPriority w:val="0"/>
  </w:style>
  <w:style w:type="character" w:customStyle="1" w:styleId="102">
    <w:name w:val="页脚 字符"/>
    <w:link w:val="25"/>
    <w:qFormat/>
    <w:uiPriority w:val="99"/>
    <w:rPr>
      <w:kern w:val="2"/>
      <w:sz w:val="18"/>
    </w:rPr>
  </w:style>
  <w:style w:type="character" w:customStyle="1" w:styleId="103">
    <w:name w:val="font01"/>
    <w:basedOn w:val="42"/>
    <w:qFormat/>
    <w:uiPriority w:val="0"/>
    <w:rPr>
      <w:rFonts w:hint="default" w:ascii="Times New Roman" w:hAnsi="Times New Roman" w:cs="Times New Roman"/>
      <w:b/>
      <w:color w:val="000000"/>
      <w:sz w:val="21"/>
      <w:szCs w:val="21"/>
      <w:u w:val="none"/>
    </w:rPr>
  </w:style>
  <w:style w:type="character" w:customStyle="1" w:styleId="104">
    <w:name w:val="font21"/>
    <w:basedOn w:val="42"/>
    <w:qFormat/>
    <w:uiPriority w:val="0"/>
    <w:rPr>
      <w:rFonts w:hint="default" w:ascii="font-weight : 400" w:hAnsi="font-weight : 400" w:eastAsia="font-weight : 400" w:cs="font-weight : 400"/>
      <w:color w:val="000000"/>
      <w:sz w:val="22"/>
      <w:szCs w:val="22"/>
      <w:u w:val="none"/>
    </w:rPr>
  </w:style>
  <w:style w:type="character" w:customStyle="1" w:styleId="105">
    <w:name w:val="报告文本 Char"/>
    <w:link w:val="106"/>
    <w:qFormat/>
    <w:uiPriority w:val="0"/>
    <w:rPr>
      <w:sz w:val="24"/>
      <w:szCs w:val="24"/>
    </w:rPr>
  </w:style>
  <w:style w:type="paragraph" w:customStyle="1" w:styleId="106">
    <w:name w:val="报告文本"/>
    <w:basedOn w:val="107"/>
    <w:link w:val="105"/>
    <w:qFormat/>
    <w:uiPriority w:val="0"/>
    <w:pPr>
      <w:widowControl/>
      <w:spacing w:line="360" w:lineRule="auto"/>
      <w:ind w:firstLine="200" w:firstLineChars="200"/>
      <w:jc w:val="left"/>
    </w:pPr>
    <w:rPr>
      <w:kern w:val="0"/>
      <w:sz w:val="24"/>
      <w:szCs w:val="24"/>
    </w:rPr>
  </w:style>
  <w:style w:type="paragraph" w:customStyle="1" w:styleId="107">
    <w:name w:val="标题二"/>
    <w:basedOn w:val="108"/>
    <w:next w:val="106"/>
    <w:qFormat/>
    <w:uiPriority w:val="0"/>
    <w:pPr>
      <w:numPr>
        <w:ilvl w:val="1"/>
        <w:numId w:val="4"/>
      </w:numPr>
      <w:spacing w:beforeLines="0" w:afterLines="0"/>
      <w:jc w:val="left"/>
      <w:outlineLvl w:val="1"/>
    </w:pPr>
    <w:rPr>
      <w:sz w:val="30"/>
    </w:rPr>
  </w:style>
  <w:style w:type="paragraph" w:customStyle="1" w:styleId="108">
    <w:name w:val="标题1"/>
    <w:basedOn w:val="1"/>
    <w:next w:val="106"/>
    <w:qFormat/>
    <w:uiPriority w:val="0"/>
    <w:pPr>
      <w:numPr>
        <w:ilvl w:val="0"/>
        <w:numId w:val="4"/>
      </w:numPr>
      <w:spacing w:beforeLines="100" w:afterLines="100"/>
      <w:jc w:val="center"/>
      <w:outlineLvl w:val="0"/>
    </w:pPr>
    <w:rPr>
      <w:rFonts w:eastAsia="黑体"/>
      <w:sz w:val="32"/>
    </w:rPr>
  </w:style>
  <w:style w:type="character" w:customStyle="1" w:styleId="109">
    <w:name w:val="Char Char4"/>
    <w:qFormat/>
    <w:uiPriority w:val="0"/>
    <w:rPr>
      <w:rFonts w:ascii="Times New Roman" w:hAnsi="Times New Roman" w:eastAsia="宋体" w:cs="Times New Roman"/>
      <w:kern w:val="2"/>
      <w:sz w:val="28"/>
      <w:szCs w:val="20"/>
      <w:lang w:val="en-US" w:eastAsia="zh-CN" w:bidi="ar-SA"/>
    </w:rPr>
  </w:style>
  <w:style w:type="character" w:customStyle="1" w:styleId="110">
    <w:name w:val="文章正文样式 Char"/>
    <w:link w:val="111"/>
    <w:qFormat/>
    <w:uiPriority w:val="0"/>
    <w:rPr>
      <w:rFonts w:ascii="宋体" w:hAnsi="宋体" w:eastAsia="宋体" w:cs="宋体"/>
      <w:kern w:val="2"/>
      <w:sz w:val="24"/>
      <w:lang w:val="en-US" w:eastAsia="zh-CN" w:bidi="ar-SA"/>
    </w:rPr>
  </w:style>
  <w:style w:type="paragraph" w:customStyle="1" w:styleId="111">
    <w:name w:val="文章正文样式"/>
    <w:basedOn w:val="1"/>
    <w:link w:val="110"/>
    <w:qFormat/>
    <w:uiPriority w:val="0"/>
    <w:pPr>
      <w:spacing w:line="520" w:lineRule="exact"/>
      <w:ind w:firstLine="480" w:firstLineChars="200"/>
      <w:jc w:val="left"/>
    </w:pPr>
    <w:rPr>
      <w:rFonts w:ascii="宋体" w:hAnsi="宋体" w:cs="宋体"/>
      <w:sz w:val="24"/>
    </w:rPr>
  </w:style>
  <w:style w:type="character" w:customStyle="1" w:styleId="112">
    <w:name w:val="宗兴正文 Char Char"/>
    <w:link w:val="113"/>
    <w:qFormat/>
    <w:uiPriority w:val="0"/>
    <w:rPr>
      <w:kern w:val="2"/>
      <w:sz w:val="24"/>
      <w:szCs w:val="24"/>
    </w:rPr>
  </w:style>
  <w:style w:type="paragraph" w:customStyle="1" w:styleId="113">
    <w:name w:val="宗兴正文"/>
    <w:basedOn w:val="1"/>
    <w:link w:val="112"/>
    <w:qFormat/>
    <w:uiPriority w:val="0"/>
    <w:pPr>
      <w:widowControl/>
      <w:spacing w:before="93" w:after="93" w:line="360" w:lineRule="auto"/>
      <w:ind w:firstLine="480" w:firstLineChars="200"/>
      <w:jc w:val="left"/>
    </w:pPr>
    <w:rPr>
      <w:sz w:val="24"/>
      <w:szCs w:val="24"/>
    </w:rPr>
  </w:style>
  <w:style w:type="character" w:customStyle="1" w:styleId="114">
    <w:name w:val="标题 4 字符"/>
    <w:link w:val="8"/>
    <w:qFormat/>
    <w:uiPriority w:val="0"/>
    <w:rPr>
      <w:rFonts w:ascii="Cambria" w:hAnsi="Cambria"/>
      <w:b/>
      <w:bCs/>
      <w:sz w:val="28"/>
      <w:szCs w:val="28"/>
    </w:rPr>
  </w:style>
  <w:style w:type="character" w:customStyle="1" w:styleId="115">
    <w:name w:val="标题 3 字符"/>
    <w:link w:val="6"/>
    <w:qFormat/>
    <w:uiPriority w:val="0"/>
    <w:rPr>
      <w:b/>
      <w:bCs/>
      <w:kern w:val="2"/>
      <w:sz w:val="32"/>
      <w:szCs w:val="32"/>
    </w:rPr>
  </w:style>
  <w:style w:type="character" w:customStyle="1" w:styleId="116">
    <w:name w:val="font41"/>
    <w:basedOn w:val="42"/>
    <w:qFormat/>
    <w:uiPriority w:val="0"/>
    <w:rPr>
      <w:rFonts w:hint="eastAsia" w:ascii="宋体" w:hAnsi="宋体" w:eastAsia="宋体" w:cs="宋体"/>
      <w:color w:val="000000"/>
      <w:sz w:val="21"/>
      <w:szCs w:val="21"/>
      <w:u w:val="none"/>
    </w:rPr>
  </w:style>
  <w:style w:type="paragraph" w:customStyle="1" w:styleId="117">
    <w:name w:val="样式1"/>
    <w:basedOn w:val="1"/>
    <w:qFormat/>
    <w:uiPriority w:val="0"/>
    <w:pPr>
      <w:tabs>
        <w:tab w:val="left" w:pos="8820"/>
      </w:tabs>
    </w:pPr>
    <w:rPr>
      <w:sz w:val="30"/>
    </w:rPr>
  </w:style>
  <w:style w:type="paragraph" w:customStyle="1" w:styleId="118">
    <w:name w:val="CM78"/>
    <w:basedOn w:val="2"/>
    <w:next w:val="2"/>
    <w:qFormat/>
    <w:uiPriority w:val="0"/>
    <w:pPr>
      <w:spacing w:after="173"/>
    </w:pPr>
    <w:rPr>
      <w:rFonts w:hAnsi="Calibri"/>
      <w:color w:val="auto"/>
    </w:rPr>
  </w:style>
  <w:style w:type="paragraph" w:customStyle="1" w:styleId="119">
    <w:name w:val="CM27"/>
    <w:basedOn w:val="2"/>
    <w:next w:val="2"/>
    <w:qFormat/>
    <w:uiPriority w:val="0"/>
    <w:pPr>
      <w:spacing w:line="436" w:lineRule="atLeast"/>
    </w:pPr>
    <w:rPr>
      <w:rFonts w:hAnsi="Calibri"/>
      <w:color w:val="auto"/>
    </w:rPr>
  </w:style>
  <w:style w:type="paragraph" w:customStyle="1" w:styleId="120">
    <w:name w:val="表格1"/>
    <w:basedOn w:val="1"/>
    <w:qFormat/>
    <w:uiPriority w:val="0"/>
    <w:pPr>
      <w:spacing w:line="20" w:lineRule="atLeast"/>
      <w:jc w:val="center"/>
      <w:textAlignment w:val="baseline"/>
    </w:pPr>
    <w:rPr>
      <w:rFonts w:ascii="CG Times (W1)" w:hAnsi="CG Times (W1)"/>
      <w:spacing w:val="-20"/>
      <w:kern w:val="0"/>
    </w:rPr>
  </w:style>
  <w:style w:type="paragraph" w:customStyle="1" w:styleId="121">
    <w:name w:val="CM13"/>
    <w:basedOn w:val="2"/>
    <w:next w:val="2"/>
    <w:qFormat/>
    <w:uiPriority w:val="0"/>
    <w:pPr>
      <w:spacing w:line="466" w:lineRule="atLeast"/>
    </w:pPr>
    <w:rPr>
      <w:rFonts w:hAnsi="Calibri"/>
      <w:color w:val="auto"/>
    </w:rPr>
  </w:style>
  <w:style w:type="paragraph" w:customStyle="1" w:styleId="122">
    <w:name w:val="表文字"/>
    <w:basedOn w:val="1"/>
    <w:qFormat/>
    <w:uiPriority w:val="0"/>
    <w:pPr>
      <w:overflowPunct w:val="0"/>
      <w:autoSpaceDE w:val="0"/>
      <w:autoSpaceDN w:val="0"/>
      <w:adjustRightInd w:val="0"/>
      <w:spacing w:line="240" w:lineRule="atLeast"/>
      <w:textAlignment w:val="baseline"/>
    </w:pPr>
    <w:rPr>
      <w:sz w:val="24"/>
    </w:rPr>
  </w:style>
  <w:style w:type="paragraph" w:customStyle="1" w:styleId="123">
    <w:name w:val="正文01"/>
    <w:basedOn w:val="1"/>
    <w:qFormat/>
    <w:uiPriority w:val="0"/>
    <w:pPr>
      <w:adjustRightInd w:val="0"/>
      <w:spacing w:line="360" w:lineRule="auto"/>
      <w:ind w:firstLine="360" w:firstLineChars="150"/>
      <w:textAlignment w:val="baseline"/>
    </w:pPr>
    <w:rPr>
      <w:bCs/>
      <w:sz w:val="24"/>
      <w:szCs w:val="24"/>
    </w:rPr>
  </w:style>
  <w:style w:type="paragraph" w:customStyle="1" w:styleId="124">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25">
    <w:name w:val="CM14"/>
    <w:basedOn w:val="2"/>
    <w:next w:val="2"/>
    <w:qFormat/>
    <w:uiPriority w:val="0"/>
    <w:pPr>
      <w:spacing w:line="468" w:lineRule="atLeast"/>
    </w:pPr>
    <w:rPr>
      <w:rFonts w:hAnsi="Calibri"/>
      <w:color w:val="auto"/>
    </w:rPr>
  </w:style>
  <w:style w:type="paragraph" w:customStyle="1" w:styleId="126">
    <w:name w:val="简单回函地址"/>
    <w:basedOn w:val="1"/>
    <w:qFormat/>
    <w:uiPriority w:val="0"/>
    <w:rPr>
      <w:rFonts w:ascii="宋体" w:hAnsi="宋体"/>
      <w:sz w:val="24"/>
      <w:szCs w:val="32"/>
    </w:rPr>
  </w:style>
  <w:style w:type="paragraph" w:customStyle="1" w:styleId="127">
    <w:name w:val="表体"/>
    <w:basedOn w:val="1"/>
    <w:qFormat/>
    <w:uiPriority w:val="0"/>
    <w:pPr>
      <w:spacing w:before="40" w:after="40"/>
      <w:jc w:val="center"/>
    </w:pPr>
    <w:rPr>
      <w:color w:val="000080"/>
    </w:rPr>
  </w:style>
  <w:style w:type="paragraph" w:customStyle="1" w:styleId="128">
    <w:name w:val="CM50"/>
    <w:basedOn w:val="2"/>
    <w:next w:val="2"/>
    <w:qFormat/>
    <w:uiPriority w:val="0"/>
    <w:pPr>
      <w:spacing w:line="443" w:lineRule="atLeast"/>
    </w:pPr>
    <w:rPr>
      <w:rFonts w:hAnsi="Calibri"/>
      <w:color w:val="auto"/>
    </w:rPr>
  </w:style>
  <w:style w:type="paragraph" w:customStyle="1" w:styleId="129">
    <w:name w:val="正文样式1"/>
    <w:basedOn w:val="1"/>
    <w:qFormat/>
    <w:uiPriority w:val="0"/>
    <w:pPr>
      <w:adjustRightInd w:val="0"/>
      <w:spacing w:line="360" w:lineRule="auto"/>
      <w:ind w:firstLine="510"/>
      <w:textAlignment w:val="baseline"/>
    </w:pPr>
    <w:rPr>
      <w:spacing w:val="8"/>
      <w:kern w:val="0"/>
      <w:sz w:val="24"/>
    </w:rPr>
  </w:style>
  <w:style w:type="paragraph" w:customStyle="1" w:styleId="130">
    <w:name w:val="样式 小四 首行缩进:  0.85 厘米 行距: 1.5 倍行距"/>
    <w:basedOn w:val="1"/>
    <w:qFormat/>
    <w:uiPriority w:val="0"/>
    <w:pPr>
      <w:spacing w:line="360" w:lineRule="auto"/>
      <w:ind w:firstLine="482"/>
    </w:pPr>
    <w:rPr>
      <w:sz w:val="24"/>
      <w:szCs w:val="24"/>
    </w:rPr>
  </w:style>
  <w:style w:type="paragraph" w:customStyle="1" w:styleId="131">
    <w:name w:val="表字居中O"/>
    <w:next w:val="1"/>
    <w:qFormat/>
    <w:uiPriority w:val="0"/>
    <w:pPr>
      <w:widowControl w:val="0"/>
      <w:adjustRightInd w:val="0"/>
      <w:jc w:val="both"/>
      <w:textAlignment w:val="baseline"/>
    </w:pPr>
    <w:rPr>
      <w:rFonts w:ascii="Times New Roman" w:hAnsi="Times New Roman" w:eastAsia="宋体" w:cs="Times New Roman"/>
      <w:spacing w:val="-4"/>
      <w:sz w:val="21"/>
      <w:szCs w:val="21"/>
      <w:lang w:val="en-US" w:eastAsia="zh-CN" w:bidi="ar-SA"/>
    </w:rPr>
  </w:style>
  <w:style w:type="paragraph" w:customStyle="1" w:styleId="132">
    <w:name w:val="金光华表头"/>
    <w:basedOn w:val="1"/>
    <w:qFormat/>
    <w:uiPriority w:val="0"/>
    <w:pPr>
      <w:widowControl/>
      <w:spacing w:line="360" w:lineRule="auto"/>
      <w:ind w:firstLine="794"/>
      <w:jc w:val="left"/>
    </w:pPr>
    <w:rPr>
      <w:rFonts w:ascii="宋体" w:hAnsi="宋体" w:cs="宋体"/>
      <w:kern w:val="0"/>
      <w:sz w:val="24"/>
      <w:szCs w:val="24"/>
    </w:rPr>
  </w:style>
  <w:style w:type="paragraph" w:customStyle="1" w:styleId="133">
    <w:name w:val="xl22"/>
    <w:basedOn w:val="1"/>
    <w:qFormat/>
    <w:uiPriority w:val="0"/>
    <w:pPr>
      <w:widowControl/>
      <w:spacing w:before="100" w:after="100"/>
      <w:jc w:val="center"/>
    </w:pPr>
    <w:rPr>
      <w:kern w:val="0"/>
      <w:sz w:val="24"/>
      <w:szCs w:val="24"/>
    </w:rPr>
  </w:style>
  <w:style w:type="paragraph" w:customStyle="1" w:styleId="134">
    <w:name w:val="表头文字"/>
    <w:basedOn w:val="1"/>
    <w:next w:val="4"/>
    <w:qFormat/>
    <w:uiPriority w:val="0"/>
    <w:pPr>
      <w:adjustRightInd w:val="0"/>
      <w:snapToGrid w:val="0"/>
      <w:spacing w:before="156" w:beforeLines="50" w:line="360" w:lineRule="auto"/>
      <w:jc w:val="left"/>
    </w:pPr>
    <w:rPr>
      <w:rFonts w:eastAsia="黑体"/>
      <w:sz w:val="24"/>
    </w:rPr>
  </w:style>
  <w:style w:type="paragraph" w:customStyle="1" w:styleId="135">
    <w:name w:val="CM48"/>
    <w:basedOn w:val="2"/>
    <w:next w:val="2"/>
    <w:qFormat/>
    <w:uiPriority w:val="0"/>
    <w:pPr>
      <w:spacing w:line="440" w:lineRule="atLeast"/>
    </w:pPr>
    <w:rPr>
      <w:rFonts w:hAnsi="Calibri"/>
      <w:color w:val="auto"/>
    </w:rPr>
  </w:style>
  <w:style w:type="paragraph" w:customStyle="1" w:styleId="136">
    <w:name w:val="Char"/>
    <w:basedOn w:val="1"/>
    <w:qFormat/>
    <w:uiPriority w:val="0"/>
    <w:rPr>
      <w:szCs w:val="21"/>
    </w:rPr>
  </w:style>
  <w:style w:type="paragraph" w:customStyle="1" w:styleId="137">
    <w:name w:val="中文报告书样式"/>
    <w:basedOn w:val="1"/>
    <w:qFormat/>
    <w:uiPriority w:val="0"/>
    <w:pPr>
      <w:adjustRightInd w:val="0"/>
      <w:spacing w:line="480" w:lineRule="atLeast"/>
      <w:ind w:firstLine="482"/>
      <w:textAlignment w:val="baseline"/>
    </w:pPr>
    <w:rPr>
      <w:kern w:val="24"/>
      <w:sz w:val="24"/>
      <w:szCs w:val="24"/>
    </w:rPr>
  </w:style>
  <w:style w:type="paragraph" w:customStyle="1" w:styleId="138">
    <w:name w:val="表格内容"/>
    <w:basedOn w:val="1"/>
    <w:qFormat/>
    <w:uiPriority w:val="99"/>
    <w:pPr>
      <w:spacing w:line="240" w:lineRule="atLeast"/>
      <w:jc w:val="center"/>
    </w:pPr>
    <w:rPr>
      <w:szCs w:val="24"/>
    </w:rPr>
  </w:style>
  <w:style w:type="paragraph" w:customStyle="1" w:styleId="139">
    <w:name w:val="3"/>
    <w:basedOn w:val="1"/>
    <w:qFormat/>
    <w:uiPriority w:val="0"/>
  </w:style>
  <w:style w:type="paragraph" w:customStyle="1" w:styleId="140">
    <w:name w:val="样式 首行缩进:  1 厘米 行距: 固定值 25 磅"/>
    <w:basedOn w:val="1"/>
    <w:qFormat/>
    <w:uiPriority w:val="0"/>
    <w:pPr>
      <w:adjustRightInd w:val="0"/>
      <w:spacing w:line="360" w:lineRule="auto"/>
      <w:ind w:firstLine="200" w:firstLineChars="200"/>
      <w:jc w:val="left"/>
      <w:textAlignment w:val="baseline"/>
    </w:pPr>
    <w:rPr>
      <w:rFonts w:ascii="宋体" w:cs="宋体"/>
      <w:snapToGrid w:val="0"/>
      <w:kern w:val="24"/>
      <w:sz w:val="24"/>
      <w:szCs w:val="24"/>
    </w:rPr>
  </w:style>
  <w:style w:type="paragraph" w:customStyle="1" w:styleId="141">
    <w:name w:val="表文"/>
    <w:basedOn w:val="1"/>
    <w:qFormat/>
    <w:uiPriority w:val="0"/>
    <w:pPr>
      <w:tabs>
        <w:tab w:val="left" w:pos="1021"/>
      </w:tabs>
      <w:jc w:val="center"/>
    </w:pPr>
    <w:rPr>
      <w:kern w:val="0"/>
      <w:position w:val="-24"/>
      <w:szCs w:val="21"/>
    </w:rPr>
  </w:style>
  <w:style w:type="paragraph" w:customStyle="1" w:styleId="142">
    <w:name w:val="CM26"/>
    <w:basedOn w:val="2"/>
    <w:next w:val="2"/>
    <w:qFormat/>
    <w:uiPriority w:val="0"/>
    <w:pPr>
      <w:spacing w:line="468" w:lineRule="atLeast"/>
    </w:pPr>
    <w:rPr>
      <w:rFonts w:hAnsi="Calibri"/>
      <w:color w:val="auto"/>
    </w:rPr>
  </w:style>
  <w:style w:type="paragraph" w:customStyle="1" w:styleId="143">
    <w:name w:val="表格"/>
    <w:basedOn w:val="1"/>
    <w:qFormat/>
    <w:uiPriority w:val="0"/>
    <w:pPr>
      <w:jc w:val="center"/>
    </w:pPr>
    <w:rPr>
      <w:sz w:val="24"/>
    </w:rPr>
  </w:style>
  <w:style w:type="paragraph" w:customStyle="1" w:styleId="144">
    <w:name w:val="reader-word-layer reader-word-s1-4"/>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5">
    <w:name w:val="表格文字2"/>
    <w:basedOn w:val="1"/>
    <w:qFormat/>
    <w:uiPriority w:val="0"/>
    <w:pPr>
      <w:tabs>
        <w:tab w:val="left" w:pos="277"/>
        <w:tab w:val="left" w:pos="600"/>
        <w:tab w:val="left" w:pos="780"/>
        <w:tab w:val="left" w:pos="2517"/>
      </w:tabs>
      <w:adjustRightInd w:val="0"/>
      <w:jc w:val="center"/>
      <w:textAlignment w:val="baseline"/>
    </w:pPr>
    <w:rPr>
      <w:kern w:val="0"/>
      <w:szCs w:val="21"/>
    </w:rPr>
  </w:style>
  <w:style w:type="paragraph" w:customStyle="1" w:styleId="146">
    <w:name w:val="样式8"/>
    <w:basedOn w:val="1"/>
    <w:qFormat/>
    <w:uiPriority w:val="0"/>
    <w:pPr>
      <w:widowControl/>
      <w:adjustRightInd w:val="0"/>
      <w:snapToGrid w:val="0"/>
      <w:spacing w:before="156" w:beforeLines="50" w:line="288" w:lineRule="auto"/>
      <w:jc w:val="center"/>
    </w:pPr>
    <w:rPr>
      <w:rFonts w:ascii="宋体" w:hAnsi="宋体" w:cs="宋体"/>
      <w:b/>
      <w:kern w:val="0"/>
    </w:rPr>
  </w:style>
  <w:style w:type="paragraph" w:customStyle="1" w:styleId="147">
    <w:name w:val="表格正文"/>
    <w:basedOn w:val="120"/>
    <w:qFormat/>
    <w:uiPriority w:val="0"/>
    <w:pPr>
      <w:spacing w:line="240" w:lineRule="auto"/>
    </w:pPr>
  </w:style>
  <w:style w:type="paragraph" w:customStyle="1" w:styleId="148">
    <w:name w:val="样式 样式 (符号) 宋体 小四 行距: 1.5 倍行距 + 首行缩进:  2 字符"/>
    <w:basedOn w:val="1"/>
    <w:qFormat/>
    <w:uiPriority w:val="0"/>
    <w:pPr>
      <w:spacing w:line="360" w:lineRule="auto"/>
      <w:ind w:firstLine="456" w:firstLineChars="200"/>
    </w:pPr>
    <w:rPr>
      <w:rFonts w:hAnsi="宋体" w:cs="宋体"/>
      <w:sz w:val="24"/>
    </w:rPr>
  </w:style>
  <w:style w:type="paragraph" w:customStyle="1" w:styleId="149">
    <w:name w:val="表头"/>
    <w:basedOn w:val="29"/>
    <w:qFormat/>
    <w:uiPriority w:val="0"/>
    <w:pPr>
      <w:tabs>
        <w:tab w:val="left" w:pos="720"/>
      </w:tabs>
    </w:pPr>
  </w:style>
  <w:style w:type="paragraph" w:customStyle="1" w:styleId="150">
    <w:name w:val="Char Char2"/>
    <w:basedOn w:val="1"/>
    <w:qFormat/>
    <w:uiPriority w:val="0"/>
    <w:pPr>
      <w:spacing w:line="360" w:lineRule="auto"/>
      <w:ind w:firstLine="200" w:firstLineChars="200"/>
    </w:pPr>
    <w:rPr>
      <w:rFonts w:ascii="宋体" w:hAnsi="宋体" w:cs="宋体"/>
      <w:sz w:val="24"/>
      <w:szCs w:val="21"/>
    </w:rPr>
  </w:style>
  <w:style w:type="paragraph" w:customStyle="1" w:styleId="151">
    <w:name w:val="CM74"/>
    <w:basedOn w:val="2"/>
    <w:next w:val="2"/>
    <w:qFormat/>
    <w:uiPriority w:val="0"/>
    <w:pPr>
      <w:spacing w:after="98"/>
    </w:pPr>
    <w:rPr>
      <w:rFonts w:hAnsi="Calibri"/>
      <w:color w:val="auto"/>
    </w:rPr>
  </w:style>
  <w:style w:type="paragraph" w:customStyle="1" w:styleId="152">
    <w:name w:val="样式 四号 加粗 段前: 6 磅 段后: 5 磅 行距: 固定值 23 磅"/>
    <w:basedOn w:val="8"/>
    <w:next w:val="1"/>
    <w:qFormat/>
    <w:uiPriority w:val="0"/>
    <w:pPr>
      <w:keepNext w:val="0"/>
      <w:keepLines w:val="0"/>
      <w:adjustRightInd/>
      <w:snapToGrid/>
      <w:spacing w:before="0" w:after="0" w:line="360" w:lineRule="auto"/>
      <w:ind w:firstLine="482" w:firstLineChars="200"/>
      <w:outlineLvl w:val="9"/>
    </w:pPr>
    <w:rPr>
      <w:rFonts w:ascii="Times New Roman" w:hAnsi="Times New Roman"/>
      <w:bCs w:val="0"/>
      <w:sz w:val="24"/>
      <w:szCs w:val="24"/>
    </w:rPr>
  </w:style>
  <w:style w:type="paragraph" w:customStyle="1" w:styleId="153">
    <w:name w:val="表格 23"/>
    <w:basedOn w:val="1"/>
    <w:qFormat/>
    <w:uiPriority w:val="0"/>
    <w:pPr>
      <w:autoSpaceDE w:val="0"/>
      <w:autoSpaceDN w:val="0"/>
      <w:adjustRightInd w:val="0"/>
      <w:jc w:val="center"/>
    </w:pPr>
    <w:rPr>
      <w:rFonts w:eastAsia="仿宋体"/>
      <w:kern w:val="0"/>
    </w:rPr>
  </w:style>
  <w:style w:type="paragraph" w:customStyle="1" w:styleId="154">
    <w:name w:val="表头 Char"/>
    <w:basedOn w:val="1"/>
    <w:qFormat/>
    <w:uiPriority w:val="0"/>
    <w:pPr>
      <w:tabs>
        <w:tab w:val="left" w:pos="1021"/>
      </w:tabs>
      <w:spacing w:line="360" w:lineRule="auto"/>
      <w:jc w:val="center"/>
    </w:pPr>
    <w:rPr>
      <w:rFonts w:ascii="宋体" w:hAnsi="宋体"/>
      <w:b/>
      <w:bCs/>
      <w:kern w:val="24"/>
      <w:sz w:val="24"/>
      <w:szCs w:val="24"/>
    </w:rPr>
  </w:style>
  <w:style w:type="paragraph" w:customStyle="1" w:styleId="155">
    <w:name w:val="三级标题"/>
    <w:basedOn w:val="1"/>
    <w:next w:val="38"/>
    <w:qFormat/>
    <w:uiPriority w:val="0"/>
    <w:pPr>
      <w:adjustRightInd w:val="0"/>
      <w:snapToGrid w:val="0"/>
      <w:spacing w:line="360" w:lineRule="exact"/>
      <w:jc w:val="center"/>
    </w:pPr>
    <w:rPr>
      <w:bCs/>
      <w:sz w:val="24"/>
    </w:rPr>
  </w:style>
  <w:style w:type="paragraph" w:customStyle="1" w:styleId="156">
    <w:name w:val="默认段落字体 Para Char Char Char Char"/>
    <w:basedOn w:val="1"/>
    <w:qFormat/>
    <w:uiPriority w:val="0"/>
    <w:rPr>
      <w:sz w:val="24"/>
      <w:szCs w:val="24"/>
    </w:rPr>
  </w:style>
  <w:style w:type="paragraph" w:customStyle="1" w:styleId="157">
    <w:name w:val="zhang正文"/>
    <w:basedOn w:val="16"/>
    <w:qFormat/>
    <w:uiPriority w:val="0"/>
    <w:pPr>
      <w:autoSpaceDE w:val="0"/>
      <w:autoSpaceDN w:val="0"/>
      <w:adjustRightInd w:val="0"/>
      <w:snapToGrid w:val="0"/>
      <w:spacing w:after="0" w:line="360" w:lineRule="auto"/>
      <w:ind w:left="0" w:leftChars="0" w:firstLine="539"/>
      <w:textAlignment w:val="baseline"/>
    </w:pPr>
    <w:rPr>
      <w:rFonts w:eastAsia="楷体_GB2312"/>
      <w:kern w:val="0"/>
      <w:sz w:val="28"/>
    </w:rPr>
  </w:style>
  <w:style w:type="paragraph" w:customStyle="1" w:styleId="158">
    <w:name w:val="Char Char Char Char Char"/>
    <w:basedOn w:val="1"/>
    <w:next w:val="1"/>
    <w:semiHidden/>
    <w:qFormat/>
    <w:uiPriority w:val="0"/>
    <w:pPr>
      <w:spacing w:line="336" w:lineRule="auto"/>
      <w:ind w:firstLine="200" w:firstLineChars="200"/>
    </w:pPr>
    <w:rPr>
      <w:rFonts w:ascii="宋体" w:hAnsi="宋体" w:eastAsia="汉鼎简书宋" w:cs="宋体"/>
      <w:sz w:val="24"/>
      <w:szCs w:val="24"/>
    </w:rPr>
  </w:style>
  <w:style w:type="paragraph" w:customStyle="1" w:styleId="159">
    <w:name w:val="样式3"/>
    <w:basedOn w:val="1"/>
    <w:qFormat/>
    <w:uiPriority w:val="0"/>
    <w:pPr>
      <w:autoSpaceDE w:val="0"/>
      <w:autoSpaceDN w:val="0"/>
      <w:snapToGrid w:val="0"/>
      <w:spacing w:before="120" w:line="460" w:lineRule="atLeast"/>
      <w:jc w:val="center"/>
    </w:pPr>
    <w:rPr>
      <w:rFonts w:eastAsia="黑体"/>
      <w:sz w:val="28"/>
      <w:szCs w:val="24"/>
    </w:rPr>
  </w:style>
  <w:style w:type="paragraph" w:customStyle="1" w:styleId="160">
    <w:name w:val="CM6"/>
    <w:basedOn w:val="2"/>
    <w:next w:val="2"/>
    <w:qFormat/>
    <w:uiPriority w:val="0"/>
    <w:pPr>
      <w:spacing w:line="466" w:lineRule="atLeast"/>
    </w:pPr>
    <w:rPr>
      <w:rFonts w:hAnsi="Calibri"/>
      <w:color w:val="auto"/>
    </w:rPr>
  </w:style>
  <w:style w:type="paragraph" w:customStyle="1" w:styleId="161">
    <w:name w:val="CM61"/>
    <w:basedOn w:val="2"/>
    <w:next w:val="2"/>
    <w:qFormat/>
    <w:uiPriority w:val="0"/>
    <w:pPr>
      <w:spacing w:line="468" w:lineRule="atLeast"/>
    </w:pPr>
    <w:rPr>
      <w:rFonts w:hAnsi="Calibri"/>
      <w:color w:val="auto"/>
    </w:rPr>
  </w:style>
  <w:style w:type="paragraph" w:customStyle="1" w:styleId="162">
    <w:name w:val="段落 Char Char Char"/>
    <w:basedOn w:val="1"/>
    <w:qFormat/>
    <w:uiPriority w:val="0"/>
    <w:pPr>
      <w:tabs>
        <w:tab w:val="left" w:pos="1021"/>
      </w:tabs>
      <w:spacing w:line="360" w:lineRule="auto"/>
      <w:ind w:firstLine="480" w:firstLineChars="200"/>
    </w:pPr>
    <w:rPr>
      <w:bCs/>
      <w:sz w:val="24"/>
    </w:rPr>
  </w:style>
  <w:style w:type="paragraph" w:customStyle="1" w:styleId="163">
    <w:name w:val="报告书正文"/>
    <w:basedOn w:val="1"/>
    <w:link w:val="175"/>
    <w:qFormat/>
    <w:uiPriority w:val="0"/>
    <w:pPr>
      <w:adjustRightInd w:val="0"/>
      <w:spacing w:line="360" w:lineRule="auto"/>
      <w:ind w:firstLine="200" w:firstLineChars="200"/>
      <w:textAlignment w:val="baseline"/>
    </w:pPr>
    <w:rPr>
      <w:kern w:val="0"/>
      <w:sz w:val="24"/>
    </w:rPr>
  </w:style>
  <w:style w:type="paragraph" w:customStyle="1" w:styleId="164">
    <w:name w:val="Char1"/>
    <w:basedOn w:val="1"/>
    <w:qFormat/>
    <w:uiPriority w:val="0"/>
    <w:pPr>
      <w:snapToGrid w:val="0"/>
      <w:spacing w:line="360" w:lineRule="auto"/>
      <w:ind w:firstLine="529" w:firstLineChars="200"/>
    </w:pPr>
    <w:rPr>
      <w:szCs w:val="24"/>
    </w:rPr>
  </w:style>
  <w:style w:type="paragraph" w:styleId="165">
    <w:name w:val="List Paragraph"/>
    <w:basedOn w:val="1"/>
    <w:qFormat/>
    <w:uiPriority w:val="99"/>
    <w:pPr>
      <w:ind w:firstLine="420" w:firstLineChars="200"/>
    </w:pPr>
    <w:rPr>
      <w:szCs w:val="24"/>
    </w:rPr>
  </w:style>
  <w:style w:type="paragraph" w:customStyle="1" w:styleId="166">
    <w:name w:val="_Style 24"/>
    <w:basedOn w:val="1"/>
    <w:next w:val="1"/>
    <w:qFormat/>
    <w:uiPriority w:val="0"/>
    <w:pPr>
      <w:spacing w:line="360" w:lineRule="auto"/>
      <w:ind w:firstLine="200" w:firstLineChars="200"/>
    </w:pPr>
    <w:rPr>
      <w:sz w:val="24"/>
    </w:rPr>
  </w:style>
  <w:style w:type="paragraph" w:customStyle="1" w:styleId="167">
    <w:name w:val="p0"/>
    <w:basedOn w:val="1"/>
    <w:qFormat/>
    <w:uiPriority w:val="0"/>
    <w:pPr>
      <w:widowControl/>
    </w:pPr>
    <w:rPr>
      <w:kern w:val="0"/>
      <w:szCs w:val="21"/>
    </w:rPr>
  </w:style>
  <w:style w:type="paragraph" w:customStyle="1" w:styleId="168">
    <w:name w:val="样式 小四 行距: 1.5 倍行距 首行缩进:  2 字符1"/>
    <w:basedOn w:val="1"/>
    <w:qFormat/>
    <w:uiPriority w:val="0"/>
    <w:pPr>
      <w:spacing w:line="360" w:lineRule="auto"/>
      <w:ind w:firstLine="480" w:firstLineChars="200"/>
    </w:pPr>
    <w:rPr>
      <w:rFonts w:cs="宋体"/>
      <w:sz w:val="24"/>
      <w:szCs w:val="21"/>
    </w:rPr>
  </w:style>
  <w:style w:type="paragraph" w:customStyle="1" w:styleId="169">
    <w:name w:val="永环表内格式"/>
    <w:basedOn w:val="1"/>
    <w:qFormat/>
    <w:uiPriority w:val="0"/>
    <w:pPr>
      <w:spacing w:line="360" w:lineRule="exact"/>
      <w:jc w:val="center"/>
    </w:pPr>
    <w:rPr>
      <w:szCs w:val="21"/>
    </w:rPr>
  </w:style>
  <w:style w:type="paragraph" w:customStyle="1" w:styleId="170">
    <w:name w:val="永环图标标题格式"/>
    <w:basedOn w:val="1"/>
    <w:qFormat/>
    <w:uiPriority w:val="0"/>
    <w:pPr>
      <w:spacing w:before="20" w:beforeLines="20" w:after="20" w:afterLines="20" w:line="560" w:lineRule="exact"/>
      <w:jc w:val="center"/>
    </w:pPr>
    <w:rPr>
      <w:rFonts w:eastAsia="黑体"/>
      <w:bCs/>
      <w:sz w:val="24"/>
      <w:szCs w:val="24"/>
    </w:rPr>
  </w:style>
  <w:style w:type="paragraph" w:customStyle="1" w:styleId="171">
    <w:name w:val="永环正文格式"/>
    <w:basedOn w:val="1"/>
    <w:qFormat/>
    <w:uiPriority w:val="0"/>
    <w:pPr>
      <w:spacing w:line="540" w:lineRule="exact"/>
      <w:ind w:firstLine="200" w:firstLineChars="200"/>
    </w:pPr>
    <w:rPr>
      <w:sz w:val="24"/>
      <w:szCs w:val="21"/>
    </w:rPr>
  </w:style>
  <w:style w:type="paragraph" w:customStyle="1" w:styleId="172">
    <w:name w:val="正文1"/>
    <w:link w:val="187"/>
    <w:qFormat/>
    <w:uiPriority w:val="0"/>
    <w:pPr>
      <w:jc w:val="both"/>
    </w:pPr>
    <w:rPr>
      <w:rFonts w:ascii="Times New Roman" w:hAnsi="Times New Roman" w:eastAsia="宋体" w:cs="Times New Roman"/>
      <w:kern w:val="2"/>
      <w:sz w:val="21"/>
      <w:szCs w:val="21"/>
      <w:lang w:val="en-US" w:eastAsia="zh-CN" w:bidi="ar-SA"/>
    </w:rPr>
  </w:style>
  <w:style w:type="paragraph" w:customStyle="1" w:styleId="173">
    <w:name w:val="样式 行距: 1.5 倍行距"/>
    <w:basedOn w:val="1"/>
    <w:qFormat/>
    <w:uiPriority w:val="0"/>
    <w:pPr>
      <w:spacing w:line="360" w:lineRule="auto"/>
      <w:ind w:firstLine="480" w:firstLineChars="200"/>
    </w:pPr>
    <w:rPr>
      <w:rFonts w:eastAsia="仿宋_GB2312" w:cs="宋体"/>
      <w:kern w:val="0"/>
      <w:sz w:val="24"/>
    </w:rPr>
  </w:style>
  <w:style w:type="paragraph" w:customStyle="1" w:styleId="174">
    <w:name w:val="Char1 Char Char1 Char"/>
    <w:basedOn w:val="1"/>
    <w:qFormat/>
    <w:uiPriority w:val="0"/>
    <w:rPr>
      <w:sz w:val="24"/>
      <w:szCs w:val="24"/>
    </w:rPr>
  </w:style>
  <w:style w:type="character" w:customStyle="1" w:styleId="175">
    <w:name w:val="报告书正文 Char"/>
    <w:link w:val="163"/>
    <w:qFormat/>
    <w:uiPriority w:val="0"/>
    <w:rPr>
      <w:sz w:val="24"/>
    </w:rPr>
  </w:style>
  <w:style w:type="paragraph" w:customStyle="1" w:styleId="176">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7">
    <w:name w:val="样式 行距: 固定值 24 磅 首行缩进:  2 字符"/>
    <w:basedOn w:val="1"/>
    <w:qFormat/>
    <w:uiPriority w:val="0"/>
    <w:pPr>
      <w:spacing w:line="480" w:lineRule="exact"/>
      <w:ind w:firstLine="480" w:firstLineChars="200"/>
    </w:pPr>
    <w:rPr>
      <w:rFonts w:cs="宋体"/>
      <w:sz w:val="24"/>
    </w:rPr>
  </w:style>
  <w:style w:type="paragraph" w:customStyle="1" w:styleId="178">
    <w:name w:val="列出段落8"/>
    <w:basedOn w:val="1"/>
    <w:qFormat/>
    <w:uiPriority w:val="0"/>
    <w:pPr>
      <w:ind w:firstLine="420" w:firstLineChars="200"/>
    </w:pPr>
    <w:rPr>
      <w:rFonts w:ascii="Calibri" w:hAnsi="Calibri"/>
      <w:szCs w:val="22"/>
    </w:rPr>
  </w:style>
  <w:style w:type="paragraph" w:customStyle="1" w:styleId="179">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180">
    <w:name w:val="报告正文-连续目录"/>
    <w:basedOn w:val="1"/>
    <w:qFormat/>
    <w:uiPriority w:val="0"/>
    <w:pPr>
      <w:spacing w:line="440" w:lineRule="exact"/>
      <w:ind w:firstLine="200" w:firstLineChars="200"/>
    </w:pPr>
    <w:rPr>
      <w:rFonts w:ascii="Arial" w:hAnsi="Arial"/>
      <w:snapToGrid w:val="0"/>
      <w:kern w:val="0"/>
      <w:sz w:val="24"/>
      <w:szCs w:val="24"/>
    </w:rPr>
  </w:style>
  <w:style w:type="character" w:customStyle="1" w:styleId="181">
    <w:name w:val="纯文本 Char1"/>
    <w:qFormat/>
    <w:uiPriority w:val="0"/>
    <w:rPr>
      <w:rFonts w:ascii="宋体" w:hAnsi="Courier New" w:eastAsia="宋体" w:cs="Courier New"/>
      <w:szCs w:val="21"/>
    </w:rPr>
  </w:style>
  <w:style w:type="paragraph" w:customStyle="1" w:styleId="182">
    <w:name w:val="标题 41"/>
    <w:basedOn w:val="1"/>
    <w:qFormat/>
    <w:uiPriority w:val="1"/>
    <w:pPr>
      <w:autoSpaceDE w:val="0"/>
      <w:autoSpaceDN w:val="0"/>
      <w:ind w:left="1017"/>
      <w:jc w:val="left"/>
      <w:outlineLvl w:val="4"/>
    </w:pPr>
    <w:rPr>
      <w:rFonts w:ascii="宋体" w:hAnsi="宋体" w:cs="宋体"/>
      <w:b/>
      <w:bCs/>
      <w:kern w:val="0"/>
      <w:sz w:val="24"/>
      <w:szCs w:val="24"/>
      <w:lang w:eastAsia="en-US"/>
    </w:rPr>
  </w:style>
  <w:style w:type="paragraph" w:customStyle="1" w:styleId="183">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184">
    <w:name w:val="表字体"/>
    <w:basedOn w:val="1"/>
    <w:next w:val="1"/>
    <w:qFormat/>
    <w:uiPriority w:val="0"/>
    <w:pPr>
      <w:jc w:val="center"/>
    </w:pPr>
    <w:rPr>
      <w:rFonts w:ascii="Times New Roman" w:hAnsi="Times New Roman" w:eastAsia="宋体"/>
    </w:rPr>
  </w:style>
  <w:style w:type="paragraph" w:customStyle="1" w:styleId="185">
    <w:name w:val="1标题"/>
    <w:basedOn w:val="1"/>
    <w:qFormat/>
    <w:uiPriority w:val="0"/>
    <w:pPr>
      <w:spacing w:line="360" w:lineRule="auto"/>
      <w:ind w:firstLine="723" w:firstLineChars="200"/>
    </w:pPr>
    <w:rPr>
      <w:rFonts w:ascii="Times New Roman" w:hAnsi="Times New Roman" w:eastAsia="宋体"/>
      <w:b/>
      <w:sz w:val="24"/>
    </w:rPr>
  </w:style>
  <w:style w:type="paragraph" w:customStyle="1" w:styleId="186">
    <w:name w:val="表标题"/>
    <w:basedOn w:val="1"/>
    <w:qFormat/>
    <w:uiPriority w:val="0"/>
    <w:pPr>
      <w:jc w:val="center"/>
    </w:pPr>
    <w:rPr>
      <w:rFonts w:ascii="Times New Roman" w:hAnsi="Times New Roman" w:eastAsia="宋体"/>
      <w:b/>
    </w:rPr>
  </w:style>
  <w:style w:type="character" w:customStyle="1" w:styleId="187">
    <w:name w:val="正文1 Char"/>
    <w:link w:val="172"/>
    <w:qFormat/>
    <w:uiPriority w:val="0"/>
    <w:rPr>
      <w:rFonts w:ascii="Times New Roman" w:hAnsi="Times New Roman" w:eastAsia="宋体" w:cs="Times New Roman"/>
      <w:kern w:val="2"/>
      <w:sz w:val="21"/>
      <w:szCs w:val="21"/>
      <w:lang w:val="en-US" w:eastAsia="zh-CN" w:bidi="ar-SA"/>
    </w:rPr>
  </w:style>
  <w:style w:type="paragraph" w:customStyle="1" w:styleId="188">
    <w:name w:val="样式 小四 黑色 行距: 固定值 26 磅"/>
    <w:basedOn w:val="1"/>
    <w:qFormat/>
    <w:uiPriority w:val="0"/>
    <w:pPr>
      <w:spacing w:line="520" w:lineRule="exact"/>
      <w:ind w:firstLine="504" w:firstLineChars="200"/>
    </w:pPr>
    <w:rPr>
      <w:rFonts w:cs="宋体"/>
      <w:color w:val="000000"/>
      <w:spacing w:val="6"/>
      <w:sz w:val="24"/>
      <w:szCs w:val="20"/>
    </w:rPr>
  </w:style>
  <w:style w:type="paragraph" w:customStyle="1" w:styleId="189">
    <w:name w:val="九晟表格"/>
    <w:basedOn w:val="1"/>
    <w:qFormat/>
    <w:uiPriority w:val="0"/>
    <w:pPr>
      <w:jc w:val="center"/>
    </w:pPr>
    <w:rPr>
      <w:szCs w:val="21"/>
    </w:rPr>
  </w:style>
  <w:style w:type="paragraph" w:customStyle="1" w:styleId="190">
    <w:name w:val="样式 正文文本缩进 2 + Times New Roman 首行缩进:  2 字符"/>
    <w:basedOn w:val="23"/>
    <w:qFormat/>
    <w:uiPriority w:val="0"/>
    <w:pPr>
      <w:widowControl/>
      <w:spacing w:after="0" w:line="360" w:lineRule="auto"/>
      <w:ind w:left="0" w:leftChars="0" w:firstLine="480"/>
    </w:pPr>
    <w:rPr>
      <w:rFonts w:cs="宋体"/>
      <w:kern w:val="0"/>
      <w:szCs w:val="20"/>
    </w:rPr>
  </w:style>
  <w:style w:type="paragraph" w:customStyle="1" w:styleId="191">
    <w:name w:val="段落1"/>
    <w:basedOn w:val="1"/>
    <w:qFormat/>
    <w:uiPriority w:val="0"/>
    <w:pPr>
      <w:adjustRightInd w:val="0"/>
      <w:spacing w:line="440" w:lineRule="exact"/>
      <w:ind w:firstLine="200" w:firstLineChars="200"/>
    </w:pPr>
    <w:rPr>
      <w:rFonts w:ascii="Calibri" w:hAnsi="Calibri" w:eastAsia="宋体" w:cs="Times New Roman"/>
      <w:spacing w:val="8"/>
      <w:sz w:val="28"/>
    </w:rPr>
  </w:style>
  <w:style w:type="character" w:customStyle="1" w:styleId="192">
    <w:name w:val="font81"/>
    <w:qFormat/>
    <w:uiPriority w:val="0"/>
    <w:rPr>
      <w:rFonts w:hint="default" w:ascii="Times New Roman" w:hAnsi="Times New Roman" w:cs="Times New Roman"/>
      <w:color w:val="auto"/>
      <w:sz w:val="21"/>
      <w:szCs w:val="21"/>
      <w:u w:val="none"/>
    </w:rPr>
  </w:style>
  <w:style w:type="character" w:customStyle="1" w:styleId="193">
    <w:name w:val="font91"/>
    <w:qFormat/>
    <w:uiPriority w:val="0"/>
    <w:rPr>
      <w:rFonts w:hint="default" w:ascii="Times New Roman" w:hAnsi="Times New Roman" w:cs="Times New Roman"/>
      <w:color w:val="auto"/>
      <w:sz w:val="21"/>
      <w:szCs w:val="21"/>
      <w:u w:val="none"/>
    </w:rPr>
  </w:style>
  <w:style w:type="character" w:customStyle="1" w:styleId="194">
    <w:name w:val="font71"/>
    <w:qFormat/>
    <w:uiPriority w:val="0"/>
    <w:rPr>
      <w:rFonts w:hint="eastAsia" w:ascii="宋体" w:hAnsi="宋体" w:eastAsia="宋体" w:cs="宋体"/>
      <w:color w:val="auto"/>
      <w:sz w:val="21"/>
      <w:szCs w:val="21"/>
      <w:u w:val="none"/>
    </w:rPr>
  </w:style>
  <w:style w:type="paragraph" w:customStyle="1" w:styleId="195">
    <w:name w:val="A0正文"/>
    <w:basedOn w:val="1"/>
    <w:qFormat/>
    <w:uiPriority w:val="0"/>
    <w:pPr>
      <w:spacing w:line="360" w:lineRule="auto"/>
      <w:ind w:firstLine="200" w:firstLineChars="200"/>
    </w:pPr>
    <w:rPr>
      <w:rFonts w:ascii="Calibri" w:hAnsi="Calibri" w:cs="宋体"/>
      <w:sz w:val="24"/>
      <w:szCs w:val="20"/>
      <w:lang w:val="zh-CN"/>
    </w:rPr>
  </w:style>
  <w:style w:type="paragraph" w:customStyle="1" w:styleId="196">
    <w:name w:val="正文001"/>
    <w:basedOn w:val="1"/>
    <w:qFormat/>
    <w:uiPriority w:val="0"/>
    <w:pPr>
      <w:spacing w:before="60" w:line="420" w:lineRule="exact"/>
      <w:ind w:firstLine="482"/>
    </w:pPr>
    <w:rPr>
      <w:sz w:val="24"/>
      <w:szCs w:val="20"/>
    </w:rPr>
  </w:style>
  <w:style w:type="paragraph" w:customStyle="1" w:styleId="197">
    <w:name w:val="表1-1"/>
    <w:basedOn w:val="1"/>
    <w:qFormat/>
    <w:uiPriority w:val="0"/>
    <w:pPr>
      <w:spacing w:line="240" w:lineRule="auto"/>
      <w:jc w:val="center"/>
    </w:pPr>
    <w:rPr>
      <w:rFonts w:ascii="Times New Roman" w:hAnsi="Times New Roman" w:eastAsia="宋体"/>
      <w:b/>
      <w:kern w:val="0"/>
      <w:sz w:val="21"/>
      <w:szCs w:val="20"/>
    </w:rPr>
  </w:style>
  <w:style w:type="paragraph" w:customStyle="1" w:styleId="198">
    <w:name w:val="表内格式"/>
    <w:basedOn w:val="1"/>
    <w:qFormat/>
    <w:uiPriority w:val="0"/>
    <w:pPr>
      <w:spacing w:line="240" w:lineRule="exact"/>
      <w:ind w:firstLine="0" w:firstLineChars="0"/>
      <w:jc w:val="center"/>
    </w:pPr>
    <w:rPr>
      <w:rFonts w:eastAsia="Times New Roman"/>
      <w:sz w:val="21"/>
      <w:szCs w:val="2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5" Type="http://schemas.openxmlformats.org/officeDocument/2006/relationships/fontTable" Target="fontTable.xml"/><Relationship Id="rId74" Type="http://schemas.openxmlformats.org/officeDocument/2006/relationships/customXml" Target="../customXml/item2.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footer" Target="footer4.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jpe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emf"/><Relationship Id="rId14" Type="http://schemas.openxmlformats.org/officeDocument/2006/relationships/oleObject" Target="embeddings/oleObject2.bin"/><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2050" textRotate="1"/>
    <customShpInfo spid="_x0000_s2052"/>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04B223-AC68-4AEF-A9E0-371EE7A0DD5F}">
  <ds:schemaRefs/>
</ds:datastoreItem>
</file>

<file path=docProps/app.xml><?xml version="1.0" encoding="utf-8"?>
<Properties xmlns="http://schemas.openxmlformats.org/officeDocument/2006/extended-properties" xmlns:vt="http://schemas.openxmlformats.org/officeDocument/2006/docPropsVTypes">
  <Template>Normal</Template>
  <Company>微软系统</Company>
  <Pages>142</Pages>
  <Words>50316</Words>
  <Characters>63194</Characters>
  <Lines>279</Lines>
  <Paragraphs>78</Paragraphs>
  <TotalTime>8</TotalTime>
  <ScaleCrop>false</ScaleCrop>
  <LinksUpToDate>false</LinksUpToDate>
  <CharactersWithSpaces>66257</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2018-11-01T10:26:00Z</dcterms:created>
  <dc:creator>微软用户</dc:creator>
  <cp:lastModifiedBy>浮生若梦</cp:lastModifiedBy>
  <cp:lastPrinted>2020-03-30T07:59:00Z</cp:lastPrinted>
  <dcterms:modified xsi:type="dcterms:W3CDTF">2020-04-20T08:28:45Z</dcterms:modified>
  <dc:title>建设项目环境影响报告表</dc:title>
  <cp:revision>102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