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76" w:lineRule="auto"/>
        <w:ind w:firstLine="0" w:firstLineChars="0"/>
        <w:jc w:val="center"/>
        <w:rPr>
          <w:rFonts w:hint="eastAsia" w:eastAsia="黑体"/>
          <w:sz w:val="52"/>
          <w:szCs w:val="52"/>
        </w:rPr>
      </w:pPr>
    </w:p>
    <w:p>
      <w:pPr>
        <w:pStyle w:val="11"/>
        <w:spacing w:before="360"/>
        <w:rPr>
          <w:b/>
          <w:bCs/>
          <w:spacing w:val="20"/>
          <w:w w:val="95"/>
          <w:sz w:val="72"/>
          <w:u w:val="none"/>
        </w:rPr>
      </w:pPr>
      <w:r>
        <w:rPr>
          <w:b/>
          <w:bCs/>
          <w:spacing w:val="20"/>
          <w:w w:val="95"/>
          <w:sz w:val="72"/>
          <w:u w:val="none"/>
        </w:rPr>
        <w:t>建设项目环境影响报告表</w:t>
      </w:r>
    </w:p>
    <w:p>
      <w:pPr>
        <w:spacing w:beforeLines="50" w:line="480" w:lineRule="auto"/>
        <w:jc w:val="center"/>
        <w:rPr>
          <w:sz w:val="36"/>
          <w:szCs w:val="36"/>
        </w:rPr>
      </w:pPr>
      <w:r>
        <w:rPr>
          <w:sz w:val="36"/>
          <w:szCs w:val="36"/>
        </w:rPr>
        <w:t>（报批稿）</w:t>
      </w:r>
    </w:p>
    <w:p>
      <w:pPr>
        <w:pStyle w:val="4"/>
        <w:ind w:firstLine="480"/>
      </w:pPr>
    </w:p>
    <w:p>
      <w:pPr>
        <w:pStyle w:val="4"/>
        <w:ind w:firstLine="480"/>
      </w:pPr>
    </w:p>
    <w:p>
      <w:pPr>
        <w:pStyle w:val="4"/>
        <w:ind w:firstLine="480"/>
      </w:pPr>
    </w:p>
    <w:p>
      <w:pPr>
        <w:pStyle w:val="4"/>
        <w:tabs>
          <w:tab w:val="left" w:pos="7209"/>
        </w:tabs>
        <w:ind w:firstLine="0" w:firstLineChars="0"/>
        <w:rPr>
          <w:rFonts w:hint="eastAsia" w:eastAsia="黑体"/>
          <w:sz w:val="44"/>
        </w:rPr>
      </w:pPr>
      <w:r>
        <w:rPr>
          <w:rFonts w:hint="eastAsia" w:eastAsia="黑体"/>
          <w:sz w:val="44"/>
        </w:rPr>
        <w:tab/>
      </w:r>
    </w:p>
    <w:p>
      <w:pPr>
        <w:rPr>
          <w:rFonts w:hint="eastAsia" w:eastAsia="黑体"/>
          <w:sz w:val="44"/>
        </w:rPr>
      </w:pPr>
    </w:p>
    <w:p>
      <w:pPr>
        <w:pStyle w:val="2"/>
        <w:rPr>
          <w:rFonts w:hint="eastAsia" w:eastAsia="黑体"/>
          <w:sz w:val="44"/>
        </w:rPr>
      </w:pPr>
    </w:p>
    <w:p>
      <w:pPr>
        <w:rPr>
          <w:rFonts w:hint="eastAsia" w:eastAsia="黑体"/>
          <w:sz w:val="44"/>
        </w:rPr>
      </w:pPr>
    </w:p>
    <w:p>
      <w:pPr>
        <w:pStyle w:val="2"/>
      </w:pPr>
    </w:p>
    <w:p>
      <w:pPr>
        <w:pStyle w:val="4"/>
        <w:ind w:firstLine="0" w:firstLineChars="0"/>
        <w:rPr>
          <w:rFonts w:eastAsia="黑体"/>
          <w:sz w:val="44"/>
        </w:rPr>
      </w:pPr>
    </w:p>
    <w:p>
      <w:pPr>
        <w:pStyle w:val="40"/>
        <w:spacing w:line="480" w:lineRule="auto"/>
        <w:ind w:firstLine="948" w:firstLineChars="295"/>
        <w:jc w:val="both"/>
        <w:rPr>
          <w:b/>
          <w:sz w:val="32"/>
          <w:szCs w:val="32"/>
          <w:u w:val="single"/>
        </w:rPr>
      </w:pPr>
      <w:r>
        <w:rPr>
          <w:b/>
          <w:sz w:val="32"/>
          <w:szCs w:val="32"/>
        </w:rPr>
        <w:t>项目名称：</w:t>
      </w:r>
      <w:r>
        <w:rPr>
          <w:rFonts w:hint="eastAsia"/>
          <w:b/>
          <w:sz w:val="32"/>
          <w:szCs w:val="32"/>
          <w:u w:val="single"/>
        </w:rPr>
        <w:t>湘阴县杨林寨加油站项目</w:t>
      </w:r>
    </w:p>
    <w:p>
      <w:pPr>
        <w:pStyle w:val="40"/>
        <w:spacing w:line="480" w:lineRule="auto"/>
        <w:ind w:firstLine="948" w:firstLineChars="295"/>
        <w:jc w:val="both"/>
        <w:rPr>
          <w:b/>
          <w:sz w:val="32"/>
          <w:szCs w:val="32"/>
          <w:u w:val="single"/>
        </w:rPr>
      </w:pPr>
      <w:r>
        <w:rPr>
          <w:b/>
          <w:sz w:val="32"/>
          <w:szCs w:val="32"/>
        </w:rPr>
        <w:t>建设单位：</w:t>
      </w:r>
      <w:r>
        <w:rPr>
          <w:rFonts w:hint="eastAsia"/>
          <w:b/>
          <w:sz w:val="32"/>
          <w:szCs w:val="32"/>
          <w:u w:val="single"/>
        </w:rPr>
        <w:t>湘阴县杨林寨加油站</w:t>
      </w:r>
    </w:p>
    <w:p>
      <w:pPr>
        <w:pStyle w:val="4"/>
        <w:spacing w:line="240" w:lineRule="auto"/>
        <w:ind w:firstLine="0" w:firstLineChars="0"/>
        <w:rPr>
          <w:sz w:val="32"/>
        </w:rPr>
      </w:pPr>
    </w:p>
    <w:p>
      <w:pPr>
        <w:pStyle w:val="4"/>
        <w:ind w:firstLine="0" w:firstLineChars="0"/>
        <w:rPr>
          <w:rFonts w:eastAsia="黑体"/>
          <w:sz w:val="44"/>
        </w:rPr>
      </w:pPr>
    </w:p>
    <w:p>
      <w:pPr>
        <w:rPr>
          <w:rFonts w:eastAsia="黑体"/>
          <w:sz w:val="44"/>
        </w:rPr>
      </w:pPr>
    </w:p>
    <w:p>
      <w:pPr>
        <w:pStyle w:val="2"/>
        <w:rPr>
          <w:rFonts w:eastAsia="黑体"/>
          <w:sz w:val="44"/>
        </w:rPr>
      </w:pPr>
    </w:p>
    <w:p>
      <w:pPr>
        <w:rPr>
          <w:rFonts w:eastAsia="黑体"/>
          <w:sz w:val="44"/>
        </w:rPr>
      </w:pPr>
    </w:p>
    <w:p/>
    <w:p>
      <w:pPr>
        <w:pStyle w:val="4"/>
        <w:ind w:firstLine="0" w:firstLineChars="0"/>
        <w:jc w:val="center"/>
        <w:rPr>
          <w:sz w:val="36"/>
        </w:rPr>
      </w:pPr>
      <w:r>
        <w:rPr>
          <w:rFonts w:hint="eastAsia"/>
          <w:sz w:val="36"/>
        </w:rPr>
        <w:t>湖南方瑞节能环保咨询有限公司</w:t>
      </w:r>
    </w:p>
    <w:p>
      <w:pPr>
        <w:pStyle w:val="4"/>
        <w:ind w:firstLine="0" w:firstLineChars="0"/>
        <w:jc w:val="center"/>
        <w:rPr>
          <w:sz w:val="36"/>
        </w:rPr>
      </w:pPr>
      <w:r>
        <w:rPr>
          <w:sz w:val="32"/>
        </w:rPr>
        <w:t>2020</w:t>
      </w:r>
      <w:r>
        <w:rPr>
          <w:sz w:val="36"/>
        </w:rPr>
        <w:t>年</w:t>
      </w:r>
      <w:r>
        <w:rPr>
          <w:rFonts w:hint="eastAsia"/>
          <w:sz w:val="32"/>
          <w:lang w:val="en-US" w:eastAsia="zh-CN"/>
        </w:rPr>
        <w:t>3</w:t>
      </w:r>
      <w:r>
        <w:rPr>
          <w:sz w:val="36"/>
        </w:rPr>
        <w:t>月</w:t>
      </w:r>
    </w:p>
    <w:p>
      <w:pPr>
        <w:sectPr>
          <w:footerReference r:id="rId3" w:type="default"/>
          <w:pgSz w:w="11907" w:h="16840"/>
          <w:pgMar w:top="1418" w:right="1418" w:bottom="1418" w:left="1701" w:header="851" w:footer="851" w:gutter="0"/>
          <w:pgNumType w:fmt="upperRoman" w:start="1"/>
          <w:cols w:space="720" w:num="1"/>
        </w:sectPr>
      </w:pPr>
    </w:p>
    <w:p>
      <w:pPr>
        <w:spacing w:line="360" w:lineRule="auto"/>
        <w:jc w:val="center"/>
        <w:rPr>
          <w:b/>
          <w:sz w:val="28"/>
          <w:szCs w:val="28"/>
        </w:rPr>
      </w:pPr>
      <w:r>
        <w:rPr>
          <w:b/>
          <w:sz w:val="28"/>
          <w:szCs w:val="28"/>
        </w:rPr>
        <w:t>《建设项目环境影响报告表》编制说明</w:t>
      </w:r>
    </w:p>
    <w:p>
      <w:pPr>
        <w:pStyle w:val="4"/>
        <w:ind w:firstLine="480"/>
      </w:pPr>
      <w:r>
        <w:t>《建设项目环境影响报告表》由具有从事环境影响评价工作资质的单位编制。</w:t>
      </w:r>
    </w:p>
    <w:p>
      <w:pPr>
        <w:pStyle w:val="4"/>
        <w:spacing w:line="480" w:lineRule="auto"/>
        <w:ind w:firstLine="480"/>
      </w:pPr>
      <w:r>
        <w:t>1、项目名称――指项目立项批复时的名称，应不超过30个字（两个英文字段作一个汉字）。</w:t>
      </w:r>
    </w:p>
    <w:p>
      <w:pPr>
        <w:pStyle w:val="4"/>
        <w:spacing w:line="480" w:lineRule="auto"/>
        <w:ind w:firstLine="480"/>
      </w:pPr>
      <w:r>
        <w:t>2、建设地点――指项目所在地详细地址，公路、铁路应填写起止地点。</w:t>
      </w:r>
    </w:p>
    <w:p>
      <w:pPr>
        <w:pStyle w:val="4"/>
        <w:spacing w:line="480" w:lineRule="auto"/>
        <w:ind w:firstLine="480"/>
      </w:pPr>
      <w:r>
        <w:t>3、行业类别――按国标填写。</w:t>
      </w:r>
    </w:p>
    <w:p>
      <w:pPr>
        <w:pStyle w:val="4"/>
        <w:spacing w:line="480" w:lineRule="auto"/>
        <w:ind w:firstLine="480"/>
      </w:pPr>
      <w:r>
        <w:t>4、总投资――指项目投资总额。</w:t>
      </w:r>
    </w:p>
    <w:p>
      <w:pPr>
        <w:pStyle w:val="4"/>
        <w:spacing w:line="480" w:lineRule="auto"/>
        <w:ind w:firstLine="480"/>
      </w:pPr>
      <w:r>
        <w:t>5、主要环境保护目标――指项目区周围一定范围内集中居民住宅区、学校、医院、保护文物、风景名胜区、水源地和生态敏感点等，应尽可能给出保护目标、性质、规模和距厂界距离等。</w:t>
      </w:r>
    </w:p>
    <w:p>
      <w:pPr>
        <w:pStyle w:val="4"/>
        <w:spacing w:line="480" w:lineRule="auto"/>
        <w:ind w:firstLine="480"/>
      </w:pPr>
      <w: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4"/>
        <w:spacing w:line="480" w:lineRule="auto"/>
        <w:ind w:firstLine="480"/>
      </w:pPr>
      <w:r>
        <w:t>7、预审意见――由行业主管部门填写答复意见，无主管部门项目，可不填。</w:t>
      </w:r>
    </w:p>
    <w:p>
      <w:pPr>
        <w:pStyle w:val="4"/>
        <w:spacing w:line="480" w:lineRule="auto"/>
        <w:ind w:firstLine="480"/>
      </w:pPr>
      <w:r>
        <w:t>8、审批意见――由负责审核该项目的环境保护行政主管部门批复。</w:t>
      </w:r>
    </w:p>
    <w:p>
      <w:pPr>
        <w:pStyle w:val="41"/>
        <w:rPr>
          <w:sz w:val="28"/>
          <w:szCs w:val="28"/>
        </w:rPr>
      </w:pPr>
    </w:p>
    <w:p>
      <w:pPr>
        <w:pStyle w:val="41"/>
        <w:rPr>
          <w:sz w:val="28"/>
          <w:szCs w:val="28"/>
        </w:rPr>
        <w:sectPr>
          <w:footerReference r:id="rId4" w:type="default"/>
          <w:footerReference r:id="rId5" w:type="even"/>
          <w:pgSz w:w="11907" w:h="16840"/>
          <w:pgMar w:top="1418" w:right="1418" w:bottom="1418" w:left="1701" w:header="1134" w:footer="1134" w:gutter="0"/>
          <w:pgNumType w:start="1"/>
          <w:cols w:space="720" w:num="1"/>
          <w:docGrid w:linePitch="285" w:charSpace="0"/>
        </w:sectPr>
      </w:pPr>
    </w:p>
    <w:p>
      <w:pPr>
        <w:pStyle w:val="43"/>
        <w:jc w:val="center"/>
        <w:rPr>
          <w:rFonts w:ascii="Times New Roman" w:hAnsi="Times New Roman"/>
          <w:color w:val="auto"/>
        </w:rPr>
      </w:pPr>
      <w:r>
        <w:rPr>
          <w:rFonts w:ascii="Times New Roman" w:hAnsi="Times New Roman"/>
          <w:color w:val="auto"/>
          <w:lang w:val="zh-CN"/>
        </w:rPr>
        <w:t>目录</w:t>
      </w:r>
    </w:p>
    <w:p>
      <w:pPr>
        <w:pStyle w:val="18"/>
        <w:tabs>
          <w:tab w:val="right" w:leader="dot" w:pos="8788"/>
        </w:tabs>
        <w:rPr>
          <w:rFonts w:ascii="Times New Roman" w:hAnsi="Times New Roman"/>
          <w:sz w:val="24"/>
          <w:szCs w:val="24"/>
        </w:rPr>
      </w:pPr>
      <w:r>
        <w:rPr>
          <w:rFonts w:ascii="Times New Roman" w:hAnsi="Times New Roman"/>
          <w:b w:val="0"/>
          <w:bCs w:val="0"/>
          <w:sz w:val="24"/>
          <w:szCs w:val="24"/>
        </w:rPr>
        <w:fldChar w:fldCharType="begin"/>
      </w:r>
      <w:r>
        <w:rPr>
          <w:rFonts w:ascii="Times New Roman" w:hAnsi="Times New Roman"/>
          <w:b w:val="0"/>
          <w:bCs w:val="0"/>
          <w:sz w:val="24"/>
          <w:szCs w:val="24"/>
        </w:rPr>
        <w:instrText xml:space="preserve"> TOC \o "1-1" \h \z \u </w:instrText>
      </w:r>
      <w:r>
        <w:rPr>
          <w:rFonts w:ascii="Times New Roman" w:hAnsi="Times New Roman"/>
          <w:b w:val="0"/>
          <w:bCs w:val="0"/>
          <w:sz w:val="24"/>
          <w:szCs w:val="24"/>
        </w:rPr>
        <w:fldChar w:fldCharType="separate"/>
      </w:r>
      <w:r>
        <w:fldChar w:fldCharType="begin"/>
      </w:r>
      <w:r>
        <w:instrText xml:space="preserve"> HYPERLINK \l "_Toc17933" </w:instrText>
      </w:r>
      <w:r>
        <w:fldChar w:fldCharType="separate"/>
      </w:r>
      <w:r>
        <w:rPr>
          <w:rFonts w:ascii="Times New Roman" w:hAnsi="Times New Roman"/>
          <w:snapToGrid w:val="0"/>
          <w:kern w:val="24"/>
          <w:sz w:val="24"/>
          <w:szCs w:val="24"/>
        </w:rPr>
        <w:t xml:space="preserve">1 </w:t>
      </w:r>
      <w:r>
        <w:rPr>
          <w:rFonts w:ascii="Times New Roman" w:hAnsi="Times New Roman"/>
          <w:snapToGrid w:val="0"/>
          <w:sz w:val="24"/>
          <w:szCs w:val="24"/>
        </w:rPr>
        <w:t>建设项目基本情况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_Toc17933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"_Toc2949" </w:instrText>
      </w:r>
      <w:r>
        <w:fldChar w:fldCharType="separate"/>
      </w:r>
      <w:r>
        <w:rPr>
          <w:rFonts w:ascii="Times New Roman" w:hAnsi="Times New Roman"/>
          <w:sz w:val="24"/>
          <w:szCs w:val="24"/>
        </w:rPr>
        <w:t>2 自然环境简况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_Toc2949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"_Toc13249" </w:instrText>
      </w:r>
      <w:r>
        <w:fldChar w:fldCharType="separate"/>
      </w:r>
      <w:r>
        <w:rPr>
          <w:rFonts w:ascii="Times New Roman" w:hAnsi="Times New Roman"/>
          <w:sz w:val="24"/>
          <w:szCs w:val="24"/>
        </w:rPr>
        <w:t>3 环境质量状况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_Toc13249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"_Toc5062" </w:instrText>
      </w:r>
      <w:r>
        <w:fldChar w:fldCharType="separate"/>
      </w:r>
      <w:r>
        <w:rPr>
          <w:rFonts w:ascii="Times New Roman" w:hAnsi="Times New Roman"/>
          <w:kern w:val="24"/>
          <w:sz w:val="24"/>
          <w:szCs w:val="24"/>
        </w:rPr>
        <w:t xml:space="preserve">4 </w:t>
      </w:r>
      <w:r>
        <w:rPr>
          <w:rFonts w:ascii="Times New Roman" w:hAnsi="Times New Roman"/>
          <w:sz w:val="24"/>
          <w:szCs w:val="24"/>
        </w:rPr>
        <w:t>评价适用标准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_Toc5062 </w:instrText>
      </w:r>
      <w:r>
        <w:rPr>
          <w:rFonts w:ascii="Times New Roman" w:hAnsi="Times New Roman"/>
          <w:sz w:val="24"/>
          <w:szCs w:val="24"/>
        </w:rPr>
        <w:fldChar w:fldCharType="separate"/>
      </w:r>
      <w:r>
        <w:rPr>
          <w:rFonts w:ascii="Times New Roman" w:hAnsi="Times New Roman"/>
          <w:sz w:val="24"/>
          <w:szCs w:val="24"/>
        </w:rPr>
        <w:t>21</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"_Toc3212" </w:instrText>
      </w:r>
      <w:r>
        <w:fldChar w:fldCharType="separate"/>
      </w:r>
      <w:r>
        <w:rPr>
          <w:rFonts w:ascii="Times New Roman" w:hAnsi="Times New Roman"/>
          <w:sz w:val="24"/>
          <w:szCs w:val="24"/>
        </w:rPr>
        <w:t>5 工程分析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_Toc3212 </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"_Toc10335" </w:instrText>
      </w:r>
      <w:r>
        <w:fldChar w:fldCharType="separate"/>
      </w:r>
      <w:r>
        <w:rPr>
          <w:rFonts w:ascii="Times New Roman" w:hAnsi="Times New Roman"/>
          <w:sz w:val="24"/>
          <w:szCs w:val="24"/>
        </w:rPr>
        <w:t>6 项目主要污染物产生及预计排放情况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_Toc10335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"_Toc26737" </w:instrText>
      </w:r>
      <w:r>
        <w:fldChar w:fldCharType="separate"/>
      </w:r>
      <w:r>
        <w:rPr>
          <w:rFonts w:ascii="Times New Roman" w:hAnsi="Times New Roman"/>
          <w:sz w:val="24"/>
          <w:szCs w:val="24"/>
        </w:rPr>
        <w:t>7 环境影响分析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_Toc26737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"_Toc8929" </w:instrText>
      </w:r>
      <w:r>
        <w:fldChar w:fldCharType="separate"/>
      </w:r>
      <w:r>
        <w:rPr>
          <w:rFonts w:ascii="Times New Roman" w:hAnsi="Times New Roman"/>
          <w:kern w:val="24"/>
          <w:sz w:val="24"/>
          <w:szCs w:val="24"/>
        </w:rPr>
        <w:t xml:space="preserve">8 </w:t>
      </w:r>
      <w:r>
        <w:rPr>
          <w:rFonts w:ascii="Times New Roman" w:hAnsi="Times New Roman"/>
          <w:sz w:val="24"/>
          <w:szCs w:val="24"/>
        </w:rPr>
        <w:t>建设项目拟采取的防治措施及预期治理效果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_Toc8929 </w:instrText>
      </w:r>
      <w:r>
        <w:rPr>
          <w:rFonts w:ascii="Times New Roman" w:hAnsi="Times New Roman"/>
          <w:sz w:val="24"/>
          <w:szCs w:val="24"/>
        </w:rPr>
        <w:fldChar w:fldCharType="separate"/>
      </w:r>
      <w:r>
        <w:rPr>
          <w:rFonts w:ascii="Times New Roman" w:hAnsi="Times New Roman"/>
          <w:sz w:val="24"/>
          <w:szCs w:val="24"/>
        </w:rPr>
        <w:t>48</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788"/>
        </w:tabs>
        <w:rPr>
          <w:rFonts w:ascii="Times New Roman" w:hAnsi="Times New Roman"/>
          <w:sz w:val="24"/>
          <w:szCs w:val="24"/>
        </w:rPr>
      </w:pPr>
      <w:r>
        <w:fldChar w:fldCharType="begin"/>
      </w:r>
      <w:r>
        <w:instrText xml:space="preserve"> HYPERLINK \l "_Toc28651" </w:instrText>
      </w:r>
      <w:r>
        <w:fldChar w:fldCharType="separate"/>
      </w:r>
      <w:r>
        <w:rPr>
          <w:rFonts w:ascii="Times New Roman" w:hAnsi="Times New Roman"/>
          <w:sz w:val="24"/>
          <w:szCs w:val="24"/>
        </w:rPr>
        <w:t>9 评价结论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_Toc28651 </w:instrText>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Pr>
          <w:rFonts w:ascii="Times New Roman" w:hAnsi="Times New Roman"/>
          <w:sz w:val="24"/>
          <w:szCs w:val="24"/>
        </w:rPr>
        <w:fldChar w:fldCharType="end"/>
      </w:r>
    </w:p>
    <w:p>
      <w:r>
        <w:rPr>
          <w:b/>
          <w:bCs/>
          <w:sz w:val="24"/>
          <w:szCs w:val="24"/>
        </w:rPr>
        <w:fldChar w:fldCharType="end"/>
      </w:r>
    </w:p>
    <w:p>
      <w:r>
        <w:br w:type="page"/>
      </w:r>
    </w:p>
    <w:p>
      <w:pPr>
        <w:adjustRightInd w:val="0"/>
        <w:snapToGrid w:val="0"/>
        <w:jc w:val="center"/>
        <w:rPr>
          <w:rFonts w:ascii="Times New Roman" w:hAnsi="Times New Roman" w:eastAsia="黑体" w:cs="Times New Roman"/>
          <w:sz w:val="24"/>
          <w:szCs w:val="24"/>
        </w:rPr>
      </w:pPr>
      <w:r>
        <w:rPr>
          <w:rFonts w:ascii="Times New Roman" w:hAnsi="黑体" w:eastAsia="黑体" w:cs="Times New Roman"/>
          <w:sz w:val="24"/>
          <w:szCs w:val="24"/>
        </w:rPr>
        <w:t>修改说明</w:t>
      </w:r>
    </w:p>
    <w:tbl>
      <w:tblPr>
        <w:tblStyle w:val="25"/>
        <w:tblW w:w="499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6"/>
        <w:gridCol w:w="3634"/>
        <w:gridCol w:w="3214"/>
        <w:gridCol w:w="15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Align w:val="center"/>
          </w:tcPr>
          <w:p>
            <w:pPr>
              <w:adjustRightInd w:val="0"/>
              <w:snapToGrid w:val="0"/>
              <w:spacing w:line="240" w:lineRule="auto"/>
              <w:jc w:val="center"/>
              <w:rPr>
                <w:rFonts w:ascii="Times New Roman" w:hAnsi="Times New Roman" w:cs="Times New Roman"/>
              </w:rPr>
            </w:pPr>
            <w:r>
              <w:rPr>
                <w:rFonts w:hint="eastAsia" w:ascii="Times New Roman" w:hAnsi="Times New Roman" w:cs="Times New Roman"/>
              </w:rPr>
              <w:t>序号</w:t>
            </w:r>
          </w:p>
        </w:tc>
        <w:tc>
          <w:tcPr>
            <w:tcW w:w="2018" w:type="pct"/>
            <w:vAlign w:val="center"/>
          </w:tcPr>
          <w:p>
            <w:pPr>
              <w:adjustRightInd w:val="0"/>
              <w:snapToGrid w:val="0"/>
              <w:spacing w:line="240" w:lineRule="auto"/>
              <w:jc w:val="center"/>
              <w:rPr>
                <w:rFonts w:ascii="Times New Roman" w:hAnsi="Times New Roman" w:cs="Times New Roman"/>
              </w:rPr>
            </w:pPr>
            <w:r>
              <w:rPr>
                <w:rFonts w:hint="eastAsia" w:ascii="Times New Roman" w:hAnsi="Times New Roman" w:cs="Times New Roman"/>
              </w:rPr>
              <w:t>专家意见</w:t>
            </w:r>
          </w:p>
        </w:tc>
        <w:tc>
          <w:tcPr>
            <w:tcW w:w="1785" w:type="pct"/>
            <w:vAlign w:val="center"/>
          </w:tcPr>
          <w:p>
            <w:pPr>
              <w:adjustRightInd w:val="0"/>
              <w:snapToGrid w:val="0"/>
              <w:spacing w:line="240" w:lineRule="auto"/>
              <w:jc w:val="center"/>
              <w:rPr>
                <w:rFonts w:ascii="Times New Roman" w:hAnsi="Times New Roman" w:cs="Times New Roman"/>
              </w:rPr>
            </w:pPr>
            <w:r>
              <w:rPr>
                <w:rFonts w:hint="eastAsia" w:ascii="Times New Roman" w:hAnsi="Times New Roman" w:cs="Times New Roman"/>
              </w:rPr>
              <w:t>修改说明</w:t>
            </w:r>
          </w:p>
        </w:tc>
        <w:tc>
          <w:tcPr>
            <w:tcW w:w="858" w:type="pct"/>
            <w:vAlign w:val="center"/>
          </w:tcPr>
          <w:p>
            <w:pPr>
              <w:adjustRightInd w:val="0"/>
              <w:snapToGrid w:val="0"/>
              <w:spacing w:line="240" w:lineRule="auto"/>
              <w:jc w:val="center"/>
              <w:rPr>
                <w:rFonts w:ascii="Times New Roman" w:hAnsi="Times New Roman" w:cs="Times New Roman"/>
              </w:rPr>
            </w:pPr>
            <w:r>
              <w:rPr>
                <w:rFonts w:hint="eastAsia" w:ascii="Times New Roman" w:hAnsi="Times New Roman" w:cs="Times New Roman"/>
              </w:rPr>
              <w:t>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Align w:val="center"/>
          </w:tcPr>
          <w:p>
            <w:pPr>
              <w:adjustRightInd w:val="0"/>
              <w:snapToGrid w:val="0"/>
              <w:spacing w:line="240" w:lineRule="auto"/>
              <w:jc w:val="center"/>
              <w:rPr>
                <w:rFonts w:hint="eastAsia" w:ascii="Times New Roman" w:hAnsi="Times New Roman" w:cs="Times New Roman"/>
              </w:rPr>
            </w:pPr>
            <w:r>
              <w:rPr>
                <w:rFonts w:hint="eastAsia" w:ascii="Times New Roman" w:hAnsi="Times New Roman" w:cs="Times New Roman"/>
              </w:rPr>
              <w:t>1</w:t>
            </w:r>
          </w:p>
        </w:tc>
        <w:tc>
          <w:tcPr>
            <w:tcW w:w="2018"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ascii="Times New Roman" w:hAnsi="Times New Roman" w:cs="Times New Roman"/>
                <w:lang w:eastAsia="zh-CN"/>
              </w:rPr>
              <w:t>完善项目由来及项目投资，校核项目建设内容及主要设备，校核项目加油站油罐数量和规模。</w:t>
            </w:r>
          </w:p>
        </w:tc>
        <w:tc>
          <w:tcPr>
            <w:tcW w:w="1785"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cs="Times New Roman"/>
                <w:lang w:eastAsia="zh-CN"/>
              </w:rPr>
              <w:t>已完善</w:t>
            </w:r>
            <w:r>
              <w:rPr>
                <w:rFonts w:hint="eastAsia" w:ascii="Times New Roman" w:hAnsi="Times New Roman" w:cs="Times New Roman"/>
                <w:lang w:eastAsia="zh-CN"/>
              </w:rPr>
              <w:t>项目由来及项目投资，校核项目建设内容及主要设备，校核项目加油站油罐数量和规模。</w:t>
            </w:r>
          </w:p>
        </w:tc>
        <w:tc>
          <w:tcPr>
            <w:tcW w:w="858"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章节1.1-1.3，P1-3；章节7.3，P40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Align w:val="center"/>
          </w:tcPr>
          <w:p>
            <w:pPr>
              <w:adjustRightInd w:val="0"/>
              <w:snapToGrid w:val="0"/>
              <w:spacing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2018"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ascii="Times New Roman" w:hAnsi="Times New Roman" w:cs="Times New Roman"/>
                <w:lang w:eastAsia="zh-CN"/>
              </w:rPr>
              <w:t>完善现有项目基本情况及油气回收、地下水监测井等环保设施建设运行情况，以此完善现有项目存在的环境问题和整改完善措施。</w:t>
            </w:r>
          </w:p>
        </w:tc>
        <w:tc>
          <w:tcPr>
            <w:tcW w:w="1785"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cs="Times New Roman"/>
                <w:lang w:eastAsia="zh-CN"/>
              </w:rPr>
              <w:t>已完善</w:t>
            </w:r>
            <w:r>
              <w:rPr>
                <w:rFonts w:hint="eastAsia" w:ascii="Times New Roman" w:hAnsi="Times New Roman" w:cs="Times New Roman"/>
                <w:lang w:eastAsia="zh-CN"/>
              </w:rPr>
              <w:t>现有项目基本情况及油气回收、地下水监测井等环保设施建设运行情况，</w:t>
            </w:r>
            <w:r>
              <w:rPr>
                <w:rFonts w:hint="eastAsia" w:cs="Times New Roman"/>
                <w:lang w:eastAsia="zh-CN"/>
              </w:rPr>
              <w:t>已</w:t>
            </w:r>
            <w:r>
              <w:rPr>
                <w:rFonts w:hint="eastAsia" w:ascii="Times New Roman" w:hAnsi="Times New Roman" w:cs="Times New Roman"/>
                <w:lang w:eastAsia="zh-CN"/>
              </w:rPr>
              <w:t>完善现有项目存在的环境问题和整改完善措施。</w:t>
            </w:r>
          </w:p>
        </w:tc>
        <w:tc>
          <w:tcPr>
            <w:tcW w:w="858"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章节1.10，P8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Align w:val="center"/>
          </w:tcPr>
          <w:p>
            <w:pPr>
              <w:adjustRightInd w:val="0"/>
              <w:snapToGrid w:val="0"/>
              <w:spacing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c>
          <w:tcPr>
            <w:tcW w:w="2018"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ascii="Times New Roman" w:hAnsi="Times New Roman" w:cs="Times New Roman"/>
                <w:lang w:eastAsia="zh-CN"/>
              </w:rPr>
              <w:t>校核环境空气质量现状，明确区域饮用水源情况及雨污水排放路径和受纳水体。</w:t>
            </w:r>
          </w:p>
        </w:tc>
        <w:tc>
          <w:tcPr>
            <w:tcW w:w="1785"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cs="Times New Roman"/>
                <w:lang w:eastAsia="zh-CN"/>
              </w:rPr>
              <w:t>已</w:t>
            </w:r>
            <w:r>
              <w:rPr>
                <w:rFonts w:hint="eastAsia" w:ascii="Times New Roman" w:hAnsi="Times New Roman" w:cs="Times New Roman"/>
                <w:lang w:eastAsia="zh-CN"/>
              </w:rPr>
              <w:t>校核环境空气质量现状，明确区域饮用水源情况及雨污水排放路径和受纳水体。</w:t>
            </w:r>
          </w:p>
        </w:tc>
        <w:tc>
          <w:tcPr>
            <w:tcW w:w="858"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章节2.4，P10；章节3.1，P13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Merge w:val="restart"/>
            <w:vAlign w:val="center"/>
          </w:tcPr>
          <w:p>
            <w:pPr>
              <w:adjustRightInd w:val="0"/>
              <w:snapToGrid w:val="0"/>
              <w:spacing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4</w:t>
            </w:r>
          </w:p>
        </w:tc>
        <w:tc>
          <w:tcPr>
            <w:tcW w:w="2018"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ascii="Times New Roman" w:hAnsi="Times New Roman" w:cs="Times New Roman"/>
                <w:lang w:eastAsia="zh-CN"/>
              </w:rPr>
              <w:t>校核项目废气污染源强；</w:t>
            </w:r>
          </w:p>
        </w:tc>
        <w:tc>
          <w:tcPr>
            <w:tcW w:w="1785"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cs="Times New Roman"/>
                <w:lang w:eastAsia="zh-CN"/>
              </w:rPr>
              <w:t>已</w:t>
            </w:r>
            <w:r>
              <w:rPr>
                <w:rFonts w:hint="eastAsia" w:ascii="Times New Roman" w:hAnsi="Times New Roman" w:cs="Times New Roman"/>
                <w:lang w:eastAsia="zh-CN"/>
              </w:rPr>
              <w:t>校核项目废气污染源强</w:t>
            </w:r>
          </w:p>
        </w:tc>
        <w:tc>
          <w:tcPr>
            <w:tcW w:w="858"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章节5.2.2.1，P23-25；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Merge w:val="continue"/>
            <w:vAlign w:val="center"/>
          </w:tcPr>
          <w:p>
            <w:pPr>
              <w:adjustRightInd w:val="0"/>
              <w:snapToGrid w:val="0"/>
              <w:spacing w:line="240" w:lineRule="auto"/>
              <w:jc w:val="center"/>
              <w:rPr>
                <w:rFonts w:hint="eastAsia" w:ascii="Times New Roman" w:hAnsi="Times New Roman" w:cs="Times New Roman"/>
                <w:lang w:val="en-US" w:eastAsia="zh-CN"/>
              </w:rPr>
            </w:pPr>
          </w:p>
        </w:tc>
        <w:tc>
          <w:tcPr>
            <w:tcW w:w="2018"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ascii="Times New Roman" w:hAnsi="Times New Roman" w:cs="Times New Roman"/>
                <w:lang w:eastAsia="zh-CN"/>
              </w:rPr>
              <w:t>核实项目用排水量，明确项目洗车方式，强化洗车废水等全部回用不外排的可靠性分析，以此完善项目地表水环境影响分析。</w:t>
            </w:r>
          </w:p>
        </w:tc>
        <w:tc>
          <w:tcPr>
            <w:tcW w:w="1785" w:type="pct"/>
            <w:vAlign w:val="center"/>
          </w:tcPr>
          <w:p>
            <w:pPr>
              <w:adjustRightInd w:val="0"/>
              <w:snapToGrid w:val="0"/>
              <w:spacing w:line="240" w:lineRule="auto"/>
              <w:jc w:val="center"/>
              <w:rPr>
                <w:rFonts w:hint="eastAsia" w:cs="Times New Roman"/>
                <w:lang w:eastAsia="zh-CN"/>
              </w:rPr>
            </w:pPr>
            <w:r>
              <w:rPr>
                <w:rFonts w:hint="eastAsia" w:cs="Times New Roman"/>
                <w:lang w:eastAsia="zh-CN"/>
              </w:rPr>
              <w:t>已核实</w:t>
            </w:r>
            <w:r>
              <w:rPr>
                <w:rFonts w:hint="eastAsia" w:ascii="Times New Roman" w:hAnsi="Times New Roman" w:cs="Times New Roman"/>
                <w:lang w:eastAsia="zh-CN"/>
              </w:rPr>
              <w:t>项目用排水量，明确项目洗车方式，强化洗车废水等全部回用不外排的可靠性分析，以此完善项目地表水环境影响分析。</w:t>
            </w:r>
          </w:p>
        </w:tc>
        <w:tc>
          <w:tcPr>
            <w:tcW w:w="858" w:type="pct"/>
            <w:vAlign w:val="center"/>
          </w:tcPr>
          <w:p>
            <w:pPr>
              <w:adjustRightInd w:val="0"/>
              <w:snapToGrid w:val="0"/>
              <w:spacing w:line="240" w:lineRule="auto"/>
              <w:jc w:val="center"/>
              <w:rPr>
                <w:rFonts w:hint="default" w:cs="Times New Roman"/>
                <w:lang w:val="en-US" w:eastAsia="zh-CN"/>
              </w:rPr>
            </w:pPr>
            <w:r>
              <w:rPr>
                <w:rFonts w:hint="eastAsia" w:cs="Times New Roman"/>
                <w:lang w:val="en-US" w:eastAsia="zh-CN"/>
              </w:rPr>
              <w:t>章节1.8.1，P5-6；章节7.2.2，P35-36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7"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5</w:t>
            </w:r>
          </w:p>
        </w:tc>
        <w:tc>
          <w:tcPr>
            <w:tcW w:w="2018" w:type="pct"/>
            <w:vAlign w:val="center"/>
          </w:tcPr>
          <w:p>
            <w:pPr>
              <w:adjustRightInd w:val="0"/>
              <w:snapToGrid w:val="0"/>
              <w:spacing w:line="240" w:lineRule="auto"/>
              <w:jc w:val="center"/>
              <w:rPr>
                <w:rFonts w:hint="eastAsia" w:ascii="Times New Roman" w:hAnsi="Times New Roman" w:cs="Times New Roman"/>
                <w:lang w:val="en-US" w:eastAsia="zh-CN"/>
              </w:rPr>
            </w:pPr>
            <w:r>
              <w:rPr>
                <w:rFonts w:hint="eastAsia" w:ascii="Times New Roman" w:hAnsi="Times New Roman" w:cs="Times New Roman"/>
                <w:lang w:eastAsia="zh-CN"/>
              </w:rPr>
              <w:t>完善环境监测计划及竣工环保验收一览表。</w:t>
            </w:r>
          </w:p>
        </w:tc>
        <w:tc>
          <w:tcPr>
            <w:tcW w:w="1785" w:type="pct"/>
            <w:vAlign w:val="center"/>
          </w:tcPr>
          <w:p>
            <w:pPr>
              <w:adjustRightInd w:val="0"/>
              <w:snapToGrid w:val="0"/>
              <w:spacing w:line="240" w:lineRule="auto"/>
              <w:jc w:val="center"/>
              <w:rPr>
                <w:rFonts w:hint="eastAsia" w:ascii="Times New Roman" w:hAnsi="Times New Roman" w:cs="Times New Roman"/>
                <w:lang w:eastAsia="zh-CN"/>
              </w:rPr>
            </w:pPr>
            <w:r>
              <w:rPr>
                <w:rFonts w:hint="eastAsia" w:cs="Times New Roman"/>
                <w:lang w:eastAsia="zh-CN"/>
              </w:rPr>
              <w:t>已完善</w:t>
            </w:r>
            <w:r>
              <w:rPr>
                <w:rFonts w:hint="eastAsia" w:ascii="Times New Roman" w:hAnsi="Times New Roman" w:cs="Times New Roman"/>
                <w:lang w:eastAsia="zh-CN"/>
              </w:rPr>
              <w:t>环境监测计划及竣工环保验收一览表</w:t>
            </w:r>
          </w:p>
        </w:tc>
        <w:tc>
          <w:tcPr>
            <w:tcW w:w="858" w:type="pct"/>
            <w:vAlign w:val="center"/>
          </w:tcPr>
          <w:p>
            <w:pPr>
              <w:adjustRightInd w:val="0"/>
              <w:snapToGrid w:val="0"/>
              <w:spacing w:line="240" w:lineRule="auto"/>
              <w:jc w:val="center"/>
              <w:rPr>
                <w:rFonts w:hint="default" w:ascii="Times New Roman" w:hAnsi="Times New Roman" w:cs="Times New Roman"/>
                <w:lang w:val="en-US" w:eastAsia="zh-CN"/>
              </w:rPr>
            </w:pPr>
            <w:r>
              <w:rPr>
                <w:rFonts w:hint="eastAsia" w:cs="Times New Roman"/>
                <w:lang w:val="en-US" w:eastAsia="zh-CN"/>
              </w:rPr>
              <w:t>章节7.5-7.6，P46-47</w:t>
            </w:r>
          </w:p>
        </w:tc>
      </w:tr>
    </w:tbl>
    <w:p>
      <w:pPr>
        <w:pStyle w:val="21"/>
      </w:pPr>
      <w:bookmarkStart w:id="41" w:name="_GoBack"/>
      <w:bookmarkEnd w:id="41"/>
      <w:r>
        <w:br w:type="page"/>
      </w:r>
    </w:p>
    <w:p/>
    <w:p>
      <w:pPr>
        <w:pStyle w:val="21"/>
      </w:pPr>
      <w:r>
        <w:rPr>
          <w:rFonts w:hint="eastAsia"/>
        </w:rPr>
        <w:t>附  表</w:t>
      </w:r>
    </w:p>
    <w:p>
      <w:pPr>
        <w:pStyle w:val="4"/>
        <w:ind w:firstLine="480"/>
      </w:pPr>
      <w:r>
        <w:rPr>
          <w:rFonts w:hint="eastAsia"/>
        </w:rPr>
        <w:t>附表1  建设项目环评审批基础信息表</w:t>
      </w:r>
    </w:p>
    <w:p>
      <w:pPr>
        <w:pStyle w:val="4"/>
        <w:ind w:firstLine="480"/>
      </w:pPr>
      <w:r>
        <w:rPr>
          <w:rFonts w:hint="eastAsia"/>
        </w:rPr>
        <w:t>附表2  建设项目大气环境影响评价自查表</w:t>
      </w:r>
    </w:p>
    <w:p>
      <w:pPr>
        <w:pStyle w:val="4"/>
        <w:ind w:firstLine="480"/>
      </w:pPr>
      <w:r>
        <w:rPr>
          <w:rFonts w:hint="eastAsia"/>
        </w:rPr>
        <w:t>附表3  建设项目地表水环境影响评价自查表</w:t>
      </w:r>
    </w:p>
    <w:p>
      <w:pPr>
        <w:pStyle w:val="4"/>
        <w:ind w:firstLine="480"/>
        <w:rPr>
          <w:rFonts w:hint="eastAsia" w:ascii="Times New Roman" w:hAnsi="Times New Roman" w:eastAsia="宋体" w:cs="Times New Roman"/>
        </w:rPr>
      </w:pPr>
      <w:r>
        <w:rPr>
          <w:rFonts w:hint="eastAsia"/>
        </w:rPr>
        <w:t xml:space="preserve">附表4 </w:t>
      </w:r>
      <w:r>
        <w:rPr>
          <w:rFonts w:hint="eastAsia"/>
          <w:lang w:val="en-US" w:eastAsia="zh-CN"/>
        </w:rPr>
        <w:t xml:space="preserve"> </w:t>
      </w:r>
      <w:r>
        <w:rPr>
          <w:rFonts w:hint="eastAsia"/>
        </w:rPr>
        <w:t>建设项目</w:t>
      </w:r>
      <w:r>
        <w:rPr>
          <w:rFonts w:hint="eastAsia" w:ascii="Times New Roman" w:hAnsi="Times New Roman" w:eastAsia="宋体" w:cs="Times New Roman"/>
        </w:rPr>
        <w:t>环境风险评价自查表</w:t>
      </w:r>
    </w:p>
    <w:p>
      <w:pPr>
        <w:pStyle w:val="4"/>
        <w:ind w:firstLine="480"/>
        <w:rPr>
          <w:rFonts w:hint="eastAsia" w:ascii="Times New Roman" w:hAnsi="Times New Roman" w:eastAsia="宋体" w:cs="Times New Roman"/>
          <w:lang w:eastAsia="zh-CN"/>
        </w:rPr>
      </w:pPr>
      <w:r>
        <w:rPr>
          <w:rFonts w:hint="eastAsia" w:ascii="Times New Roman" w:hAnsi="Times New Roman" w:eastAsia="宋体" w:cs="Times New Roman"/>
          <w:lang w:eastAsia="zh-CN"/>
        </w:rPr>
        <w:t>附表</w:t>
      </w:r>
      <w:r>
        <w:rPr>
          <w:rFonts w:hint="eastAsia" w:ascii="Times New Roman" w:hAnsi="Times New Roman" w:eastAsia="宋体" w:cs="Times New Roman"/>
          <w:lang w:val="en-US" w:eastAsia="zh-CN"/>
        </w:rPr>
        <w:t xml:space="preserve">5 </w:t>
      </w:r>
      <w:r>
        <w:rPr>
          <w:rFonts w:hint="eastAsia" w:ascii="Times New Roman" w:hAnsi="Times New Roman" w:eastAsia="宋体" w:cs="Times New Roman"/>
          <w:lang w:eastAsia="zh-CN"/>
        </w:rPr>
        <w:t>土壤环境影响评价自查表</w:t>
      </w:r>
    </w:p>
    <w:p>
      <w:pPr>
        <w:rPr>
          <w:rFonts w:hint="default" w:eastAsia="宋体"/>
          <w:lang w:val="en-US" w:eastAsia="zh-CN"/>
        </w:rPr>
      </w:pPr>
    </w:p>
    <w:p>
      <w:pPr>
        <w:pStyle w:val="21"/>
        <w:rPr>
          <w:highlight w:val="yellow"/>
        </w:rPr>
      </w:pPr>
      <w:r>
        <w:t>附  件</w:t>
      </w:r>
    </w:p>
    <w:p>
      <w:pPr>
        <w:pStyle w:val="4"/>
        <w:ind w:firstLine="480"/>
      </w:pPr>
      <w:r>
        <w:t>附件</w:t>
      </w:r>
      <w:r>
        <w:rPr>
          <w:rFonts w:hint="eastAsia"/>
        </w:rPr>
        <w:t>1</w:t>
      </w:r>
      <w:r>
        <w:t>：环评委托</w:t>
      </w:r>
      <w:r>
        <w:rPr>
          <w:rFonts w:hint="eastAsia"/>
        </w:rPr>
        <w:t>书</w:t>
      </w:r>
    </w:p>
    <w:p>
      <w:pPr>
        <w:pStyle w:val="4"/>
        <w:ind w:firstLine="480"/>
      </w:pPr>
      <w:r>
        <w:t>附件</w:t>
      </w:r>
      <w:r>
        <w:rPr>
          <w:rFonts w:hint="eastAsia"/>
        </w:rPr>
        <w:t>2</w:t>
      </w:r>
      <w:r>
        <w:t>：</w:t>
      </w:r>
      <w:r>
        <w:rPr>
          <w:rFonts w:hint="eastAsia"/>
        </w:rPr>
        <w:t>营业执照</w:t>
      </w:r>
    </w:p>
    <w:p>
      <w:pPr>
        <w:pStyle w:val="4"/>
        <w:ind w:firstLine="480"/>
      </w:pPr>
      <w:r>
        <w:t>附件</w:t>
      </w:r>
      <w:r>
        <w:rPr>
          <w:rFonts w:hint="eastAsia"/>
        </w:rPr>
        <w:t>3</w:t>
      </w:r>
      <w:r>
        <w:t>：</w:t>
      </w:r>
      <w:r>
        <w:rPr>
          <w:rFonts w:hint="eastAsia"/>
        </w:rPr>
        <w:t>成品油零售经营批准证书</w:t>
      </w:r>
    </w:p>
    <w:p>
      <w:pPr>
        <w:pStyle w:val="4"/>
        <w:ind w:firstLine="480"/>
      </w:pPr>
      <w:r>
        <w:t>附件</w:t>
      </w:r>
      <w:r>
        <w:rPr>
          <w:rFonts w:hint="eastAsia"/>
        </w:rPr>
        <w:t>4</w:t>
      </w:r>
      <w:r>
        <w:t>：</w:t>
      </w:r>
      <w:r>
        <w:rPr>
          <w:rFonts w:hint="eastAsia"/>
        </w:rPr>
        <w:t>危险化学品经营许可证</w:t>
      </w:r>
    </w:p>
    <w:p>
      <w:pPr>
        <w:pStyle w:val="4"/>
        <w:ind w:firstLine="480"/>
        <w:rPr>
          <w:rFonts w:hint="eastAsia" w:ascii="Times New Roman" w:hAnsi="Times New Roman" w:eastAsia="宋体" w:cs="Times New Roman"/>
          <w:lang w:eastAsia="zh-CN"/>
        </w:rPr>
      </w:pPr>
      <w:r>
        <w:t>附件</w:t>
      </w:r>
      <w:r>
        <w:rPr>
          <w:rFonts w:hint="eastAsia"/>
        </w:rPr>
        <w:t>5</w:t>
      </w:r>
      <w:r>
        <w:t>：</w:t>
      </w:r>
      <w:r>
        <w:rPr>
          <w:rFonts w:hint="eastAsia"/>
          <w:lang w:eastAsia="zh-CN"/>
        </w:rPr>
        <w:t>土</w:t>
      </w:r>
      <w:r>
        <w:rPr>
          <w:rFonts w:hint="eastAsia" w:ascii="Times New Roman" w:hAnsi="Times New Roman" w:eastAsia="宋体" w:cs="Times New Roman"/>
          <w:lang w:eastAsia="zh-CN"/>
        </w:rPr>
        <w:t>地证及国土局盖章证明图</w:t>
      </w:r>
    </w:p>
    <w:p>
      <w:pPr>
        <w:pStyle w:val="4"/>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附件</w:t>
      </w:r>
      <w:r>
        <w:rPr>
          <w:rFonts w:hint="eastAsia" w:ascii="Times New Roman" w:hAnsi="Times New Roman" w:eastAsia="宋体" w:cs="Times New Roman"/>
          <w:lang w:val="en-US" w:eastAsia="zh-CN"/>
        </w:rPr>
        <w:t>6：监测报告及质保单</w:t>
      </w:r>
    </w:p>
    <w:p>
      <w:pPr>
        <w:pStyle w:val="4"/>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附件</w:t>
      </w:r>
      <w:r>
        <w:rPr>
          <w:rFonts w:hint="eastAsia" w:cs="Times New Roman"/>
          <w:lang w:val="en-US" w:eastAsia="zh-CN"/>
        </w:rPr>
        <w:t>7</w:t>
      </w:r>
      <w:r>
        <w:rPr>
          <w:rFonts w:hint="eastAsia" w:ascii="Times New Roman" w:hAnsi="Times New Roman" w:eastAsia="宋体" w:cs="Times New Roman"/>
          <w:lang w:val="en-US" w:eastAsia="zh-CN"/>
        </w:rPr>
        <w:t>：SF双层油罐质量说明书</w:t>
      </w:r>
    </w:p>
    <w:p>
      <w:pPr>
        <w:pStyle w:val="4"/>
        <w:ind w:firstLine="480"/>
        <w:rPr>
          <w:rFonts w:hint="default" w:ascii="Times New Roman" w:hAnsi="Times New Roman" w:eastAsia="宋体" w:cs="Times New Roman"/>
          <w:lang w:val="en-US"/>
        </w:rPr>
      </w:pPr>
      <w:r>
        <w:rPr>
          <w:rFonts w:hint="eastAsia" w:ascii="Times New Roman" w:hAnsi="Times New Roman" w:eastAsia="宋体" w:cs="Times New Roman"/>
          <w:lang w:val="en-US" w:eastAsia="zh-CN"/>
        </w:rPr>
        <w:t>附件</w:t>
      </w:r>
      <w:r>
        <w:rPr>
          <w:rFonts w:hint="eastAsia" w:cs="Times New Roman"/>
          <w:lang w:val="en-US" w:eastAsia="zh-CN"/>
        </w:rPr>
        <w:t>8</w:t>
      </w:r>
      <w:r>
        <w:rPr>
          <w:rFonts w:hint="eastAsia" w:ascii="Times New Roman" w:hAnsi="Times New Roman" w:eastAsia="宋体" w:cs="Times New Roman"/>
          <w:lang w:val="en-US" w:eastAsia="zh-CN"/>
        </w:rPr>
        <w:t>：消防验收意见书</w:t>
      </w:r>
    </w:p>
    <w:p/>
    <w:p>
      <w:pPr>
        <w:pStyle w:val="21"/>
      </w:pPr>
      <w:r>
        <w:t>附  图</w:t>
      </w:r>
    </w:p>
    <w:p>
      <w:pPr>
        <w:pStyle w:val="4"/>
        <w:ind w:firstLine="480"/>
      </w:pPr>
      <w:r>
        <w:t>附图1：项目地理位置示意图</w:t>
      </w:r>
    </w:p>
    <w:p>
      <w:pPr>
        <w:pStyle w:val="4"/>
        <w:ind w:firstLine="480"/>
      </w:pPr>
      <w:r>
        <w:t>附图2：项目总平面布置图</w:t>
      </w:r>
    </w:p>
    <w:p>
      <w:pPr>
        <w:pStyle w:val="4"/>
        <w:ind w:firstLine="480"/>
      </w:pPr>
      <w:r>
        <w:t>附图3：</w:t>
      </w:r>
      <w:r>
        <w:rPr>
          <w:rFonts w:hint="eastAsia"/>
        </w:rPr>
        <w:t>项目环保目标分布图</w:t>
      </w:r>
    </w:p>
    <w:p>
      <w:pPr>
        <w:pStyle w:val="4"/>
        <w:ind w:firstLine="480"/>
      </w:pPr>
      <w:r>
        <w:rPr>
          <w:rFonts w:hint="eastAsia"/>
        </w:rPr>
        <w:t>附图4：环境质量监测布点图</w:t>
      </w:r>
    </w:p>
    <w:p>
      <w:pPr>
        <w:pStyle w:val="4"/>
        <w:ind w:firstLine="480"/>
      </w:pPr>
      <w:r>
        <w:rPr>
          <w:rFonts w:hint="eastAsia"/>
        </w:rPr>
        <w:t>附图5：项目现场照片</w:t>
      </w:r>
    </w:p>
    <w:p>
      <w:pPr>
        <w:pStyle w:val="4"/>
        <w:ind w:firstLine="480"/>
      </w:pPr>
    </w:p>
    <w:p>
      <w:pPr>
        <w:pStyle w:val="4"/>
        <w:ind w:firstLine="480"/>
      </w:pPr>
    </w:p>
    <w:p>
      <w:pPr>
        <w:pStyle w:val="4"/>
        <w:ind w:firstLine="480"/>
      </w:pPr>
    </w:p>
    <w:p>
      <w:pPr>
        <w:pStyle w:val="4"/>
        <w:ind w:firstLine="0" w:firstLineChars="0"/>
        <w:jc w:val="center"/>
        <w:rPr>
          <w:rFonts w:eastAsia="黑体"/>
          <w:snapToGrid w:val="0"/>
          <w:sz w:val="32"/>
        </w:rPr>
        <w:sectPr>
          <w:footerReference r:id="rId6" w:type="default"/>
          <w:footerReference r:id="rId7" w:type="even"/>
          <w:pgSz w:w="11907" w:h="16840"/>
          <w:pgMar w:top="1418" w:right="1418" w:bottom="1418" w:left="1701" w:header="1134" w:footer="1134" w:gutter="0"/>
          <w:pgNumType w:start="1"/>
          <w:cols w:space="720" w:num="1"/>
          <w:docGrid w:linePitch="285" w:charSpace="0"/>
        </w:sectPr>
      </w:pPr>
    </w:p>
    <w:p>
      <w:pPr>
        <w:pStyle w:val="3"/>
        <w:rPr>
          <w:snapToGrid w:val="0"/>
          <w:kern w:val="24"/>
        </w:rPr>
      </w:pPr>
      <w:bookmarkStart w:id="0" w:name="_Toc17933"/>
      <w:r>
        <w:rPr>
          <w:snapToGrid w:val="0"/>
        </w:rPr>
        <w:t>建设项目基本情况</w:t>
      </w:r>
      <w:bookmarkEnd w:id="0"/>
    </w:p>
    <w:tbl>
      <w:tblPr>
        <w:tblStyle w:val="24"/>
        <w:tblW w:w="8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85" w:type="dxa"/>
          <w:bottom w:w="0" w:type="dxa"/>
          <w:right w:w="85" w:type="dxa"/>
        </w:tblCellMar>
      </w:tblPr>
      <w:tblGrid>
        <w:gridCol w:w="1631"/>
        <w:gridCol w:w="1128"/>
        <w:gridCol w:w="423"/>
        <w:gridCol w:w="985"/>
        <w:gridCol w:w="1831"/>
        <w:gridCol w:w="1659"/>
        <w:gridCol w:w="12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12"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项目名称</w:t>
            </w:r>
          </w:p>
        </w:tc>
        <w:tc>
          <w:tcPr>
            <w:tcW w:w="7325" w:type="dxa"/>
            <w:gridSpan w:val="6"/>
            <w:tcBorders>
              <w:top w:val="single" w:color="auto" w:sz="12" w:space="0"/>
              <w:bottom w:val="single" w:color="auto" w:sz="6" w:space="0"/>
            </w:tcBorders>
            <w:vAlign w:val="center"/>
          </w:tcPr>
          <w:p>
            <w:pPr>
              <w:spacing w:line="276" w:lineRule="auto"/>
              <w:jc w:val="center"/>
              <w:rPr>
                <w:sz w:val="24"/>
                <w:szCs w:val="24"/>
              </w:rPr>
            </w:pPr>
            <w:r>
              <w:rPr>
                <w:rFonts w:hint="eastAsia"/>
                <w:sz w:val="24"/>
                <w:szCs w:val="24"/>
              </w:rPr>
              <w:t>湘阴县杨林寨加油站项目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建设单位</w:t>
            </w:r>
          </w:p>
        </w:tc>
        <w:tc>
          <w:tcPr>
            <w:tcW w:w="7325" w:type="dxa"/>
            <w:gridSpan w:val="6"/>
            <w:tcBorders>
              <w:top w:val="single" w:color="auto" w:sz="6" w:space="0"/>
              <w:bottom w:val="single" w:color="auto" w:sz="6" w:space="0"/>
            </w:tcBorders>
            <w:vAlign w:val="center"/>
          </w:tcPr>
          <w:p>
            <w:pPr>
              <w:spacing w:line="276" w:lineRule="auto"/>
              <w:jc w:val="center"/>
              <w:rPr>
                <w:sz w:val="24"/>
                <w:szCs w:val="24"/>
              </w:rPr>
            </w:pPr>
            <w:r>
              <w:rPr>
                <w:rFonts w:hint="eastAsia"/>
                <w:sz w:val="24"/>
                <w:szCs w:val="24"/>
              </w:rPr>
              <w:t>湘阴县杨林寨加油站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法人代表</w:t>
            </w:r>
          </w:p>
        </w:tc>
        <w:tc>
          <w:tcPr>
            <w:tcW w:w="2536" w:type="dxa"/>
            <w:gridSpan w:val="3"/>
            <w:tcBorders>
              <w:top w:val="single" w:color="auto" w:sz="6" w:space="0"/>
              <w:bottom w:val="single" w:color="auto" w:sz="6" w:space="0"/>
            </w:tcBorders>
            <w:vAlign w:val="center"/>
          </w:tcPr>
          <w:p>
            <w:pPr>
              <w:spacing w:line="276" w:lineRule="auto"/>
              <w:jc w:val="center"/>
              <w:rPr>
                <w:sz w:val="24"/>
                <w:szCs w:val="24"/>
              </w:rPr>
            </w:pPr>
            <w:r>
              <w:rPr>
                <w:sz w:val="24"/>
              </w:rPr>
              <w:t>戴志中</w:t>
            </w:r>
          </w:p>
        </w:tc>
        <w:tc>
          <w:tcPr>
            <w:tcW w:w="1831" w:type="dxa"/>
            <w:tcBorders>
              <w:top w:val="single" w:color="auto" w:sz="6" w:space="0"/>
              <w:bottom w:val="single" w:color="auto" w:sz="6" w:space="0"/>
            </w:tcBorders>
            <w:vAlign w:val="center"/>
          </w:tcPr>
          <w:p>
            <w:pPr>
              <w:spacing w:line="276" w:lineRule="auto"/>
              <w:jc w:val="center"/>
              <w:rPr>
                <w:sz w:val="24"/>
                <w:szCs w:val="24"/>
              </w:rPr>
            </w:pPr>
            <w:r>
              <w:rPr>
                <w:sz w:val="24"/>
                <w:szCs w:val="24"/>
              </w:rPr>
              <w:t>联系人</w:t>
            </w:r>
          </w:p>
        </w:tc>
        <w:tc>
          <w:tcPr>
            <w:tcW w:w="2958" w:type="dxa"/>
            <w:gridSpan w:val="2"/>
            <w:tcBorders>
              <w:top w:val="single" w:color="auto" w:sz="6" w:space="0"/>
              <w:bottom w:val="single" w:color="auto" w:sz="6" w:space="0"/>
            </w:tcBorders>
            <w:vAlign w:val="center"/>
          </w:tcPr>
          <w:p>
            <w:pPr>
              <w:spacing w:line="276" w:lineRule="auto"/>
              <w:jc w:val="center"/>
              <w:rPr>
                <w:sz w:val="24"/>
                <w:szCs w:val="24"/>
              </w:rPr>
            </w:pPr>
            <w:r>
              <w:rPr>
                <w:sz w:val="24"/>
              </w:rPr>
              <w:t>戴继元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0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通讯地址</w:t>
            </w:r>
          </w:p>
        </w:tc>
        <w:tc>
          <w:tcPr>
            <w:tcW w:w="7325" w:type="dxa"/>
            <w:gridSpan w:val="6"/>
            <w:tcBorders>
              <w:top w:val="single" w:color="auto" w:sz="6" w:space="0"/>
              <w:bottom w:val="single" w:color="auto" w:sz="6" w:space="0"/>
            </w:tcBorders>
            <w:vAlign w:val="center"/>
          </w:tcPr>
          <w:p>
            <w:pPr>
              <w:spacing w:line="276" w:lineRule="auto"/>
              <w:jc w:val="center"/>
              <w:rPr>
                <w:sz w:val="24"/>
                <w:szCs w:val="24"/>
              </w:rPr>
            </w:pPr>
            <w:r>
              <w:rPr>
                <w:color w:val="000000"/>
                <w:sz w:val="24"/>
              </w:rPr>
              <w:t>湘阴县杨林寨乡东合港村3组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联系电话</w:t>
            </w:r>
          </w:p>
        </w:tc>
        <w:tc>
          <w:tcPr>
            <w:tcW w:w="1551" w:type="dxa"/>
            <w:gridSpan w:val="2"/>
            <w:tcBorders>
              <w:top w:val="single" w:color="auto" w:sz="6" w:space="0"/>
              <w:bottom w:val="single" w:color="auto" w:sz="6" w:space="0"/>
            </w:tcBorders>
            <w:vAlign w:val="center"/>
          </w:tcPr>
          <w:p>
            <w:pPr>
              <w:spacing w:line="276" w:lineRule="auto"/>
              <w:jc w:val="center"/>
              <w:rPr>
                <w:sz w:val="24"/>
                <w:szCs w:val="24"/>
              </w:rPr>
            </w:pPr>
            <w:r>
              <w:rPr>
                <w:sz w:val="24"/>
              </w:rPr>
              <w:t>18153308656</w:t>
            </w:r>
          </w:p>
        </w:tc>
        <w:tc>
          <w:tcPr>
            <w:tcW w:w="985" w:type="dxa"/>
            <w:tcBorders>
              <w:top w:val="single" w:color="auto" w:sz="6" w:space="0"/>
              <w:bottom w:val="single" w:color="auto" w:sz="6" w:space="0"/>
            </w:tcBorders>
            <w:vAlign w:val="center"/>
          </w:tcPr>
          <w:p>
            <w:pPr>
              <w:spacing w:line="276" w:lineRule="auto"/>
              <w:jc w:val="center"/>
              <w:rPr>
                <w:sz w:val="24"/>
                <w:szCs w:val="24"/>
              </w:rPr>
            </w:pPr>
            <w:r>
              <w:rPr>
                <w:sz w:val="24"/>
                <w:szCs w:val="24"/>
              </w:rPr>
              <w:t>传真</w:t>
            </w:r>
          </w:p>
        </w:tc>
        <w:tc>
          <w:tcPr>
            <w:tcW w:w="1831" w:type="dxa"/>
            <w:tcBorders>
              <w:top w:val="single" w:color="auto" w:sz="6" w:space="0"/>
              <w:bottom w:val="single" w:color="auto" w:sz="6" w:space="0"/>
            </w:tcBorders>
            <w:vAlign w:val="center"/>
          </w:tcPr>
          <w:p>
            <w:pPr>
              <w:spacing w:line="276" w:lineRule="auto"/>
              <w:jc w:val="center"/>
              <w:rPr>
                <w:sz w:val="24"/>
                <w:szCs w:val="24"/>
              </w:rPr>
            </w:pPr>
            <w:r>
              <w:rPr>
                <w:sz w:val="24"/>
                <w:szCs w:val="24"/>
              </w:rPr>
              <w:t>/</w:t>
            </w:r>
          </w:p>
        </w:tc>
        <w:tc>
          <w:tcPr>
            <w:tcW w:w="1659" w:type="dxa"/>
            <w:tcBorders>
              <w:top w:val="single" w:color="auto" w:sz="6" w:space="0"/>
              <w:bottom w:val="single" w:color="auto" w:sz="6" w:space="0"/>
            </w:tcBorders>
            <w:vAlign w:val="center"/>
          </w:tcPr>
          <w:p>
            <w:pPr>
              <w:spacing w:line="276" w:lineRule="auto"/>
              <w:jc w:val="center"/>
              <w:rPr>
                <w:sz w:val="24"/>
                <w:szCs w:val="24"/>
              </w:rPr>
            </w:pPr>
            <w:r>
              <w:rPr>
                <w:rFonts w:hint="eastAsia"/>
                <w:sz w:val="24"/>
                <w:szCs w:val="24"/>
              </w:rPr>
              <w:t>邮政编码</w:t>
            </w:r>
          </w:p>
        </w:tc>
        <w:tc>
          <w:tcPr>
            <w:tcW w:w="1299" w:type="dxa"/>
            <w:tcBorders>
              <w:top w:val="single" w:color="auto" w:sz="6" w:space="0"/>
              <w:bottom w:val="single" w:color="auto" w:sz="6" w:space="0"/>
            </w:tcBorders>
            <w:vAlign w:val="center"/>
          </w:tcPr>
          <w:p>
            <w:pPr>
              <w:spacing w:line="276" w:lineRule="auto"/>
              <w:jc w:val="center"/>
              <w:rPr>
                <w:sz w:val="24"/>
                <w:szCs w:val="24"/>
              </w:rPr>
            </w:pPr>
            <w:r>
              <w:rPr>
                <w:rFonts w:hint="eastAsia"/>
                <w:sz w:val="24"/>
                <w:szCs w:val="24"/>
              </w:rPr>
              <w:t>414616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建设地点</w:t>
            </w:r>
          </w:p>
        </w:tc>
        <w:tc>
          <w:tcPr>
            <w:tcW w:w="7325" w:type="dxa"/>
            <w:gridSpan w:val="6"/>
            <w:tcBorders>
              <w:top w:val="single" w:color="auto" w:sz="6" w:space="0"/>
              <w:bottom w:val="single" w:color="auto" w:sz="6" w:space="0"/>
            </w:tcBorders>
            <w:vAlign w:val="center"/>
          </w:tcPr>
          <w:p>
            <w:pPr>
              <w:spacing w:line="276" w:lineRule="auto"/>
              <w:jc w:val="center"/>
              <w:rPr>
                <w:sz w:val="24"/>
                <w:szCs w:val="24"/>
              </w:rPr>
            </w:pPr>
            <w:r>
              <w:rPr>
                <w:color w:val="000000"/>
                <w:sz w:val="24"/>
              </w:rPr>
              <w:t>湘阴县杨林寨乡东合港村3组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立项审批部门</w:t>
            </w:r>
          </w:p>
        </w:tc>
        <w:tc>
          <w:tcPr>
            <w:tcW w:w="2536" w:type="dxa"/>
            <w:gridSpan w:val="3"/>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zCs w:val="24"/>
              </w:rPr>
              <w:t>/</w:t>
            </w:r>
          </w:p>
        </w:tc>
        <w:tc>
          <w:tcPr>
            <w:tcW w:w="18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批准文号</w:t>
            </w:r>
          </w:p>
        </w:tc>
        <w:tc>
          <w:tcPr>
            <w:tcW w:w="2958" w:type="dxa"/>
            <w:gridSpan w:val="2"/>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建设性质</w:t>
            </w:r>
          </w:p>
        </w:tc>
        <w:tc>
          <w:tcPr>
            <w:tcW w:w="2536" w:type="dxa"/>
            <w:gridSpan w:val="3"/>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rFonts w:hint="eastAsia"/>
                <w:snapToGrid w:val="0"/>
                <w:szCs w:val="24"/>
              </w:rPr>
              <w:t>新建（补办）</w:t>
            </w:r>
          </w:p>
        </w:tc>
        <w:tc>
          <w:tcPr>
            <w:tcW w:w="1831" w:type="dxa"/>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snapToGrid w:val="0"/>
                <w:szCs w:val="24"/>
              </w:rPr>
              <w:t>行业类别</w:t>
            </w:r>
          </w:p>
          <w:p>
            <w:pPr>
              <w:pStyle w:val="4"/>
              <w:spacing w:line="300" w:lineRule="atLeast"/>
              <w:ind w:firstLine="0" w:firstLineChars="0"/>
              <w:jc w:val="center"/>
              <w:rPr>
                <w:snapToGrid w:val="0"/>
                <w:kern w:val="24"/>
                <w:szCs w:val="24"/>
              </w:rPr>
            </w:pPr>
            <w:r>
              <w:rPr>
                <w:snapToGrid w:val="0"/>
                <w:szCs w:val="24"/>
              </w:rPr>
              <w:t>及代号</w:t>
            </w:r>
          </w:p>
        </w:tc>
        <w:tc>
          <w:tcPr>
            <w:tcW w:w="2958" w:type="dxa"/>
            <w:gridSpan w:val="2"/>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t>F5264机动车燃料零售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432"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占地面积(</w:t>
            </w:r>
            <w:r>
              <w:rPr>
                <w:szCs w:val="24"/>
              </w:rPr>
              <w:t>m</w:t>
            </w:r>
            <w:r>
              <w:rPr>
                <w:szCs w:val="24"/>
                <w:vertAlign w:val="superscript"/>
              </w:rPr>
              <w:t>2</w:t>
            </w:r>
            <w:r>
              <w:rPr>
                <w:snapToGrid w:val="0"/>
                <w:szCs w:val="24"/>
              </w:rPr>
              <w:t>)</w:t>
            </w:r>
          </w:p>
        </w:tc>
        <w:tc>
          <w:tcPr>
            <w:tcW w:w="2536" w:type="dxa"/>
            <w:gridSpan w:val="3"/>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t>1150</w:t>
            </w:r>
          </w:p>
        </w:tc>
        <w:tc>
          <w:tcPr>
            <w:tcW w:w="18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绿化率(%)</w:t>
            </w:r>
          </w:p>
        </w:tc>
        <w:tc>
          <w:tcPr>
            <w:tcW w:w="2958" w:type="dxa"/>
            <w:gridSpan w:val="2"/>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rFonts w:hint="eastAsia"/>
                <w:snapToGrid w:val="0"/>
                <w:szCs w:val="24"/>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snapToGrid w:val="0"/>
                <w:szCs w:val="24"/>
              </w:rPr>
              <w:t>总投资</w:t>
            </w:r>
          </w:p>
          <w:p>
            <w:pPr>
              <w:pStyle w:val="4"/>
              <w:spacing w:line="300" w:lineRule="atLeast"/>
              <w:ind w:firstLine="0" w:firstLineChars="0"/>
              <w:jc w:val="center"/>
              <w:rPr>
                <w:snapToGrid w:val="0"/>
                <w:kern w:val="24"/>
                <w:szCs w:val="24"/>
              </w:rPr>
            </w:pPr>
            <w:r>
              <w:rPr>
                <w:snapToGrid w:val="0"/>
                <w:szCs w:val="24"/>
              </w:rPr>
              <w:t>(万元)</w:t>
            </w:r>
          </w:p>
        </w:tc>
        <w:tc>
          <w:tcPr>
            <w:tcW w:w="1128" w:type="dxa"/>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rFonts w:hint="eastAsia"/>
                <w:snapToGrid w:val="0"/>
                <w:szCs w:val="24"/>
              </w:rPr>
              <w:t>400</w:t>
            </w:r>
          </w:p>
        </w:tc>
        <w:tc>
          <w:tcPr>
            <w:tcW w:w="1408" w:type="dxa"/>
            <w:gridSpan w:val="2"/>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snapToGrid w:val="0"/>
                <w:szCs w:val="24"/>
              </w:rPr>
              <w:t>环保投资</w:t>
            </w:r>
          </w:p>
          <w:p>
            <w:pPr>
              <w:pStyle w:val="4"/>
              <w:spacing w:line="300" w:lineRule="atLeast"/>
              <w:ind w:firstLine="0" w:firstLineChars="0"/>
              <w:jc w:val="center"/>
              <w:rPr>
                <w:snapToGrid w:val="0"/>
                <w:kern w:val="24"/>
                <w:szCs w:val="24"/>
              </w:rPr>
            </w:pPr>
            <w:r>
              <w:rPr>
                <w:snapToGrid w:val="0"/>
                <w:szCs w:val="24"/>
              </w:rPr>
              <w:t>(万元)</w:t>
            </w:r>
          </w:p>
        </w:tc>
        <w:tc>
          <w:tcPr>
            <w:tcW w:w="1831"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rFonts w:hint="eastAsia"/>
              </w:rPr>
              <w:t>20</w:t>
            </w:r>
          </w:p>
        </w:tc>
        <w:tc>
          <w:tcPr>
            <w:tcW w:w="1659"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snapToGrid w:val="0"/>
                <w:szCs w:val="24"/>
              </w:rPr>
              <w:t>环保投资占总投资比例（%）</w:t>
            </w:r>
          </w:p>
        </w:tc>
        <w:tc>
          <w:tcPr>
            <w:tcW w:w="1299" w:type="dxa"/>
            <w:tcBorders>
              <w:top w:val="single" w:color="auto" w:sz="6" w:space="0"/>
              <w:bottom w:val="single" w:color="auto" w:sz="6" w:space="0"/>
            </w:tcBorders>
            <w:vAlign w:val="center"/>
          </w:tcPr>
          <w:p>
            <w:pPr>
              <w:pStyle w:val="4"/>
              <w:spacing w:line="300" w:lineRule="atLeast"/>
              <w:ind w:firstLine="0" w:firstLineChars="0"/>
              <w:jc w:val="center"/>
              <w:rPr>
                <w:snapToGrid w:val="0"/>
                <w:kern w:val="24"/>
                <w:szCs w:val="24"/>
              </w:rPr>
            </w:pPr>
            <w:r>
              <w:rPr>
                <w:rFonts w:hint="eastAsia"/>
                <w:snapToGrid w:val="0"/>
                <w:kern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97" w:hRule="atLeast"/>
        </w:trPr>
        <w:tc>
          <w:tcPr>
            <w:tcW w:w="1631" w:type="dxa"/>
            <w:tcBorders>
              <w:top w:val="single" w:color="auto" w:sz="6" w:space="0"/>
              <w:bottom w:val="single" w:color="auto" w:sz="6" w:space="0"/>
            </w:tcBorders>
            <w:vAlign w:val="center"/>
          </w:tcPr>
          <w:p>
            <w:pPr>
              <w:pStyle w:val="4"/>
              <w:spacing w:line="300" w:lineRule="atLeast"/>
              <w:ind w:firstLine="0" w:firstLineChars="0"/>
              <w:jc w:val="center"/>
              <w:rPr>
                <w:snapToGrid w:val="0"/>
                <w:szCs w:val="24"/>
              </w:rPr>
            </w:pPr>
            <w:r>
              <w:rPr>
                <w:snapToGrid w:val="0"/>
                <w:szCs w:val="24"/>
              </w:rPr>
              <w:t>评价经费</w:t>
            </w:r>
          </w:p>
          <w:p>
            <w:pPr>
              <w:pStyle w:val="4"/>
              <w:spacing w:line="300" w:lineRule="atLeast"/>
              <w:ind w:firstLine="0" w:firstLineChars="0"/>
              <w:jc w:val="center"/>
              <w:rPr>
                <w:snapToGrid w:val="0"/>
                <w:kern w:val="24"/>
                <w:szCs w:val="24"/>
              </w:rPr>
            </w:pPr>
            <w:r>
              <w:rPr>
                <w:snapToGrid w:val="0"/>
                <w:szCs w:val="24"/>
              </w:rPr>
              <w:t>(万元)</w:t>
            </w:r>
          </w:p>
        </w:tc>
        <w:tc>
          <w:tcPr>
            <w:tcW w:w="1128" w:type="dxa"/>
            <w:tcBorders>
              <w:top w:val="single" w:color="auto" w:sz="6" w:space="0"/>
              <w:bottom w:val="single" w:color="auto" w:sz="6" w:space="0"/>
            </w:tcBorders>
            <w:vAlign w:val="center"/>
          </w:tcPr>
          <w:p>
            <w:pPr>
              <w:pStyle w:val="42"/>
              <w:rPr>
                <w:snapToGrid w:val="0"/>
                <w:kern w:val="24"/>
                <w:sz w:val="24"/>
                <w:szCs w:val="24"/>
              </w:rPr>
            </w:pPr>
            <w:r>
              <w:rPr>
                <w:snapToGrid w:val="0"/>
                <w:kern w:val="24"/>
                <w:sz w:val="24"/>
                <w:szCs w:val="24"/>
              </w:rPr>
              <w:t>/</w:t>
            </w:r>
          </w:p>
        </w:tc>
        <w:tc>
          <w:tcPr>
            <w:tcW w:w="3239" w:type="dxa"/>
            <w:gridSpan w:val="3"/>
            <w:tcBorders>
              <w:top w:val="single" w:color="auto" w:sz="6" w:space="0"/>
              <w:bottom w:val="single" w:color="auto" w:sz="6" w:space="0"/>
              <w:right w:val="single" w:color="auto" w:sz="4" w:space="0"/>
            </w:tcBorders>
            <w:vAlign w:val="center"/>
          </w:tcPr>
          <w:p>
            <w:pPr>
              <w:adjustRightInd w:val="0"/>
              <w:snapToGrid w:val="0"/>
              <w:jc w:val="center"/>
              <w:rPr>
                <w:sz w:val="24"/>
              </w:rPr>
            </w:pPr>
            <w:r>
              <w:rPr>
                <w:sz w:val="24"/>
              </w:rPr>
              <w:t>投产日期</w:t>
            </w:r>
          </w:p>
        </w:tc>
        <w:tc>
          <w:tcPr>
            <w:tcW w:w="2958" w:type="dxa"/>
            <w:gridSpan w:val="2"/>
            <w:tcBorders>
              <w:top w:val="single" w:color="auto" w:sz="6" w:space="0"/>
              <w:left w:val="single" w:color="auto" w:sz="4" w:space="0"/>
              <w:bottom w:val="single" w:color="auto" w:sz="6" w:space="0"/>
            </w:tcBorders>
            <w:vAlign w:val="center"/>
          </w:tcPr>
          <w:p>
            <w:pPr>
              <w:adjustRightInd w:val="0"/>
              <w:snapToGrid w:val="0"/>
              <w:jc w:val="center"/>
              <w:rPr>
                <w:sz w:val="24"/>
              </w:rPr>
            </w:pPr>
            <w:r>
              <w:rPr>
                <w:rFonts w:hint="eastAsia"/>
                <w:sz w:val="24"/>
              </w:rPr>
              <w:t>2018年9月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1256" w:hRule="atLeast"/>
        </w:trPr>
        <w:tc>
          <w:tcPr>
            <w:tcW w:w="8956" w:type="dxa"/>
            <w:gridSpan w:val="7"/>
            <w:tcBorders>
              <w:top w:val="single" w:color="auto" w:sz="6" w:space="0"/>
              <w:bottom w:val="single" w:color="auto" w:sz="12" w:space="0"/>
            </w:tcBorders>
          </w:tcPr>
          <w:p>
            <w:pPr>
              <w:spacing w:line="360" w:lineRule="auto"/>
              <w:rPr>
                <w:b/>
                <w:sz w:val="30"/>
                <w:szCs w:val="30"/>
              </w:rPr>
            </w:pPr>
            <w:r>
              <w:rPr>
                <w:b/>
                <w:sz w:val="30"/>
                <w:szCs w:val="30"/>
              </w:rPr>
              <w:t>工程内容及规模</w:t>
            </w:r>
          </w:p>
          <w:p>
            <w:pPr>
              <w:pStyle w:val="5"/>
            </w:pPr>
            <w:r>
              <w:t>任务由来</w:t>
            </w:r>
          </w:p>
          <w:p>
            <w:pPr>
              <w:adjustRightInd w:val="0"/>
              <w:snapToGrid w:val="0"/>
              <w:spacing w:line="360" w:lineRule="auto"/>
              <w:ind w:firstLine="480" w:firstLineChars="200"/>
              <w:rPr>
                <w:sz w:val="24"/>
              </w:rPr>
            </w:pPr>
            <w:bookmarkStart w:id="1" w:name="OLE_LINK7"/>
            <w:r>
              <w:rPr>
                <w:rFonts w:hint="eastAsia"/>
                <w:sz w:val="24"/>
              </w:rPr>
              <w:t>湘阴县杨林寨加油站项目</w:t>
            </w:r>
            <w:r>
              <w:rPr>
                <w:sz w:val="24"/>
              </w:rPr>
              <w:t>总投资</w:t>
            </w:r>
            <w:r>
              <w:rPr>
                <w:rFonts w:hint="eastAsia"/>
                <w:sz w:val="24"/>
              </w:rPr>
              <w:t>400</w:t>
            </w:r>
            <w:r>
              <w:rPr>
                <w:sz w:val="24"/>
              </w:rPr>
              <w:t>万元，总用地面积</w:t>
            </w:r>
            <w:r>
              <w:rPr>
                <w:rFonts w:hint="eastAsia"/>
                <w:sz w:val="24"/>
              </w:rPr>
              <w:t>1150</w:t>
            </w:r>
            <w:r>
              <w:rPr>
                <w:sz w:val="24"/>
              </w:rPr>
              <w:t>m</w:t>
            </w:r>
            <w:r>
              <w:rPr>
                <w:sz w:val="24"/>
                <w:vertAlign w:val="superscript"/>
              </w:rPr>
              <w:t>2</w:t>
            </w:r>
            <w:r>
              <w:rPr>
                <w:rFonts w:hint="eastAsia"/>
                <w:sz w:val="24"/>
              </w:rPr>
              <w:t>，</w:t>
            </w:r>
            <w:bookmarkStart w:id="2" w:name="OLE_LINK15"/>
            <w:r>
              <w:rPr>
                <w:rFonts w:hint="eastAsia"/>
                <w:sz w:val="24"/>
              </w:rPr>
              <w:t>站区25</w:t>
            </w:r>
            <w:r>
              <w:rPr>
                <w:sz w:val="24"/>
              </w:rPr>
              <w:t>m</w:t>
            </w:r>
            <w:r>
              <w:rPr>
                <w:sz w:val="24"/>
                <w:vertAlign w:val="superscript"/>
              </w:rPr>
              <w:t>3</w:t>
            </w:r>
            <w:r>
              <w:rPr>
                <w:rFonts w:hint="eastAsia"/>
                <w:sz w:val="24"/>
              </w:rPr>
              <w:t>柴油储罐1个，30</w:t>
            </w:r>
            <w:r>
              <w:rPr>
                <w:sz w:val="24"/>
              </w:rPr>
              <w:t>m</w:t>
            </w:r>
            <w:r>
              <w:rPr>
                <w:sz w:val="24"/>
                <w:vertAlign w:val="superscript"/>
              </w:rPr>
              <w:t>3</w:t>
            </w:r>
            <w:r>
              <w:rPr>
                <w:rFonts w:hint="eastAsia"/>
                <w:sz w:val="24"/>
              </w:rPr>
              <w:t>汽油储罐2个。</w:t>
            </w:r>
            <w:bookmarkEnd w:id="2"/>
            <w:r>
              <w:rPr>
                <w:rFonts w:hint="eastAsia"/>
                <w:sz w:val="24"/>
                <w:u w:val="single"/>
              </w:rPr>
              <w:t>本站初建于2006年10月，</w:t>
            </w:r>
            <w:r>
              <w:rPr>
                <w:rFonts w:hint="eastAsia"/>
                <w:sz w:val="24"/>
                <w:u w:val="single"/>
                <w:lang w:eastAsia="zh-CN"/>
              </w:rPr>
              <w:t>于</w:t>
            </w:r>
            <w:r>
              <w:rPr>
                <w:rFonts w:hint="eastAsia"/>
                <w:sz w:val="24"/>
                <w:u w:val="single"/>
                <w:lang w:val="en-US" w:eastAsia="zh-CN"/>
              </w:rPr>
              <w:t>2007年取得了土地证用于建设本项目，并取得国土局盖章证明图，土地证及国土局盖章证明图见附件5。已于2010年取得了岳阳市公安消防支队关于本站的消防验收意见书（见附件8）。</w:t>
            </w:r>
            <w:r>
              <w:rPr>
                <w:rFonts w:hint="default"/>
                <w:sz w:val="24"/>
                <w:u w:val="single"/>
                <w:lang w:eastAsia="zh-CN"/>
              </w:rPr>
              <w:t>因个体工商户变更，于</w:t>
            </w:r>
            <w:r>
              <w:rPr>
                <w:rFonts w:hint="eastAsia"/>
                <w:sz w:val="24"/>
                <w:u w:val="single"/>
              </w:rPr>
              <w:t>2018年9月取得营业执照，在此期间按照有关规定进行了整改，包括按规范进行</w:t>
            </w:r>
            <w:r>
              <w:rPr>
                <w:rFonts w:hint="eastAsia"/>
                <w:sz w:val="24"/>
                <w:u w:val="single"/>
                <w:lang w:eastAsia="zh-CN"/>
              </w:rPr>
              <w:t>安装</w:t>
            </w:r>
            <w:r>
              <w:rPr>
                <w:rFonts w:hint="eastAsia"/>
                <w:sz w:val="24"/>
                <w:u w:val="single"/>
              </w:rPr>
              <w:t>油气回收</w:t>
            </w:r>
            <w:r>
              <w:rPr>
                <w:rFonts w:hint="eastAsia"/>
                <w:sz w:val="24"/>
                <w:u w:val="single"/>
                <w:lang w:eastAsia="zh-CN"/>
              </w:rPr>
              <w:t>装置，将油罐更新为</w:t>
            </w:r>
            <w:r>
              <w:rPr>
                <w:rFonts w:hint="eastAsia"/>
                <w:sz w:val="24"/>
                <w:u w:val="single"/>
                <w:lang w:val="en-US" w:eastAsia="zh-CN"/>
              </w:rPr>
              <w:t>SF双层罐（SF双层罐质量说明书见附件7）</w:t>
            </w:r>
            <w:r>
              <w:rPr>
                <w:rFonts w:hint="eastAsia"/>
                <w:sz w:val="24"/>
                <w:u w:val="single"/>
              </w:rPr>
              <w:t>等</w:t>
            </w:r>
            <w:r>
              <w:rPr>
                <w:sz w:val="24"/>
                <w:u w:val="single"/>
              </w:rPr>
              <w:t>，</w:t>
            </w:r>
            <w:r>
              <w:rPr>
                <w:rFonts w:hint="eastAsia"/>
                <w:sz w:val="24"/>
                <w:u w:val="single"/>
              </w:rPr>
              <w:t>并办理了成品油零售经营批准证书及危险化学品经营许可证等（见附件3、附件4）。</w:t>
            </w:r>
            <w:r>
              <w:rPr>
                <w:sz w:val="24"/>
              </w:rPr>
              <w:t>为其周围片区的车辆提供加油服务多年，项目运行至今未发生过环境污染事故及环保投诉等问题。由于加油站对环保的认识误区等历史原因，导致本项目未办理环评及审批手续。</w:t>
            </w:r>
          </w:p>
          <w:p>
            <w:pPr>
              <w:adjustRightInd w:val="0"/>
              <w:snapToGrid w:val="0"/>
              <w:spacing w:line="360" w:lineRule="auto"/>
              <w:ind w:firstLine="480" w:firstLineChars="200"/>
              <w:rPr>
                <w:sz w:val="24"/>
              </w:rPr>
            </w:pPr>
            <w:r>
              <w:rPr>
                <w:sz w:val="24"/>
              </w:rPr>
              <w:t>根据《关于加强“未批先建”建设项目环境影响评价管理工作的通知》（环办环评（2018）18号）文件第二条第（四）项之规定以及《关于建设项目“未批先建”违法行为法律适用问题的意见》（环政法函〔2018〕31号）相关解释，本项目建成投产日为</w:t>
            </w:r>
            <w:r>
              <w:rPr>
                <w:rFonts w:hint="eastAsia"/>
                <w:sz w:val="24"/>
              </w:rPr>
              <w:t>2006年10月</w:t>
            </w:r>
            <w:r>
              <w:rPr>
                <w:sz w:val="24"/>
              </w:rPr>
              <w:t>，属于“未批先建”违法行为自建设终了之日起两年内未被发现的，依法不予行政处罚。</w:t>
            </w:r>
          </w:p>
          <w:p>
            <w:pPr>
              <w:adjustRightInd w:val="0"/>
              <w:snapToGrid w:val="0"/>
              <w:spacing w:line="360" w:lineRule="auto"/>
              <w:ind w:firstLine="480" w:firstLineChars="200"/>
            </w:pPr>
            <w:r>
              <w:rPr>
                <w:sz w:val="24"/>
              </w:rPr>
              <w:t>根据《中华人民共和国环境影响评价法》的有关规定，</w:t>
            </w:r>
            <w:r>
              <w:rPr>
                <w:rFonts w:hint="eastAsia"/>
                <w:sz w:val="24"/>
              </w:rPr>
              <w:t>湘阴县杨林寨加油站</w:t>
            </w:r>
            <w:r>
              <w:rPr>
                <w:sz w:val="24"/>
              </w:rPr>
              <w:t>委托</w:t>
            </w:r>
            <w:r>
              <w:rPr>
                <w:rFonts w:hint="eastAsia"/>
                <w:sz w:val="24"/>
              </w:rPr>
              <w:t>湖南方瑞节能环保咨询有限公司</w:t>
            </w:r>
            <w:r>
              <w:rPr>
                <w:sz w:val="24"/>
              </w:rPr>
              <w:t>（以下简称“我单位”）承担了</w:t>
            </w:r>
            <w:r>
              <w:rPr>
                <w:rFonts w:hint="eastAsia"/>
                <w:sz w:val="24"/>
              </w:rPr>
              <w:t>湘阴县杨林寨加油站项目</w:t>
            </w:r>
            <w:r>
              <w:rPr>
                <w:sz w:val="24"/>
              </w:rPr>
              <w:t>环境影响评价工作</w:t>
            </w:r>
            <w:r>
              <w:rPr>
                <w:rFonts w:hint="eastAsia"/>
                <w:sz w:val="24"/>
              </w:rPr>
              <w:t>，</w:t>
            </w:r>
            <w:r>
              <w:rPr>
                <w:rFonts w:hint="eastAsia"/>
                <w:spacing w:val="4"/>
                <w:sz w:val="24"/>
              </w:rPr>
              <w:t>成品</w:t>
            </w:r>
            <w:r>
              <w:rPr>
                <w:rFonts w:hint="eastAsia"/>
                <w:spacing w:val="4"/>
                <w:sz w:val="24"/>
                <w:szCs w:val="24"/>
              </w:rPr>
              <w:t>油的配送由</w:t>
            </w:r>
            <w:r>
              <w:rPr>
                <w:rFonts w:hint="eastAsia"/>
                <w:sz w:val="24"/>
                <w:szCs w:val="24"/>
              </w:rPr>
              <w:t>长沙霞凝油库</w:t>
            </w:r>
            <w:r>
              <w:rPr>
                <w:rFonts w:hint="eastAsia"/>
                <w:spacing w:val="4"/>
                <w:sz w:val="24"/>
                <w:szCs w:val="24"/>
              </w:rPr>
              <w:t>专门的</w:t>
            </w:r>
            <w:r>
              <w:rPr>
                <w:rFonts w:hint="eastAsia"/>
                <w:spacing w:val="4"/>
                <w:sz w:val="24"/>
              </w:rPr>
              <w:t>车辆与人员负责，故成品油的运输不包括在本次评价范围内</w:t>
            </w:r>
            <w:r>
              <w:rPr>
                <w:sz w:val="24"/>
              </w:rPr>
              <w:t>。我单位环评项目组在对现场进行踏勘调查和收集相关资料的基础上，按照《建设项目环境影响评价分类管理名录》的规定和《环境影</w:t>
            </w:r>
            <w:r>
              <w:rPr>
                <w:sz w:val="24"/>
                <w:szCs w:val="24"/>
              </w:rPr>
              <w:t>响评价技术导则》的要求，编制完成了《</w:t>
            </w:r>
            <w:r>
              <w:rPr>
                <w:rFonts w:hint="eastAsia"/>
                <w:sz w:val="24"/>
                <w:szCs w:val="24"/>
              </w:rPr>
              <w:t>湘阴县杨林寨加油站项目</w:t>
            </w:r>
            <w:r>
              <w:rPr>
                <w:sz w:val="24"/>
                <w:szCs w:val="24"/>
              </w:rPr>
              <w:t>环境影响报告表》</w:t>
            </w:r>
            <w:r>
              <w:t>。</w:t>
            </w:r>
          </w:p>
          <w:p>
            <w:pPr>
              <w:pStyle w:val="5"/>
            </w:pPr>
            <w:bookmarkStart w:id="3" w:name="_Toc387066854"/>
            <w:r>
              <w:t>项目名称、性质和建设</w:t>
            </w:r>
            <w:bookmarkEnd w:id="3"/>
            <w:r>
              <w:t>地点</w:t>
            </w:r>
          </w:p>
          <w:p>
            <w:pPr>
              <w:adjustRightInd w:val="0"/>
              <w:snapToGrid w:val="0"/>
              <w:spacing w:line="360" w:lineRule="auto"/>
              <w:ind w:firstLine="480" w:firstLineChars="200"/>
              <w:rPr>
                <w:sz w:val="24"/>
              </w:rPr>
            </w:pPr>
            <w:r>
              <w:rPr>
                <w:sz w:val="24"/>
              </w:rPr>
              <w:t>项目名称：</w:t>
            </w:r>
            <w:r>
              <w:rPr>
                <w:rFonts w:hint="eastAsia"/>
                <w:sz w:val="24"/>
              </w:rPr>
              <w:t>湘阴县杨林寨加油站项目</w:t>
            </w:r>
            <w:r>
              <w:rPr>
                <w:sz w:val="24"/>
              </w:rPr>
              <w:t>。</w:t>
            </w:r>
          </w:p>
          <w:p>
            <w:pPr>
              <w:adjustRightInd w:val="0"/>
              <w:snapToGrid w:val="0"/>
              <w:spacing w:line="360" w:lineRule="auto"/>
              <w:ind w:firstLine="480" w:firstLineChars="200"/>
              <w:rPr>
                <w:sz w:val="24"/>
              </w:rPr>
            </w:pPr>
            <w:r>
              <w:rPr>
                <w:sz w:val="24"/>
              </w:rPr>
              <w:t>建设性质：</w:t>
            </w:r>
            <w:r>
              <w:rPr>
                <w:rFonts w:hint="eastAsia"/>
                <w:sz w:val="24"/>
              </w:rPr>
              <w:t>新建（补办）</w:t>
            </w:r>
            <w:r>
              <w:rPr>
                <w:sz w:val="24"/>
              </w:rPr>
              <w:t>。</w:t>
            </w:r>
          </w:p>
          <w:p>
            <w:pPr>
              <w:adjustRightInd w:val="0"/>
              <w:snapToGrid w:val="0"/>
              <w:spacing w:line="360" w:lineRule="auto"/>
              <w:ind w:firstLine="480" w:firstLineChars="200"/>
              <w:rPr>
                <w:sz w:val="24"/>
              </w:rPr>
            </w:pPr>
            <w:r>
              <w:rPr>
                <w:sz w:val="24"/>
              </w:rPr>
              <w:t>建设地点：</w:t>
            </w:r>
            <w:r>
              <w:rPr>
                <w:rFonts w:hint="eastAsia" w:hAnsiTheme="minorEastAsia"/>
                <w:sz w:val="24"/>
                <w:szCs w:val="24"/>
              </w:rPr>
              <w:t>湘阴县杨林寨乡东合港村三组（N28°43′46.74″，E112°44′37.24″）</w:t>
            </w:r>
            <w:r>
              <w:rPr>
                <w:sz w:val="24"/>
              </w:rPr>
              <w:t>（见附图1）。</w:t>
            </w:r>
          </w:p>
          <w:p>
            <w:pPr>
              <w:adjustRightInd w:val="0"/>
              <w:snapToGrid w:val="0"/>
              <w:spacing w:line="360" w:lineRule="auto"/>
              <w:ind w:firstLine="480" w:firstLineChars="200"/>
              <w:rPr>
                <w:sz w:val="24"/>
              </w:rPr>
            </w:pPr>
            <w:r>
              <w:rPr>
                <w:sz w:val="24"/>
              </w:rPr>
              <w:t>建设单位：</w:t>
            </w:r>
            <w:r>
              <w:rPr>
                <w:rFonts w:hint="eastAsia" w:hAnsiTheme="minorEastAsia"/>
                <w:sz w:val="24"/>
                <w:szCs w:val="24"/>
              </w:rPr>
              <w:t>湘阴县杨林寨加油站</w:t>
            </w:r>
            <w:r>
              <w:rPr>
                <w:sz w:val="24"/>
              </w:rPr>
              <w:t>。</w:t>
            </w:r>
          </w:p>
          <w:p>
            <w:pPr>
              <w:adjustRightInd w:val="0"/>
              <w:snapToGrid w:val="0"/>
              <w:spacing w:line="360" w:lineRule="auto"/>
              <w:ind w:firstLine="480" w:firstLineChars="200"/>
              <w:rPr>
                <w:sz w:val="24"/>
                <w:u w:val="single"/>
              </w:rPr>
            </w:pPr>
            <w:r>
              <w:rPr>
                <w:sz w:val="24"/>
                <w:u w:val="single"/>
              </w:rPr>
              <w:t>项目投资：4</w:t>
            </w:r>
            <w:r>
              <w:rPr>
                <w:rFonts w:hint="eastAsia"/>
                <w:sz w:val="24"/>
                <w:u w:val="single"/>
              </w:rPr>
              <w:t>00万元</w:t>
            </w:r>
            <w:r>
              <w:rPr>
                <w:sz w:val="24"/>
                <w:u w:val="single"/>
              </w:rPr>
              <w:t>。</w:t>
            </w:r>
          </w:p>
          <w:p>
            <w:pPr>
              <w:pStyle w:val="4"/>
              <w:ind w:firstLine="480"/>
            </w:pPr>
            <w:r>
              <w:rPr>
                <w:rFonts w:hint="eastAsia"/>
              </w:rPr>
              <w:t>站级：</w:t>
            </w:r>
            <w:r>
              <w:rPr>
                <w:rFonts w:hint="eastAsia" w:hAnsiTheme="minorEastAsia"/>
              </w:rPr>
              <w:t>站区设25</w:t>
            </w:r>
            <w:r>
              <w:t>m</w:t>
            </w:r>
            <w:r>
              <w:rPr>
                <w:vertAlign w:val="superscript"/>
              </w:rPr>
              <w:t>3</w:t>
            </w:r>
            <w:r>
              <w:rPr>
                <w:rFonts w:hint="eastAsia" w:hAnsiTheme="minorEastAsia"/>
              </w:rPr>
              <w:t>柴油储罐1</w:t>
            </w:r>
            <w:r>
              <w:rPr>
                <w:rFonts w:hint="eastAsia"/>
                <w:szCs w:val="24"/>
              </w:rPr>
              <w:t>个</w:t>
            </w:r>
            <w:r>
              <w:rPr>
                <w:rFonts w:hint="eastAsia" w:hAnsiTheme="minorEastAsia"/>
              </w:rPr>
              <w:t>，30</w:t>
            </w:r>
            <w:r>
              <w:t>m</w:t>
            </w:r>
            <w:r>
              <w:rPr>
                <w:vertAlign w:val="superscript"/>
              </w:rPr>
              <w:t>3</w:t>
            </w:r>
            <w:r>
              <w:rPr>
                <w:rFonts w:hint="eastAsia" w:hAnsiTheme="minorEastAsia"/>
              </w:rPr>
              <w:t>汽油储罐2</w:t>
            </w:r>
            <w:r>
              <w:rPr>
                <w:rFonts w:hint="eastAsia"/>
                <w:szCs w:val="24"/>
              </w:rPr>
              <w:t>个</w:t>
            </w:r>
            <w:r>
              <w:rPr>
                <w:rFonts w:hint="eastAsia" w:hAnsiTheme="minorEastAsia"/>
              </w:rPr>
              <w:t>，</w:t>
            </w:r>
            <w:r>
              <w:rPr>
                <w:szCs w:val="24"/>
              </w:rPr>
              <w:t>柴油罐容积折半计入油罐总容积，</w:t>
            </w:r>
            <w:r>
              <w:rPr>
                <w:rFonts w:hint="eastAsia"/>
                <w:szCs w:val="24"/>
              </w:rPr>
              <w:t>折合总罐容72.5</w:t>
            </w:r>
            <w:r>
              <w:t>m</w:t>
            </w:r>
            <w:r>
              <w:rPr>
                <w:vertAlign w:val="superscript"/>
              </w:rPr>
              <w:t>3</w:t>
            </w:r>
            <w:r>
              <w:rPr>
                <w:rFonts w:hint="eastAsia"/>
                <w:szCs w:val="24"/>
              </w:rPr>
              <w:t>。根据《汽车加油加气站设计与施工规范》（GB50156-2012）（2014年修订）的等级划分，该站属于三级加油站。</w:t>
            </w:r>
          </w:p>
          <w:bookmarkEnd w:id="1"/>
          <w:p>
            <w:pPr>
              <w:pStyle w:val="5"/>
            </w:pPr>
            <w:r>
              <w:t>项目建设内容与建设规模</w:t>
            </w:r>
          </w:p>
          <w:p>
            <w:pPr>
              <w:adjustRightInd w:val="0"/>
              <w:snapToGrid w:val="0"/>
              <w:spacing w:line="360" w:lineRule="auto"/>
              <w:ind w:firstLine="480" w:firstLineChars="200"/>
              <w:rPr>
                <w:sz w:val="24"/>
              </w:rPr>
            </w:pPr>
            <w:r>
              <w:rPr>
                <w:sz w:val="24"/>
              </w:rPr>
              <w:t>（1）建设内容</w:t>
            </w:r>
          </w:p>
          <w:p>
            <w:pPr>
              <w:adjustRightInd w:val="0"/>
              <w:snapToGrid w:val="0"/>
              <w:spacing w:line="360" w:lineRule="auto"/>
              <w:ind w:firstLine="480" w:firstLineChars="200"/>
              <w:rPr>
                <w:sz w:val="24"/>
                <w:szCs w:val="24"/>
              </w:rPr>
            </w:pPr>
            <w:r>
              <w:rPr>
                <w:sz w:val="24"/>
                <w:szCs w:val="24"/>
              </w:rPr>
              <w:t>本项目</w:t>
            </w:r>
            <w:r>
              <w:rPr>
                <w:rFonts w:hint="eastAsia"/>
                <w:sz w:val="24"/>
                <w:szCs w:val="24"/>
              </w:rPr>
              <w:t>位于</w:t>
            </w:r>
            <w:r>
              <w:rPr>
                <w:rFonts w:hint="eastAsia" w:hAnsiTheme="minorEastAsia"/>
                <w:sz w:val="24"/>
                <w:szCs w:val="24"/>
              </w:rPr>
              <w:t>湘阴县杨林寨乡东合港村三组，</w:t>
            </w:r>
            <w:r>
              <w:rPr>
                <w:rFonts w:hAnsiTheme="minorEastAsia"/>
                <w:sz w:val="24"/>
                <w:szCs w:val="24"/>
              </w:rPr>
              <w:t>总</w:t>
            </w:r>
            <w:r>
              <w:rPr>
                <w:rFonts w:hint="eastAsia" w:hAnsiTheme="minorEastAsia"/>
                <w:sz w:val="24"/>
                <w:szCs w:val="24"/>
              </w:rPr>
              <w:t>占地</w:t>
            </w:r>
            <w:r>
              <w:rPr>
                <w:rFonts w:hAnsiTheme="minorEastAsia"/>
                <w:sz w:val="24"/>
                <w:szCs w:val="24"/>
              </w:rPr>
              <w:t>面积</w:t>
            </w:r>
            <w:r>
              <w:rPr>
                <w:rFonts w:hint="eastAsia"/>
                <w:sz w:val="24"/>
                <w:szCs w:val="24"/>
              </w:rPr>
              <w:t>1150</w:t>
            </w:r>
            <w:r>
              <w:rPr>
                <w:sz w:val="24"/>
                <w:szCs w:val="24"/>
              </w:rPr>
              <w:t>m</w:t>
            </w:r>
            <w:r>
              <w:rPr>
                <w:sz w:val="24"/>
                <w:szCs w:val="24"/>
                <w:vertAlign w:val="superscript"/>
              </w:rPr>
              <w:t>2</w:t>
            </w:r>
            <w:r>
              <w:rPr>
                <w:sz w:val="24"/>
                <w:szCs w:val="24"/>
              </w:rPr>
              <w:t>。</w:t>
            </w:r>
            <w:r>
              <w:rPr>
                <w:rFonts w:hint="eastAsia"/>
                <w:sz w:val="24"/>
                <w:szCs w:val="24"/>
              </w:rPr>
              <w:t>建设内容主要为：</w:t>
            </w:r>
            <w:r>
              <w:rPr>
                <w:sz w:val="24"/>
                <w:szCs w:val="24"/>
              </w:rPr>
              <w:t>站房</w:t>
            </w:r>
            <w:r>
              <w:rPr>
                <w:rFonts w:hint="eastAsia"/>
                <w:sz w:val="24"/>
                <w:szCs w:val="24"/>
              </w:rPr>
              <w:t>占地</w:t>
            </w:r>
            <w:r>
              <w:rPr>
                <w:sz w:val="24"/>
                <w:szCs w:val="24"/>
              </w:rPr>
              <w:t>面积</w:t>
            </w:r>
            <w:r>
              <w:rPr>
                <w:rFonts w:hint="eastAsia"/>
                <w:sz w:val="24"/>
                <w:szCs w:val="24"/>
              </w:rPr>
              <w:t>87.1</w:t>
            </w:r>
            <w:r>
              <w:rPr>
                <w:rFonts w:hint="eastAsia"/>
                <w:sz w:val="24"/>
              </w:rPr>
              <w:t>m</w:t>
            </w:r>
            <w:r>
              <w:rPr>
                <w:rFonts w:hint="eastAsia"/>
                <w:sz w:val="24"/>
                <w:vertAlign w:val="superscript"/>
              </w:rPr>
              <w:t>2</w:t>
            </w:r>
            <w:r>
              <w:rPr>
                <w:rFonts w:hint="eastAsia"/>
                <w:sz w:val="24"/>
              </w:rPr>
              <w:t>，</w:t>
            </w:r>
            <w:r>
              <w:rPr>
                <w:sz w:val="24"/>
                <w:szCs w:val="24"/>
              </w:rPr>
              <w:t>罩棚面积</w:t>
            </w:r>
            <w:r>
              <w:rPr>
                <w:rFonts w:hint="eastAsia"/>
                <w:sz w:val="24"/>
                <w:szCs w:val="24"/>
              </w:rPr>
              <w:t>225</w:t>
            </w:r>
            <w:r>
              <w:rPr>
                <w:sz w:val="24"/>
                <w:szCs w:val="24"/>
              </w:rPr>
              <w:t>m</w:t>
            </w:r>
            <w:r>
              <w:rPr>
                <w:sz w:val="24"/>
                <w:szCs w:val="24"/>
                <w:vertAlign w:val="superscript"/>
              </w:rPr>
              <w:t>2</w:t>
            </w:r>
            <w:r>
              <w:rPr>
                <w:sz w:val="24"/>
                <w:szCs w:val="24"/>
              </w:rPr>
              <w:t>，</w:t>
            </w:r>
            <w:r>
              <w:rPr>
                <w:rFonts w:hint="eastAsia" w:hAnsiTheme="minorEastAsia"/>
                <w:sz w:val="24"/>
                <w:szCs w:val="24"/>
              </w:rPr>
              <w:t>加油区</w:t>
            </w:r>
            <w:r>
              <w:rPr>
                <w:rFonts w:hAnsiTheme="minorEastAsia"/>
                <w:sz w:val="24"/>
                <w:szCs w:val="24"/>
              </w:rPr>
              <w:t>面积</w:t>
            </w:r>
            <w:r>
              <w:rPr>
                <w:rFonts w:hint="eastAsia"/>
                <w:sz w:val="24"/>
                <w:szCs w:val="24"/>
              </w:rPr>
              <w:t>156</w:t>
            </w:r>
            <w:r>
              <w:rPr>
                <w:sz w:val="24"/>
                <w:szCs w:val="24"/>
              </w:rPr>
              <w:t>m</w:t>
            </w:r>
            <w:r>
              <w:rPr>
                <w:sz w:val="24"/>
                <w:szCs w:val="24"/>
                <w:vertAlign w:val="superscript"/>
              </w:rPr>
              <w:t>2</w:t>
            </w:r>
            <w:r>
              <w:rPr>
                <w:sz w:val="24"/>
                <w:szCs w:val="24"/>
              </w:rPr>
              <w:t>。</w:t>
            </w:r>
            <w:r>
              <w:rPr>
                <w:rFonts w:hint="eastAsia"/>
                <w:sz w:val="24"/>
                <w:szCs w:val="24"/>
              </w:rPr>
              <w:t>配套供配电、给排水、防雷接地、污染处理设施、油气回收设施、消防等公用工程的建设。年销售油品总量为330t，其中销售92#汽油200t、95#汽油30t、0#柴油100t。</w:t>
            </w:r>
          </w:p>
          <w:p>
            <w:pPr>
              <w:pStyle w:val="4"/>
              <w:ind w:firstLine="480"/>
              <w:rPr>
                <w:u w:val="single"/>
              </w:rPr>
            </w:pPr>
            <w:r>
              <w:rPr>
                <w:rFonts w:hint="eastAsia" w:hAnsiTheme="minorEastAsia"/>
                <w:u w:val="single"/>
              </w:rPr>
              <w:t>站区设25</w:t>
            </w:r>
            <w:r>
              <w:rPr>
                <w:u w:val="single"/>
              </w:rPr>
              <w:t>m</w:t>
            </w:r>
            <w:r>
              <w:rPr>
                <w:u w:val="single"/>
                <w:vertAlign w:val="superscript"/>
              </w:rPr>
              <w:t>3</w:t>
            </w:r>
            <w:r>
              <w:rPr>
                <w:rFonts w:hint="eastAsia" w:hAnsiTheme="minorEastAsia"/>
                <w:u w:val="single"/>
              </w:rPr>
              <w:t>柴油储罐1</w:t>
            </w:r>
            <w:r>
              <w:rPr>
                <w:rFonts w:hint="eastAsia"/>
                <w:szCs w:val="24"/>
                <w:u w:val="single"/>
              </w:rPr>
              <w:t>个</w:t>
            </w:r>
            <w:r>
              <w:rPr>
                <w:rFonts w:hint="eastAsia" w:hAnsiTheme="minorEastAsia"/>
                <w:u w:val="single"/>
              </w:rPr>
              <w:t>，30</w:t>
            </w:r>
            <w:r>
              <w:rPr>
                <w:u w:val="single"/>
              </w:rPr>
              <w:t>m</w:t>
            </w:r>
            <w:r>
              <w:rPr>
                <w:u w:val="single"/>
                <w:vertAlign w:val="superscript"/>
              </w:rPr>
              <w:t>3</w:t>
            </w:r>
            <w:r>
              <w:rPr>
                <w:rFonts w:hint="eastAsia" w:hAnsiTheme="minorEastAsia"/>
                <w:u w:val="single"/>
              </w:rPr>
              <w:t>汽油储罐2</w:t>
            </w:r>
            <w:r>
              <w:rPr>
                <w:rFonts w:hint="eastAsia"/>
                <w:szCs w:val="24"/>
                <w:u w:val="single"/>
              </w:rPr>
              <w:t>个</w:t>
            </w:r>
            <w:r>
              <w:rPr>
                <w:rFonts w:hint="eastAsia" w:hAnsiTheme="minorEastAsia"/>
                <w:u w:val="single"/>
              </w:rPr>
              <w:t>，</w:t>
            </w:r>
            <w:r>
              <w:rPr>
                <w:szCs w:val="24"/>
                <w:u w:val="single"/>
              </w:rPr>
              <w:t>柴油罐容积折半计入油罐总容积，</w:t>
            </w:r>
            <w:r>
              <w:rPr>
                <w:rFonts w:hint="eastAsia"/>
                <w:szCs w:val="24"/>
                <w:u w:val="single"/>
              </w:rPr>
              <w:t>折合总罐容72.5</w:t>
            </w:r>
            <w:r>
              <w:rPr>
                <w:u w:val="single"/>
              </w:rPr>
              <w:t>m</w:t>
            </w:r>
            <w:r>
              <w:rPr>
                <w:u w:val="single"/>
                <w:vertAlign w:val="superscript"/>
              </w:rPr>
              <w:t>3</w:t>
            </w:r>
            <w:r>
              <w:rPr>
                <w:rFonts w:hint="eastAsia"/>
                <w:szCs w:val="24"/>
                <w:u w:val="single"/>
              </w:rPr>
              <w:t>，设置3台双枪双油品、潜油泵及液位仪等，本站设卸油、加油油气回收（分散式）系统。</w:t>
            </w:r>
          </w:p>
          <w:p>
            <w:pPr>
              <w:spacing w:line="360" w:lineRule="auto"/>
              <w:ind w:firstLine="480" w:firstLineChars="200"/>
              <w:rPr>
                <w:sz w:val="24"/>
                <w:u w:val="single"/>
              </w:rPr>
            </w:pPr>
            <w:r>
              <w:rPr>
                <w:sz w:val="24"/>
                <w:u w:val="single"/>
              </w:rPr>
              <w:t>本项目主要建设内容见下表1.3-1所示。</w:t>
            </w:r>
          </w:p>
          <w:p>
            <w:pPr>
              <w:pStyle w:val="41"/>
              <w:rPr>
                <w:sz w:val="24"/>
                <w:szCs w:val="24"/>
                <w:u w:val="single"/>
              </w:rPr>
            </w:pPr>
            <w:r>
              <w:rPr>
                <w:sz w:val="24"/>
                <w:szCs w:val="24"/>
                <w:u w:val="single"/>
              </w:rPr>
              <w:t>表1.3-1   主要建设内容一览表</w:t>
            </w:r>
          </w:p>
          <w:tbl>
            <w:tblPr>
              <w:tblStyle w:val="24"/>
              <w:tblW w:w="88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727"/>
              <w:gridCol w:w="1146"/>
              <w:gridCol w:w="1245"/>
              <w:gridCol w:w="46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118" w:type="dxa"/>
                  <w:vAlign w:val="center"/>
                </w:tcPr>
                <w:p>
                  <w:pPr>
                    <w:adjustRightInd w:val="0"/>
                    <w:snapToGrid w:val="0"/>
                    <w:jc w:val="center"/>
                    <w:rPr>
                      <w:szCs w:val="21"/>
                      <w:u w:val="single"/>
                    </w:rPr>
                  </w:pPr>
                  <w:r>
                    <w:rPr>
                      <w:szCs w:val="21"/>
                      <w:u w:val="single"/>
                    </w:rPr>
                    <w:t>工程内容</w:t>
                  </w:r>
                </w:p>
              </w:tc>
              <w:tc>
                <w:tcPr>
                  <w:tcW w:w="727" w:type="dxa"/>
                  <w:vAlign w:val="center"/>
                </w:tcPr>
                <w:p>
                  <w:pPr>
                    <w:adjustRightInd w:val="0"/>
                    <w:snapToGrid w:val="0"/>
                    <w:jc w:val="center"/>
                    <w:rPr>
                      <w:szCs w:val="21"/>
                      <w:u w:val="single"/>
                    </w:rPr>
                  </w:pPr>
                  <w:r>
                    <w:rPr>
                      <w:szCs w:val="21"/>
                      <w:u w:val="single"/>
                    </w:rPr>
                    <w:t>序号</w:t>
                  </w:r>
                </w:p>
              </w:tc>
              <w:tc>
                <w:tcPr>
                  <w:tcW w:w="1146" w:type="dxa"/>
                  <w:vAlign w:val="center"/>
                </w:tcPr>
                <w:p>
                  <w:pPr>
                    <w:adjustRightInd w:val="0"/>
                    <w:snapToGrid w:val="0"/>
                    <w:jc w:val="center"/>
                    <w:rPr>
                      <w:szCs w:val="21"/>
                      <w:u w:val="single"/>
                    </w:rPr>
                  </w:pPr>
                  <w:r>
                    <w:rPr>
                      <w:szCs w:val="21"/>
                      <w:u w:val="single"/>
                    </w:rPr>
                    <w:t>名称</w:t>
                  </w:r>
                </w:p>
              </w:tc>
              <w:tc>
                <w:tcPr>
                  <w:tcW w:w="1245" w:type="dxa"/>
                  <w:vAlign w:val="center"/>
                </w:tcPr>
                <w:p>
                  <w:pPr>
                    <w:adjustRightInd w:val="0"/>
                    <w:snapToGrid w:val="0"/>
                    <w:jc w:val="center"/>
                    <w:rPr>
                      <w:szCs w:val="21"/>
                      <w:u w:val="single"/>
                    </w:rPr>
                  </w:pPr>
                  <w:r>
                    <w:rPr>
                      <w:szCs w:val="21"/>
                      <w:u w:val="single"/>
                    </w:rPr>
                    <w:t>面积（m</w:t>
                  </w:r>
                  <w:r>
                    <w:rPr>
                      <w:szCs w:val="21"/>
                      <w:u w:val="single"/>
                      <w:vertAlign w:val="superscript"/>
                    </w:rPr>
                    <w:t>2</w:t>
                  </w:r>
                  <w:r>
                    <w:rPr>
                      <w:szCs w:val="21"/>
                      <w:u w:val="single"/>
                    </w:rPr>
                    <w:t>）</w:t>
                  </w:r>
                </w:p>
              </w:tc>
              <w:tc>
                <w:tcPr>
                  <w:tcW w:w="4643" w:type="dxa"/>
                  <w:vAlign w:val="center"/>
                </w:tcPr>
                <w:p>
                  <w:pPr>
                    <w:adjustRightInd w:val="0"/>
                    <w:snapToGrid w:val="0"/>
                    <w:jc w:val="center"/>
                    <w:rPr>
                      <w:szCs w:val="21"/>
                      <w:u w:val="single"/>
                    </w:rPr>
                  </w:pPr>
                  <w:r>
                    <w:rPr>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restart"/>
                  <w:vAlign w:val="center"/>
                </w:tcPr>
                <w:p>
                  <w:pPr>
                    <w:adjustRightInd w:val="0"/>
                    <w:snapToGrid w:val="0"/>
                    <w:jc w:val="center"/>
                    <w:rPr>
                      <w:szCs w:val="21"/>
                      <w:u w:val="single"/>
                    </w:rPr>
                  </w:pPr>
                  <w:r>
                    <w:rPr>
                      <w:szCs w:val="21"/>
                      <w:u w:val="single"/>
                    </w:rPr>
                    <w:t>主体工程</w:t>
                  </w:r>
                </w:p>
              </w:tc>
              <w:tc>
                <w:tcPr>
                  <w:tcW w:w="727" w:type="dxa"/>
                  <w:vAlign w:val="center"/>
                </w:tcPr>
                <w:p>
                  <w:pPr>
                    <w:adjustRightInd w:val="0"/>
                    <w:snapToGrid w:val="0"/>
                    <w:jc w:val="center"/>
                    <w:rPr>
                      <w:szCs w:val="21"/>
                      <w:u w:val="single"/>
                    </w:rPr>
                  </w:pPr>
                  <w:r>
                    <w:rPr>
                      <w:szCs w:val="21"/>
                      <w:u w:val="single"/>
                    </w:rPr>
                    <w:t>1</w:t>
                  </w:r>
                </w:p>
              </w:tc>
              <w:tc>
                <w:tcPr>
                  <w:tcW w:w="1146" w:type="dxa"/>
                  <w:vAlign w:val="center"/>
                </w:tcPr>
                <w:p>
                  <w:pPr>
                    <w:adjustRightInd w:val="0"/>
                    <w:snapToGrid w:val="0"/>
                    <w:jc w:val="center"/>
                    <w:rPr>
                      <w:szCs w:val="21"/>
                      <w:u w:val="single"/>
                    </w:rPr>
                  </w:pPr>
                  <w:r>
                    <w:rPr>
                      <w:szCs w:val="21"/>
                      <w:u w:val="single"/>
                    </w:rPr>
                    <w:t>站房</w:t>
                  </w:r>
                </w:p>
              </w:tc>
              <w:tc>
                <w:tcPr>
                  <w:tcW w:w="1245" w:type="dxa"/>
                  <w:vAlign w:val="center"/>
                </w:tcPr>
                <w:p>
                  <w:pPr>
                    <w:jc w:val="center"/>
                    <w:rPr>
                      <w:szCs w:val="21"/>
                      <w:u w:val="single"/>
                    </w:rPr>
                  </w:pPr>
                  <w:r>
                    <w:rPr>
                      <w:rFonts w:hint="eastAsia"/>
                      <w:szCs w:val="21"/>
                      <w:u w:val="single"/>
                    </w:rPr>
                    <w:t>87.1</w:t>
                  </w:r>
                </w:p>
              </w:tc>
              <w:tc>
                <w:tcPr>
                  <w:tcW w:w="4643" w:type="dxa"/>
                  <w:vAlign w:val="center"/>
                </w:tcPr>
                <w:p>
                  <w:pPr>
                    <w:adjustRightInd w:val="0"/>
                    <w:snapToGrid w:val="0"/>
                    <w:jc w:val="center"/>
                    <w:rPr>
                      <w:szCs w:val="21"/>
                      <w:u w:val="single"/>
                    </w:rPr>
                  </w:pPr>
                  <w:r>
                    <w:rPr>
                      <w:rFonts w:hint="eastAsia"/>
                      <w:szCs w:val="21"/>
                      <w:u w:val="single"/>
                    </w:rPr>
                    <w:t>2F</w:t>
                  </w:r>
                  <w:r>
                    <w:rPr>
                      <w:szCs w:val="21"/>
                      <w:u w:val="single"/>
                    </w:rPr>
                    <w:t>，</w:t>
                  </w:r>
                  <w:r>
                    <w:rPr>
                      <w:rFonts w:hint="eastAsia"/>
                      <w:szCs w:val="21"/>
                      <w:u w:val="single"/>
                    </w:rPr>
                    <w:t>框架</w:t>
                  </w:r>
                  <w:r>
                    <w:rPr>
                      <w:szCs w:val="21"/>
                      <w:u w:val="single"/>
                    </w:rPr>
                    <w:t>结构</w:t>
                  </w:r>
                  <w:r>
                    <w:rPr>
                      <w:rFonts w:hint="eastAsia"/>
                      <w:szCs w:val="21"/>
                      <w:u w:val="single"/>
                    </w:rPr>
                    <w:t>，包含办公区域及员工休息室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2</w:t>
                  </w:r>
                </w:p>
              </w:tc>
              <w:tc>
                <w:tcPr>
                  <w:tcW w:w="1146" w:type="dxa"/>
                  <w:vAlign w:val="center"/>
                </w:tcPr>
                <w:p>
                  <w:pPr>
                    <w:adjustRightInd w:val="0"/>
                    <w:snapToGrid w:val="0"/>
                    <w:jc w:val="center"/>
                    <w:rPr>
                      <w:szCs w:val="21"/>
                      <w:u w:val="single"/>
                    </w:rPr>
                  </w:pPr>
                  <w:r>
                    <w:rPr>
                      <w:szCs w:val="21"/>
                      <w:u w:val="single"/>
                    </w:rPr>
                    <w:t>罩棚</w:t>
                  </w:r>
                </w:p>
              </w:tc>
              <w:tc>
                <w:tcPr>
                  <w:tcW w:w="1245" w:type="dxa"/>
                  <w:vAlign w:val="center"/>
                </w:tcPr>
                <w:p>
                  <w:pPr>
                    <w:jc w:val="center"/>
                    <w:rPr>
                      <w:szCs w:val="21"/>
                      <w:u w:val="single"/>
                    </w:rPr>
                  </w:pPr>
                  <w:r>
                    <w:rPr>
                      <w:rFonts w:hint="eastAsia"/>
                      <w:szCs w:val="21"/>
                      <w:u w:val="single"/>
                    </w:rPr>
                    <w:t>225</w:t>
                  </w:r>
                </w:p>
              </w:tc>
              <w:tc>
                <w:tcPr>
                  <w:tcW w:w="4643" w:type="dxa"/>
                  <w:vAlign w:val="center"/>
                </w:tcPr>
                <w:p>
                  <w:pPr>
                    <w:adjustRightInd w:val="0"/>
                    <w:snapToGrid w:val="0"/>
                    <w:jc w:val="center"/>
                    <w:rPr>
                      <w:szCs w:val="21"/>
                      <w:u w:val="single"/>
                    </w:rPr>
                  </w:pPr>
                  <w:r>
                    <w:rPr>
                      <w:rFonts w:hint="eastAsia"/>
                      <w:szCs w:val="21"/>
                      <w:u w:val="single"/>
                    </w:rPr>
                    <w:t>1F，框架</w:t>
                  </w:r>
                  <w:r>
                    <w:rPr>
                      <w:szCs w:val="21"/>
                      <w:u w:val="single"/>
                    </w:rPr>
                    <w:t>结构</w:t>
                  </w:r>
                  <w:r>
                    <w:rPr>
                      <w:rStyle w:val="36"/>
                      <w:rFonts w:hint="eastAsia"/>
                      <w:u w:val="single"/>
                    </w:rPr>
                    <w:t>，加油机罩棚，高度为6m，投影面积210</w:t>
                  </w:r>
                  <w:r>
                    <w:rPr>
                      <w:rFonts w:hint="eastAsia"/>
                      <w:szCs w:val="21"/>
                      <w:u w:val="single"/>
                    </w:rPr>
                    <w:t>m</w:t>
                  </w:r>
                  <w:r>
                    <w:rPr>
                      <w:rFonts w:hint="eastAsia"/>
                      <w:szCs w:val="21"/>
                      <w:u w:val="single"/>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rFonts w:hint="eastAsia"/>
                      <w:szCs w:val="21"/>
                      <w:u w:val="single"/>
                    </w:rPr>
                    <w:t>3</w:t>
                  </w:r>
                </w:p>
              </w:tc>
              <w:tc>
                <w:tcPr>
                  <w:tcW w:w="1146" w:type="dxa"/>
                  <w:vAlign w:val="center"/>
                </w:tcPr>
                <w:p>
                  <w:pPr>
                    <w:adjustRightInd w:val="0"/>
                    <w:snapToGrid w:val="0"/>
                    <w:jc w:val="center"/>
                    <w:rPr>
                      <w:szCs w:val="21"/>
                      <w:u w:val="single"/>
                    </w:rPr>
                  </w:pPr>
                  <w:r>
                    <w:rPr>
                      <w:rFonts w:hint="eastAsia"/>
                      <w:szCs w:val="21"/>
                      <w:u w:val="single"/>
                    </w:rPr>
                    <w:t>加油区</w:t>
                  </w:r>
                </w:p>
              </w:tc>
              <w:tc>
                <w:tcPr>
                  <w:tcW w:w="1245" w:type="dxa"/>
                  <w:vAlign w:val="center"/>
                </w:tcPr>
                <w:p>
                  <w:pPr>
                    <w:jc w:val="center"/>
                    <w:rPr>
                      <w:szCs w:val="21"/>
                      <w:u w:val="single"/>
                    </w:rPr>
                  </w:pPr>
                  <w:r>
                    <w:rPr>
                      <w:rFonts w:hint="eastAsia"/>
                      <w:szCs w:val="21"/>
                      <w:u w:val="single"/>
                    </w:rPr>
                    <w:t>156</w:t>
                  </w:r>
                </w:p>
              </w:tc>
              <w:tc>
                <w:tcPr>
                  <w:tcW w:w="4643" w:type="dxa"/>
                  <w:vAlign w:val="center"/>
                </w:tcPr>
                <w:p>
                  <w:pPr>
                    <w:adjustRightInd w:val="0"/>
                    <w:snapToGrid w:val="0"/>
                    <w:jc w:val="center"/>
                    <w:rPr>
                      <w:szCs w:val="21"/>
                      <w:u w:val="single"/>
                    </w:rPr>
                  </w:pPr>
                  <w:r>
                    <w:rPr>
                      <w:rFonts w:hint="eastAsia"/>
                      <w:szCs w:val="21"/>
                      <w:u w:val="single"/>
                    </w:rPr>
                    <w:t>含2个30m</w:t>
                  </w:r>
                  <w:r>
                    <w:rPr>
                      <w:rFonts w:hint="eastAsia"/>
                      <w:szCs w:val="21"/>
                      <w:u w:val="single"/>
                      <w:vertAlign w:val="superscript"/>
                    </w:rPr>
                    <w:t>3</w:t>
                  </w:r>
                  <w:r>
                    <w:rPr>
                      <w:rFonts w:hint="eastAsia"/>
                      <w:szCs w:val="21"/>
                      <w:u w:val="single"/>
                    </w:rPr>
                    <w:t>的汽油储罐及1个25m</w:t>
                  </w:r>
                  <w:r>
                    <w:rPr>
                      <w:rFonts w:hint="eastAsia"/>
                      <w:szCs w:val="21"/>
                      <w:u w:val="single"/>
                      <w:vertAlign w:val="superscript"/>
                    </w:rPr>
                    <w:t>3</w:t>
                  </w:r>
                  <w:r>
                    <w:rPr>
                      <w:rFonts w:hint="eastAsia"/>
                      <w:szCs w:val="21"/>
                      <w:u w:val="single"/>
                    </w:rPr>
                    <w:t>的柴油储罐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rFonts w:hint="eastAsia"/>
                      <w:szCs w:val="21"/>
                      <w:u w:val="single"/>
                    </w:rPr>
                    <w:t>4</w:t>
                  </w:r>
                </w:p>
              </w:tc>
              <w:tc>
                <w:tcPr>
                  <w:tcW w:w="1146" w:type="dxa"/>
                  <w:vAlign w:val="center"/>
                </w:tcPr>
                <w:p>
                  <w:pPr>
                    <w:adjustRightInd w:val="0"/>
                    <w:snapToGrid w:val="0"/>
                    <w:jc w:val="center"/>
                    <w:rPr>
                      <w:szCs w:val="21"/>
                      <w:u w:val="single"/>
                    </w:rPr>
                  </w:pPr>
                  <w:r>
                    <w:rPr>
                      <w:rFonts w:hint="eastAsia"/>
                      <w:szCs w:val="21"/>
                      <w:u w:val="single"/>
                    </w:rPr>
                    <w:t>辅助用房</w:t>
                  </w:r>
                </w:p>
              </w:tc>
              <w:tc>
                <w:tcPr>
                  <w:tcW w:w="1245" w:type="dxa"/>
                  <w:vAlign w:val="center"/>
                </w:tcPr>
                <w:p>
                  <w:pPr>
                    <w:jc w:val="center"/>
                    <w:rPr>
                      <w:szCs w:val="21"/>
                      <w:u w:val="single"/>
                    </w:rPr>
                  </w:pPr>
                  <w:r>
                    <w:rPr>
                      <w:rFonts w:hint="eastAsia"/>
                      <w:szCs w:val="21"/>
                      <w:u w:val="single"/>
                    </w:rPr>
                    <w:t>30</w:t>
                  </w:r>
                </w:p>
              </w:tc>
              <w:tc>
                <w:tcPr>
                  <w:tcW w:w="4643" w:type="dxa"/>
                  <w:vAlign w:val="center"/>
                </w:tcPr>
                <w:p>
                  <w:pPr>
                    <w:adjustRightInd w:val="0"/>
                    <w:snapToGrid w:val="0"/>
                    <w:jc w:val="center"/>
                    <w:rPr>
                      <w:szCs w:val="21"/>
                      <w:u w:val="single"/>
                    </w:rPr>
                  </w:pPr>
                  <w:r>
                    <w:rPr>
                      <w:rFonts w:hint="eastAsia"/>
                      <w:szCs w:val="21"/>
                      <w:u w:val="single"/>
                    </w:rPr>
                    <w:t>含发电机房、杂物间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Align w:val="center"/>
                </w:tcPr>
                <w:p>
                  <w:pPr>
                    <w:adjustRightInd w:val="0"/>
                    <w:snapToGrid w:val="0"/>
                    <w:jc w:val="center"/>
                    <w:rPr>
                      <w:szCs w:val="21"/>
                      <w:u w:val="single"/>
                    </w:rPr>
                  </w:pPr>
                  <w:r>
                    <w:rPr>
                      <w:szCs w:val="21"/>
                      <w:u w:val="single"/>
                    </w:rPr>
                    <w:t>配套工程</w:t>
                  </w:r>
                </w:p>
              </w:tc>
              <w:tc>
                <w:tcPr>
                  <w:tcW w:w="727" w:type="dxa"/>
                  <w:vAlign w:val="center"/>
                </w:tcPr>
                <w:p>
                  <w:pPr>
                    <w:adjustRightInd w:val="0"/>
                    <w:snapToGrid w:val="0"/>
                    <w:jc w:val="center"/>
                    <w:rPr>
                      <w:szCs w:val="21"/>
                      <w:u w:val="single"/>
                    </w:rPr>
                  </w:pPr>
                  <w:r>
                    <w:rPr>
                      <w:szCs w:val="21"/>
                      <w:u w:val="single"/>
                    </w:rPr>
                    <w:t>1</w:t>
                  </w:r>
                </w:p>
              </w:tc>
              <w:tc>
                <w:tcPr>
                  <w:tcW w:w="1146" w:type="dxa"/>
                  <w:vAlign w:val="center"/>
                </w:tcPr>
                <w:p>
                  <w:pPr>
                    <w:adjustRightInd w:val="0"/>
                    <w:snapToGrid w:val="0"/>
                    <w:jc w:val="center"/>
                    <w:rPr>
                      <w:szCs w:val="21"/>
                      <w:u w:val="single"/>
                    </w:rPr>
                  </w:pPr>
                  <w:r>
                    <w:rPr>
                      <w:rFonts w:hint="eastAsia"/>
                      <w:szCs w:val="21"/>
                      <w:u w:val="single"/>
                    </w:rPr>
                    <w:t>洗车房</w:t>
                  </w:r>
                </w:p>
              </w:tc>
              <w:tc>
                <w:tcPr>
                  <w:tcW w:w="1245" w:type="dxa"/>
                  <w:vAlign w:val="center"/>
                </w:tcPr>
                <w:p>
                  <w:pPr>
                    <w:pStyle w:val="42"/>
                    <w:rPr>
                      <w:rFonts w:eastAsia="仿宋_GB2312"/>
                      <w:szCs w:val="21"/>
                      <w:u w:val="single"/>
                    </w:rPr>
                  </w:pPr>
                  <w:r>
                    <w:rPr>
                      <w:rFonts w:hint="eastAsia"/>
                      <w:szCs w:val="21"/>
                      <w:u w:val="single"/>
                    </w:rPr>
                    <w:t>30</w:t>
                  </w:r>
                </w:p>
              </w:tc>
              <w:tc>
                <w:tcPr>
                  <w:tcW w:w="4643" w:type="dxa"/>
                  <w:vAlign w:val="center"/>
                </w:tcPr>
                <w:p>
                  <w:pPr>
                    <w:adjustRightInd w:val="0"/>
                    <w:snapToGrid w:val="0"/>
                    <w:jc w:val="center"/>
                    <w:rPr>
                      <w:szCs w:val="21"/>
                      <w:u w:val="single"/>
                    </w:rPr>
                  </w:pPr>
                  <w:r>
                    <w:rPr>
                      <w:rFonts w:hint="eastAsia"/>
                      <w:szCs w:val="21"/>
                      <w:u w:val="single"/>
                      <w:lang w:eastAsia="zh-CN"/>
                    </w:rPr>
                    <w:t>自助洗车模式，</w:t>
                  </w:r>
                  <w:r>
                    <w:rPr>
                      <w:rFonts w:hint="eastAsia"/>
                      <w:szCs w:val="21"/>
                      <w:u w:val="single"/>
                    </w:rPr>
                    <w:t>配备自动洗车机、沉淀池及循环泵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restart"/>
                  <w:vAlign w:val="center"/>
                </w:tcPr>
                <w:p>
                  <w:pPr>
                    <w:adjustRightInd w:val="0"/>
                    <w:snapToGrid w:val="0"/>
                    <w:jc w:val="center"/>
                    <w:rPr>
                      <w:szCs w:val="21"/>
                      <w:u w:val="single"/>
                    </w:rPr>
                  </w:pPr>
                  <w:r>
                    <w:rPr>
                      <w:szCs w:val="21"/>
                      <w:u w:val="single"/>
                    </w:rPr>
                    <w:t>公用工程</w:t>
                  </w:r>
                </w:p>
              </w:tc>
              <w:tc>
                <w:tcPr>
                  <w:tcW w:w="727" w:type="dxa"/>
                  <w:vAlign w:val="center"/>
                </w:tcPr>
                <w:p>
                  <w:pPr>
                    <w:adjustRightInd w:val="0"/>
                    <w:snapToGrid w:val="0"/>
                    <w:jc w:val="center"/>
                    <w:rPr>
                      <w:szCs w:val="21"/>
                      <w:u w:val="single"/>
                    </w:rPr>
                  </w:pPr>
                  <w:r>
                    <w:rPr>
                      <w:szCs w:val="21"/>
                      <w:u w:val="single"/>
                    </w:rPr>
                    <w:t>1</w:t>
                  </w:r>
                </w:p>
              </w:tc>
              <w:tc>
                <w:tcPr>
                  <w:tcW w:w="1146" w:type="dxa"/>
                  <w:vAlign w:val="center"/>
                </w:tcPr>
                <w:p>
                  <w:pPr>
                    <w:adjustRightInd w:val="0"/>
                    <w:snapToGrid w:val="0"/>
                    <w:jc w:val="center"/>
                    <w:rPr>
                      <w:szCs w:val="21"/>
                      <w:u w:val="single"/>
                    </w:rPr>
                  </w:pPr>
                  <w:r>
                    <w:rPr>
                      <w:szCs w:val="21"/>
                      <w:u w:val="single"/>
                    </w:rPr>
                    <w:t>给水</w:t>
                  </w:r>
                </w:p>
              </w:tc>
              <w:tc>
                <w:tcPr>
                  <w:tcW w:w="5888" w:type="dxa"/>
                  <w:gridSpan w:val="2"/>
                  <w:vAlign w:val="center"/>
                </w:tcPr>
                <w:p>
                  <w:pPr>
                    <w:adjustRightInd w:val="0"/>
                    <w:snapToGrid w:val="0"/>
                    <w:jc w:val="center"/>
                    <w:rPr>
                      <w:szCs w:val="21"/>
                      <w:u w:val="single"/>
                    </w:rPr>
                  </w:pPr>
                  <w:r>
                    <w:rPr>
                      <w:rFonts w:hint="eastAsia"/>
                      <w:szCs w:val="21"/>
                      <w:u w:val="single"/>
                      <w:lang w:val="zh-CN"/>
                    </w:rPr>
                    <w:t>地下井水供水</w:t>
                  </w:r>
                  <w:r>
                    <w:rPr>
                      <w:szCs w:val="21"/>
                      <w:u w:val="single"/>
                      <w:lang w:val="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2</w:t>
                  </w:r>
                </w:p>
              </w:tc>
              <w:tc>
                <w:tcPr>
                  <w:tcW w:w="1146" w:type="dxa"/>
                  <w:vAlign w:val="center"/>
                </w:tcPr>
                <w:p>
                  <w:pPr>
                    <w:adjustRightInd w:val="0"/>
                    <w:snapToGrid w:val="0"/>
                    <w:jc w:val="center"/>
                    <w:rPr>
                      <w:szCs w:val="21"/>
                      <w:u w:val="single"/>
                    </w:rPr>
                  </w:pPr>
                  <w:r>
                    <w:rPr>
                      <w:szCs w:val="21"/>
                      <w:u w:val="single"/>
                    </w:rPr>
                    <w:t>排水</w:t>
                  </w:r>
                </w:p>
              </w:tc>
              <w:tc>
                <w:tcPr>
                  <w:tcW w:w="5888" w:type="dxa"/>
                  <w:gridSpan w:val="2"/>
                  <w:vAlign w:val="center"/>
                </w:tcPr>
                <w:p>
                  <w:pPr>
                    <w:adjustRightInd w:val="0"/>
                    <w:snapToGrid w:val="0"/>
                    <w:jc w:val="center"/>
                    <w:rPr>
                      <w:szCs w:val="21"/>
                      <w:u w:val="single"/>
                      <w:lang w:val="zh-CN"/>
                    </w:rPr>
                  </w:pPr>
                  <w:r>
                    <w:rPr>
                      <w:rFonts w:hint="eastAsia"/>
                      <w:szCs w:val="21"/>
                      <w:u w:val="single"/>
                    </w:rPr>
                    <w:t>项目实行雨污分流制。</w:t>
                  </w:r>
                  <w:r>
                    <w:rPr>
                      <w:rFonts w:hint="eastAsia"/>
                      <w:szCs w:val="21"/>
                      <w:u w:val="single"/>
                      <w:lang w:eastAsia="zh-CN"/>
                    </w:rPr>
                    <w:t>初期</w:t>
                  </w:r>
                  <w:r>
                    <w:rPr>
                      <w:kern w:val="0"/>
                      <w:szCs w:val="21"/>
                      <w:u w:val="single"/>
                    </w:rPr>
                    <w:t>雨水、</w:t>
                  </w:r>
                  <w:r>
                    <w:rPr>
                      <w:rFonts w:hint="eastAsia"/>
                      <w:kern w:val="0"/>
                      <w:szCs w:val="21"/>
                      <w:u w:val="single"/>
                    </w:rPr>
                    <w:t>地面</w:t>
                  </w:r>
                  <w:r>
                    <w:rPr>
                      <w:kern w:val="0"/>
                      <w:szCs w:val="21"/>
                      <w:u w:val="single"/>
                    </w:rPr>
                    <w:t>冲洗废水经集水沟收集后</w:t>
                  </w:r>
                  <w:r>
                    <w:rPr>
                      <w:rFonts w:hint="eastAsia"/>
                      <w:kern w:val="0"/>
                      <w:szCs w:val="21"/>
                      <w:u w:val="single"/>
                    </w:rPr>
                    <w:t>由</w:t>
                  </w:r>
                  <w:r>
                    <w:rPr>
                      <w:kern w:val="0"/>
                      <w:szCs w:val="21"/>
                      <w:u w:val="single"/>
                    </w:rPr>
                    <w:t>隔油</w:t>
                  </w:r>
                  <w:r>
                    <w:rPr>
                      <w:rFonts w:hint="eastAsia"/>
                      <w:kern w:val="0"/>
                      <w:szCs w:val="21"/>
                      <w:u w:val="single"/>
                    </w:rPr>
                    <w:t>沉淀</w:t>
                  </w:r>
                  <w:r>
                    <w:rPr>
                      <w:kern w:val="0"/>
                      <w:szCs w:val="21"/>
                      <w:u w:val="single"/>
                    </w:rPr>
                    <w:t>池处理后循环利用于场区绿化、抑尘</w:t>
                  </w:r>
                  <w:r>
                    <w:rPr>
                      <w:rFonts w:hint="eastAsia"/>
                      <w:kern w:val="0"/>
                      <w:szCs w:val="21"/>
                      <w:u w:val="single"/>
                    </w:rPr>
                    <w:t>；洗车废水经沉淀处理后回用，</w:t>
                  </w:r>
                  <w:r>
                    <w:rPr>
                      <w:kern w:val="0"/>
                      <w:szCs w:val="21"/>
                      <w:u w:val="single"/>
                    </w:rPr>
                    <w:t>不外排</w:t>
                  </w:r>
                  <w:r>
                    <w:rPr>
                      <w:rFonts w:hint="eastAsia"/>
                      <w:kern w:val="0"/>
                      <w:szCs w:val="21"/>
                      <w:u w:val="single"/>
                    </w:rPr>
                    <w:t>；</w:t>
                  </w:r>
                  <w:r>
                    <w:rPr>
                      <w:rFonts w:hint="eastAsia"/>
                      <w:szCs w:val="21"/>
                      <w:u w:val="single"/>
                    </w:rPr>
                    <w:t>生活废水经化粪池处理后用做农肥</w:t>
                  </w:r>
                  <w:r>
                    <w:rPr>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3</w:t>
                  </w:r>
                </w:p>
              </w:tc>
              <w:tc>
                <w:tcPr>
                  <w:tcW w:w="1146" w:type="dxa"/>
                  <w:vAlign w:val="center"/>
                </w:tcPr>
                <w:p>
                  <w:pPr>
                    <w:adjustRightInd w:val="0"/>
                    <w:snapToGrid w:val="0"/>
                    <w:jc w:val="center"/>
                    <w:rPr>
                      <w:szCs w:val="21"/>
                      <w:u w:val="single"/>
                    </w:rPr>
                  </w:pPr>
                  <w:r>
                    <w:rPr>
                      <w:szCs w:val="21"/>
                      <w:u w:val="single"/>
                    </w:rPr>
                    <w:t>供电</w:t>
                  </w:r>
                </w:p>
              </w:tc>
              <w:tc>
                <w:tcPr>
                  <w:tcW w:w="5888" w:type="dxa"/>
                  <w:gridSpan w:val="2"/>
                  <w:vAlign w:val="center"/>
                </w:tcPr>
                <w:p>
                  <w:pPr>
                    <w:adjustRightInd w:val="0"/>
                    <w:snapToGrid w:val="0"/>
                    <w:jc w:val="center"/>
                    <w:rPr>
                      <w:szCs w:val="21"/>
                      <w:u w:val="single"/>
                    </w:rPr>
                  </w:pPr>
                  <w:r>
                    <w:rPr>
                      <w:rFonts w:hint="eastAsia"/>
                      <w:szCs w:val="21"/>
                      <w:u w:val="single"/>
                    </w:rPr>
                    <w:t>市政电网供电</w:t>
                  </w:r>
                  <w:r>
                    <w:rPr>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restart"/>
                  <w:vAlign w:val="center"/>
                </w:tcPr>
                <w:p>
                  <w:pPr>
                    <w:adjustRightInd w:val="0"/>
                    <w:snapToGrid w:val="0"/>
                    <w:jc w:val="center"/>
                    <w:rPr>
                      <w:szCs w:val="21"/>
                      <w:u w:val="single"/>
                    </w:rPr>
                  </w:pPr>
                  <w:r>
                    <w:rPr>
                      <w:szCs w:val="21"/>
                      <w:u w:val="single"/>
                    </w:rPr>
                    <w:t>环保工程</w:t>
                  </w:r>
                </w:p>
              </w:tc>
              <w:tc>
                <w:tcPr>
                  <w:tcW w:w="727" w:type="dxa"/>
                  <w:vAlign w:val="center"/>
                </w:tcPr>
                <w:p>
                  <w:pPr>
                    <w:adjustRightInd w:val="0"/>
                    <w:snapToGrid w:val="0"/>
                    <w:jc w:val="center"/>
                    <w:rPr>
                      <w:szCs w:val="21"/>
                      <w:u w:val="single"/>
                    </w:rPr>
                  </w:pPr>
                  <w:r>
                    <w:rPr>
                      <w:szCs w:val="21"/>
                      <w:u w:val="single"/>
                    </w:rPr>
                    <w:t>1</w:t>
                  </w:r>
                </w:p>
              </w:tc>
              <w:tc>
                <w:tcPr>
                  <w:tcW w:w="1146" w:type="dxa"/>
                  <w:vAlign w:val="center"/>
                </w:tcPr>
                <w:p>
                  <w:pPr>
                    <w:adjustRightInd w:val="0"/>
                    <w:snapToGrid w:val="0"/>
                    <w:jc w:val="center"/>
                    <w:rPr>
                      <w:szCs w:val="21"/>
                      <w:u w:val="single"/>
                    </w:rPr>
                  </w:pPr>
                  <w:r>
                    <w:rPr>
                      <w:szCs w:val="21"/>
                      <w:u w:val="single"/>
                    </w:rPr>
                    <w:t>废气处理</w:t>
                  </w:r>
                </w:p>
              </w:tc>
              <w:tc>
                <w:tcPr>
                  <w:tcW w:w="5888" w:type="dxa"/>
                  <w:gridSpan w:val="2"/>
                  <w:vAlign w:val="center"/>
                </w:tcPr>
                <w:p>
                  <w:pPr>
                    <w:adjustRightInd w:val="0"/>
                    <w:snapToGrid w:val="0"/>
                    <w:jc w:val="center"/>
                    <w:rPr>
                      <w:szCs w:val="21"/>
                      <w:u w:val="single"/>
                    </w:rPr>
                  </w:pPr>
                  <w:r>
                    <w:rPr>
                      <w:rFonts w:hint="eastAsia"/>
                      <w:szCs w:val="24"/>
                      <w:u w:val="single"/>
                    </w:rPr>
                    <w:t>已在卸油、加油处设置二次油气回收（分散式）系统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2</w:t>
                  </w:r>
                </w:p>
              </w:tc>
              <w:tc>
                <w:tcPr>
                  <w:tcW w:w="1146" w:type="dxa"/>
                  <w:vAlign w:val="center"/>
                </w:tcPr>
                <w:p>
                  <w:pPr>
                    <w:adjustRightInd w:val="0"/>
                    <w:snapToGrid w:val="0"/>
                    <w:jc w:val="center"/>
                    <w:rPr>
                      <w:szCs w:val="21"/>
                      <w:u w:val="single"/>
                    </w:rPr>
                  </w:pPr>
                  <w:r>
                    <w:rPr>
                      <w:szCs w:val="21"/>
                      <w:u w:val="single"/>
                    </w:rPr>
                    <w:t>废水处理</w:t>
                  </w:r>
                </w:p>
              </w:tc>
              <w:tc>
                <w:tcPr>
                  <w:tcW w:w="5888" w:type="dxa"/>
                  <w:gridSpan w:val="2"/>
                  <w:vAlign w:val="center"/>
                </w:tcPr>
                <w:p>
                  <w:pPr>
                    <w:adjustRightInd w:val="0"/>
                    <w:snapToGrid w:val="0"/>
                    <w:jc w:val="center"/>
                    <w:rPr>
                      <w:szCs w:val="21"/>
                      <w:u w:val="single"/>
                    </w:rPr>
                  </w:pPr>
                  <w:r>
                    <w:rPr>
                      <w:rFonts w:hint="eastAsia"/>
                      <w:szCs w:val="21"/>
                      <w:u w:val="single"/>
                    </w:rPr>
                    <w:t>生活废水经化粪池处理后用做农肥，</w:t>
                  </w:r>
                  <w:r>
                    <w:rPr>
                      <w:rFonts w:hint="eastAsia"/>
                      <w:szCs w:val="21"/>
                      <w:u w:val="single"/>
                      <w:lang w:eastAsia="zh-CN"/>
                    </w:rPr>
                    <w:t>初期</w:t>
                  </w:r>
                  <w:r>
                    <w:rPr>
                      <w:kern w:val="0"/>
                      <w:szCs w:val="21"/>
                      <w:u w:val="single"/>
                    </w:rPr>
                    <w:t>雨水、</w:t>
                  </w:r>
                  <w:r>
                    <w:rPr>
                      <w:rFonts w:hint="eastAsia"/>
                      <w:kern w:val="0"/>
                      <w:szCs w:val="21"/>
                      <w:u w:val="single"/>
                    </w:rPr>
                    <w:t>地面</w:t>
                  </w:r>
                  <w:r>
                    <w:rPr>
                      <w:kern w:val="0"/>
                      <w:szCs w:val="21"/>
                      <w:u w:val="single"/>
                    </w:rPr>
                    <w:t>冲洗废水</w:t>
                  </w:r>
                  <w:r>
                    <w:rPr>
                      <w:rFonts w:hint="eastAsia"/>
                      <w:kern w:val="0"/>
                      <w:szCs w:val="21"/>
                      <w:u w:val="single"/>
                    </w:rPr>
                    <w:t>、洗车废水</w:t>
                  </w:r>
                  <w:r>
                    <w:rPr>
                      <w:kern w:val="0"/>
                      <w:szCs w:val="21"/>
                      <w:u w:val="single"/>
                    </w:rPr>
                    <w:t>经集水沟收集后</w:t>
                  </w:r>
                  <w:r>
                    <w:rPr>
                      <w:rFonts w:hint="eastAsia"/>
                      <w:kern w:val="0"/>
                      <w:szCs w:val="21"/>
                      <w:u w:val="single"/>
                    </w:rPr>
                    <w:t>由</w:t>
                  </w:r>
                  <w:r>
                    <w:rPr>
                      <w:kern w:val="0"/>
                      <w:szCs w:val="21"/>
                      <w:u w:val="single"/>
                    </w:rPr>
                    <w:t>隔油</w:t>
                  </w:r>
                  <w:r>
                    <w:rPr>
                      <w:rFonts w:hint="eastAsia"/>
                      <w:kern w:val="0"/>
                      <w:szCs w:val="21"/>
                      <w:u w:val="single"/>
                    </w:rPr>
                    <w:t>沉淀</w:t>
                  </w:r>
                  <w:r>
                    <w:rPr>
                      <w:kern w:val="0"/>
                      <w:szCs w:val="21"/>
                      <w:u w:val="single"/>
                    </w:rPr>
                    <w:t>池处理后循环利用于场区绿化、抑尘，不外排</w:t>
                  </w:r>
                  <w:r>
                    <w:rPr>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3</w:t>
                  </w:r>
                </w:p>
              </w:tc>
              <w:tc>
                <w:tcPr>
                  <w:tcW w:w="1146" w:type="dxa"/>
                  <w:vAlign w:val="center"/>
                </w:tcPr>
                <w:p>
                  <w:pPr>
                    <w:adjustRightInd w:val="0"/>
                    <w:snapToGrid w:val="0"/>
                    <w:jc w:val="center"/>
                    <w:rPr>
                      <w:szCs w:val="21"/>
                      <w:u w:val="single"/>
                    </w:rPr>
                  </w:pPr>
                  <w:r>
                    <w:rPr>
                      <w:szCs w:val="21"/>
                      <w:u w:val="single"/>
                    </w:rPr>
                    <w:t>噪声治理</w:t>
                  </w:r>
                </w:p>
              </w:tc>
              <w:tc>
                <w:tcPr>
                  <w:tcW w:w="5888" w:type="dxa"/>
                  <w:gridSpan w:val="2"/>
                  <w:vAlign w:val="center"/>
                </w:tcPr>
                <w:p>
                  <w:pPr>
                    <w:adjustRightInd w:val="0"/>
                    <w:snapToGrid w:val="0"/>
                    <w:jc w:val="center"/>
                    <w:rPr>
                      <w:szCs w:val="21"/>
                      <w:u w:val="single"/>
                    </w:rPr>
                  </w:pPr>
                  <w:r>
                    <w:rPr>
                      <w:szCs w:val="21"/>
                      <w:u w:val="single"/>
                    </w:rPr>
                    <w:t>采用低噪声设备</w:t>
                  </w:r>
                  <w:r>
                    <w:rPr>
                      <w:rFonts w:hint="eastAsia"/>
                      <w:szCs w:val="21"/>
                      <w:u w:val="single"/>
                    </w:rPr>
                    <w:t>、绿化降噪</w:t>
                  </w:r>
                  <w:r>
                    <w:rPr>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8" w:type="dxa"/>
                  <w:vMerge w:val="continue"/>
                  <w:vAlign w:val="center"/>
                </w:tcPr>
                <w:p>
                  <w:pPr>
                    <w:jc w:val="left"/>
                    <w:rPr>
                      <w:szCs w:val="21"/>
                      <w:u w:val="single"/>
                    </w:rPr>
                  </w:pPr>
                </w:p>
              </w:tc>
              <w:tc>
                <w:tcPr>
                  <w:tcW w:w="727" w:type="dxa"/>
                  <w:vAlign w:val="center"/>
                </w:tcPr>
                <w:p>
                  <w:pPr>
                    <w:adjustRightInd w:val="0"/>
                    <w:snapToGrid w:val="0"/>
                    <w:jc w:val="center"/>
                    <w:rPr>
                      <w:szCs w:val="21"/>
                      <w:u w:val="single"/>
                    </w:rPr>
                  </w:pPr>
                  <w:r>
                    <w:rPr>
                      <w:szCs w:val="21"/>
                      <w:u w:val="single"/>
                    </w:rPr>
                    <w:t>4</w:t>
                  </w:r>
                </w:p>
              </w:tc>
              <w:tc>
                <w:tcPr>
                  <w:tcW w:w="1146" w:type="dxa"/>
                  <w:vAlign w:val="center"/>
                </w:tcPr>
                <w:p>
                  <w:pPr>
                    <w:adjustRightInd w:val="0"/>
                    <w:snapToGrid w:val="0"/>
                    <w:jc w:val="center"/>
                    <w:rPr>
                      <w:szCs w:val="21"/>
                      <w:u w:val="single"/>
                    </w:rPr>
                  </w:pPr>
                  <w:r>
                    <w:rPr>
                      <w:szCs w:val="21"/>
                      <w:u w:val="single"/>
                    </w:rPr>
                    <w:t>固废处理</w:t>
                  </w:r>
                </w:p>
              </w:tc>
              <w:tc>
                <w:tcPr>
                  <w:tcW w:w="5888" w:type="dxa"/>
                  <w:gridSpan w:val="2"/>
                  <w:vAlign w:val="center"/>
                </w:tcPr>
                <w:p>
                  <w:pPr>
                    <w:adjustRightInd w:val="0"/>
                    <w:snapToGrid w:val="0"/>
                    <w:jc w:val="center"/>
                    <w:rPr>
                      <w:szCs w:val="21"/>
                      <w:u w:val="single"/>
                    </w:rPr>
                  </w:pPr>
                  <w:r>
                    <w:rPr>
                      <w:szCs w:val="21"/>
                      <w:u w:val="single"/>
                    </w:rPr>
                    <w:t>采用分类收集，生活垃圾经收集后由</w:t>
                  </w:r>
                  <w:r>
                    <w:rPr>
                      <w:rFonts w:hint="eastAsia"/>
                      <w:szCs w:val="21"/>
                      <w:u w:val="single"/>
                    </w:rPr>
                    <w:t>外运垃圾填埋场处理</w:t>
                  </w:r>
                  <w:r>
                    <w:rPr>
                      <w:szCs w:val="21"/>
                      <w:u w:val="single"/>
                    </w:rPr>
                    <w:t>，危险废物委托有资质的单位进行集中处置。</w:t>
                  </w:r>
                  <w:r>
                    <w:rPr>
                      <w:rFonts w:hint="eastAsia"/>
                      <w:szCs w:val="21"/>
                      <w:u w:val="single"/>
                    </w:rPr>
                    <w:t>加油站油罐清洗周期为</w:t>
                  </w:r>
                  <w:r>
                    <w:rPr>
                      <w:szCs w:val="21"/>
                      <w:u w:val="single"/>
                    </w:rPr>
                    <w:t>3</w:t>
                  </w:r>
                  <w:r>
                    <w:rPr>
                      <w:rFonts w:hint="eastAsia"/>
                      <w:szCs w:val="21"/>
                      <w:u w:val="single"/>
                    </w:rPr>
                    <w:t>～</w:t>
                  </w:r>
                  <w:r>
                    <w:rPr>
                      <w:szCs w:val="21"/>
                      <w:u w:val="single"/>
                    </w:rPr>
                    <w:t>5</w:t>
                  </w:r>
                  <w:r>
                    <w:rPr>
                      <w:rFonts w:hint="eastAsia"/>
                      <w:szCs w:val="21"/>
                      <w:u w:val="single"/>
                    </w:rPr>
                    <w:t>年。油罐废渣和废油由加油站负责外委有资质的专业单位进行处置。本站区暂未建设危废暂存间，本次环评建议按要求补充建设危废暂存间。</w:t>
                  </w:r>
                </w:p>
              </w:tc>
            </w:tr>
          </w:tbl>
          <w:p>
            <w:pPr>
              <w:pStyle w:val="5"/>
            </w:pPr>
            <w:r>
              <w:t>主要经济技术指标</w:t>
            </w:r>
          </w:p>
          <w:p>
            <w:pPr>
              <w:ind w:firstLine="480" w:firstLineChars="200"/>
              <w:jc w:val="left"/>
            </w:pPr>
            <w:r>
              <w:rPr>
                <w:sz w:val="24"/>
              </w:rPr>
              <w:t>本项目的主要经济技术指标见下表</w:t>
            </w:r>
            <w:r>
              <w:rPr>
                <w:rFonts w:hint="eastAsia"/>
                <w:sz w:val="24"/>
              </w:rPr>
              <w:t>1.</w:t>
            </w:r>
            <w:r>
              <w:rPr>
                <w:sz w:val="24"/>
              </w:rPr>
              <w:t>4-1。</w:t>
            </w:r>
          </w:p>
          <w:p>
            <w:pPr>
              <w:pStyle w:val="41"/>
              <w:rPr>
                <w:b/>
                <w:sz w:val="24"/>
                <w:szCs w:val="24"/>
              </w:rPr>
            </w:pPr>
            <w:r>
              <w:rPr>
                <w:sz w:val="24"/>
                <w:szCs w:val="24"/>
              </w:rPr>
              <w:t>表1.4-1   项目主要经济指标</w:t>
            </w:r>
          </w:p>
          <w:tbl>
            <w:tblPr>
              <w:tblStyle w:val="24"/>
              <w:tblW w:w="877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1"/>
              <w:gridCol w:w="2120"/>
              <w:gridCol w:w="904"/>
              <w:gridCol w:w="690"/>
              <w:gridCol w:w="43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szCs w:val="21"/>
                    </w:rPr>
                    <w:t>序号</w:t>
                  </w:r>
                </w:p>
              </w:tc>
              <w:tc>
                <w:tcPr>
                  <w:tcW w:w="2120" w:type="dxa"/>
                  <w:vAlign w:val="center"/>
                </w:tcPr>
                <w:p>
                  <w:pPr>
                    <w:jc w:val="center"/>
                    <w:rPr>
                      <w:szCs w:val="21"/>
                    </w:rPr>
                  </w:pPr>
                  <w:r>
                    <w:rPr>
                      <w:szCs w:val="21"/>
                    </w:rPr>
                    <w:t>项目</w:t>
                  </w:r>
                </w:p>
              </w:tc>
              <w:tc>
                <w:tcPr>
                  <w:tcW w:w="904" w:type="dxa"/>
                  <w:vAlign w:val="center"/>
                </w:tcPr>
                <w:p>
                  <w:pPr>
                    <w:jc w:val="center"/>
                    <w:rPr>
                      <w:szCs w:val="21"/>
                    </w:rPr>
                  </w:pPr>
                  <w:r>
                    <w:rPr>
                      <w:szCs w:val="21"/>
                    </w:rPr>
                    <w:t>数量</w:t>
                  </w:r>
                </w:p>
              </w:tc>
              <w:tc>
                <w:tcPr>
                  <w:tcW w:w="690" w:type="dxa"/>
                  <w:vAlign w:val="center"/>
                </w:tcPr>
                <w:p>
                  <w:pPr>
                    <w:jc w:val="center"/>
                    <w:rPr>
                      <w:szCs w:val="21"/>
                    </w:rPr>
                  </w:pPr>
                  <w:r>
                    <w:rPr>
                      <w:szCs w:val="21"/>
                    </w:rPr>
                    <w:t>单位</w:t>
                  </w:r>
                </w:p>
              </w:tc>
              <w:tc>
                <w:tcPr>
                  <w:tcW w:w="4397" w:type="dxa"/>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1</w:t>
                  </w:r>
                </w:p>
              </w:tc>
              <w:tc>
                <w:tcPr>
                  <w:tcW w:w="2120" w:type="dxa"/>
                  <w:vAlign w:val="center"/>
                </w:tcPr>
                <w:p>
                  <w:pPr>
                    <w:jc w:val="center"/>
                    <w:rPr>
                      <w:szCs w:val="21"/>
                    </w:rPr>
                  </w:pPr>
                  <w:r>
                    <w:rPr>
                      <w:szCs w:val="21"/>
                    </w:rPr>
                    <w:t>总用地面积</w:t>
                  </w:r>
                </w:p>
              </w:tc>
              <w:tc>
                <w:tcPr>
                  <w:tcW w:w="904" w:type="dxa"/>
                  <w:vAlign w:val="center"/>
                </w:tcPr>
                <w:p>
                  <w:pPr>
                    <w:jc w:val="center"/>
                    <w:rPr>
                      <w:szCs w:val="21"/>
                    </w:rPr>
                  </w:pPr>
                  <w:r>
                    <w:rPr>
                      <w:rFonts w:hint="eastAsia"/>
                      <w:szCs w:val="21"/>
                    </w:rPr>
                    <w:t>1150</w:t>
                  </w:r>
                </w:p>
              </w:tc>
              <w:tc>
                <w:tcPr>
                  <w:tcW w:w="690" w:type="dxa"/>
                  <w:vAlign w:val="center"/>
                </w:tcPr>
                <w:p>
                  <w:pPr>
                    <w:jc w:val="center"/>
                    <w:rPr>
                      <w:szCs w:val="21"/>
                    </w:rPr>
                  </w:pPr>
                  <w:r>
                    <w:rPr>
                      <w:szCs w:val="21"/>
                    </w:rPr>
                    <w:t>m</w:t>
                  </w:r>
                  <w:r>
                    <w:rPr>
                      <w:szCs w:val="21"/>
                      <w:vertAlign w:val="superscript"/>
                    </w:rPr>
                    <w:t>2</w:t>
                  </w:r>
                </w:p>
              </w:tc>
              <w:tc>
                <w:tcPr>
                  <w:tcW w:w="439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2</w:t>
                  </w:r>
                </w:p>
              </w:tc>
              <w:tc>
                <w:tcPr>
                  <w:tcW w:w="2120" w:type="dxa"/>
                  <w:vAlign w:val="center"/>
                </w:tcPr>
                <w:p>
                  <w:pPr>
                    <w:jc w:val="center"/>
                    <w:rPr>
                      <w:szCs w:val="21"/>
                    </w:rPr>
                  </w:pPr>
                  <w:r>
                    <w:rPr>
                      <w:spacing w:val="4"/>
                      <w:szCs w:val="21"/>
                    </w:rPr>
                    <w:t>罩棚面积</w:t>
                  </w:r>
                </w:p>
              </w:tc>
              <w:tc>
                <w:tcPr>
                  <w:tcW w:w="904" w:type="dxa"/>
                  <w:vAlign w:val="center"/>
                </w:tcPr>
                <w:p>
                  <w:pPr>
                    <w:jc w:val="center"/>
                    <w:rPr>
                      <w:szCs w:val="21"/>
                    </w:rPr>
                  </w:pPr>
                  <w:r>
                    <w:rPr>
                      <w:rFonts w:hint="eastAsia"/>
                      <w:szCs w:val="21"/>
                    </w:rPr>
                    <w:t>225</w:t>
                  </w:r>
                </w:p>
              </w:tc>
              <w:tc>
                <w:tcPr>
                  <w:tcW w:w="690" w:type="dxa"/>
                  <w:vAlign w:val="center"/>
                </w:tcPr>
                <w:p>
                  <w:pPr>
                    <w:jc w:val="center"/>
                    <w:rPr>
                      <w:szCs w:val="21"/>
                    </w:rPr>
                  </w:pPr>
                  <w:r>
                    <w:rPr>
                      <w:szCs w:val="21"/>
                    </w:rPr>
                    <w:t>m</w:t>
                  </w:r>
                  <w:r>
                    <w:rPr>
                      <w:szCs w:val="21"/>
                      <w:vertAlign w:val="superscript"/>
                    </w:rPr>
                    <w:t>2</w:t>
                  </w:r>
                </w:p>
              </w:tc>
              <w:tc>
                <w:tcPr>
                  <w:tcW w:w="4397" w:type="dxa"/>
                  <w:vAlign w:val="center"/>
                </w:tcPr>
                <w:p>
                  <w:pPr>
                    <w:adjustRightInd w:val="0"/>
                    <w:snapToGrid w:val="0"/>
                    <w:jc w:val="center"/>
                    <w:rPr>
                      <w:szCs w:val="21"/>
                    </w:rPr>
                  </w:pPr>
                  <w:r>
                    <w:rPr>
                      <w:rFonts w:hint="eastAsia"/>
                      <w:szCs w:val="21"/>
                    </w:rPr>
                    <w:t>2F</w:t>
                  </w:r>
                  <w:r>
                    <w:rPr>
                      <w:szCs w:val="21"/>
                    </w:rPr>
                    <w:t>，</w:t>
                  </w:r>
                  <w:r>
                    <w:rPr>
                      <w:rFonts w:hint="eastAsia"/>
                      <w:szCs w:val="21"/>
                    </w:rPr>
                    <w:t>框架</w:t>
                  </w:r>
                  <w:r>
                    <w:rPr>
                      <w:szCs w:val="21"/>
                    </w:rPr>
                    <w:t>结构</w:t>
                  </w:r>
                  <w:r>
                    <w:rPr>
                      <w:rFonts w:hint="eastAsia"/>
                      <w:szCs w:val="21"/>
                    </w:rPr>
                    <w:t>，包含办公区域及员工休息室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3</w:t>
                  </w:r>
                </w:p>
              </w:tc>
              <w:tc>
                <w:tcPr>
                  <w:tcW w:w="2120" w:type="dxa"/>
                  <w:vAlign w:val="center"/>
                </w:tcPr>
                <w:p>
                  <w:pPr>
                    <w:jc w:val="center"/>
                    <w:rPr>
                      <w:szCs w:val="21"/>
                    </w:rPr>
                  </w:pPr>
                  <w:r>
                    <w:rPr>
                      <w:spacing w:val="4"/>
                      <w:szCs w:val="21"/>
                    </w:rPr>
                    <w:t>站房建筑面积</w:t>
                  </w:r>
                </w:p>
              </w:tc>
              <w:tc>
                <w:tcPr>
                  <w:tcW w:w="904" w:type="dxa"/>
                  <w:vAlign w:val="center"/>
                </w:tcPr>
                <w:p>
                  <w:pPr>
                    <w:jc w:val="center"/>
                    <w:rPr>
                      <w:szCs w:val="21"/>
                    </w:rPr>
                  </w:pPr>
                  <w:r>
                    <w:rPr>
                      <w:rFonts w:hint="eastAsia"/>
                      <w:szCs w:val="21"/>
                    </w:rPr>
                    <w:t>87.1</w:t>
                  </w:r>
                </w:p>
              </w:tc>
              <w:tc>
                <w:tcPr>
                  <w:tcW w:w="690" w:type="dxa"/>
                  <w:vAlign w:val="center"/>
                </w:tcPr>
                <w:p>
                  <w:pPr>
                    <w:jc w:val="center"/>
                    <w:rPr>
                      <w:szCs w:val="21"/>
                    </w:rPr>
                  </w:pPr>
                  <w:r>
                    <w:rPr>
                      <w:szCs w:val="21"/>
                    </w:rPr>
                    <w:t>m</w:t>
                  </w:r>
                  <w:r>
                    <w:rPr>
                      <w:szCs w:val="21"/>
                      <w:vertAlign w:val="superscript"/>
                    </w:rPr>
                    <w:t>2</w:t>
                  </w:r>
                </w:p>
              </w:tc>
              <w:tc>
                <w:tcPr>
                  <w:tcW w:w="4397" w:type="dxa"/>
                  <w:vAlign w:val="center"/>
                </w:tcPr>
                <w:p>
                  <w:pPr>
                    <w:adjustRightInd w:val="0"/>
                    <w:snapToGrid w:val="0"/>
                    <w:jc w:val="center"/>
                    <w:rPr>
                      <w:szCs w:val="21"/>
                    </w:rPr>
                  </w:pPr>
                  <w:r>
                    <w:rPr>
                      <w:rFonts w:hint="eastAsia"/>
                      <w:szCs w:val="21"/>
                    </w:rPr>
                    <w:t>1F，框架</w:t>
                  </w:r>
                  <w:r>
                    <w:rPr>
                      <w:szCs w:val="21"/>
                    </w:rPr>
                    <w:t>结构</w:t>
                  </w:r>
                  <w:r>
                    <w:rPr>
                      <w:rStyle w:val="36"/>
                      <w:rFonts w:hint="eastAsia"/>
                    </w:rPr>
                    <w:t>，加油机罩棚，高度为6m，投影面积210</w:t>
                  </w:r>
                  <w:r>
                    <w:rPr>
                      <w:rFonts w:hint="eastAsia"/>
                      <w:szCs w:val="21"/>
                    </w:rPr>
                    <w:t>m</w:t>
                  </w:r>
                  <w:r>
                    <w:rPr>
                      <w:rFonts w:hint="eastAsia"/>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4</w:t>
                  </w:r>
                </w:p>
              </w:tc>
              <w:tc>
                <w:tcPr>
                  <w:tcW w:w="2120" w:type="dxa"/>
                  <w:vAlign w:val="center"/>
                </w:tcPr>
                <w:p>
                  <w:pPr>
                    <w:jc w:val="center"/>
                    <w:rPr>
                      <w:spacing w:val="4"/>
                      <w:szCs w:val="21"/>
                    </w:rPr>
                  </w:pPr>
                  <w:r>
                    <w:rPr>
                      <w:rFonts w:hint="eastAsia"/>
                      <w:spacing w:val="4"/>
                      <w:szCs w:val="21"/>
                    </w:rPr>
                    <w:t>加油区</w:t>
                  </w:r>
                </w:p>
              </w:tc>
              <w:tc>
                <w:tcPr>
                  <w:tcW w:w="904" w:type="dxa"/>
                  <w:vAlign w:val="center"/>
                </w:tcPr>
                <w:p>
                  <w:pPr>
                    <w:jc w:val="center"/>
                    <w:rPr>
                      <w:szCs w:val="21"/>
                    </w:rPr>
                  </w:pPr>
                  <w:r>
                    <w:rPr>
                      <w:rFonts w:hint="eastAsia"/>
                      <w:szCs w:val="21"/>
                    </w:rPr>
                    <w:t>156</w:t>
                  </w:r>
                </w:p>
              </w:tc>
              <w:tc>
                <w:tcPr>
                  <w:tcW w:w="690" w:type="dxa"/>
                  <w:vAlign w:val="center"/>
                </w:tcPr>
                <w:p>
                  <w:pPr>
                    <w:jc w:val="center"/>
                    <w:rPr>
                      <w:szCs w:val="21"/>
                    </w:rPr>
                  </w:pPr>
                  <w:r>
                    <w:rPr>
                      <w:szCs w:val="21"/>
                    </w:rPr>
                    <w:t>m</w:t>
                  </w:r>
                  <w:r>
                    <w:rPr>
                      <w:szCs w:val="21"/>
                      <w:vertAlign w:val="superscript"/>
                    </w:rPr>
                    <w:t>2</w:t>
                  </w:r>
                </w:p>
              </w:tc>
              <w:tc>
                <w:tcPr>
                  <w:tcW w:w="4397" w:type="dxa"/>
                  <w:vAlign w:val="center"/>
                </w:tcPr>
                <w:p>
                  <w:pPr>
                    <w:adjustRightInd w:val="0"/>
                    <w:snapToGrid w:val="0"/>
                    <w:jc w:val="center"/>
                    <w:rPr>
                      <w:szCs w:val="21"/>
                    </w:rPr>
                  </w:pPr>
                  <w:r>
                    <w:rPr>
                      <w:rFonts w:hint="eastAsia"/>
                      <w:szCs w:val="21"/>
                    </w:rPr>
                    <w:t>含2个30m</w:t>
                  </w:r>
                  <w:r>
                    <w:rPr>
                      <w:rFonts w:hint="eastAsia"/>
                      <w:szCs w:val="21"/>
                      <w:vertAlign w:val="superscript"/>
                    </w:rPr>
                    <w:t>3</w:t>
                  </w:r>
                  <w:r>
                    <w:rPr>
                      <w:rFonts w:hint="eastAsia"/>
                      <w:szCs w:val="21"/>
                    </w:rPr>
                    <w:t>的汽油储罐及1个25m</w:t>
                  </w:r>
                  <w:r>
                    <w:rPr>
                      <w:rFonts w:hint="eastAsia"/>
                      <w:szCs w:val="21"/>
                      <w:vertAlign w:val="superscript"/>
                    </w:rPr>
                    <w:t>3</w:t>
                  </w:r>
                  <w:r>
                    <w:rPr>
                      <w:rFonts w:hint="eastAsia"/>
                      <w:szCs w:val="21"/>
                    </w:rPr>
                    <w:t>的柴油储罐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5</w:t>
                  </w:r>
                </w:p>
              </w:tc>
              <w:tc>
                <w:tcPr>
                  <w:tcW w:w="2120" w:type="dxa"/>
                  <w:vAlign w:val="center"/>
                </w:tcPr>
                <w:p>
                  <w:pPr>
                    <w:jc w:val="center"/>
                    <w:rPr>
                      <w:spacing w:val="4"/>
                      <w:szCs w:val="21"/>
                    </w:rPr>
                  </w:pPr>
                  <w:r>
                    <w:rPr>
                      <w:rFonts w:hint="eastAsia"/>
                      <w:spacing w:val="4"/>
                      <w:szCs w:val="21"/>
                    </w:rPr>
                    <w:t>辅助用房</w:t>
                  </w:r>
                  <w:r>
                    <w:rPr>
                      <w:spacing w:val="4"/>
                      <w:szCs w:val="21"/>
                    </w:rPr>
                    <w:t>面积</w:t>
                  </w:r>
                </w:p>
              </w:tc>
              <w:tc>
                <w:tcPr>
                  <w:tcW w:w="904" w:type="dxa"/>
                  <w:vAlign w:val="center"/>
                </w:tcPr>
                <w:p>
                  <w:pPr>
                    <w:jc w:val="center"/>
                    <w:rPr>
                      <w:szCs w:val="21"/>
                    </w:rPr>
                  </w:pPr>
                  <w:r>
                    <w:rPr>
                      <w:rFonts w:hint="eastAsia"/>
                      <w:szCs w:val="21"/>
                    </w:rPr>
                    <w:t>30</w:t>
                  </w:r>
                </w:p>
              </w:tc>
              <w:tc>
                <w:tcPr>
                  <w:tcW w:w="690" w:type="dxa"/>
                  <w:vAlign w:val="center"/>
                </w:tcPr>
                <w:p>
                  <w:pPr>
                    <w:jc w:val="center"/>
                    <w:rPr>
                      <w:szCs w:val="21"/>
                    </w:rPr>
                  </w:pPr>
                  <w:r>
                    <w:rPr>
                      <w:szCs w:val="21"/>
                    </w:rPr>
                    <w:t>m</w:t>
                  </w:r>
                  <w:r>
                    <w:rPr>
                      <w:szCs w:val="21"/>
                      <w:vertAlign w:val="superscript"/>
                    </w:rPr>
                    <w:t>2</w:t>
                  </w:r>
                </w:p>
              </w:tc>
              <w:tc>
                <w:tcPr>
                  <w:tcW w:w="4397" w:type="dxa"/>
                  <w:vAlign w:val="center"/>
                </w:tcPr>
                <w:p>
                  <w:pPr>
                    <w:adjustRightInd w:val="0"/>
                    <w:snapToGrid w:val="0"/>
                    <w:jc w:val="center"/>
                    <w:rPr>
                      <w:szCs w:val="21"/>
                    </w:rPr>
                  </w:pPr>
                  <w:r>
                    <w:rPr>
                      <w:rFonts w:hint="eastAsia"/>
                      <w:szCs w:val="21"/>
                    </w:rPr>
                    <w:t>含发电机房、杂物间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6</w:t>
                  </w:r>
                </w:p>
              </w:tc>
              <w:tc>
                <w:tcPr>
                  <w:tcW w:w="2120" w:type="dxa"/>
                  <w:vAlign w:val="center"/>
                </w:tcPr>
                <w:p>
                  <w:pPr>
                    <w:jc w:val="center"/>
                    <w:rPr>
                      <w:spacing w:val="4"/>
                      <w:szCs w:val="21"/>
                    </w:rPr>
                  </w:pPr>
                  <w:r>
                    <w:rPr>
                      <w:spacing w:val="4"/>
                      <w:szCs w:val="21"/>
                    </w:rPr>
                    <w:t>加油机</w:t>
                  </w:r>
                </w:p>
              </w:tc>
              <w:tc>
                <w:tcPr>
                  <w:tcW w:w="904" w:type="dxa"/>
                  <w:vAlign w:val="center"/>
                </w:tcPr>
                <w:p>
                  <w:pPr>
                    <w:jc w:val="center"/>
                    <w:rPr>
                      <w:szCs w:val="21"/>
                    </w:rPr>
                  </w:pPr>
                  <w:r>
                    <w:rPr>
                      <w:rFonts w:hint="eastAsia"/>
                      <w:szCs w:val="21"/>
                    </w:rPr>
                    <w:t>3</w:t>
                  </w:r>
                </w:p>
              </w:tc>
              <w:tc>
                <w:tcPr>
                  <w:tcW w:w="690" w:type="dxa"/>
                  <w:vAlign w:val="center"/>
                </w:tcPr>
                <w:p>
                  <w:pPr>
                    <w:jc w:val="center"/>
                    <w:rPr>
                      <w:szCs w:val="21"/>
                    </w:rPr>
                  </w:pPr>
                  <w:r>
                    <w:rPr>
                      <w:szCs w:val="21"/>
                    </w:rPr>
                    <w:t>台</w:t>
                  </w:r>
                </w:p>
              </w:tc>
              <w:tc>
                <w:tcPr>
                  <w:tcW w:w="439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adjustRightInd w:val="0"/>
                    <w:snapToGrid w:val="0"/>
                    <w:jc w:val="center"/>
                    <w:rPr>
                      <w:szCs w:val="21"/>
                    </w:rPr>
                  </w:pPr>
                  <w:r>
                    <w:rPr>
                      <w:rFonts w:hint="eastAsia"/>
                      <w:szCs w:val="21"/>
                    </w:rPr>
                    <w:t>7</w:t>
                  </w:r>
                </w:p>
              </w:tc>
              <w:tc>
                <w:tcPr>
                  <w:tcW w:w="2120" w:type="dxa"/>
                  <w:vAlign w:val="center"/>
                </w:tcPr>
                <w:p>
                  <w:pPr>
                    <w:jc w:val="center"/>
                    <w:rPr>
                      <w:spacing w:val="4"/>
                      <w:szCs w:val="21"/>
                    </w:rPr>
                  </w:pPr>
                  <w:r>
                    <w:rPr>
                      <w:spacing w:val="4"/>
                      <w:szCs w:val="21"/>
                    </w:rPr>
                    <w:t>埋地油罐</w:t>
                  </w:r>
                </w:p>
              </w:tc>
              <w:tc>
                <w:tcPr>
                  <w:tcW w:w="904" w:type="dxa"/>
                  <w:vAlign w:val="center"/>
                </w:tcPr>
                <w:p>
                  <w:pPr>
                    <w:jc w:val="center"/>
                    <w:rPr>
                      <w:szCs w:val="21"/>
                    </w:rPr>
                  </w:pPr>
                  <w:r>
                    <w:rPr>
                      <w:rFonts w:hint="eastAsia"/>
                      <w:szCs w:val="21"/>
                    </w:rPr>
                    <w:t>3</w:t>
                  </w:r>
                </w:p>
              </w:tc>
              <w:tc>
                <w:tcPr>
                  <w:tcW w:w="690" w:type="dxa"/>
                  <w:vAlign w:val="center"/>
                </w:tcPr>
                <w:p>
                  <w:pPr>
                    <w:jc w:val="center"/>
                    <w:rPr>
                      <w:szCs w:val="21"/>
                    </w:rPr>
                  </w:pPr>
                  <w:r>
                    <w:rPr>
                      <w:szCs w:val="21"/>
                    </w:rPr>
                    <w:t>个</w:t>
                  </w:r>
                </w:p>
              </w:tc>
              <w:tc>
                <w:tcPr>
                  <w:tcW w:w="4397" w:type="dxa"/>
                  <w:vAlign w:val="center"/>
                </w:tcPr>
                <w:p>
                  <w:pPr>
                    <w:pStyle w:val="2"/>
                  </w:pPr>
                  <w:r>
                    <w:rPr>
                      <w:rFonts w:hint="eastAsia" w:hAnsiTheme="minorEastAsia"/>
                    </w:rPr>
                    <w:t>25</w:t>
                  </w:r>
                  <w:r>
                    <w:t>m</w:t>
                  </w:r>
                  <w:r>
                    <w:rPr>
                      <w:vertAlign w:val="superscript"/>
                    </w:rPr>
                    <w:t>3</w:t>
                  </w:r>
                  <w:r>
                    <w:rPr>
                      <w:rFonts w:hint="eastAsia" w:hAnsiTheme="minorEastAsia"/>
                    </w:rPr>
                    <w:t>柴油储罐1台，30</w:t>
                  </w:r>
                  <w:r>
                    <w:t>m</w:t>
                  </w:r>
                  <w:r>
                    <w:rPr>
                      <w:vertAlign w:val="superscript"/>
                    </w:rPr>
                    <w:t>3</w:t>
                  </w:r>
                  <w:r>
                    <w:rPr>
                      <w:rFonts w:hint="eastAsia" w:hAnsiTheme="minorEastAsia"/>
                    </w:rPr>
                    <w:t>汽油储罐2台，</w:t>
                  </w:r>
                  <w:r>
                    <w:rPr>
                      <w:rFonts w:hint="eastAsia"/>
                    </w:rPr>
                    <w:t>均为地埋式SF双层油罐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adjustRightInd w:val="0"/>
                    <w:snapToGrid w:val="0"/>
                    <w:jc w:val="center"/>
                    <w:rPr>
                      <w:szCs w:val="21"/>
                    </w:rPr>
                  </w:pPr>
                  <w:r>
                    <w:rPr>
                      <w:rFonts w:hint="eastAsia"/>
                      <w:szCs w:val="21"/>
                    </w:rPr>
                    <w:t>8</w:t>
                  </w:r>
                </w:p>
              </w:tc>
              <w:tc>
                <w:tcPr>
                  <w:tcW w:w="2120" w:type="dxa"/>
                  <w:vAlign w:val="center"/>
                </w:tcPr>
                <w:p>
                  <w:pPr>
                    <w:adjustRightInd w:val="0"/>
                    <w:snapToGrid w:val="0"/>
                    <w:jc w:val="center"/>
                    <w:rPr>
                      <w:spacing w:val="4"/>
                      <w:szCs w:val="21"/>
                    </w:rPr>
                  </w:pPr>
                  <w:r>
                    <w:rPr>
                      <w:rFonts w:hint="eastAsia"/>
                      <w:szCs w:val="21"/>
                    </w:rPr>
                    <w:t>液位仪</w:t>
                  </w:r>
                </w:p>
              </w:tc>
              <w:tc>
                <w:tcPr>
                  <w:tcW w:w="904" w:type="dxa"/>
                  <w:vAlign w:val="center"/>
                </w:tcPr>
                <w:p>
                  <w:pPr>
                    <w:jc w:val="center"/>
                    <w:rPr>
                      <w:szCs w:val="21"/>
                    </w:rPr>
                  </w:pPr>
                  <w:r>
                    <w:rPr>
                      <w:rFonts w:hint="eastAsia"/>
                      <w:szCs w:val="21"/>
                    </w:rPr>
                    <w:t>1</w:t>
                  </w:r>
                </w:p>
              </w:tc>
              <w:tc>
                <w:tcPr>
                  <w:tcW w:w="690" w:type="dxa"/>
                  <w:vAlign w:val="center"/>
                </w:tcPr>
                <w:p>
                  <w:pPr>
                    <w:adjustRightInd w:val="0"/>
                    <w:snapToGrid w:val="0"/>
                    <w:jc w:val="center"/>
                    <w:rPr>
                      <w:szCs w:val="21"/>
                    </w:rPr>
                  </w:pPr>
                  <w:r>
                    <w:rPr>
                      <w:szCs w:val="21"/>
                    </w:rPr>
                    <w:t>台</w:t>
                  </w:r>
                </w:p>
              </w:tc>
              <w:tc>
                <w:tcPr>
                  <w:tcW w:w="4397" w:type="dxa"/>
                  <w:vAlign w:val="center"/>
                </w:tcPr>
                <w:p>
                  <w:pPr>
                    <w:jc w:val="center"/>
                    <w:rPr>
                      <w:rFonts w:hAnsiTheme="minorEastAsia"/>
                    </w:rPr>
                  </w:pPr>
                  <w:r>
                    <w:rPr>
                      <w:rFonts w:hint="eastAsia"/>
                      <w:szCs w:val="21"/>
                    </w:rPr>
                    <w:t>LN-T600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adjustRightInd w:val="0"/>
                    <w:snapToGrid w:val="0"/>
                    <w:jc w:val="center"/>
                    <w:rPr>
                      <w:szCs w:val="21"/>
                    </w:rPr>
                  </w:pPr>
                  <w:r>
                    <w:rPr>
                      <w:rFonts w:hint="eastAsia"/>
                      <w:szCs w:val="21"/>
                    </w:rPr>
                    <w:t>9</w:t>
                  </w:r>
                </w:p>
              </w:tc>
              <w:tc>
                <w:tcPr>
                  <w:tcW w:w="2120" w:type="dxa"/>
                  <w:vAlign w:val="center"/>
                </w:tcPr>
                <w:p>
                  <w:pPr>
                    <w:adjustRightInd w:val="0"/>
                    <w:snapToGrid w:val="0"/>
                    <w:jc w:val="center"/>
                    <w:rPr>
                      <w:szCs w:val="21"/>
                    </w:rPr>
                  </w:pPr>
                  <w:r>
                    <w:rPr>
                      <w:rFonts w:hint="eastAsia"/>
                      <w:szCs w:val="21"/>
                    </w:rPr>
                    <w:t>潜油泵</w:t>
                  </w:r>
                </w:p>
              </w:tc>
              <w:tc>
                <w:tcPr>
                  <w:tcW w:w="904" w:type="dxa"/>
                  <w:vAlign w:val="center"/>
                </w:tcPr>
                <w:p>
                  <w:pPr>
                    <w:jc w:val="center"/>
                    <w:rPr>
                      <w:szCs w:val="21"/>
                    </w:rPr>
                  </w:pPr>
                  <w:r>
                    <w:rPr>
                      <w:rFonts w:hint="eastAsia"/>
                      <w:szCs w:val="21"/>
                    </w:rPr>
                    <w:t>1</w:t>
                  </w:r>
                </w:p>
              </w:tc>
              <w:tc>
                <w:tcPr>
                  <w:tcW w:w="690" w:type="dxa"/>
                  <w:vAlign w:val="center"/>
                </w:tcPr>
                <w:p>
                  <w:pPr>
                    <w:adjustRightInd w:val="0"/>
                    <w:snapToGrid w:val="0"/>
                    <w:jc w:val="center"/>
                    <w:rPr>
                      <w:szCs w:val="21"/>
                    </w:rPr>
                  </w:pPr>
                  <w:r>
                    <w:rPr>
                      <w:szCs w:val="21"/>
                    </w:rPr>
                    <w:t>台</w:t>
                  </w:r>
                </w:p>
              </w:tc>
              <w:tc>
                <w:tcPr>
                  <w:tcW w:w="4397" w:type="dxa"/>
                  <w:vAlign w:val="center"/>
                </w:tcPr>
                <w:p>
                  <w:pPr>
                    <w:jc w:val="center"/>
                    <w:rPr>
                      <w:szCs w:val="21"/>
                    </w:rPr>
                  </w:pPr>
                  <w:r>
                    <w:rPr>
                      <w:rFonts w:hint="eastAsia"/>
                      <w:szCs w:val="21"/>
                    </w:rPr>
                    <w:t>CSQ04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10</w:t>
                  </w:r>
                </w:p>
              </w:tc>
              <w:tc>
                <w:tcPr>
                  <w:tcW w:w="2120" w:type="dxa"/>
                  <w:vAlign w:val="center"/>
                </w:tcPr>
                <w:p>
                  <w:pPr>
                    <w:jc w:val="center"/>
                    <w:rPr>
                      <w:spacing w:val="4"/>
                      <w:szCs w:val="21"/>
                    </w:rPr>
                  </w:pPr>
                  <w:r>
                    <w:rPr>
                      <w:szCs w:val="21"/>
                    </w:rPr>
                    <w:t>一次油气回收系统</w:t>
                  </w:r>
                </w:p>
              </w:tc>
              <w:tc>
                <w:tcPr>
                  <w:tcW w:w="904" w:type="dxa"/>
                  <w:vAlign w:val="center"/>
                </w:tcPr>
                <w:p>
                  <w:pPr>
                    <w:jc w:val="center"/>
                    <w:rPr>
                      <w:szCs w:val="21"/>
                    </w:rPr>
                  </w:pPr>
                  <w:r>
                    <w:rPr>
                      <w:szCs w:val="21"/>
                    </w:rPr>
                    <w:t>1</w:t>
                  </w:r>
                </w:p>
              </w:tc>
              <w:tc>
                <w:tcPr>
                  <w:tcW w:w="690" w:type="dxa"/>
                  <w:vAlign w:val="center"/>
                </w:tcPr>
                <w:p>
                  <w:pPr>
                    <w:jc w:val="center"/>
                    <w:rPr>
                      <w:szCs w:val="21"/>
                    </w:rPr>
                  </w:pPr>
                  <w:r>
                    <w:rPr>
                      <w:szCs w:val="21"/>
                    </w:rPr>
                    <w:t>套</w:t>
                  </w:r>
                </w:p>
              </w:tc>
              <w:tc>
                <w:tcPr>
                  <w:tcW w:w="4397" w:type="dxa"/>
                  <w:vAlign w:val="center"/>
                </w:tcPr>
                <w:p>
                  <w:pPr>
                    <w:jc w:val="center"/>
                    <w:rPr>
                      <w:rFonts w:hAnsiTheme="minorEastAsia"/>
                    </w:rPr>
                  </w:pPr>
                  <w:r>
                    <w:rPr>
                      <w:rFonts w:hint="eastAsia"/>
                      <w:szCs w:val="21"/>
                    </w:rPr>
                    <w:t>卸油区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11</w:t>
                  </w:r>
                </w:p>
              </w:tc>
              <w:tc>
                <w:tcPr>
                  <w:tcW w:w="2120" w:type="dxa"/>
                  <w:vAlign w:val="center"/>
                </w:tcPr>
                <w:p>
                  <w:pPr>
                    <w:jc w:val="center"/>
                    <w:rPr>
                      <w:spacing w:val="4"/>
                      <w:szCs w:val="21"/>
                    </w:rPr>
                  </w:pPr>
                  <w:r>
                    <w:rPr>
                      <w:szCs w:val="21"/>
                    </w:rPr>
                    <w:t>二次油气回收系统</w:t>
                  </w:r>
                </w:p>
              </w:tc>
              <w:tc>
                <w:tcPr>
                  <w:tcW w:w="904" w:type="dxa"/>
                  <w:vAlign w:val="center"/>
                </w:tcPr>
                <w:p>
                  <w:pPr>
                    <w:jc w:val="center"/>
                    <w:rPr>
                      <w:szCs w:val="21"/>
                    </w:rPr>
                  </w:pPr>
                  <w:r>
                    <w:rPr>
                      <w:szCs w:val="21"/>
                    </w:rPr>
                    <w:t>3</w:t>
                  </w:r>
                </w:p>
              </w:tc>
              <w:tc>
                <w:tcPr>
                  <w:tcW w:w="690" w:type="dxa"/>
                  <w:vAlign w:val="center"/>
                </w:tcPr>
                <w:p>
                  <w:pPr>
                    <w:jc w:val="center"/>
                    <w:rPr>
                      <w:szCs w:val="21"/>
                    </w:rPr>
                  </w:pPr>
                  <w:r>
                    <w:rPr>
                      <w:szCs w:val="21"/>
                    </w:rPr>
                    <w:t>套</w:t>
                  </w:r>
                </w:p>
              </w:tc>
              <w:tc>
                <w:tcPr>
                  <w:tcW w:w="4397" w:type="dxa"/>
                  <w:vAlign w:val="center"/>
                </w:tcPr>
                <w:p>
                  <w:pPr>
                    <w:jc w:val="center"/>
                    <w:rPr>
                      <w:rFonts w:hAnsiTheme="minorEastAsia"/>
                    </w:rPr>
                  </w:pPr>
                  <w:r>
                    <w:rPr>
                      <w:rFonts w:hint="eastAsia"/>
                      <w:szCs w:val="21"/>
                    </w:rPr>
                    <w:t>加油岛、油枪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1" w:type="dxa"/>
                  <w:vAlign w:val="center"/>
                </w:tcPr>
                <w:p>
                  <w:pPr>
                    <w:jc w:val="center"/>
                    <w:rPr>
                      <w:szCs w:val="21"/>
                    </w:rPr>
                  </w:pPr>
                  <w:r>
                    <w:rPr>
                      <w:rFonts w:hint="eastAsia"/>
                      <w:szCs w:val="21"/>
                    </w:rPr>
                    <w:t>12</w:t>
                  </w:r>
                </w:p>
              </w:tc>
              <w:tc>
                <w:tcPr>
                  <w:tcW w:w="2120" w:type="dxa"/>
                  <w:vAlign w:val="center"/>
                </w:tcPr>
                <w:p>
                  <w:pPr>
                    <w:jc w:val="center"/>
                    <w:rPr>
                      <w:spacing w:val="4"/>
                      <w:szCs w:val="21"/>
                    </w:rPr>
                  </w:pPr>
                  <w:r>
                    <w:rPr>
                      <w:spacing w:val="4"/>
                      <w:szCs w:val="21"/>
                    </w:rPr>
                    <w:t>硬化地面</w:t>
                  </w:r>
                </w:p>
              </w:tc>
              <w:tc>
                <w:tcPr>
                  <w:tcW w:w="904" w:type="dxa"/>
                  <w:vAlign w:val="center"/>
                </w:tcPr>
                <w:p>
                  <w:pPr>
                    <w:jc w:val="center"/>
                    <w:rPr>
                      <w:szCs w:val="21"/>
                    </w:rPr>
                  </w:pPr>
                  <w:r>
                    <w:rPr>
                      <w:szCs w:val="21"/>
                    </w:rPr>
                    <w:t>/</w:t>
                  </w:r>
                </w:p>
              </w:tc>
              <w:tc>
                <w:tcPr>
                  <w:tcW w:w="690" w:type="dxa"/>
                  <w:vAlign w:val="center"/>
                </w:tcPr>
                <w:p>
                  <w:pPr>
                    <w:jc w:val="center"/>
                    <w:rPr>
                      <w:szCs w:val="21"/>
                    </w:rPr>
                  </w:pPr>
                  <w:r>
                    <w:rPr>
                      <w:szCs w:val="21"/>
                    </w:rPr>
                    <w:t>/</w:t>
                  </w:r>
                </w:p>
              </w:tc>
              <w:tc>
                <w:tcPr>
                  <w:tcW w:w="4397" w:type="dxa"/>
                  <w:vAlign w:val="center"/>
                </w:tcPr>
                <w:p>
                  <w:pPr>
                    <w:jc w:val="center"/>
                    <w:rPr>
                      <w:szCs w:val="21"/>
                    </w:rPr>
                  </w:pPr>
                  <w:r>
                    <w:rPr>
                      <w:szCs w:val="21"/>
                    </w:rPr>
                    <w:t>水泥混凝土，包含进出口</w:t>
                  </w:r>
                  <w:r>
                    <w:rPr>
                      <w:spacing w:val="4"/>
                      <w:szCs w:val="21"/>
                    </w:rPr>
                    <w:t>硬化地面</w:t>
                  </w:r>
                </w:p>
              </w:tc>
            </w:tr>
          </w:tbl>
          <w:p>
            <w:pPr>
              <w:pStyle w:val="5"/>
              <w:spacing w:beforeLines="50"/>
              <w:ind w:left="578" w:hanging="578"/>
            </w:pPr>
            <w:r>
              <w:t>主要生产设备</w:t>
            </w:r>
            <w:r>
              <w:rPr>
                <w:rFonts w:hint="eastAsia"/>
              </w:rPr>
              <w:t xml:space="preserve">                                                        </w:t>
            </w:r>
          </w:p>
          <w:p>
            <w:pPr>
              <w:spacing w:line="360" w:lineRule="auto"/>
              <w:ind w:firstLine="480" w:firstLineChars="200"/>
              <w:jc w:val="left"/>
            </w:pPr>
            <w:r>
              <w:rPr>
                <w:sz w:val="24"/>
              </w:rPr>
              <w:t>主要设备一览表见下表1.</w:t>
            </w:r>
            <w:r>
              <w:rPr>
                <w:rFonts w:hint="eastAsia"/>
                <w:sz w:val="24"/>
              </w:rPr>
              <w:t>5</w:t>
            </w:r>
            <w:r>
              <w:rPr>
                <w:sz w:val="24"/>
              </w:rPr>
              <w:t>-1。</w:t>
            </w:r>
          </w:p>
          <w:p>
            <w:pPr>
              <w:pStyle w:val="41"/>
              <w:rPr>
                <w:b/>
                <w:szCs w:val="21"/>
              </w:rPr>
            </w:pPr>
            <w:r>
              <w:t>表1.</w:t>
            </w:r>
            <w:r>
              <w:rPr>
                <w:rFonts w:hint="eastAsia"/>
              </w:rPr>
              <w:t>5</w:t>
            </w:r>
            <w:r>
              <w:t>-1   主要设备一览表</w:t>
            </w:r>
          </w:p>
          <w:tbl>
            <w:tblPr>
              <w:tblStyle w:val="24"/>
              <w:tblW w:w="877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975"/>
              <w:gridCol w:w="2045"/>
              <w:gridCol w:w="874"/>
              <w:gridCol w:w="741"/>
              <w:gridCol w:w="22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r>
                    <w:rPr>
                      <w:szCs w:val="21"/>
                    </w:rPr>
                    <w:t>序号</w:t>
                  </w:r>
                </w:p>
              </w:tc>
              <w:tc>
                <w:tcPr>
                  <w:tcW w:w="1975" w:type="dxa"/>
                  <w:vAlign w:val="center"/>
                </w:tcPr>
                <w:p>
                  <w:pPr>
                    <w:adjustRightInd w:val="0"/>
                    <w:snapToGrid w:val="0"/>
                    <w:jc w:val="center"/>
                    <w:rPr>
                      <w:szCs w:val="21"/>
                    </w:rPr>
                  </w:pPr>
                  <w:r>
                    <w:rPr>
                      <w:szCs w:val="21"/>
                    </w:rPr>
                    <w:t>设备名称</w:t>
                  </w:r>
                </w:p>
              </w:tc>
              <w:tc>
                <w:tcPr>
                  <w:tcW w:w="2045" w:type="dxa"/>
                  <w:vAlign w:val="center"/>
                </w:tcPr>
                <w:p>
                  <w:pPr>
                    <w:adjustRightInd w:val="0"/>
                    <w:snapToGrid w:val="0"/>
                    <w:jc w:val="center"/>
                    <w:rPr>
                      <w:szCs w:val="21"/>
                    </w:rPr>
                  </w:pPr>
                  <w:r>
                    <w:rPr>
                      <w:szCs w:val="21"/>
                    </w:rPr>
                    <w:t>规格及型号</w:t>
                  </w:r>
                </w:p>
              </w:tc>
              <w:tc>
                <w:tcPr>
                  <w:tcW w:w="874" w:type="dxa"/>
                  <w:vAlign w:val="center"/>
                </w:tcPr>
                <w:p>
                  <w:pPr>
                    <w:adjustRightInd w:val="0"/>
                    <w:snapToGrid w:val="0"/>
                    <w:jc w:val="center"/>
                    <w:rPr>
                      <w:szCs w:val="21"/>
                    </w:rPr>
                  </w:pPr>
                  <w:r>
                    <w:rPr>
                      <w:szCs w:val="21"/>
                    </w:rPr>
                    <w:t>单位</w:t>
                  </w:r>
                </w:p>
              </w:tc>
              <w:tc>
                <w:tcPr>
                  <w:tcW w:w="741" w:type="dxa"/>
                  <w:vAlign w:val="center"/>
                </w:tcPr>
                <w:p>
                  <w:pPr>
                    <w:adjustRightInd w:val="0"/>
                    <w:snapToGrid w:val="0"/>
                    <w:jc w:val="center"/>
                    <w:rPr>
                      <w:szCs w:val="21"/>
                    </w:rPr>
                  </w:pPr>
                  <w:r>
                    <w:rPr>
                      <w:szCs w:val="21"/>
                    </w:rPr>
                    <w:t>数量</w:t>
                  </w:r>
                </w:p>
              </w:tc>
              <w:tc>
                <w:tcPr>
                  <w:tcW w:w="2277" w:type="dxa"/>
                  <w:vAlign w:val="center"/>
                </w:tcPr>
                <w:p>
                  <w:pPr>
                    <w:adjustRightInd w:val="0"/>
                    <w:snapToGrid w:val="0"/>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r>
                    <w:rPr>
                      <w:szCs w:val="21"/>
                    </w:rPr>
                    <w:t>1</w:t>
                  </w:r>
                </w:p>
              </w:tc>
              <w:tc>
                <w:tcPr>
                  <w:tcW w:w="1975" w:type="dxa"/>
                  <w:vAlign w:val="center"/>
                </w:tcPr>
                <w:p>
                  <w:pPr>
                    <w:jc w:val="center"/>
                    <w:rPr>
                      <w:szCs w:val="21"/>
                    </w:rPr>
                  </w:pPr>
                  <w:r>
                    <w:rPr>
                      <w:rFonts w:hint="eastAsia"/>
                      <w:color w:val="000000"/>
                      <w:szCs w:val="21"/>
                    </w:rPr>
                    <w:t>油罐</w:t>
                  </w:r>
                </w:p>
              </w:tc>
              <w:tc>
                <w:tcPr>
                  <w:tcW w:w="2045" w:type="dxa"/>
                  <w:vAlign w:val="center"/>
                </w:tcPr>
                <w:p>
                  <w:pPr>
                    <w:jc w:val="center"/>
                    <w:rPr>
                      <w:szCs w:val="21"/>
                    </w:rPr>
                  </w:pPr>
                  <w:r>
                    <w:rPr>
                      <w:rFonts w:hint="eastAsia"/>
                      <w:szCs w:val="21"/>
                    </w:rPr>
                    <w:t>SF双层罐25KL*1</w:t>
                  </w:r>
                </w:p>
                <w:p>
                  <w:pPr>
                    <w:jc w:val="center"/>
                    <w:rPr>
                      <w:szCs w:val="21"/>
                    </w:rPr>
                  </w:pPr>
                  <w:r>
                    <w:rPr>
                      <w:rFonts w:hint="eastAsia"/>
                      <w:szCs w:val="21"/>
                    </w:rPr>
                    <w:t>SF双层罐30KL*2</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3</w:t>
                  </w:r>
                </w:p>
              </w:tc>
              <w:tc>
                <w:tcPr>
                  <w:tcW w:w="2277" w:type="dxa"/>
                  <w:vAlign w:val="center"/>
                </w:tcPr>
                <w:p>
                  <w:pPr>
                    <w:jc w:val="center"/>
                    <w:rPr>
                      <w:szCs w:val="21"/>
                    </w:rPr>
                  </w:pPr>
                  <w:r>
                    <w:rPr>
                      <w:rFonts w:hint="eastAsia"/>
                      <w:szCs w:val="21"/>
                    </w:rPr>
                    <w:t>储油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bookmarkStart w:id="4" w:name="OLE_LINK8" w:colFirst="1" w:colLast="4"/>
                  <w:bookmarkStart w:id="5" w:name="OLE_LINK6" w:colFirst="2" w:colLast="4"/>
                  <w:r>
                    <w:rPr>
                      <w:szCs w:val="21"/>
                    </w:rPr>
                    <w:t>2</w:t>
                  </w:r>
                </w:p>
              </w:tc>
              <w:tc>
                <w:tcPr>
                  <w:tcW w:w="1975" w:type="dxa"/>
                  <w:vAlign w:val="center"/>
                </w:tcPr>
                <w:p>
                  <w:pPr>
                    <w:adjustRightInd w:val="0"/>
                    <w:snapToGrid w:val="0"/>
                    <w:jc w:val="center"/>
                    <w:rPr>
                      <w:szCs w:val="21"/>
                    </w:rPr>
                  </w:pPr>
                  <w:r>
                    <w:rPr>
                      <w:szCs w:val="21"/>
                    </w:rPr>
                    <w:t>加油机</w:t>
                  </w:r>
                </w:p>
              </w:tc>
              <w:tc>
                <w:tcPr>
                  <w:tcW w:w="2045" w:type="dxa"/>
                  <w:vAlign w:val="center"/>
                </w:tcPr>
                <w:p>
                  <w:pPr>
                    <w:jc w:val="center"/>
                    <w:rPr>
                      <w:szCs w:val="21"/>
                    </w:rPr>
                  </w:pPr>
                  <w:r>
                    <w:rPr>
                      <w:rFonts w:hint="eastAsia"/>
                      <w:szCs w:val="21"/>
                    </w:rPr>
                    <w:t>CS30D2122F*1</w:t>
                  </w:r>
                </w:p>
                <w:p>
                  <w:pPr>
                    <w:jc w:val="center"/>
                    <w:rPr>
                      <w:szCs w:val="21"/>
                    </w:rPr>
                  </w:pPr>
                  <w:r>
                    <w:rPr>
                      <w:rFonts w:hint="eastAsia"/>
                      <w:szCs w:val="21"/>
                    </w:rPr>
                    <w:t>CS30D2222F*2</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3</w:t>
                  </w:r>
                </w:p>
              </w:tc>
              <w:tc>
                <w:tcPr>
                  <w:tcW w:w="2277" w:type="dxa"/>
                  <w:vAlign w:val="center"/>
                </w:tcPr>
                <w:p>
                  <w:pPr>
                    <w:jc w:val="center"/>
                    <w:rPr>
                      <w:szCs w:val="21"/>
                    </w:rPr>
                  </w:pPr>
                  <w:r>
                    <w:rPr>
                      <w:rFonts w:hint="eastAsia"/>
                      <w:szCs w:val="21"/>
                    </w:rPr>
                    <w:t>加油</w:t>
                  </w:r>
                </w:p>
              </w:tc>
            </w:tr>
            <w:bookmarkEnd w:id="4"/>
            <w:bookmarkEnd w:id="5"/>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r>
                    <w:rPr>
                      <w:rFonts w:hint="eastAsia"/>
                      <w:szCs w:val="21"/>
                    </w:rPr>
                    <w:t>3</w:t>
                  </w:r>
                </w:p>
              </w:tc>
              <w:tc>
                <w:tcPr>
                  <w:tcW w:w="1975" w:type="dxa"/>
                  <w:vAlign w:val="center"/>
                </w:tcPr>
                <w:p>
                  <w:pPr>
                    <w:adjustRightInd w:val="0"/>
                    <w:snapToGrid w:val="0"/>
                    <w:jc w:val="center"/>
                    <w:rPr>
                      <w:szCs w:val="21"/>
                    </w:rPr>
                  </w:pPr>
                  <w:r>
                    <w:rPr>
                      <w:szCs w:val="21"/>
                    </w:rPr>
                    <w:t>液位仪</w:t>
                  </w:r>
                </w:p>
              </w:tc>
              <w:tc>
                <w:tcPr>
                  <w:tcW w:w="2045" w:type="dxa"/>
                  <w:vAlign w:val="center"/>
                </w:tcPr>
                <w:p>
                  <w:pPr>
                    <w:jc w:val="center"/>
                    <w:rPr>
                      <w:szCs w:val="21"/>
                    </w:rPr>
                  </w:pPr>
                  <w:r>
                    <w:rPr>
                      <w:rFonts w:hint="eastAsia"/>
                      <w:szCs w:val="21"/>
                    </w:rPr>
                    <w:t>LN-T600</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显示油罐油高，油量，温度，水高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1" w:hRule="atLeast"/>
              </w:trPr>
              <w:tc>
                <w:tcPr>
                  <w:tcW w:w="860" w:type="dxa"/>
                  <w:vAlign w:val="center"/>
                </w:tcPr>
                <w:p>
                  <w:pPr>
                    <w:adjustRightInd w:val="0"/>
                    <w:snapToGrid w:val="0"/>
                    <w:jc w:val="center"/>
                    <w:rPr>
                      <w:szCs w:val="21"/>
                    </w:rPr>
                  </w:pPr>
                  <w:r>
                    <w:rPr>
                      <w:rFonts w:hint="eastAsia"/>
                      <w:szCs w:val="21"/>
                    </w:rPr>
                    <w:t>4</w:t>
                  </w:r>
                </w:p>
              </w:tc>
              <w:tc>
                <w:tcPr>
                  <w:tcW w:w="1975" w:type="dxa"/>
                  <w:vAlign w:val="center"/>
                </w:tcPr>
                <w:p>
                  <w:pPr>
                    <w:adjustRightInd w:val="0"/>
                    <w:snapToGrid w:val="0"/>
                    <w:jc w:val="center"/>
                    <w:rPr>
                      <w:szCs w:val="21"/>
                    </w:rPr>
                  </w:pPr>
                  <w:r>
                    <w:rPr>
                      <w:szCs w:val="21"/>
                    </w:rPr>
                    <w:t>潜油泵</w:t>
                  </w:r>
                </w:p>
              </w:tc>
              <w:tc>
                <w:tcPr>
                  <w:tcW w:w="2045" w:type="dxa"/>
                  <w:vAlign w:val="center"/>
                </w:tcPr>
                <w:p>
                  <w:pPr>
                    <w:jc w:val="center"/>
                    <w:rPr>
                      <w:szCs w:val="21"/>
                    </w:rPr>
                  </w:pPr>
                  <w:r>
                    <w:rPr>
                      <w:rFonts w:hint="eastAsia"/>
                      <w:szCs w:val="21"/>
                    </w:rPr>
                    <w:t>CSQ04</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1泵带多枪，从根本上杜绝气阻现象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860" w:type="dxa"/>
                  <w:vAlign w:val="center"/>
                </w:tcPr>
                <w:p>
                  <w:pPr>
                    <w:adjustRightInd w:val="0"/>
                    <w:snapToGrid w:val="0"/>
                    <w:jc w:val="center"/>
                    <w:rPr>
                      <w:szCs w:val="21"/>
                    </w:rPr>
                  </w:pPr>
                  <w:r>
                    <w:rPr>
                      <w:rFonts w:hint="eastAsia"/>
                      <w:szCs w:val="21"/>
                    </w:rPr>
                    <w:t>5</w:t>
                  </w:r>
                </w:p>
              </w:tc>
              <w:tc>
                <w:tcPr>
                  <w:tcW w:w="1975" w:type="dxa"/>
                  <w:vAlign w:val="center"/>
                </w:tcPr>
                <w:p>
                  <w:pPr>
                    <w:jc w:val="center"/>
                    <w:rPr>
                      <w:szCs w:val="21"/>
                    </w:rPr>
                  </w:pPr>
                  <w:r>
                    <w:rPr>
                      <w:rFonts w:hint="eastAsia"/>
                      <w:szCs w:val="21"/>
                    </w:rPr>
                    <w:t>加油</w:t>
                  </w:r>
                  <w:r>
                    <w:rPr>
                      <w:szCs w:val="21"/>
                    </w:rPr>
                    <w:t>油气回收系统</w:t>
                  </w:r>
                </w:p>
              </w:tc>
              <w:tc>
                <w:tcPr>
                  <w:tcW w:w="2045" w:type="dxa"/>
                  <w:vAlign w:val="center"/>
                </w:tcPr>
                <w:p>
                  <w:pPr>
                    <w:jc w:val="center"/>
                    <w:rPr>
                      <w:szCs w:val="21"/>
                    </w:rPr>
                  </w:pPr>
                  <w:r>
                    <w:rPr>
                      <w:rFonts w:hint="eastAsia"/>
                      <w:szCs w:val="21"/>
                    </w:rPr>
                    <w:t>豫金信汇检</w:t>
                  </w:r>
                </w:p>
                <w:p>
                  <w:pPr>
                    <w:jc w:val="center"/>
                    <w:rPr>
                      <w:spacing w:val="4"/>
                      <w:szCs w:val="21"/>
                    </w:rPr>
                  </w:pPr>
                  <w:r>
                    <w:rPr>
                      <w:rFonts w:hint="eastAsia"/>
                      <w:szCs w:val="21"/>
                    </w:rPr>
                    <w:t>【2018】05017号</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油气回收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860" w:type="dxa"/>
                  <w:vAlign w:val="center"/>
                </w:tcPr>
                <w:p>
                  <w:pPr>
                    <w:adjustRightInd w:val="0"/>
                    <w:snapToGrid w:val="0"/>
                    <w:jc w:val="center"/>
                    <w:rPr>
                      <w:szCs w:val="21"/>
                    </w:rPr>
                  </w:pPr>
                  <w:r>
                    <w:rPr>
                      <w:rFonts w:hint="eastAsia"/>
                      <w:szCs w:val="21"/>
                    </w:rPr>
                    <w:t>6</w:t>
                  </w:r>
                </w:p>
              </w:tc>
              <w:tc>
                <w:tcPr>
                  <w:tcW w:w="1975" w:type="dxa"/>
                  <w:vAlign w:val="center"/>
                </w:tcPr>
                <w:p>
                  <w:pPr>
                    <w:jc w:val="center"/>
                    <w:rPr>
                      <w:szCs w:val="21"/>
                    </w:rPr>
                  </w:pPr>
                  <w:r>
                    <w:rPr>
                      <w:rFonts w:hint="eastAsia"/>
                      <w:szCs w:val="21"/>
                    </w:rPr>
                    <w:t>卸油</w:t>
                  </w:r>
                  <w:r>
                    <w:rPr>
                      <w:szCs w:val="21"/>
                    </w:rPr>
                    <w:t>油气回收系统</w:t>
                  </w:r>
                </w:p>
              </w:tc>
              <w:tc>
                <w:tcPr>
                  <w:tcW w:w="2045" w:type="dxa"/>
                  <w:vAlign w:val="center"/>
                </w:tcPr>
                <w:p>
                  <w:pPr>
                    <w:jc w:val="center"/>
                    <w:rPr>
                      <w:szCs w:val="21"/>
                    </w:rPr>
                  </w:pPr>
                  <w:r>
                    <w:rPr>
                      <w:rFonts w:hint="eastAsia"/>
                      <w:szCs w:val="21"/>
                    </w:rPr>
                    <w:t>豫金信汇检</w:t>
                  </w:r>
                </w:p>
                <w:p>
                  <w:pPr>
                    <w:jc w:val="center"/>
                    <w:rPr>
                      <w:szCs w:val="21"/>
                    </w:rPr>
                  </w:pPr>
                  <w:r>
                    <w:rPr>
                      <w:rFonts w:hint="eastAsia"/>
                      <w:szCs w:val="21"/>
                    </w:rPr>
                    <w:t>【2018】05017号</w:t>
                  </w:r>
                </w:p>
              </w:tc>
              <w:tc>
                <w:tcPr>
                  <w:tcW w:w="874" w:type="dxa"/>
                  <w:vAlign w:val="center"/>
                </w:tcPr>
                <w:p>
                  <w:pPr>
                    <w:adjustRightInd w:val="0"/>
                    <w:snapToGrid w:val="0"/>
                    <w:jc w:val="center"/>
                    <w:rPr>
                      <w:szCs w:val="21"/>
                    </w:rPr>
                  </w:pPr>
                  <w:r>
                    <w:rPr>
                      <w:rFonts w:hint="eastAsia"/>
                      <w:szCs w:val="21"/>
                    </w:rPr>
                    <w:t>台</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油气回收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860" w:type="dxa"/>
                  <w:vAlign w:val="center"/>
                </w:tcPr>
                <w:p>
                  <w:pPr>
                    <w:adjustRightInd w:val="0"/>
                    <w:snapToGrid w:val="0"/>
                    <w:jc w:val="center"/>
                    <w:rPr>
                      <w:szCs w:val="21"/>
                    </w:rPr>
                  </w:pPr>
                  <w:r>
                    <w:rPr>
                      <w:rFonts w:hint="eastAsia"/>
                      <w:szCs w:val="21"/>
                    </w:rPr>
                    <w:t>7</w:t>
                  </w:r>
                </w:p>
              </w:tc>
              <w:tc>
                <w:tcPr>
                  <w:tcW w:w="1975" w:type="dxa"/>
                  <w:vAlign w:val="center"/>
                </w:tcPr>
                <w:p>
                  <w:pPr>
                    <w:jc w:val="center"/>
                    <w:rPr>
                      <w:szCs w:val="21"/>
                    </w:rPr>
                  </w:pPr>
                  <w:r>
                    <w:rPr>
                      <w:rFonts w:hint="eastAsia"/>
                      <w:szCs w:val="21"/>
                    </w:rPr>
                    <w:t>静电接地报警仪</w:t>
                  </w:r>
                </w:p>
              </w:tc>
              <w:tc>
                <w:tcPr>
                  <w:tcW w:w="2045" w:type="dxa"/>
                  <w:vAlign w:val="center"/>
                </w:tcPr>
                <w:p>
                  <w:pPr>
                    <w:jc w:val="center"/>
                    <w:rPr>
                      <w:szCs w:val="21"/>
                    </w:rPr>
                  </w:pPr>
                  <w:r>
                    <w:rPr>
                      <w:rFonts w:hint="eastAsia"/>
                      <w:szCs w:val="21"/>
                    </w:rPr>
                    <w:t>YD-3</w:t>
                  </w:r>
                </w:p>
              </w:tc>
              <w:tc>
                <w:tcPr>
                  <w:tcW w:w="874" w:type="dxa"/>
                  <w:vAlign w:val="center"/>
                </w:tcPr>
                <w:p>
                  <w:pPr>
                    <w:adjustRightInd w:val="0"/>
                    <w:snapToGrid w:val="0"/>
                    <w:jc w:val="center"/>
                    <w:rPr>
                      <w:szCs w:val="21"/>
                    </w:rPr>
                  </w:pPr>
                  <w:r>
                    <w:rPr>
                      <w:rFonts w:hint="eastAsia"/>
                      <w:szCs w:val="21"/>
                    </w:rPr>
                    <w:t>/</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卸油时防止静电产生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860" w:type="dxa"/>
                  <w:vAlign w:val="center"/>
                </w:tcPr>
                <w:p>
                  <w:pPr>
                    <w:adjustRightInd w:val="0"/>
                    <w:snapToGrid w:val="0"/>
                    <w:jc w:val="center"/>
                    <w:rPr>
                      <w:szCs w:val="21"/>
                    </w:rPr>
                  </w:pPr>
                  <w:r>
                    <w:rPr>
                      <w:rFonts w:hint="eastAsia"/>
                      <w:szCs w:val="21"/>
                    </w:rPr>
                    <w:t>8</w:t>
                  </w:r>
                </w:p>
              </w:tc>
              <w:tc>
                <w:tcPr>
                  <w:tcW w:w="1975" w:type="dxa"/>
                  <w:vAlign w:val="center"/>
                </w:tcPr>
                <w:p>
                  <w:pPr>
                    <w:jc w:val="center"/>
                    <w:rPr>
                      <w:szCs w:val="21"/>
                    </w:rPr>
                  </w:pPr>
                  <w:r>
                    <w:rPr>
                      <w:rFonts w:hint="eastAsia"/>
                      <w:szCs w:val="21"/>
                    </w:rPr>
                    <w:t>监控摄像头</w:t>
                  </w:r>
                </w:p>
              </w:tc>
              <w:tc>
                <w:tcPr>
                  <w:tcW w:w="2045" w:type="dxa"/>
                  <w:vAlign w:val="center"/>
                </w:tcPr>
                <w:p>
                  <w:pPr>
                    <w:jc w:val="center"/>
                    <w:rPr>
                      <w:szCs w:val="21"/>
                    </w:rPr>
                  </w:pPr>
                  <w:r>
                    <w:rPr>
                      <w:rFonts w:hint="eastAsia"/>
                      <w:szCs w:val="21"/>
                    </w:rPr>
                    <w:t>C</w:t>
                  </w:r>
                  <w:r>
                    <w:rPr>
                      <w:rFonts w:hint="eastAsia"/>
                      <w:szCs w:val="21"/>
                      <w:vertAlign w:val="subscript"/>
                    </w:rPr>
                    <w:t>3</w:t>
                  </w:r>
                  <w:r>
                    <w:rPr>
                      <w:rFonts w:hint="eastAsia"/>
                      <w:szCs w:val="21"/>
                    </w:rPr>
                    <w:t>HC</w:t>
                  </w:r>
                </w:p>
              </w:tc>
              <w:tc>
                <w:tcPr>
                  <w:tcW w:w="874" w:type="dxa"/>
                  <w:vAlign w:val="center"/>
                </w:tcPr>
                <w:p>
                  <w:pPr>
                    <w:adjustRightInd w:val="0"/>
                    <w:snapToGrid w:val="0"/>
                    <w:jc w:val="center"/>
                    <w:rPr>
                      <w:szCs w:val="21"/>
                    </w:rPr>
                  </w:pPr>
                  <w:r>
                    <w:rPr>
                      <w:rFonts w:hint="eastAsia"/>
                      <w:szCs w:val="21"/>
                    </w:rPr>
                    <w:t>台</w:t>
                  </w:r>
                </w:p>
              </w:tc>
              <w:tc>
                <w:tcPr>
                  <w:tcW w:w="741" w:type="dxa"/>
                  <w:vAlign w:val="center"/>
                </w:tcPr>
                <w:p>
                  <w:pPr>
                    <w:jc w:val="center"/>
                    <w:rPr>
                      <w:szCs w:val="21"/>
                    </w:rPr>
                  </w:pPr>
                  <w:r>
                    <w:rPr>
                      <w:rFonts w:hint="eastAsia"/>
                      <w:szCs w:val="21"/>
                    </w:rPr>
                    <w:t>8</w:t>
                  </w:r>
                </w:p>
              </w:tc>
              <w:tc>
                <w:tcPr>
                  <w:tcW w:w="2277" w:type="dxa"/>
                  <w:vAlign w:val="center"/>
                </w:tcPr>
                <w:p>
                  <w:pPr>
                    <w:jc w:val="center"/>
                    <w:rPr>
                      <w:szCs w:val="21"/>
                    </w:rPr>
                  </w:pPr>
                  <w:r>
                    <w:rPr>
                      <w:rFonts w:hint="eastAsia"/>
                      <w:szCs w:val="21"/>
                    </w:rPr>
                    <w:t>时刻关注站内情况及不安全因素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r>
                    <w:rPr>
                      <w:rFonts w:hint="eastAsia"/>
                      <w:szCs w:val="21"/>
                    </w:rPr>
                    <w:t>9</w:t>
                  </w:r>
                </w:p>
              </w:tc>
              <w:tc>
                <w:tcPr>
                  <w:tcW w:w="1975" w:type="dxa"/>
                  <w:vAlign w:val="center"/>
                </w:tcPr>
                <w:p>
                  <w:pPr>
                    <w:jc w:val="center"/>
                    <w:rPr>
                      <w:szCs w:val="21"/>
                    </w:rPr>
                  </w:pPr>
                  <w:r>
                    <w:rPr>
                      <w:rFonts w:hint="eastAsia"/>
                      <w:szCs w:val="21"/>
                    </w:rPr>
                    <w:t>发电机组</w:t>
                  </w:r>
                </w:p>
              </w:tc>
              <w:tc>
                <w:tcPr>
                  <w:tcW w:w="2045" w:type="dxa"/>
                  <w:vAlign w:val="center"/>
                </w:tcPr>
                <w:p>
                  <w:pPr>
                    <w:jc w:val="center"/>
                    <w:rPr>
                      <w:szCs w:val="21"/>
                    </w:rPr>
                  </w:pPr>
                  <w:r>
                    <w:rPr>
                      <w:rFonts w:hint="eastAsia"/>
                      <w:szCs w:val="21"/>
                    </w:rPr>
                    <w:t>2S1100</w:t>
                  </w:r>
                </w:p>
              </w:tc>
              <w:tc>
                <w:tcPr>
                  <w:tcW w:w="874" w:type="dxa"/>
                  <w:vAlign w:val="center"/>
                </w:tcPr>
                <w:p>
                  <w:pPr>
                    <w:adjustRightInd w:val="0"/>
                    <w:snapToGrid w:val="0"/>
                    <w:jc w:val="center"/>
                    <w:rPr>
                      <w:szCs w:val="21"/>
                    </w:rPr>
                  </w:pPr>
                  <w:r>
                    <w:rPr>
                      <w:szCs w:val="21"/>
                    </w:rPr>
                    <w:t>套</w:t>
                  </w:r>
                </w:p>
              </w:tc>
              <w:tc>
                <w:tcPr>
                  <w:tcW w:w="741" w:type="dxa"/>
                  <w:vAlign w:val="center"/>
                </w:tcPr>
                <w:p>
                  <w:pPr>
                    <w:jc w:val="center"/>
                    <w:rPr>
                      <w:szCs w:val="21"/>
                    </w:rPr>
                  </w:pPr>
                  <w:r>
                    <w:rPr>
                      <w:rFonts w:hint="eastAsia"/>
                      <w:szCs w:val="21"/>
                    </w:rPr>
                    <w:t>1</w:t>
                  </w:r>
                </w:p>
              </w:tc>
              <w:tc>
                <w:tcPr>
                  <w:tcW w:w="2277" w:type="dxa"/>
                  <w:vAlign w:val="center"/>
                </w:tcPr>
                <w:p>
                  <w:pPr>
                    <w:jc w:val="center"/>
                    <w:rPr>
                      <w:szCs w:val="21"/>
                    </w:rPr>
                  </w:pPr>
                  <w:r>
                    <w:rPr>
                      <w:rFonts w:hint="eastAsia"/>
                      <w:szCs w:val="21"/>
                    </w:rPr>
                    <w:t>为备用发电机，仅在停电时使用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szCs w:val="21"/>
                    </w:rPr>
                  </w:pPr>
                  <w:r>
                    <w:rPr>
                      <w:rFonts w:hint="eastAsia"/>
                      <w:szCs w:val="21"/>
                    </w:rPr>
                    <w:t>10</w:t>
                  </w:r>
                </w:p>
              </w:tc>
              <w:tc>
                <w:tcPr>
                  <w:tcW w:w="1975" w:type="dxa"/>
                  <w:vAlign w:val="center"/>
                </w:tcPr>
                <w:p>
                  <w:pPr>
                    <w:jc w:val="center"/>
                    <w:rPr>
                      <w:szCs w:val="21"/>
                    </w:rPr>
                  </w:pPr>
                  <w:r>
                    <w:rPr>
                      <w:rFonts w:hint="eastAsia"/>
                      <w:color w:val="000000"/>
                      <w:szCs w:val="21"/>
                    </w:rPr>
                    <w:t>油罐</w:t>
                  </w:r>
                </w:p>
              </w:tc>
              <w:tc>
                <w:tcPr>
                  <w:tcW w:w="2045" w:type="dxa"/>
                  <w:vAlign w:val="center"/>
                </w:tcPr>
                <w:p>
                  <w:pPr>
                    <w:jc w:val="center"/>
                    <w:rPr>
                      <w:szCs w:val="21"/>
                    </w:rPr>
                  </w:pPr>
                  <w:r>
                    <w:rPr>
                      <w:rFonts w:hint="eastAsia"/>
                      <w:szCs w:val="21"/>
                    </w:rPr>
                    <w:t>SF双层罐25KL*1</w:t>
                  </w:r>
                </w:p>
                <w:p>
                  <w:pPr>
                    <w:jc w:val="center"/>
                    <w:rPr>
                      <w:szCs w:val="21"/>
                    </w:rPr>
                  </w:pPr>
                  <w:r>
                    <w:rPr>
                      <w:rFonts w:hint="eastAsia"/>
                      <w:szCs w:val="21"/>
                    </w:rPr>
                    <w:t>SF双层罐30KL*2</w:t>
                  </w:r>
                </w:p>
              </w:tc>
              <w:tc>
                <w:tcPr>
                  <w:tcW w:w="874" w:type="dxa"/>
                  <w:vAlign w:val="center"/>
                </w:tcPr>
                <w:p>
                  <w:pPr>
                    <w:adjustRightInd w:val="0"/>
                    <w:snapToGrid w:val="0"/>
                    <w:jc w:val="center"/>
                    <w:rPr>
                      <w:szCs w:val="21"/>
                    </w:rPr>
                  </w:pPr>
                  <w:r>
                    <w:rPr>
                      <w:szCs w:val="21"/>
                    </w:rPr>
                    <w:t>台</w:t>
                  </w:r>
                </w:p>
              </w:tc>
              <w:tc>
                <w:tcPr>
                  <w:tcW w:w="741" w:type="dxa"/>
                  <w:vAlign w:val="center"/>
                </w:tcPr>
                <w:p>
                  <w:pPr>
                    <w:jc w:val="center"/>
                    <w:rPr>
                      <w:szCs w:val="21"/>
                    </w:rPr>
                  </w:pPr>
                  <w:r>
                    <w:rPr>
                      <w:rFonts w:hint="eastAsia"/>
                      <w:szCs w:val="21"/>
                    </w:rPr>
                    <w:t>3</w:t>
                  </w:r>
                </w:p>
              </w:tc>
              <w:tc>
                <w:tcPr>
                  <w:tcW w:w="2277" w:type="dxa"/>
                  <w:vAlign w:val="center"/>
                </w:tcPr>
                <w:p>
                  <w:pPr>
                    <w:jc w:val="center"/>
                    <w:rPr>
                      <w:szCs w:val="21"/>
                    </w:rPr>
                  </w:pPr>
                  <w:r>
                    <w:rPr>
                      <w:rFonts w:hint="eastAsia"/>
                      <w:szCs w:val="21"/>
                    </w:rPr>
                    <w:t>储油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860" w:type="dxa"/>
                  <w:vAlign w:val="center"/>
                </w:tcPr>
                <w:p>
                  <w:pPr>
                    <w:adjustRightInd w:val="0"/>
                    <w:snapToGrid w:val="0"/>
                    <w:jc w:val="center"/>
                    <w:rPr>
                      <w:rFonts w:hint="eastAsia"/>
                      <w:szCs w:val="21"/>
                      <w:u w:val="single"/>
                    </w:rPr>
                  </w:pPr>
                  <w:r>
                    <w:rPr>
                      <w:rFonts w:hint="default"/>
                      <w:szCs w:val="21"/>
                      <w:u w:val="single"/>
                    </w:rPr>
                    <w:t>11</w:t>
                  </w:r>
                </w:p>
              </w:tc>
              <w:tc>
                <w:tcPr>
                  <w:tcW w:w="1975" w:type="dxa"/>
                  <w:vAlign w:val="center"/>
                </w:tcPr>
                <w:p>
                  <w:pPr>
                    <w:jc w:val="center"/>
                    <w:rPr>
                      <w:rFonts w:hint="eastAsia"/>
                      <w:color w:val="000000"/>
                      <w:szCs w:val="21"/>
                      <w:u w:val="single"/>
                    </w:rPr>
                  </w:pPr>
                  <w:r>
                    <w:rPr>
                      <w:rFonts w:hint="default"/>
                      <w:color w:val="000000"/>
                      <w:szCs w:val="21"/>
                      <w:u w:val="single"/>
                    </w:rPr>
                    <w:t>自助洗车装置</w:t>
                  </w:r>
                </w:p>
              </w:tc>
              <w:tc>
                <w:tcPr>
                  <w:tcW w:w="2045" w:type="dxa"/>
                  <w:vAlign w:val="center"/>
                </w:tcPr>
                <w:p>
                  <w:pPr>
                    <w:jc w:val="center"/>
                    <w:rPr>
                      <w:rFonts w:hint="eastAsia"/>
                      <w:szCs w:val="21"/>
                      <w:u w:val="single"/>
                    </w:rPr>
                  </w:pPr>
                  <w:r>
                    <w:rPr>
                      <w:rFonts w:hint="default"/>
                      <w:szCs w:val="21"/>
                      <w:u w:val="single"/>
                    </w:rPr>
                    <w:t>/</w:t>
                  </w:r>
                </w:p>
              </w:tc>
              <w:tc>
                <w:tcPr>
                  <w:tcW w:w="874" w:type="dxa"/>
                  <w:vAlign w:val="center"/>
                </w:tcPr>
                <w:p>
                  <w:pPr>
                    <w:adjustRightInd w:val="0"/>
                    <w:snapToGrid w:val="0"/>
                    <w:jc w:val="center"/>
                    <w:rPr>
                      <w:szCs w:val="21"/>
                      <w:u w:val="single"/>
                    </w:rPr>
                  </w:pPr>
                  <w:r>
                    <w:rPr>
                      <w:szCs w:val="21"/>
                      <w:u w:val="single"/>
                    </w:rPr>
                    <w:t>套</w:t>
                  </w:r>
                </w:p>
              </w:tc>
              <w:tc>
                <w:tcPr>
                  <w:tcW w:w="741" w:type="dxa"/>
                  <w:vAlign w:val="center"/>
                </w:tcPr>
                <w:p>
                  <w:pPr>
                    <w:jc w:val="center"/>
                    <w:rPr>
                      <w:rFonts w:hint="eastAsia"/>
                      <w:szCs w:val="21"/>
                      <w:u w:val="single"/>
                    </w:rPr>
                  </w:pPr>
                  <w:r>
                    <w:rPr>
                      <w:rFonts w:hint="eastAsia"/>
                      <w:szCs w:val="21"/>
                      <w:u w:val="single"/>
                    </w:rPr>
                    <w:t>1</w:t>
                  </w:r>
                </w:p>
              </w:tc>
              <w:tc>
                <w:tcPr>
                  <w:tcW w:w="2277" w:type="dxa"/>
                  <w:vAlign w:val="center"/>
                </w:tcPr>
                <w:p>
                  <w:pPr>
                    <w:jc w:val="center"/>
                    <w:rPr>
                      <w:rFonts w:hint="eastAsia"/>
                      <w:szCs w:val="21"/>
                      <w:u w:val="single"/>
                    </w:rPr>
                  </w:pPr>
                  <w:r>
                    <w:rPr>
                      <w:rFonts w:hint="eastAsia"/>
                      <w:szCs w:val="21"/>
                      <w:u w:val="single"/>
                    </w:rPr>
                    <w:t>配备自动洗车机、沉淀池及循环泵</w:t>
                  </w:r>
                  <w:r>
                    <w:rPr>
                      <w:rFonts w:hint="default"/>
                      <w:szCs w:val="21"/>
                      <w:u w:val="single"/>
                    </w:rPr>
                    <w:t>、洗车剂</w:t>
                  </w:r>
                </w:p>
              </w:tc>
            </w:tr>
          </w:tbl>
          <w:p>
            <w:pPr>
              <w:pStyle w:val="5"/>
              <w:spacing w:beforeLines="50"/>
              <w:ind w:left="578" w:hanging="578"/>
            </w:pPr>
            <w:r>
              <w:rPr>
                <w:rFonts w:hint="eastAsia"/>
              </w:rPr>
              <w:t>主要原辅材料</w:t>
            </w:r>
          </w:p>
          <w:p>
            <w:pPr>
              <w:adjustRightInd w:val="0"/>
              <w:snapToGrid w:val="0"/>
              <w:spacing w:line="360" w:lineRule="auto"/>
              <w:ind w:firstLine="480" w:firstLineChars="200"/>
              <w:jc w:val="left"/>
              <w:rPr>
                <w:sz w:val="24"/>
                <w:szCs w:val="24"/>
              </w:rPr>
            </w:pPr>
            <w:r>
              <w:rPr>
                <w:rFonts w:hint="eastAsia"/>
                <w:sz w:val="24"/>
                <w:szCs w:val="24"/>
              </w:rPr>
              <w:t>本项目主要原辅材料见表1.6-1。</w:t>
            </w:r>
          </w:p>
          <w:p>
            <w:pPr>
              <w:ind w:firstLine="480" w:firstLineChars="200"/>
              <w:jc w:val="center"/>
              <w:rPr>
                <w:rFonts w:eastAsia="黑体"/>
                <w:sz w:val="24"/>
                <w:szCs w:val="24"/>
              </w:rPr>
            </w:pPr>
            <w:r>
              <w:rPr>
                <w:rFonts w:hint="eastAsia" w:eastAsia="黑体"/>
                <w:sz w:val="24"/>
                <w:szCs w:val="24"/>
              </w:rPr>
              <w:t>表1.6-1   主要原辅材料一览表</w:t>
            </w:r>
          </w:p>
          <w:tbl>
            <w:tblPr>
              <w:tblStyle w:val="24"/>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973"/>
              <w:gridCol w:w="1911"/>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序号</w:t>
                  </w:r>
                </w:p>
              </w:tc>
              <w:tc>
                <w:tcPr>
                  <w:tcW w:w="29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名称</w:t>
                  </w:r>
                </w:p>
              </w:tc>
              <w:tc>
                <w:tcPr>
                  <w:tcW w:w="19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单位</w:t>
                  </w:r>
                </w:p>
              </w:tc>
              <w:tc>
                <w:tcPr>
                  <w:tcW w:w="27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pStyle w:val="95"/>
                    <w:ind w:right="2"/>
                    <w:jc w:val="center"/>
                  </w:pPr>
                  <w:r>
                    <w:t>1</w:t>
                  </w:r>
                </w:p>
              </w:tc>
              <w:tc>
                <w:tcPr>
                  <w:tcW w:w="2973" w:type="dxa"/>
                  <w:tcBorders>
                    <w:top w:val="single" w:color="auto" w:sz="4" w:space="0"/>
                    <w:left w:val="single" w:color="auto" w:sz="4" w:space="0"/>
                    <w:bottom w:val="single" w:color="auto" w:sz="4" w:space="0"/>
                    <w:right w:val="single" w:color="auto" w:sz="4" w:space="0"/>
                  </w:tcBorders>
                  <w:vAlign w:val="center"/>
                </w:tcPr>
                <w:p>
                  <w:pPr>
                    <w:pStyle w:val="95"/>
                    <w:ind w:right="2"/>
                    <w:jc w:val="center"/>
                  </w:pPr>
                  <w:r>
                    <w:rPr>
                      <w:color w:val="000000"/>
                      <w:spacing w:val="-7"/>
                    </w:rPr>
                    <w:t>0</w:t>
                  </w:r>
                  <w:r>
                    <w:rPr>
                      <w:rFonts w:hint="eastAsia" w:cs="宋体"/>
                      <w:color w:val="000000"/>
                      <w:spacing w:val="-7"/>
                    </w:rPr>
                    <w:t>＃柴油</w:t>
                  </w:r>
                </w:p>
              </w:tc>
              <w:tc>
                <w:tcPr>
                  <w:tcW w:w="1911" w:type="dxa"/>
                  <w:tcBorders>
                    <w:top w:val="single" w:color="auto" w:sz="4" w:space="0"/>
                    <w:left w:val="single" w:color="auto" w:sz="4" w:space="0"/>
                    <w:bottom w:val="single" w:color="auto" w:sz="4" w:space="0"/>
                    <w:right w:val="single" w:color="auto" w:sz="4" w:space="0"/>
                  </w:tcBorders>
                  <w:vAlign w:val="center"/>
                </w:tcPr>
                <w:p>
                  <w:pPr>
                    <w:pStyle w:val="95"/>
                    <w:jc w:val="center"/>
                  </w:pPr>
                  <w:r>
                    <w:rPr>
                      <w:color w:val="000000"/>
                      <w:spacing w:val="-2"/>
                    </w:rPr>
                    <w:t>t/a</w:t>
                  </w:r>
                </w:p>
              </w:tc>
              <w:tc>
                <w:tcPr>
                  <w:tcW w:w="27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pStyle w:val="95"/>
                    <w:ind w:right="2"/>
                    <w:jc w:val="center"/>
                    <w:rPr>
                      <w:rFonts w:hint="eastAsia" w:eastAsia="宋体"/>
                      <w:lang w:val="en-US" w:eastAsia="zh-CN"/>
                    </w:rPr>
                  </w:pPr>
                  <w:r>
                    <w:rPr>
                      <w:rFonts w:hint="eastAsia"/>
                      <w:lang w:val="en-US" w:eastAsia="zh-CN"/>
                    </w:rPr>
                    <w:t>2</w:t>
                  </w:r>
                </w:p>
              </w:tc>
              <w:tc>
                <w:tcPr>
                  <w:tcW w:w="2973" w:type="dxa"/>
                  <w:tcBorders>
                    <w:top w:val="single" w:color="auto" w:sz="4" w:space="0"/>
                    <w:left w:val="single" w:color="auto" w:sz="4" w:space="0"/>
                    <w:bottom w:val="single" w:color="auto" w:sz="4" w:space="0"/>
                    <w:right w:val="single" w:color="auto" w:sz="4" w:space="0"/>
                  </w:tcBorders>
                  <w:vAlign w:val="center"/>
                </w:tcPr>
                <w:p>
                  <w:pPr>
                    <w:pStyle w:val="95"/>
                    <w:ind w:right="2"/>
                    <w:jc w:val="center"/>
                    <w:rPr>
                      <w:rFonts w:hint="default" w:eastAsia="宋体"/>
                      <w:color w:val="000000"/>
                      <w:spacing w:val="-7"/>
                      <w:lang w:val="en-US" w:eastAsia="zh-CN"/>
                    </w:rPr>
                  </w:pPr>
                  <w:r>
                    <w:rPr>
                      <w:rFonts w:hint="eastAsia"/>
                      <w:color w:val="000000"/>
                      <w:spacing w:val="-7"/>
                      <w:lang w:val="en-US" w:eastAsia="zh-CN"/>
                    </w:rPr>
                    <w:t>92#汽油</w:t>
                  </w:r>
                </w:p>
              </w:tc>
              <w:tc>
                <w:tcPr>
                  <w:tcW w:w="1911" w:type="dxa"/>
                  <w:tcBorders>
                    <w:top w:val="single" w:color="auto" w:sz="4" w:space="0"/>
                    <w:left w:val="single" w:color="auto" w:sz="4" w:space="0"/>
                    <w:bottom w:val="single" w:color="auto" w:sz="4" w:space="0"/>
                    <w:right w:val="single" w:color="auto" w:sz="4" w:space="0"/>
                  </w:tcBorders>
                  <w:vAlign w:val="center"/>
                </w:tcPr>
                <w:p>
                  <w:pPr>
                    <w:pStyle w:val="95"/>
                    <w:jc w:val="center"/>
                    <w:rPr>
                      <w:color w:val="000000"/>
                      <w:spacing w:val="-2"/>
                    </w:rPr>
                  </w:pPr>
                  <w:r>
                    <w:rPr>
                      <w:color w:val="000000"/>
                      <w:spacing w:val="-2"/>
                    </w:rPr>
                    <w:t>t/a</w:t>
                  </w:r>
                </w:p>
              </w:tc>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pStyle w:val="95"/>
                    <w:jc w:val="center"/>
                    <w:rPr>
                      <w:rFonts w:hint="eastAsia" w:eastAsia="宋体"/>
                      <w:lang w:val="en-US" w:eastAsia="zh-CN"/>
                    </w:rPr>
                  </w:pPr>
                  <w:r>
                    <w:rPr>
                      <w:rFonts w:hint="eastAsia"/>
                      <w:lang w:val="en-US" w:eastAsia="zh-CN"/>
                    </w:rPr>
                    <w:t>3</w:t>
                  </w:r>
                </w:p>
              </w:tc>
              <w:tc>
                <w:tcPr>
                  <w:tcW w:w="2973" w:type="dxa"/>
                  <w:tcBorders>
                    <w:top w:val="single" w:color="auto" w:sz="4" w:space="0"/>
                    <w:left w:val="single" w:color="auto" w:sz="4" w:space="0"/>
                    <w:bottom w:val="single" w:color="auto" w:sz="4" w:space="0"/>
                    <w:right w:val="single" w:color="auto" w:sz="4" w:space="0"/>
                  </w:tcBorders>
                  <w:vAlign w:val="center"/>
                </w:tcPr>
                <w:p>
                  <w:pPr>
                    <w:pStyle w:val="95"/>
                    <w:jc w:val="center"/>
                  </w:pPr>
                  <w:r>
                    <w:rPr>
                      <w:color w:val="000000"/>
                      <w:spacing w:val="-7"/>
                    </w:rPr>
                    <w:t>9</w:t>
                  </w:r>
                  <w:r>
                    <w:rPr>
                      <w:rFonts w:hint="eastAsia"/>
                      <w:color w:val="000000"/>
                      <w:spacing w:val="-7"/>
                    </w:rPr>
                    <w:t>5</w:t>
                  </w:r>
                  <w:r>
                    <w:rPr>
                      <w:rFonts w:hint="eastAsia" w:cs="宋体"/>
                      <w:color w:val="000000"/>
                      <w:spacing w:val="-7"/>
                    </w:rPr>
                    <w:t>＃汽油</w:t>
                  </w:r>
                </w:p>
              </w:tc>
              <w:tc>
                <w:tcPr>
                  <w:tcW w:w="1911" w:type="dxa"/>
                  <w:tcBorders>
                    <w:top w:val="single" w:color="auto" w:sz="4" w:space="0"/>
                    <w:left w:val="single" w:color="auto" w:sz="4" w:space="0"/>
                    <w:bottom w:val="single" w:color="auto" w:sz="4" w:space="0"/>
                    <w:right w:val="single" w:color="auto" w:sz="4" w:space="0"/>
                  </w:tcBorders>
                  <w:vAlign w:val="center"/>
                </w:tcPr>
                <w:p>
                  <w:pPr>
                    <w:jc w:val="center"/>
                  </w:pPr>
                  <w:r>
                    <w:rPr>
                      <w:color w:val="000000"/>
                      <w:spacing w:val="-2"/>
                    </w:rPr>
                    <w:t>t/a</w:t>
                  </w:r>
                </w:p>
              </w:tc>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pStyle w:val="95"/>
                    <w:spacing w:before="28"/>
                    <w:jc w:val="center"/>
                  </w:pPr>
                  <w:r>
                    <w:rPr>
                      <w:rFonts w:hint="eastAsia"/>
                    </w:rPr>
                    <w:t>4</w:t>
                  </w:r>
                </w:p>
              </w:tc>
              <w:tc>
                <w:tcPr>
                  <w:tcW w:w="2973" w:type="dxa"/>
                  <w:tcBorders>
                    <w:top w:val="single" w:color="auto" w:sz="4" w:space="0"/>
                    <w:left w:val="single" w:color="auto" w:sz="4" w:space="0"/>
                    <w:bottom w:val="single" w:color="auto" w:sz="4" w:space="0"/>
                    <w:right w:val="single" w:color="auto" w:sz="4" w:space="0"/>
                  </w:tcBorders>
                  <w:vAlign w:val="center"/>
                </w:tcPr>
                <w:p>
                  <w:pPr>
                    <w:pStyle w:val="95"/>
                    <w:spacing w:before="28"/>
                    <w:jc w:val="center"/>
                  </w:pPr>
                  <w:r>
                    <w:rPr>
                      <w:rFonts w:hint="eastAsia" w:cs="宋体"/>
                    </w:rPr>
                    <w:t>水</w:t>
                  </w:r>
                </w:p>
              </w:tc>
              <w:tc>
                <w:tcPr>
                  <w:tcW w:w="1911" w:type="dxa"/>
                  <w:tcBorders>
                    <w:top w:val="single" w:color="auto" w:sz="4" w:space="0"/>
                    <w:left w:val="single" w:color="auto" w:sz="4" w:space="0"/>
                    <w:bottom w:val="single" w:color="auto" w:sz="4" w:space="0"/>
                    <w:right w:val="single" w:color="auto" w:sz="4" w:space="0"/>
                  </w:tcBorders>
                  <w:vAlign w:val="center"/>
                </w:tcPr>
                <w:p>
                  <w:pPr>
                    <w:pStyle w:val="95"/>
                    <w:spacing w:before="28"/>
                    <w:ind w:right="2"/>
                    <w:jc w:val="center"/>
                  </w:pPr>
                  <w:r>
                    <w:t>m</w:t>
                  </w:r>
                  <w:r>
                    <w:rPr>
                      <w:vertAlign w:val="superscript"/>
                    </w:rPr>
                    <w:t>3</w:t>
                  </w:r>
                  <w:r>
                    <w:t>/a</w:t>
                  </w:r>
                </w:p>
              </w:tc>
              <w:tc>
                <w:tcPr>
                  <w:tcW w:w="2769" w:type="dxa"/>
                  <w:tcBorders>
                    <w:top w:val="single" w:color="auto" w:sz="4" w:space="0"/>
                    <w:left w:val="single" w:color="auto" w:sz="4" w:space="0"/>
                    <w:bottom w:val="single" w:color="auto" w:sz="4" w:space="0"/>
                    <w:right w:val="single" w:color="auto" w:sz="4" w:space="0"/>
                  </w:tcBorders>
                  <w:vAlign w:val="center"/>
                </w:tcPr>
                <w:p>
                  <w:pPr>
                    <w:pStyle w:val="95"/>
                    <w:spacing w:line="260" w:lineRule="exact"/>
                    <w:ind w:right="2"/>
                    <w:jc w:val="center"/>
                    <w:rPr>
                      <w:highlight w:val="yellow"/>
                    </w:rPr>
                  </w:pPr>
                  <w:r>
                    <w:rPr>
                      <w:rFonts w:hint="eastAsia"/>
                    </w:rPr>
                    <w:t>1029.3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tcBorders>
                    <w:top w:val="single" w:color="auto" w:sz="4" w:space="0"/>
                    <w:left w:val="single" w:color="auto" w:sz="4" w:space="0"/>
                    <w:bottom w:val="single" w:color="auto" w:sz="4" w:space="0"/>
                    <w:right w:val="single" w:color="auto" w:sz="4" w:space="0"/>
                  </w:tcBorders>
                  <w:vAlign w:val="center"/>
                </w:tcPr>
                <w:p>
                  <w:pPr>
                    <w:pStyle w:val="95"/>
                    <w:spacing w:before="28"/>
                    <w:jc w:val="center"/>
                  </w:pPr>
                  <w:r>
                    <w:rPr>
                      <w:rFonts w:hint="eastAsia"/>
                    </w:rPr>
                    <w:t>5</w:t>
                  </w:r>
                </w:p>
              </w:tc>
              <w:tc>
                <w:tcPr>
                  <w:tcW w:w="2973" w:type="dxa"/>
                  <w:tcBorders>
                    <w:top w:val="single" w:color="auto" w:sz="4" w:space="0"/>
                    <w:left w:val="single" w:color="auto" w:sz="4" w:space="0"/>
                    <w:bottom w:val="single" w:color="auto" w:sz="4" w:space="0"/>
                    <w:right w:val="single" w:color="auto" w:sz="4" w:space="0"/>
                  </w:tcBorders>
                  <w:vAlign w:val="center"/>
                </w:tcPr>
                <w:p>
                  <w:pPr>
                    <w:pStyle w:val="95"/>
                    <w:spacing w:before="28"/>
                    <w:jc w:val="center"/>
                  </w:pPr>
                  <w:r>
                    <w:rPr>
                      <w:rFonts w:hint="eastAsia" w:cs="宋体"/>
                    </w:rPr>
                    <w:t>电</w:t>
                  </w:r>
                </w:p>
              </w:tc>
              <w:tc>
                <w:tcPr>
                  <w:tcW w:w="1911" w:type="dxa"/>
                  <w:tcBorders>
                    <w:top w:val="single" w:color="auto" w:sz="4" w:space="0"/>
                    <w:left w:val="single" w:color="auto" w:sz="4" w:space="0"/>
                    <w:bottom w:val="single" w:color="auto" w:sz="4" w:space="0"/>
                    <w:right w:val="single" w:color="auto" w:sz="4" w:space="0"/>
                  </w:tcBorders>
                  <w:vAlign w:val="center"/>
                </w:tcPr>
                <w:p>
                  <w:pPr>
                    <w:pStyle w:val="95"/>
                    <w:spacing w:before="28"/>
                    <w:ind w:right="2"/>
                    <w:jc w:val="center"/>
                  </w:pPr>
                  <w:r>
                    <w:rPr>
                      <w:rFonts w:hint="eastAsia" w:cs="宋体"/>
                    </w:rPr>
                    <w:t>万度</w:t>
                  </w:r>
                  <w:r>
                    <w:t>/a</w:t>
                  </w:r>
                </w:p>
              </w:tc>
              <w:tc>
                <w:tcPr>
                  <w:tcW w:w="2769" w:type="dxa"/>
                  <w:tcBorders>
                    <w:top w:val="single" w:color="auto" w:sz="4" w:space="0"/>
                    <w:left w:val="single" w:color="auto" w:sz="4" w:space="0"/>
                    <w:bottom w:val="single" w:color="auto" w:sz="4" w:space="0"/>
                    <w:right w:val="single" w:color="auto" w:sz="4" w:space="0"/>
                  </w:tcBorders>
                  <w:vAlign w:val="center"/>
                </w:tcPr>
                <w:p>
                  <w:pPr>
                    <w:pStyle w:val="95"/>
                    <w:spacing w:line="260" w:lineRule="exact"/>
                    <w:ind w:right="2"/>
                    <w:jc w:val="center"/>
                    <w:rPr>
                      <w:highlight w:val="yellow"/>
                    </w:rPr>
                  </w:pPr>
                  <w:r>
                    <w:rPr>
                      <w:rFonts w:hint="eastAsia"/>
                    </w:rPr>
                    <w:t>3</w:t>
                  </w:r>
                </w:p>
              </w:tc>
            </w:tr>
          </w:tbl>
          <w:p>
            <w:pPr>
              <w:spacing w:line="360" w:lineRule="auto"/>
              <w:ind w:firstLine="480" w:firstLineChars="200"/>
              <w:rPr>
                <w:color w:val="000000"/>
                <w:sz w:val="24"/>
                <w:szCs w:val="24"/>
              </w:rPr>
            </w:pPr>
            <w:r>
              <w:rPr>
                <w:rFonts w:hint="eastAsia" w:cs="宋体"/>
                <w:color w:val="000000"/>
                <w:sz w:val="24"/>
                <w:szCs w:val="24"/>
              </w:rPr>
              <w:t>主要原辅材料理化性质如下：</w:t>
            </w:r>
          </w:p>
          <w:p>
            <w:pPr>
              <w:spacing w:line="360" w:lineRule="auto"/>
              <w:ind w:firstLine="480" w:firstLineChars="200"/>
              <w:rPr>
                <w:color w:val="000000"/>
                <w:sz w:val="24"/>
                <w:szCs w:val="24"/>
              </w:rPr>
            </w:pPr>
            <w:r>
              <w:rPr>
                <w:rFonts w:hint="eastAsia" w:cs="宋体"/>
                <w:color w:val="000000"/>
                <w:sz w:val="24"/>
                <w:szCs w:val="24"/>
              </w:rPr>
              <w:t>汽油：分子式为</w:t>
            </w:r>
            <w:r>
              <w:rPr>
                <w:color w:val="000000"/>
                <w:sz w:val="24"/>
                <w:szCs w:val="24"/>
              </w:rPr>
              <w:t> C</w:t>
            </w:r>
            <w:r>
              <w:rPr>
                <w:color w:val="000000"/>
                <w:sz w:val="24"/>
                <w:szCs w:val="24"/>
                <w:vertAlign w:val="subscript"/>
              </w:rPr>
              <w:t>4</w:t>
            </w:r>
            <w:r>
              <w:rPr>
                <w:color w:val="000000"/>
                <w:sz w:val="24"/>
                <w:szCs w:val="24"/>
              </w:rPr>
              <w:t>H</w:t>
            </w:r>
            <w:r>
              <w:rPr>
                <w:color w:val="000000"/>
                <w:sz w:val="24"/>
                <w:szCs w:val="24"/>
                <w:vertAlign w:val="subscript"/>
              </w:rPr>
              <w:t>10</w:t>
            </w:r>
            <w:r>
              <w:rPr>
                <w:rFonts w:hint="eastAsia" w:cs="宋体"/>
                <w:color w:val="000000"/>
                <w:sz w:val="24"/>
                <w:szCs w:val="24"/>
              </w:rPr>
              <w:t>～</w:t>
            </w:r>
            <w:r>
              <w:rPr>
                <w:color w:val="000000"/>
                <w:sz w:val="24"/>
                <w:szCs w:val="24"/>
              </w:rPr>
              <w:t>C</w:t>
            </w:r>
            <w:r>
              <w:rPr>
                <w:color w:val="000000"/>
                <w:sz w:val="24"/>
                <w:szCs w:val="24"/>
                <w:vertAlign w:val="subscript"/>
              </w:rPr>
              <w:t>12</w:t>
            </w:r>
            <w:r>
              <w:rPr>
                <w:color w:val="000000"/>
                <w:sz w:val="24"/>
                <w:szCs w:val="24"/>
              </w:rPr>
              <w:t>H</w:t>
            </w:r>
            <w:r>
              <w:rPr>
                <w:color w:val="000000"/>
                <w:sz w:val="24"/>
                <w:szCs w:val="24"/>
                <w:vertAlign w:val="subscript"/>
              </w:rPr>
              <w:t>26</w:t>
            </w:r>
            <w:r>
              <w:rPr>
                <w:rFonts w:hint="eastAsia" w:cs="宋体"/>
                <w:color w:val="000000"/>
                <w:sz w:val="24"/>
                <w:szCs w:val="24"/>
              </w:rPr>
              <w:t>，主要成分：</w:t>
            </w:r>
            <w:r>
              <w:rPr>
                <w:color w:val="000000"/>
                <w:sz w:val="24"/>
                <w:szCs w:val="24"/>
              </w:rPr>
              <w:t>C</w:t>
            </w:r>
            <w:r>
              <w:rPr>
                <w:color w:val="000000"/>
                <w:sz w:val="24"/>
                <w:szCs w:val="24"/>
                <w:vertAlign w:val="subscript"/>
              </w:rPr>
              <w:t>4</w:t>
            </w:r>
            <w:r>
              <w:rPr>
                <w:rFonts w:hint="eastAsia" w:cs="宋体"/>
                <w:color w:val="000000"/>
                <w:sz w:val="24"/>
                <w:szCs w:val="24"/>
              </w:rPr>
              <w:t>～</w:t>
            </w:r>
            <w:r>
              <w:rPr>
                <w:color w:val="000000"/>
                <w:sz w:val="24"/>
                <w:szCs w:val="24"/>
              </w:rPr>
              <w:t>C</w:t>
            </w:r>
            <w:r>
              <w:rPr>
                <w:color w:val="000000"/>
                <w:sz w:val="24"/>
                <w:szCs w:val="24"/>
                <w:vertAlign w:val="subscript"/>
              </w:rPr>
              <w:t>12</w:t>
            </w:r>
            <w:r>
              <w:rPr>
                <w:color w:val="000000"/>
                <w:sz w:val="24"/>
                <w:szCs w:val="24"/>
              </w:rPr>
              <w:t> </w:t>
            </w:r>
            <w:r>
              <w:rPr>
                <w:rFonts w:hint="eastAsia" w:cs="宋体"/>
                <w:color w:val="000000"/>
                <w:sz w:val="24"/>
                <w:szCs w:val="24"/>
              </w:rPr>
              <w:t>脂肪烃和烯烃，含少量芳香烃和硫化物。无色或淡黄色液体，具有挥发性和易燃性，有特殊气味。不溶于水，易溶于苯、二硫化碳、醇，极易混溶于脂肪。熔点</w:t>
            </w:r>
            <w:r>
              <w:rPr>
                <w:color w:val="000000"/>
                <w:sz w:val="24"/>
                <w:szCs w:val="24"/>
              </w:rPr>
              <w:t>/</w:t>
            </w:r>
            <w:r>
              <w:rPr>
                <w:rFonts w:hint="eastAsia" w:ascii="宋体" w:hAnsi="宋体" w:cs="宋体"/>
                <w:color w:val="000000"/>
                <w:sz w:val="24"/>
                <w:szCs w:val="24"/>
              </w:rPr>
              <w:t>℃</w:t>
            </w:r>
            <w:r>
              <w:rPr>
                <w:rFonts w:hint="eastAsia" w:cs="宋体"/>
                <w:color w:val="000000"/>
                <w:sz w:val="24"/>
                <w:szCs w:val="24"/>
              </w:rPr>
              <w:t>：＜－</w:t>
            </w:r>
            <w:r>
              <w:rPr>
                <w:color w:val="000000"/>
                <w:sz w:val="24"/>
                <w:szCs w:val="24"/>
              </w:rPr>
              <w:t>60</w:t>
            </w:r>
            <w:r>
              <w:rPr>
                <w:rFonts w:hint="eastAsia" w:cs="宋体"/>
                <w:color w:val="000000"/>
                <w:sz w:val="24"/>
                <w:szCs w:val="24"/>
              </w:rPr>
              <w:t>，相对密度（水＝</w:t>
            </w:r>
            <w:r>
              <w:rPr>
                <w:color w:val="000000"/>
                <w:sz w:val="24"/>
                <w:szCs w:val="24"/>
              </w:rPr>
              <w:t>1</w:t>
            </w:r>
            <w:r>
              <w:rPr>
                <w:rFonts w:hint="eastAsia" w:cs="宋体"/>
                <w:color w:val="000000"/>
                <w:sz w:val="24"/>
                <w:szCs w:val="24"/>
              </w:rPr>
              <w:t>）：</w:t>
            </w:r>
          </w:p>
          <w:p>
            <w:pPr>
              <w:spacing w:line="360" w:lineRule="auto"/>
              <w:rPr>
                <w:color w:val="000000"/>
                <w:sz w:val="24"/>
                <w:szCs w:val="24"/>
              </w:rPr>
            </w:pPr>
            <w:r>
              <w:rPr>
                <w:color w:val="000000"/>
                <w:sz w:val="24"/>
                <w:szCs w:val="24"/>
              </w:rPr>
              <w:t>0.70</w:t>
            </w:r>
            <w:r>
              <w:rPr>
                <w:rFonts w:hint="eastAsia" w:cs="宋体"/>
                <w:color w:val="000000"/>
                <w:sz w:val="24"/>
                <w:szCs w:val="24"/>
              </w:rPr>
              <w:t>～</w:t>
            </w:r>
            <w:r>
              <w:rPr>
                <w:color w:val="000000"/>
                <w:sz w:val="24"/>
                <w:szCs w:val="24"/>
              </w:rPr>
              <w:t>0.79</w:t>
            </w:r>
            <w:r>
              <w:rPr>
                <w:rFonts w:hint="eastAsia" w:cs="宋体"/>
                <w:color w:val="000000"/>
                <w:sz w:val="24"/>
                <w:szCs w:val="24"/>
              </w:rPr>
              <w:t>，沸点</w:t>
            </w:r>
            <w:r>
              <w:rPr>
                <w:color w:val="000000"/>
                <w:sz w:val="24"/>
                <w:szCs w:val="24"/>
              </w:rPr>
              <w:t>/</w:t>
            </w:r>
            <w:r>
              <w:rPr>
                <w:rFonts w:hint="eastAsia" w:ascii="宋体" w:hAnsi="宋体" w:cs="宋体"/>
                <w:color w:val="000000"/>
                <w:sz w:val="24"/>
                <w:szCs w:val="24"/>
              </w:rPr>
              <w:t>℃</w:t>
            </w:r>
            <w:r>
              <w:rPr>
                <w:rFonts w:hint="eastAsia" w:cs="宋体"/>
                <w:color w:val="000000"/>
                <w:sz w:val="24"/>
                <w:szCs w:val="24"/>
              </w:rPr>
              <w:t>：</w:t>
            </w:r>
            <w:r>
              <w:rPr>
                <w:color w:val="000000"/>
                <w:sz w:val="24"/>
                <w:szCs w:val="24"/>
              </w:rPr>
              <w:t>40</w:t>
            </w:r>
            <w:r>
              <w:rPr>
                <w:rFonts w:hint="eastAsia" w:cs="宋体"/>
                <w:color w:val="000000"/>
                <w:sz w:val="24"/>
                <w:szCs w:val="24"/>
              </w:rPr>
              <w:t>～</w:t>
            </w:r>
            <w:r>
              <w:rPr>
                <w:color w:val="000000"/>
                <w:sz w:val="24"/>
                <w:szCs w:val="24"/>
              </w:rPr>
              <w:t>200</w:t>
            </w:r>
            <w:r>
              <w:rPr>
                <w:rFonts w:hint="eastAsia" w:cs="宋体"/>
                <w:color w:val="000000"/>
                <w:sz w:val="24"/>
                <w:szCs w:val="24"/>
              </w:rPr>
              <w:t>，相对密度（空气＝</w:t>
            </w:r>
            <w:r>
              <w:rPr>
                <w:color w:val="000000"/>
                <w:sz w:val="24"/>
                <w:szCs w:val="24"/>
              </w:rPr>
              <w:t>1</w:t>
            </w:r>
            <w:r>
              <w:rPr>
                <w:rFonts w:hint="eastAsia" w:cs="宋体"/>
                <w:color w:val="000000"/>
                <w:sz w:val="24"/>
                <w:szCs w:val="24"/>
              </w:rPr>
              <w:t>）</w:t>
            </w:r>
            <w:r>
              <w:rPr>
                <w:color w:val="000000"/>
                <w:sz w:val="24"/>
                <w:szCs w:val="24"/>
              </w:rPr>
              <w:t>3.5</w:t>
            </w:r>
            <w:r>
              <w:rPr>
                <w:rFonts w:hint="eastAsia" w:cs="宋体"/>
                <w:color w:val="000000"/>
                <w:sz w:val="24"/>
                <w:szCs w:val="24"/>
              </w:rPr>
              <w:t>，极易燃，闪点为－</w:t>
            </w:r>
            <w:r>
              <w:rPr>
                <w:color w:val="000000"/>
                <w:sz w:val="24"/>
                <w:szCs w:val="24"/>
              </w:rPr>
              <w:t>50</w:t>
            </w:r>
            <w:r>
              <w:rPr>
                <w:rFonts w:hint="eastAsia" w:ascii="宋体" w:hAnsi="宋体" w:cs="宋体"/>
                <w:color w:val="000000"/>
                <w:sz w:val="24"/>
                <w:szCs w:val="24"/>
              </w:rPr>
              <w:t>℃</w:t>
            </w:r>
            <w:r>
              <w:rPr>
                <w:rFonts w:hint="eastAsia" w:cs="宋体"/>
                <w:color w:val="000000"/>
                <w:sz w:val="24"/>
                <w:szCs w:val="24"/>
              </w:rPr>
              <w:t>，</w:t>
            </w:r>
          </w:p>
          <w:p>
            <w:pPr>
              <w:spacing w:line="360" w:lineRule="auto"/>
              <w:rPr>
                <w:color w:val="000000"/>
                <w:sz w:val="24"/>
                <w:szCs w:val="24"/>
              </w:rPr>
            </w:pPr>
            <w:r>
              <w:rPr>
                <w:rFonts w:hint="eastAsia" w:cs="宋体"/>
                <w:color w:val="000000"/>
                <w:sz w:val="24"/>
                <w:szCs w:val="24"/>
              </w:rPr>
              <w:t>爆炸极限：</w:t>
            </w:r>
            <w:r>
              <w:rPr>
                <w:color w:val="000000"/>
                <w:sz w:val="24"/>
                <w:szCs w:val="24"/>
              </w:rPr>
              <w:t>1.3</w:t>
            </w:r>
            <w:r>
              <w:rPr>
                <w:rFonts w:hint="eastAsia" w:cs="宋体"/>
                <w:color w:val="000000"/>
                <w:sz w:val="24"/>
                <w:szCs w:val="24"/>
              </w:rPr>
              <w:t>～</w:t>
            </w:r>
            <w:r>
              <w:rPr>
                <w:color w:val="000000"/>
                <w:sz w:val="24"/>
                <w:szCs w:val="24"/>
              </w:rPr>
              <w:t>6.0</w:t>
            </w:r>
            <w:r>
              <w:rPr>
                <w:rFonts w:hint="eastAsia" w:cs="宋体"/>
                <w:color w:val="000000"/>
                <w:sz w:val="24"/>
                <w:szCs w:val="24"/>
              </w:rPr>
              <w:t>％，火灾危险性为甲</w:t>
            </w:r>
            <w:r>
              <w:rPr>
                <w:color w:val="000000"/>
                <w:sz w:val="24"/>
                <w:szCs w:val="24"/>
              </w:rPr>
              <w:t> B</w:t>
            </w:r>
            <w:r>
              <w:rPr>
                <w:rFonts w:hint="eastAsia" w:cs="宋体"/>
                <w:color w:val="000000"/>
                <w:sz w:val="24"/>
                <w:szCs w:val="24"/>
              </w:rPr>
              <w:t>。其蒸气与空气能形成爆炸性混合物，遇明火、高热易引起燃烧爆炸，与氧化剂接触能发生强烈反应。蒸气比空气重，能在较低</w:t>
            </w:r>
          </w:p>
          <w:p>
            <w:pPr>
              <w:spacing w:line="360" w:lineRule="auto"/>
              <w:rPr>
                <w:color w:val="000000"/>
                <w:sz w:val="24"/>
                <w:szCs w:val="24"/>
              </w:rPr>
            </w:pPr>
            <w:r>
              <w:rPr>
                <w:rFonts w:hint="eastAsia" w:cs="宋体"/>
                <w:color w:val="000000"/>
                <w:sz w:val="24"/>
                <w:szCs w:val="24"/>
              </w:rPr>
              <w:t>处扩散到相当远的地方，遇明火会引起回燃。若遇高热，容器内压增大，有开裂和爆</w:t>
            </w:r>
          </w:p>
          <w:p>
            <w:pPr>
              <w:spacing w:line="360" w:lineRule="auto"/>
              <w:rPr>
                <w:color w:val="000000"/>
                <w:sz w:val="24"/>
                <w:szCs w:val="24"/>
              </w:rPr>
            </w:pPr>
            <w:r>
              <w:rPr>
                <w:rFonts w:hint="eastAsia" w:cs="宋体"/>
                <w:color w:val="000000"/>
                <w:sz w:val="24"/>
                <w:szCs w:val="24"/>
              </w:rPr>
              <w:t>炸的危险。</w:t>
            </w:r>
          </w:p>
          <w:p>
            <w:pPr>
              <w:spacing w:line="360" w:lineRule="auto"/>
              <w:rPr>
                <w:color w:val="000000"/>
                <w:sz w:val="24"/>
                <w:szCs w:val="24"/>
              </w:rPr>
            </w:pPr>
            <w:r>
              <w:rPr>
                <w:color w:val="000000"/>
                <w:sz w:val="24"/>
                <w:szCs w:val="24"/>
              </w:rPr>
              <w:t xml:space="preserve">    </w:t>
            </w:r>
            <w:r>
              <w:rPr>
                <w:rFonts w:hint="eastAsia" w:cs="宋体"/>
                <w:color w:val="000000"/>
                <w:sz w:val="24"/>
                <w:szCs w:val="24"/>
              </w:rPr>
              <w:t>柴油：分子式为</w:t>
            </w:r>
            <w:r>
              <w:rPr>
                <w:color w:val="000000"/>
                <w:sz w:val="24"/>
                <w:szCs w:val="24"/>
              </w:rPr>
              <w:t> C</w:t>
            </w:r>
            <w:r>
              <w:rPr>
                <w:color w:val="000000"/>
                <w:sz w:val="24"/>
                <w:szCs w:val="24"/>
                <w:vertAlign w:val="subscript"/>
              </w:rPr>
              <w:t>4</w:t>
            </w:r>
            <w:r>
              <w:rPr>
                <w:color w:val="000000"/>
                <w:sz w:val="24"/>
                <w:szCs w:val="24"/>
              </w:rPr>
              <w:t>H</w:t>
            </w:r>
            <w:r>
              <w:rPr>
                <w:color w:val="000000"/>
                <w:sz w:val="24"/>
                <w:szCs w:val="24"/>
                <w:vertAlign w:val="subscript"/>
              </w:rPr>
              <w:t>1</w:t>
            </w:r>
            <w:r>
              <w:rPr>
                <w:color w:val="000000"/>
                <w:sz w:val="24"/>
                <w:szCs w:val="24"/>
              </w:rPr>
              <w:t>0-C</w:t>
            </w:r>
            <w:r>
              <w:rPr>
                <w:color w:val="000000"/>
                <w:sz w:val="24"/>
                <w:szCs w:val="24"/>
                <w:vertAlign w:val="subscript"/>
              </w:rPr>
              <w:t>12</w:t>
            </w:r>
            <w:r>
              <w:rPr>
                <w:color w:val="000000"/>
                <w:sz w:val="24"/>
                <w:szCs w:val="24"/>
              </w:rPr>
              <w:t>H</w:t>
            </w:r>
            <w:r>
              <w:rPr>
                <w:color w:val="000000"/>
                <w:sz w:val="24"/>
                <w:szCs w:val="24"/>
                <w:vertAlign w:val="subscript"/>
              </w:rPr>
              <w:t>26</w:t>
            </w:r>
            <w:r>
              <w:rPr>
                <w:rFonts w:hint="eastAsia" w:cs="宋体"/>
                <w:color w:val="000000"/>
                <w:sz w:val="24"/>
                <w:szCs w:val="24"/>
              </w:rPr>
              <w:t>，主要是由烷烃、烯烃、环烷烃、芳香烃、多环芳烃与少量硫</w:t>
            </w:r>
            <w:r>
              <w:rPr>
                <w:color w:val="000000"/>
                <w:sz w:val="24"/>
                <w:szCs w:val="24"/>
              </w:rPr>
              <w:t>(2</w:t>
            </w:r>
            <w:r>
              <w:rPr>
                <w:rFonts w:hint="eastAsia" w:cs="宋体"/>
                <w:color w:val="000000"/>
                <w:sz w:val="24"/>
                <w:szCs w:val="24"/>
              </w:rPr>
              <w:t>～</w:t>
            </w:r>
            <w:r>
              <w:rPr>
                <w:color w:val="000000"/>
                <w:sz w:val="24"/>
                <w:szCs w:val="24"/>
              </w:rPr>
              <w:t>60g/kg)</w:t>
            </w:r>
            <w:r>
              <w:rPr>
                <w:rFonts w:hint="eastAsia" w:cs="宋体"/>
                <w:color w:val="000000"/>
                <w:sz w:val="24"/>
                <w:szCs w:val="24"/>
              </w:rPr>
              <w:t>、氮</w:t>
            </w:r>
            <w:r>
              <w:rPr>
                <w:color w:val="000000"/>
                <w:sz w:val="24"/>
                <w:szCs w:val="24"/>
              </w:rPr>
              <w:t>(&lt;1g/kg)</w:t>
            </w:r>
            <w:r>
              <w:rPr>
                <w:rFonts w:hint="eastAsia" w:cs="宋体"/>
                <w:color w:val="000000"/>
                <w:sz w:val="24"/>
                <w:szCs w:val="24"/>
              </w:rPr>
              <w:t>及添加剂组成的混合物。性状：稍有粘性的淡黄色至棕色液体。不溶于水。熔点：-</w:t>
            </w:r>
            <w:r>
              <w:rPr>
                <w:color w:val="000000"/>
                <w:sz w:val="24"/>
                <w:szCs w:val="24"/>
              </w:rPr>
              <w:t>29.56</w:t>
            </w:r>
            <w:r>
              <w:rPr>
                <w:rFonts w:hint="eastAsia" w:ascii="宋体" w:hAnsi="宋体" w:cs="宋体"/>
                <w:color w:val="000000"/>
                <w:sz w:val="24"/>
                <w:szCs w:val="24"/>
              </w:rPr>
              <w:t>℃</w:t>
            </w:r>
            <w:r>
              <w:rPr>
                <w:rFonts w:hint="eastAsia" w:cs="宋体"/>
                <w:color w:val="000000"/>
                <w:sz w:val="24"/>
                <w:szCs w:val="24"/>
              </w:rPr>
              <w:t>，相对密度：（水＝</w:t>
            </w:r>
            <w:r>
              <w:rPr>
                <w:color w:val="000000"/>
                <w:sz w:val="24"/>
                <w:szCs w:val="24"/>
              </w:rPr>
              <w:t>1</w:t>
            </w:r>
            <w:r>
              <w:rPr>
                <w:rFonts w:hint="eastAsia" w:cs="宋体"/>
                <w:color w:val="000000"/>
                <w:sz w:val="24"/>
                <w:szCs w:val="24"/>
              </w:rPr>
              <w:t>）</w:t>
            </w:r>
            <w:r>
              <w:rPr>
                <w:color w:val="000000"/>
                <w:sz w:val="24"/>
                <w:szCs w:val="24"/>
              </w:rPr>
              <w:t>0.87</w:t>
            </w:r>
            <w:r>
              <w:rPr>
                <w:rFonts w:hint="eastAsia" w:cs="宋体"/>
                <w:color w:val="000000"/>
                <w:sz w:val="24"/>
                <w:szCs w:val="24"/>
              </w:rPr>
              <w:t>～</w:t>
            </w:r>
            <w:r>
              <w:rPr>
                <w:color w:val="000000"/>
                <w:sz w:val="24"/>
                <w:szCs w:val="24"/>
              </w:rPr>
              <w:t>0.90</w:t>
            </w:r>
            <w:r>
              <w:rPr>
                <w:rFonts w:hint="eastAsia" w:cs="宋体"/>
                <w:color w:val="000000"/>
                <w:sz w:val="24"/>
                <w:szCs w:val="24"/>
              </w:rPr>
              <w:t>，沸点</w:t>
            </w:r>
            <w:r>
              <w:rPr>
                <w:color w:val="000000"/>
                <w:sz w:val="24"/>
                <w:szCs w:val="24"/>
              </w:rPr>
              <w:t>/</w:t>
            </w:r>
            <w:r>
              <w:rPr>
                <w:rFonts w:hint="eastAsia" w:ascii="宋体" w:hAnsi="宋体" w:cs="宋体"/>
                <w:color w:val="000000"/>
                <w:sz w:val="24"/>
                <w:szCs w:val="24"/>
              </w:rPr>
              <w:t>℃</w:t>
            </w:r>
            <w:r>
              <w:rPr>
                <w:rFonts w:hint="eastAsia" w:cs="宋体"/>
                <w:color w:val="000000"/>
                <w:sz w:val="24"/>
                <w:szCs w:val="24"/>
              </w:rPr>
              <w:t>：</w:t>
            </w:r>
            <w:r>
              <w:rPr>
                <w:color w:val="000000"/>
                <w:sz w:val="24"/>
                <w:szCs w:val="24"/>
              </w:rPr>
              <w:t>180</w:t>
            </w:r>
            <w:r>
              <w:rPr>
                <w:rFonts w:hint="eastAsia" w:cs="宋体"/>
                <w:color w:val="000000"/>
                <w:sz w:val="24"/>
                <w:szCs w:val="24"/>
              </w:rPr>
              <w:t>～</w:t>
            </w:r>
            <w:r>
              <w:rPr>
                <w:color w:val="000000"/>
                <w:sz w:val="24"/>
                <w:szCs w:val="24"/>
              </w:rPr>
              <w:t>370</w:t>
            </w:r>
            <w:r>
              <w:rPr>
                <w:rFonts w:hint="eastAsia" w:ascii="宋体" w:hAnsi="宋体" w:cs="宋体"/>
                <w:color w:val="000000"/>
                <w:sz w:val="24"/>
                <w:szCs w:val="24"/>
              </w:rPr>
              <w:t>℃</w:t>
            </w:r>
            <w:r>
              <w:rPr>
                <w:rFonts w:hint="eastAsia" w:cs="宋体"/>
                <w:color w:val="000000"/>
                <w:sz w:val="24"/>
                <w:szCs w:val="24"/>
              </w:rPr>
              <w:t>，饱和蒸气压：</w:t>
            </w:r>
            <w:r>
              <w:rPr>
                <w:color w:val="000000"/>
                <w:sz w:val="24"/>
                <w:szCs w:val="24"/>
              </w:rPr>
              <w:t>4.0kPa</w:t>
            </w:r>
            <w:r>
              <w:rPr>
                <w:rFonts w:hint="eastAsia" w:cs="宋体"/>
                <w:color w:val="000000"/>
                <w:sz w:val="24"/>
                <w:szCs w:val="24"/>
              </w:rPr>
              <w:t>，易燃，闪点</w:t>
            </w:r>
            <w:r>
              <w:rPr>
                <w:color w:val="000000"/>
                <w:sz w:val="24"/>
                <w:szCs w:val="24"/>
              </w:rPr>
              <w:t> 40</w:t>
            </w:r>
            <w:r>
              <w:rPr>
                <w:rFonts w:hint="eastAsia" w:ascii="宋体" w:hAnsi="宋体" w:cs="宋体"/>
                <w:color w:val="000000"/>
                <w:sz w:val="24"/>
                <w:szCs w:val="24"/>
              </w:rPr>
              <w:t>℃</w:t>
            </w:r>
            <w:r>
              <w:rPr>
                <w:rFonts w:hint="eastAsia" w:cs="宋体"/>
                <w:color w:val="000000"/>
                <w:sz w:val="24"/>
                <w:szCs w:val="24"/>
              </w:rPr>
              <w:t>，爆炸极限</w:t>
            </w:r>
            <w:r>
              <w:rPr>
                <w:color w:val="000000"/>
                <w:sz w:val="24"/>
                <w:szCs w:val="24"/>
              </w:rPr>
              <w:t> 1.5</w:t>
            </w:r>
            <w:r>
              <w:rPr>
                <w:rFonts w:hint="eastAsia" w:cs="宋体"/>
                <w:color w:val="000000"/>
                <w:sz w:val="24"/>
                <w:szCs w:val="24"/>
              </w:rPr>
              <w:t>～</w:t>
            </w:r>
            <w:r>
              <w:rPr>
                <w:color w:val="000000"/>
                <w:sz w:val="24"/>
                <w:szCs w:val="24"/>
              </w:rPr>
              <w:t>4.5%</w:t>
            </w:r>
            <w:r>
              <w:rPr>
                <w:rFonts w:hint="eastAsia" w:cs="宋体"/>
                <w:color w:val="000000"/>
                <w:sz w:val="24"/>
                <w:szCs w:val="24"/>
              </w:rPr>
              <w:t>，引燃温度</w:t>
            </w:r>
            <w:r>
              <w:rPr>
                <w:color w:val="000000"/>
                <w:sz w:val="24"/>
                <w:szCs w:val="24"/>
              </w:rPr>
              <w:t>/</w:t>
            </w:r>
            <w:r>
              <w:rPr>
                <w:rFonts w:hint="eastAsia" w:ascii="宋体" w:hAnsi="宋体" w:cs="宋体"/>
                <w:color w:val="000000"/>
                <w:sz w:val="24"/>
                <w:szCs w:val="24"/>
              </w:rPr>
              <w:t>℃</w:t>
            </w:r>
            <w:r>
              <w:rPr>
                <w:color w:val="000000"/>
                <w:sz w:val="24"/>
                <w:szCs w:val="24"/>
              </w:rPr>
              <w:t> 227</w:t>
            </w:r>
            <w:r>
              <w:rPr>
                <w:rFonts w:hint="eastAsia" w:cs="宋体"/>
                <w:color w:val="000000"/>
                <w:sz w:val="24"/>
                <w:szCs w:val="24"/>
              </w:rPr>
              <w:t>～</w:t>
            </w:r>
            <w:r>
              <w:rPr>
                <w:color w:val="000000"/>
                <w:sz w:val="24"/>
                <w:szCs w:val="24"/>
              </w:rPr>
              <w:t>250</w:t>
            </w:r>
            <w:r>
              <w:rPr>
                <w:rFonts w:hint="eastAsia" w:ascii="宋体" w:hAnsi="宋体" w:cs="宋体"/>
                <w:color w:val="000000"/>
                <w:sz w:val="24"/>
                <w:szCs w:val="24"/>
              </w:rPr>
              <w:t>℃</w:t>
            </w:r>
            <w:r>
              <w:rPr>
                <w:rFonts w:hint="eastAsia" w:cs="宋体"/>
                <w:color w:val="000000"/>
                <w:sz w:val="24"/>
                <w:szCs w:val="24"/>
              </w:rPr>
              <w:t>，火灾危险性：乙</w:t>
            </w:r>
            <w:r>
              <w:rPr>
                <w:color w:val="000000"/>
                <w:sz w:val="24"/>
                <w:szCs w:val="24"/>
              </w:rPr>
              <w:t> B</w:t>
            </w:r>
            <w:r>
              <w:rPr>
                <w:rFonts w:hint="eastAsia" w:cs="宋体"/>
                <w:color w:val="000000"/>
                <w:sz w:val="24"/>
                <w:szCs w:val="24"/>
              </w:rPr>
              <w:t>，遇明火、高热或与氧化剂接触能引起燃烧爆炸，若遇高热，容器内压增大，有开裂和爆炸的危险。可蓄积静电，引起电火花。</w:t>
            </w:r>
          </w:p>
          <w:p>
            <w:pPr>
              <w:pStyle w:val="5"/>
              <w:spacing w:beforeLines="50"/>
              <w:ind w:left="578" w:hanging="578"/>
            </w:pPr>
            <w:r>
              <w:t>总平面布置</w:t>
            </w:r>
            <w:r>
              <w:rPr>
                <w:rFonts w:hint="eastAsia"/>
              </w:rPr>
              <w:t xml:space="preserve"> </w:t>
            </w:r>
          </w:p>
          <w:p>
            <w:pPr>
              <w:adjustRightInd w:val="0"/>
              <w:snapToGrid w:val="0"/>
              <w:spacing w:line="360" w:lineRule="auto"/>
              <w:ind w:firstLine="480" w:firstLineChars="200"/>
              <w:rPr>
                <w:sz w:val="24"/>
              </w:rPr>
            </w:pPr>
            <w:r>
              <w:rPr>
                <w:rFonts w:hint="eastAsia"/>
                <w:sz w:val="24"/>
              </w:rPr>
              <w:t>项目</w:t>
            </w:r>
            <w:r>
              <w:rPr>
                <w:sz w:val="24"/>
              </w:rPr>
              <w:t>位于</w:t>
            </w:r>
            <w:r>
              <w:rPr>
                <w:rFonts w:hint="eastAsia" w:hAnsiTheme="minorEastAsia"/>
                <w:sz w:val="24"/>
                <w:szCs w:val="24"/>
              </w:rPr>
              <w:t>湘阴县杨林寨乡东合港村三组，站区东侧临县道，西侧为农田，南北两侧均为东合港村居民点</w:t>
            </w:r>
            <w:r>
              <w:rPr>
                <w:sz w:val="24"/>
              </w:rPr>
              <w:t>。</w:t>
            </w:r>
            <w:r>
              <w:rPr>
                <w:rFonts w:hint="eastAsia"/>
                <w:sz w:val="24"/>
              </w:rPr>
              <w:t>本站区罩棚下设3台加油机，西侧为站房，站房后为油罐区，</w:t>
            </w:r>
            <w:r>
              <w:rPr>
                <w:rFonts w:hint="eastAsia"/>
                <w:kern w:val="0"/>
                <w:sz w:val="24"/>
                <w:szCs w:val="24"/>
              </w:rPr>
              <w:t>监测井设置于油罐区北侧，</w:t>
            </w:r>
            <w:r>
              <w:rPr>
                <w:rFonts w:hint="eastAsia"/>
                <w:sz w:val="24"/>
              </w:rPr>
              <w:t>北侧为辅助用房，消防沙及消防用具设置于站区南侧，</w:t>
            </w:r>
            <w:r>
              <w:rPr>
                <w:rFonts w:hint="eastAsia"/>
                <w:kern w:val="0"/>
                <w:sz w:val="24"/>
                <w:szCs w:val="24"/>
              </w:rPr>
              <w:t>化粪池设置于站房西侧，</w:t>
            </w:r>
            <w:r>
              <w:rPr>
                <w:rFonts w:hint="eastAsia"/>
                <w:sz w:val="24"/>
              </w:rPr>
              <w:t>站区在出口处设置有洗车棚，</w:t>
            </w:r>
            <w:r>
              <w:rPr>
                <w:rFonts w:hint="eastAsia"/>
                <w:kern w:val="0"/>
                <w:sz w:val="24"/>
                <w:szCs w:val="24"/>
              </w:rPr>
              <w:t>隔油池及沉淀池设置于洗车棚东侧，</w:t>
            </w:r>
            <w:r>
              <w:rPr>
                <w:kern w:val="0"/>
                <w:sz w:val="24"/>
                <w:szCs w:val="24"/>
              </w:rPr>
              <w:t>加油站</w:t>
            </w:r>
            <w:r>
              <w:rPr>
                <w:rFonts w:hint="eastAsia"/>
                <w:kern w:val="0"/>
                <w:sz w:val="24"/>
                <w:szCs w:val="24"/>
              </w:rPr>
              <w:t>罩</w:t>
            </w:r>
            <w:r>
              <w:rPr>
                <w:kern w:val="0"/>
                <w:sz w:val="24"/>
                <w:szCs w:val="24"/>
              </w:rPr>
              <w:t>棚设置在</w:t>
            </w:r>
            <w:r>
              <w:rPr>
                <w:rFonts w:hint="eastAsia"/>
                <w:kern w:val="0"/>
                <w:sz w:val="24"/>
                <w:szCs w:val="24"/>
              </w:rPr>
              <w:t>东侧靠近道路，在</w:t>
            </w:r>
            <w:r>
              <w:rPr>
                <w:kern w:val="0"/>
                <w:sz w:val="24"/>
                <w:szCs w:val="24"/>
              </w:rPr>
              <w:t>南、北侧</w:t>
            </w:r>
            <w:r>
              <w:rPr>
                <w:rFonts w:hint="eastAsia"/>
                <w:kern w:val="0"/>
                <w:sz w:val="24"/>
                <w:szCs w:val="24"/>
              </w:rPr>
              <w:t>分设</w:t>
            </w:r>
            <w:r>
              <w:rPr>
                <w:kern w:val="0"/>
                <w:sz w:val="24"/>
                <w:szCs w:val="24"/>
              </w:rPr>
              <w:t>入口</w:t>
            </w:r>
            <w:r>
              <w:rPr>
                <w:rFonts w:hint="eastAsia"/>
                <w:kern w:val="0"/>
                <w:sz w:val="24"/>
                <w:szCs w:val="24"/>
              </w:rPr>
              <w:t>和</w:t>
            </w:r>
            <w:r>
              <w:rPr>
                <w:kern w:val="0"/>
                <w:sz w:val="24"/>
                <w:szCs w:val="24"/>
              </w:rPr>
              <w:t>出口</w:t>
            </w:r>
            <w:r>
              <w:rPr>
                <w:rFonts w:hint="eastAsia"/>
                <w:kern w:val="0"/>
                <w:sz w:val="24"/>
                <w:szCs w:val="24"/>
              </w:rPr>
              <w:t>，有指示牌引导车辆进站加油；</w:t>
            </w:r>
            <w:r>
              <w:rPr>
                <w:kern w:val="0"/>
                <w:sz w:val="24"/>
                <w:szCs w:val="24"/>
              </w:rPr>
              <w:t>根据</w:t>
            </w:r>
            <w:r>
              <w:rPr>
                <w:color w:val="000000"/>
                <w:kern w:val="0"/>
                <w:sz w:val="24"/>
              </w:rPr>
              <w:t>《加油站设计与施工规范》（GB50156-2012）</w:t>
            </w:r>
            <w:r>
              <w:rPr>
                <w:kern w:val="0"/>
                <w:sz w:val="24"/>
                <w:szCs w:val="24"/>
              </w:rPr>
              <w:t>的要求，该加油站内</w:t>
            </w:r>
            <w:r>
              <w:rPr>
                <w:rFonts w:hint="eastAsia" w:ascii="宋体" w:hAnsi="宋体"/>
                <w:color w:val="000000"/>
                <w:sz w:val="24"/>
                <w:szCs w:val="24"/>
              </w:rPr>
              <w:t>硬化地面为水泥混凝土地面，</w:t>
            </w:r>
            <w:r>
              <w:rPr>
                <w:kern w:val="0"/>
                <w:sz w:val="24"/>
                <w:szCs w:val="24"/>
              </w:rPr>
              <w:t>符合相关要求</w:t>
            </w:r>
            <w:r>
              <w:rPr>
                <w:rFonts w:hint="eastAsia"/>
                <w:kern w:val="0"/>
                <w:sz w:val="24"/>
                <w:szCs w:val="24"/>
              </w:rPr>
              <w:t>，</w:t>
            </w:r>
            <w:r>
              <w:rPr>
                <w:rFonts w:hint="eastAsia" w:ascii="宋体" w:hAnsi="宋体"/>
                <w:color w:val="000000"/>
                <w:sz w:val="24"/>
                <w:szCs w:val="24"/>
              </w:rPr>
              <w:t>总平面布置图符合防火规范及监察部门有关规定。</w:t>
            </w:r>
            <w:r>
              <w:rPr>
                <w:rFonts w:hint="eastAsia"/>
                <w:sz w:val="24"/>
              </w:rPr>
              <w:t>项目平面布置图见附图2</w:t>
            </w:r>
            <w:r>
              <w:rPr>
                <w:sz w:val="24"/>
              </w:rPr>
              <w:t>。</w:t>
            </w:r>
          </w:p>
          <w:p>
            <w:pPr>
              <w:pStyle w:val="5"/>
              <w:spacing w:beforeLines="50"/>
              <w:ind w:left="578" w:hanging="578"/>
            </w:pPr>
            <w:r>
              <w:t>公用工程</w:t>
            </w:r>
          </w:p>
          <w:p>
            <w:pPr>
              <w:pStyle w:val="6"/>
              <w:rPr>
                <w:u w:val="single"/>
              </w:rPr>
            </w:pPr>
            <w:r>
              <w:rPr>
                <w:u w:val="single"/>
              </w:rPr>
              <w:t>给排水</w:t>
            </w:r>
          </w:p>
          <w:p>
            <w:pPr>
              <w:adjustRightInd w:val="0"/>
              <w:snapToGrid w:val="0"/>
              <w:spacing w:line="360" w:lineRule="auto"/>
              <w:ind w:firstLine="480" w:firstLineChars="200"/>
              <w:jc w:val="left"/>
              <w:rPr>
                <w:sz w:val="24"/>
                <w:u w:val="single"/>
              </w:rPr>
            </w:pPr>
            <w:r>
              <w:rPr>
                <w:sz w:val="24"/>
                <w:u w:val="single"/>
              </w:rPr>
              <w:t>（1）给水</w:t>
            </w:r>
          </w:p>
          <w:p>
            <w:pPr>
              <w:spacing w:line="360" w:lineRule="auto"/>
              <w:ind w:firstLine="496" w:firstLineChars="200"/>
              <w:rPr>
                <w:spacing w:val="4"/>
                <w:sz w:val="24"/>
                <w:u w:val="single"/>
              </w:rPr>
            </w:pPr>
            <w:r>
              <w:rPr>
                <w:spacing w:val="4"/>
                <w:sz w:val="24"/>
                <w:u w:val="single"/>
              </w:rPr>
              <w:t>项目用水主要为员工生活用水、公共卫生间用水、站内设备及地面卫生用水。本项目给水采用</w:t>
            </w:r>
            <w:r>
              <w:rPr>
                <w:rFonts w:hint="eastAsia"/>
                <w:spacing w:val="4"/>
                <w:sz w:val="24"/>
                <w:u w:val="single"/>
              </w:rPr>
              <w:t>地下井水供水，</w:t>
            </w:r>
            <w:r>
              <w:rPr>
                <w:spacing w:val="4"/>
                <w:sz w:val="24"/>
                <w:u w:val="single"/>
              </w:rPr>
              <w:t>供水水质、水量均满足项目用水要求。</w:t>
            </w:r>
          </w:p>
          <w:p>
            <w:pPr>
              <w:adjustRightInd w:val="0"/>
              <w:snapToGrid w:val="0"/>
              <w:spacing w:line="360" w:lineRule="auto"/>
              <w:ind w:firstLine="480" w:firstLineChars="200"/>
              <w:jc w:val="left"/>
              <w:rPr>
                <w:sz w:val="24"/>
                <w:u w:val="single"/>
              </w:rPr>
            </w:pPr>
            <w:r>
              <w:rPr>
                <w:sz w:val="24"/>
                <w:u w:val="single"/>
              </w:rPr>
              <w:t>（2）排水</w:t>
            </w:r>
          </w:p>
          <w:p>
            <w:pPr>
              <w:spacing w:line="360" w:lineRule="auto"/>
              <w:ind w:firstLine="480" w:firstLineChars="200"/>
              <w:rPr>
                <w:sz w:val="24"/>
                <w:u w:val="single"/>
              </w:rPr>
            </w:pPr>
            <w:r>
              <w:rPr>
                <w:rFonts w:hint="eastAsia"/>
                <w:sz w:val="24"/>
                <w:u w:val="single"/>
              </w:rPr>
              <w:t>据了解，项目</w:t>
            </w:r>
            <w:r>
              <w:rPr>
                <w:rFonts w:hint="eastAsia"/>
                <w:sz w:val="24"/>
                <w:szCs w:val="24"/>
                <w:u w:val="single"/>
              </w:rPr>
              <w:t>区域为农村地区，为雨污合流的排水方式；但本项目采取了雨水、污水分流的排水系统，</w:t>
            </w:r>
            <w:r>
              <w:rPr>
                <w:bCs/>
                <w:snapToGrid w:val="0"/>
                <w:sz w:val="24"/>
                <w:szCs w:val="24"/>
                <w:u w:val="single"/>
              </w:rPr>
              <w:t>雨水经</w:t>
            </w:r>
            <w:r>
              <w:rPr>
                <w:rFonts w:hint="eastAsia"/>
                <w:bCs/>
                <w:snapToGrid w:val="0"/>
                <w:sz w:val="24"/>
                <w:szCs w:val="24"/>
                <w:u w:val="single"/>
              </w:rPr>
              <w:t>雨水沟收集经沉淀处理后外排至西侧农渠。</w:t>
            </w:r>
            <w:r>
              <w:rPr>
                <w:sz w:val="24"/>
                <w:szCs w:val="24"/>
                <w:u w:val="single"/>
              </w:rPr>
              <w:t>生活污水经站内的化粪池处理</w:t>
            </w:r>
            <w:r>
              <w:rPr>
                <w:rFonts w:hint="eastAsia"/>
                <w:sz w:val="24"/>
                <w:szCs w:val="24"/>
                <w:u w:val="single"/>
              </w:rPr>
              <w:t>后用做农肥</w:t>
            </w:r>
            <w:r>
              <w:rPr>
                <w:kern w:val="0"/>
                <w:sz w:val="24"/>
                <w:szCs w:val="24"/>
                <w:u w:val="single"/>
              </w:rPr>
              <w:t>。</w:t>
            </w:r>
            <w:r>
              <w:rPr>
                <w:rFonts w:hint="eastAsia"/>
                <w:sz w:val="24"/>
                <w:szCs w:val="24"/>
                <w:u w:val="single"/>
              </w:rPr>
              <w:t>洗车废水</w:t>
            </w:r>
            <w:r>
              <w:rPr>
                <w:sz w:val="24"/>
                <w:szCs w:val="24"/>
                <w:u w:val="single"/>
              </w:rPr>
              <w:t>经集水沟收集后经配套设置的隔油池</w:t>
            </w:r>
            <w:r>
              <w:rPr>
                <w:rFonts w:hint="eastAsia"/>
                <w:sz w:val="24"/>
                <w:szCs w:val="24"/>
                <w:u w:val="single"/>
              </w:rPr>
              <w:t>及沉淀池</w:t>
            </w:r>
            <w:r>
              <w:rPr>
                <w:sz w:val="24"/>
                <w:szCs w:val="24"/>
                <w:u w:val="single"/>
              </w:rPr>
              <w:t>处理后</w:t>
            </w:r>
            <w:r>
              <w:rPr>
                <w:rFonts w:hint="eastAsia"/>
                <w:sz w:val="24"/>
                <w:szCs w:val="24"/>
                <w:u w:val="single"/>
              </w:rPr>
              <w:t>回用</w:t>
            </w:r>
            <w:r>
              <w:rPr>
                <w:sz w:val="24"/>
                <w:szCs w:val="24"/>
                <w:u w:val="single"/>
              </w:rPr>
              <w:t>，不外排。</w:t>
            </w:r>
          </w:p>
          <w:p>
            <w:pPr>
              <w:adjustRightInd w:val="0"/>
              <w:snapToGrid w:val="0"/>
              <w:spacing w:line="360" w:lineRule="auto"/>
              <w:ind w:firstLine="480" w:firstLineChars="200"/>
              <w:jc w:val="left"/>
              <w:rPr>
                <w:sz w:val="24"/>
                <w:u w:val="single"/>
              </w:rPr>
            </w:pPr>
            <w:r>
              <w:rPr>
                <w:sz w:val="24"/>
                <w:u w:val="single"/>
              </w:rPr>
              <w:t>项目劳动定员</w:t>
            </w:r>
            <w:r>
              <w:rPr>
                <w:rFonts w:hint="eastAsia"/>
                <w:sz w:val="24"/>
                <w:u w:val="single"/>
              </w:rPr>
              <w:t>4</w:t>
            </w:r>
            <w:r>
              <w:rPr>
                <w:sz w:val="24"/>
                <w:u w:val="single"/>
              </w:rPr>
              <w:t>人，不设置员工食堂，不提供住宿，每日加油车辆约为</w:t>
            </w:r>
            <w:r>
              <w:rPr>
                <w:rFonts w:hint="eastAsia"/>
                <w:sz w:val="24"/>
                <w:u w:val="single"/>
              </w:rPr>
              <w:t>20</w:t>
            </w:r>
            <w:r>
              <w:rPr>
                <w:sz w:val="24"/>
                <w:u w:val="single"/>
              </w:rPr>
              <w:t>辆，进站人数按</w:t>
            </w:r>
            <w:r>
              <w:rPr>
                <w:rFonts w:hint="eastAsia"/>
                <w:sz w:val="24"/>
                <w:u w:val="single"/>
              </w:rPr>
              <w:t>30</w:t>
            </w:r>
            <w:r>
              <w:rPr>
                <w:sz w:val="24"/>
                <w:u w:val="single"/>
              </w:rPr>
              <w:t>人计，根据《湖南省地方标准用水定额》（DB43/T388-2014）及《建筑给排水设计规范》2009版（GB50015-2003）估算项目的用、排水量见下表。</w:t>
            </w:r>
          </w:p>
          <w:p>
            <w:pPr>
              <w:adjustRightInd w:val="0"/>
              <w:snapToGrid w:val="0"/>
              <w:spacing w:line="360" w:lineRule="auto"/>
              <w:ind w:firstLine="480" w:firstLineChars="200"/>
              <w:jc w:val="left"/>
              <w:rPr>
                <w:sz w:val="24"/>
                <w:u w:val="single"/>
              </w:rPr>
            </w:pPr>
            <w:r>
              <w:rPr>
                <w:rFonts w:hint="eastAsia"/>
                <w:sz w:val="24"/>
                <w:u w:val="single"/>
              </w:rPr>
              <w:t>项目给排水</w:t>
            </w:r>
            <w:r>
              <w:rPr>
                <w:sz w:val="24"/>
                <w:u w:val="single"/>
              </w:rPr>
              <w:t>情况详见表1.</w:t>
            </w:r>
            <w:r>
              <w:rPr>
                <w:rFonts w:hint="eastAsia"/>
                <w:sz w:val="24"/>
                <w:u w:val="single"/>
                <w:lang w:val="en-US" w:eastAsia="zh-CN"/>
              </w:rPr>
              <w:t>8</w:t>
            </w:r>
            <w:r>
              <w:rPr>
                <w:sz w:val="24"/>
                <w:u w:val="single"/>
              </w:rPr>
              <w:t>-1</w:t>
            </w:r>
            <w:r>
              <w:rPr>
                <w:rFonts w:hint="eastAsia"/>
                <w:sz w:val="24"/>
                <w:u w:val="single"/>
              </w:rPr>
              <w:t>。</w:t>
            </w:r>
          </w:p>
          <w:p>
            <w:pPr>
              <w:pStyle w:val="41"/>
              <w:rPr>
                <w:b/>
                <w:spacing w:val="4"/>
                <w:sz w:val="24"/>
                <w:szCs w:val="24"/>
                <w:u w:val="single"/>
              </w:rPr>
            </w:pPr>
            <w:r>
              <w:rPr>
                <w:sz w:val="24"/>
                <w:szCs w:val="24"/>
                <w:u w:val="single"/>
              </w:rPr>
              <w:t>表1.</w:t>
            </w:r>
            <w:r>
              <w:rPr>
                <w:rFonts w:hint="eastAsia"/>
                <w:sz w:val="24"/>
                <w:szCs w:val="24"/>
                <w:u w:val="single"/>
                <w:lang w:val="en-US" w:eastAsia="zh-CN"/>
              </w:rPr>
              <w:t>8</w:t>
            </w:r>
            <w:r>
              <w:rPr>
                <w:sz w:val="24"/>
                <w:szCs w:val="24"/>
                <w:u w:val="single"/>
              </w:rPr>
              <w:t>-1   项目给排水一览表</w:t>
            </w:r>
          </w:p>
          <w:tbl>
            <w:tblPr>
              <w:tblStyle w:val="2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685"/>
              <w:gridCol w:w="1134"/>
              <w:gridCol w:w="1641"/>
              <w:gridCol w:w="992"/>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34" w:type="dxa"/>
                  <w:vAlign w:val="center"/>
                </w:tcPr>
                <w:p>
                  <w:pPr>
                    <w:jc w:val="center"/>
                    <w:rPr>
                      <w:szCs w:val="21"/>
                      <w:u w:val="single"/>
                    </w:rPr>
                  </w:pPr>
                  <w:r>
                    <w:rPr>
                      <w:szCs w:val="21"/>
                      <w:u w:val="single"/>
                    </w:rPr>
                    <w:t>项目</w:t>
                  </w:r>
                </w:p>
              </w:tc>
              <w:tc>
                <w:tcPr>
                  <w:tcW w:w="1685" w:type="dxa"/>
                  <w:vAlign w:val="center"/>
                </w:tcPr>
                <w:p>
                  <w:pPr>
                    <w:jc w:val="center"/>
                    <w:rPr>
                      <w:szCs w:val="21"/>
                      <w:u w:val="single"/>
                    </w:rPr>
                  </w:pPr>
                  <w:r>
                    <w:rPr>
                      <w:szCs w:val="21"/>
                      <w:u w:val="single"/>
                    </w:rPr>
                    <w:t>用水量标准</w:t>
                  </w:r>
                </w:p>
              </w:tc>
              <w:tc>
                <w:tcPr>
                  <w:tcW w:w="1134" w:type="dxa"/>
                  <w:vAlign w:val="center"/>
                </w:tcPr>
                <w:p>
                  <w:pPr>
                    <w:jc w:val="center"/>
                    <w:rPr>
                      <w:szCs w:val="21"/>
                      <w:u w:val="single"/>
                    </w:rPr>
                  </w:pPr>
                  <w:r>
                    <w:rPr>
                      <w:szCs w:val="21"/>
                      <w:u w:val="single"/>
                    </w:rPr>
                    <w:t>用水单位数</w:t>
                  </w:r>
                </w:p>
              </w:tc>
              <w:tc>
                <w:tcPr>
                  <w:tcW w:w="1641" w:type="dxa"/>
                  <w:vAlign w:val="center"/>
                </w:tcPr>
                <w:p>
                  <w:pPr>
                    <w:jc w:val="center"/>
                    <w:rPr>
                      <w:szCs w:val="21"/>
                      <w:u w:val="single"/>
                    </w:rPr>
                  </w:pPr>
                  <w:r>
                    <w:rPr>
                      <w:szCs w:val="21"/>
                      <w:u w:val="single"/>
                    </w:rPr>
                    <w:t>用水量（m</w:t>
                  </w:r>
                  <w:r>
                    <w:rPr>
                      <w:szCs w:val="21"/>
                      <w:u w:val="single"/>
                      <w:vertAlign w:val="superscript"/>
                    </w:rPr>
                    <w:t>3</w:t>
                  </w:r>
                  <w:r>
                    <w:rPr>
                      <w:szCs w:val="21"/>
                      <w:u w:val="single"/>
                    </w:rPr>
                    <w:t>/</w:t>
                  </w:r>
                  <w:r>
                    <w:rPr>
                      <w:rFonts w:hint="eastAsia"/>
                      <w:szCs w:val="21"/>
                      <w:u w:val="single"/>
                      <w:lang w:val="en-US" w:eastAsia="zh-CN"/>
                    </w:rPr>
                    <w:t>a</w:t>
                  </w:r>
                  <w:r>
                    <w:rPr>
                      <w:szCs w:val="21"/>
                      <w:u w:val="single"/>
                    </w:rPr>
                    <w:t>）</w:t>
                  </w:r>
                </w:p>
              </w:tc>
              <w:tc>
                <w:tcPr>
                  <w:tcW w:w="992" w:type="dxa"/>
                  <w:vAlign w:val="center"/>
                </w:tcPr>
                <w:p>
                  <w:pPr>
                    <w:jc w:val="center"/>
                    <w:rPr>
                      <w:szCs w:val="21"/>
                      <w:u w:val="single"/>
                    </w:rPr>
                  </w:pPr>
                  <w:r>
                    <w:rPr>
                      <w:rFonts w:hint="eastAsia"/>
                      <w:szCs w:val="21"/>
                      <w:u w:val="single"/>
                      <w:lang w:eastAsia="zh-CN"/>
                    </w:rPr>
                    <w:t>废水</w:t>
                  </w:r>
                  <w:r>
                    <w:rPr>
                      <w:szCs w:val="21"/>
                      <w:u w:val="single"/>
                    </w:rPr>
                    <w:t>量（m</w:t>
                  </w:r>
                  <w:r>
                    <w:rPr>
                      <w:szCs w:val="21"/>
                      <w:u w:val="single"/>
                      <w:vertAlign w:val="superscript"/>
                    </w:rPr>
                    <w:t>3</w:t>
                  </w:r>
                  <w:r>
                    <w:rPr>
                      <w:szCs w:val="21"/>
                      <w:u w:val="single"/>
                    </w:rPr>
                    <w:t>/</w:t>
                  </w:r>
                  <w:r>
                    <w:rPr>
                      <w:rFonts w:hint="eastAsia"/>
                      <w:szCs w:val="21"/>
                      <w:u w:val="single"/>
                      <w:lang w:val="en-US" w:eastAsia="zh-CN"/>
                    </w:rPr>
                    <w:t>a</w:t>
                  </w:r>
                  <w:r>
                    <w:rPr>
                      <w:szCs w:val="21"/>
                      <w:u w:val="single"/>
                    </w:rPr>
                    <w:t>）</w:t>
                  </w:r>
                </w:p>
              </w:tc>
              <w:tc>
                <w:tcPr>
                  <w:tcW w:w="1687" w:type="dxa"/>
                  <w:vAlign w:val="center"/>
                </w:tcPr>
                <w:p>
                  <w:pPr>
                    <w:jc w:val="center"/>
                    <w:rPr>
                      <w:rFonts w:hint="eastAsia"/>
                      <w:szCs w:val="21"/>
                      <w:u w:val="single"/>
                      <w:lang w:eastAsia="zh-CN"/>
                    </w:rPr>
                  </w:pPr>
                  <w:r>
                    <w:rPr>
                      <w:rFonts w:hint="eastAsia"/>
                      <w:szCs w:val="21"/>
                      <w:u w:val="single"/>
                      <w:lang w:eastAsia="zh-CN"/>
                    </w:rPr>
                    <w:t>排水去向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u w:val="single"/>
                    </w:rPr>
                  </w:pPr>
                  <w:r>
                    <w:rPr>
                      <w:szCs w:val="21"/>
                      <w:u w:val="single"/>
                    </w:rPr>
                    <w:t>员工生活用水</w:t>
                  </w:r>
                </w:p>
              </w:tc>
              <w:tc>
                <w:tcPr>
                  <w:tcW w:w="1685" w:type="dxa"/>
                  <w:vAlign w:val="center"/>
                </w:tcPr>
                <w:p>
                  <w:pPr>
                    <w:jc w:val="center"/>
                    <w:rPr>
                      <w:szCs w:val="21"/>
                      <w:u w:val="single"/>
                    </w:rPr>
                  </w:pPr>
                  <w:r>
                    <w:rPr>
                      <w:szCs w:val="21"/>
                      <w:u w:val="single"/>
                    </w:rPr>
                    <w:t>45L/人</w:t>
                  </w:r>
                  <w:r>
                    <w:rPr>
                      <w:rFonts w:hint="eastAsia"/>
                      <w:szCs w:val="21"/>
                      <w:u w:val="single"/>
                    </w:rPr>
                    <w:t>·</w:t>
                  </w:r>
                  <w:r>
                    <w:rPr>
                      <w:szCs w:val="21"/>
                      <w:u w:val="single"/>
                    </w:rPr>
                    <w:t>d</w:t>
                  </w:r>
                </w:p>
              </w:tc>
              <w:tc>
                <w:tcPr>
                  <w:tcW w:w="1134" w:type="dxa"/>
                  <w:vAlign w:val="center"/>
                </w:tcPr>
                <w:p>
                  <w:pPr>
                    <w:jc w:val="center"/>
                    <w:rPr>
                      <w:szCs w:val="21"/>
                      <w:u w:val="single"/>
                    </w:rPr>
                  </w:pPr>
                  <w:r>
                    <w:rPr>
                      <w:rFonts w:hint="eastAsia"/>
                      <w:szCs w:val="21"/>
                      <w:u w:val="single"/>
                    </w:rPr>
                    <w:t>4</w:t>
                  </w:r>
                  <w:r>
                    <w:rPr>
                      <w:szCs w:val="21"/>
                      <w:u w:val="single"/>
                    </w:rPr>
                    <w:t>人</w:t>
                  </w:r>
                </w:p>
              </w:tc>
              <w:tc>
                <w:tcPr>
                  <w:tcW w:w="1641" w:type="dxa"/>
                  <w:vAlign w:val="center"/>
                </w:tcPr>
                <w:p>
                  <w:pPr>
                    <w:jc w:val="center"/>
                    <w:rPr>
                      <w:rFonts w:hint="default" w:eastAsia="宋体"/>
                      <w:szCs w:val="21"/>
                      <w:u w:val="single"/>
                      <w:lang w:val="en-US" w:eastAsia="zh-CN"/>
                    </w:rPr>
                  </w:pPr>
                  <w:r>
                    <w:rPr>
                      <w:rFonts w:hint="eastAsia"/>
                      <w:szCs w:val="21"/>
                      <w:u w:val="single"/>
                      <w:lang w:val="en-US" w:eastAsia="zh-CN"/>
                    </w:rPr>
                    <w:t>65.7</w:t>
                  </w:r>
                </w:p>
              </w:tc>
              <w:tc>
                <w:tcPr>
                  <w:tcW w:w="992" w:type="dxa"/>
                  <w:vAlign w:val="center"/>
                </w:tcPr>
                <w:p>
                  <w:pPr>
                    <w:jc w:val="center"/>
                    <w:rPr>
                      <w:rFonts w:hint="default" w:eastAsia="宋体"/>
                      <w:szCs w:val="21"/>
                      <w:u w:val="single"/>
                      <w:lang w:val="en-US" w:eastAsia="zh-CN"/>
                    </w:rPr>
                  </w:pPr>
                  <w:r>
                    <w:rPr>
                      <w:rFonts w:hint="eastAsia"/>
                      <w:szCs w:val="21"/>
                      <w:u w:val="single"/>
                      <w:lang w:val="en-US" w:eastAsia="zh-CN"/>
                    </w:rPr>
                    <w:t>52.56</w:t>
                  </w:r>
                </w:p>
              </w:tc>
              <w:tc>
                <w:tcPr>
                  <w:tcW w:w="1687" w:type="dxa"/>
                  <w:vAlign w:val="center"/>
                </w:tcPr>
                <w:p>
                  <w:pPr>
                    <w:jc w:val="center"/>
                    <w:rPr>
                      <w:rFonts w:hint="eastAsia" w:eastAsia="宋体"/>
                      <w:szCs w:val="21"/>
                      <w:u w:val="single"/>
                      <w:lang w:val="en-US" w:eastAsia="zh-CN"/>
                    </w:rPr>
                  </w:pPr>
                  <w:r>
                    <w:rPr>
                      <w:rFonts w:hint="eastAsia"/>
                      <w:szCs w:val="21"/>
                      <w:u w:val="single"/>
                      <w:lang w:val="en-US" w:eastAsia="zh-CN"/>
                    </w:rPr>
                    <w:t>经化粪池处理后用作农肥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pacing w:val="-4"/>
                      <w:szCs w:val="21"/>
                      <w:u w:val="single"/>
                    </w:rPr>
                  </w:pPr>
                  <w:r>
                    <w:rPr>
                      <w:spacing w:val="-4"/>
                      <w:szCs w:val="21"/>
                      <w:u w:val="single"/>
                    </w:rPr>
                    <w:t>地面</w:t>
                  </w:r>
                  <w:r>
                    <w:rPr>
                      <w:rFonts w:hint="eastAsia"/>
                      <w:spacing w:val="-4"/>
                      <w:szCs w:val="21"/>
                      <w:u w:val="single"/>
                    </w:rPr>
                    <w:t>清洗</w:t>
                  </w:r>
                  <w:r>
                    <w:rPr>
                      <w:spacing w:val="-4"/>
                      <w:szCs w:val="21"/>
                      <w:u w:val="single"/>
                    </w:rPr>
                    <w:t>用水</w:t>
                  </w:r>
                </w:p>
              </w:tc>
              <w:tc>
                <w:tcPr>
                  <w:tcW w:w="1685" w:type="dxa"/>
                  <w:vAlign w:val="center"/>
                </w:tcPr>
                <w:p>
                  <w:pPr>
                    <w:jc w:val="center"/>
                    <w:rPr>
                      <w:szCs w:val="21"/>
                      <w:u w:val="single"/>
                    </w:rPr>
                  </w:pPr>
                  <w:r>
                    <w:rPr>
                      <w:rFonts w:hint="eastAsia"/>
                      <w:szCs w:val="21"/>
                      <w:u w:val="single"/>
                    </w:rPr>
                    <w:t>2</w:t>
                  </w:r>
                  <w:r>
                    <w:rPr>
                      <w:szCs w:val="21"/>
                      <w:u w:val="single"/>
                    </w:rPr>
                    <w:t>L/m</w:t>
                  </w:r>
                  <w:r>
                    <w:rPr>
                      <w:szCs w:val="21"/>
                      <w:u w:val="single"/>
                      <w:vertAlign w:val="superscript"/>
                    </w:rPr>
                    <w:t>2</w:t>
                  </w:r>
                  <w:r>
                    <w:rPr>
                      <w:szCs w:val="21"/>
                      <w:u w:val="single"/>
                    </w:rPr>
                    <w:t>.次</w:t>
                  </w:r>
                </w:p>
                <w:p>
                  <w:pPr>
                    <w:jc w:val="center"/>
                    <w:rPr>
                      <w:szCs w:val="21"/>
                      <w:u w:val="single"/>
                    </w:rPr>
                  </w:pPr>
                  <w:r>
                    <w:rPr>
                      <w:szCs w:val="21"/>
                      <w:u w:val="single"/>
                    </w:rPr>
                    <w:t>（每周一次）</w:t>
                  </w:r>
                </w:p>
              </w:tc>
              <w:tc>
                <w:tcPr>
                  <w:tcW w:w="1134" w:type="dxa"/>
                  <w:vAlign w:val="center"/>
                </w:tcPr>
                <w:p>
                  <w:pPr>
                    <w:jc w:val="center"/>
                    <w:rPr>
                      <w:szCs w:val="21"/>
                      <w:u w:val="single"/>
                    </w:rPr>
                  </w:pPr>
                  <w:r>
                    <w:rPr>
                      <w:rFonts w:hint="eastAsia"/>
                      <w:u w:val="single"/>
                    </w:rPr>
                    <w:t>156</w:t>
                  </w:r>
                  <w:r>
                    <w:rPr>
                      <w:color w:val="000000"/>
                      <w:u w:val="single"/>
                    </w:rPr>
                    <w:t>m</w:t>
                  </w:r>
                  <w:r>
                    <w:rPr>
                      <w:rFonts w:hint="eastAsia"/>
                      <w:color w:val="000000"/>
                      <w:u w:val="single"/>
                      <w:vertAlign w:val="superscript"/>
                    </w:rPr>
                    <w:t>2</w:t>
                  </w:r>
                </w:p>
              </w:tc>
              <w:tc>
                <w:tcPr>
                  <w:tcW w:w="1641" w:type="dxa"/>
                  <w:vAlign w:val="center"/>
                </w:tcPr>
                <w:p>
                  <w:pPr>
                    <w:pStyle w:val="2"/>
                    <w:rPr>
                      <w:rFonts w:hint="eastAsia"/>
                      <w:szCs w:val="21"/>
                      <w:u w:val="single"/>
                      <w:lang w:val="en-US" w:eastAsia="zh-CN"/>
                    </w:rPr>
                  </w:pPr>
                  <w:r>
                    <w:rPr>
                      <w:rFonts w:hint="eastAsia"/>
                      <w:szCs w:val="21"/>
                      <w:u w:val="single"/>
                      <w:lang w:val="en-US" w:eastAsia="zh-CN"/>
                    </w:rPr>
                    <w:t>2.92（新鲜水）</w:t>
                  </w:r>
                </w:p>
                <w:p>
                  <w:pPr>
                    <w:pStyle w:val="2"/>
                    <w:rPr>
                      <w:rFonts w:hint="default"/>
                      <w:u w:val="single"/>
                      <w:lang w:val="en-US" w:eastAsia="zh-CN"/>
                    </w:rPr>
                  </w:pPr>
                  <w:r>
                    <w:rPr>
                      <w:rFonts w:hint="eastAsia"/>
                      <w:u w:val="single"/>
                      <w:lang w:val="en-US" w:eastAsia="zh-CN"/>
                    </w:rPr>
                    <w:t>11.68（回用水）</w:t>
                  </w:r>
                </w:p>
              </w:tc>
              <w:tc>
                <w:tcPr>
                  <w:tcW w:w="992" w:type="dxa"/>
                  <w:vAlign w:val="center"/>
                </w:tcPr>
                <w:p>
                  <w:pPr>
                    <w:jc w:val="center"/>
                    <w:rPr>
                      <w:szCs w:val="21"/>
                      <w:u w:val="single"/>
                    </w:rPr>
                  </w:pPr>
                  <w:r>
                    <w:rPr>
                      <w:rFonts w:hint="eastAsia"/>
                      <w:szCs w:val="21"/>
                      <w:u w:val="single"/>
                    </w:rPr>
                    <w:t>0</w:t>
                  </w:r>
                </w:p>
              </w:tc>
              <w:tc>
                <w:tcPr>
                  <w:tcW w:w="1687" w:type="dxa"/>
                  <w:vMerge w:val="restart"/>
                  <w:vAlign w:val="center"/>
                </w:tcPr>
                <w:p>
                  <w:pPr>
                    <w:jc w:val="center"/>
                    <w:rPr>
                      <w:rFonts w:hint="eastAsia" w:eastAsia="宋体"/>
                      <w:szCs w:val="21"/>
                      <w:u w:val="single"/>
                      <w:lang w:eastAsia="zh-CN"/>
                    </w:rPr>
                  </w:pPr>
                  <w:r>
                    <w:rPr>
                      <w:rFonts w:hint="eastAsia"/>
                      <w:szCs w:val="21"/>
                      <w:u w:val="single"/>
                      <w:lang w:eastAsia="zh-CN"/>
                    </w:rPr>
                    <w:t>经隔油池及沉淀池处理后回用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pacing w:val="-4"/>
                      <w:szCs w:val="21"/>
                      <w:u w:val="single"/>
                    </w:rPr>
                  </w:pPr>
                  <w:r>
                    <w:rPr>
                      <w:rFonts w:hint="eastAsia"/>
                      <w:spacing w:val="-4"/>
                      <w:szCs w:val="21"/>
                      <w:u w:val="single"/>
                    </w:rPr>
                    <w:t>洗车用水</w:t>
                  </w:r>
                </w:p>
              </w:tc>
              <w:tc>
                <w:tcPr>
                  <w:tcW w:w="1685" w:type="dxa"/>
                  <w:vAlign w:val="center"/>
                </w:tcPr>
                <w:p>
                  <w:pPr>
                    <w:jc w:val="center"/>
                    <w:rPr>
                      <w:szCs w:val="21"/>
                      <w:u w:val="single"/>
                    </w:rPr>
                  </w:pPr>
                  <w:r>
                    <w:rPr>
                      <w:rFonts w:hint="eastAsia"/>
                      <w:szCs w:val="21"/>
                      <w:u w:val="single"/>
                    </w:rPr>
                    <w:t>100</w:t>
                  </w:r>
                  <w:r>
                    <w:rPr>
                      <w:szCs w:val="21"/>
                      <w:u w:val="single"/>
                    </w:rPr>
                    <w:t>L/</w:t>
                  </w:r>
                  <w:r>
                    <w:rPr>
                      <w:rFonts w:hint="eastAsia"/>
                      <w:szCs w:val="21"/>
                      <w:u w:val="single"/>
                    </w:rPr>
                    <w:t>辆</w:t>
                  </w:r>
                </w:p>
              </w:tc>
              <w:tc>
                <w:tcPr>
                  <w:tcW w:w="1134" w:type="dxa"/>
                  <w:vAlign w:val="center"/>
                </w:tcPr>
                <w:p>
                  <w:pPr>
                    <w:jc w:val="center"/>
                    <w:rPr>
                      <w:szCs w:val="21"/>
                      <w:u w:val="single"/>
                    </w:rPr>
                  </w:pPr>
                  <w:r>
                    <w:rPr>
                      <w:rFonts w:hint="eastAsia"/>
                      <w:szCs w:val="21"/>
                      <w:u w:val="single"/>
                    </w:rPr>
                    <w:t>20辆</w:t>
                  </w:r>
                </w:p>
              </w:tc>
              <w:tc>
                <w:tcPr>
                  <w:tcW w:w="1641" w:type="dxa"/>
                  <w:vAlign w:val="center"/>
                </w:tcPr>
                <w:p>
                  <w:pPr>
                    <w:jc w:val="center"/>
                    <w:rPr>
                      <w:rFonts w:hint="default"/>
                      <w:szCs w:val="21"/>
                      <w:u w:val="single"/>
                      <w:lang w:val="en-US" w:eastAsia="zh-CN"/>
                    </w:rPr>
                  </w:pPr>
                  <w:r>
                    <w:rPr>
                      <w:rFonts w:hint="eastAsia"/>
                      <w:szCs w:val="21"/>
                      <w:u w:val="single"/>
                      <w:lang w:val="en-US" w:eastAsia="zh-CN"/>
                    </w:rPr>
                    <w:t>146（新鲜水）</w:t>
                  </w:r>
                </w:p>
                <w:p>
                  <w:pPr>
                    <w:jc w:val="center"/>
                    <w:rPr>
                      <w:rFonts w:hint="default" w:eastAsia="宋体"/>
                      <w:szCs w:val="21"/>
                      <w:u w:val="single"/>
                      <w:lang w:val="en-US" w:eastAsia="zh-CN"/>
                    </w:rPr>
                  </w:pPr>
                  <w:r>
                    <w:rPr>
                      <w:rFonts w:hint="eastAsia"/>
                      <w:szCs w:val="21"/>
                      <w:u w:val="single"/>
                      <w:lang w:val="en-US" w:eastAsia="zh-CN"/>
                    </w:rPr>
                    <w:t>584（回用水）</w:t>
                  </w:r>
                </w:p>
              </w:tc>
              <w:tc>
                <w:tcPr>
                  <w:tcW w:w="992" w:type="dxa"/>
                  <w:vAlign w:val="center"/>
                </w:tcPr>
                <w:p>
                  <w:pPr>
                    <w:jc w:val="center"/>
                    <w:rPr>
                      <w:szCs w:val="21"/>
                      <w:u w:val="single"/>
                    </w:rPr>
                  </w:pPr>
                  <w:r>
                    <w:rPr>
                      <w:rFonts w:hint="eastAsia"/>
                      <w:szCs w:val="21"/>
                      <w:u w:val="single"/>
                    </w:rPr>
                    <w:t>0</w:t>
                  </w:r>
                </w:p>
              </w:tc>
              <w:tc>
                <w:tcPr>
                  <w:tcW w:w="1687" w:type="dxa"/>
                  <w:vMerge w:val="continue"/>
                  <w:vAlign w:val="center"/>
                </w:tcPr>
                <w:p>
                  <w:pPr>
                    <w:jc w:val="center"/>
                    <w:rPr>
                      <w:rFonts w:hint="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u w:val="single"/>
                    </w:rPr>
                  </w:pPr>
                  <w:r>
                    <w:rPr>
                      <w:szCs w:val="21"/>
                      <w:u w:val="single"/>
                    </w:rPr>
                    <w:t>卫生间用水</w:t>
                  </w:r>
                </w:p>
              </w:tc>
              <w:tc>
                <w:tcPr>
                  <w:tcW w:w="1685" w:type="dxa"/>
                  <w:vAlign w:val="center"/>
                </w:tcPr>
                <w:p>
                  <w:pPr>
                    <w:jc w:val="center"/>
                    <w:rPr>
                      <w:szCs w:val="21"/>
                      <w:u w:val="single"/>
                    </w:rPr>
                  </w:pPr>
                  <w:r>
                    <w:rPr>
                      <w:szCs w:val="21"/>
                      <w:u w:val="single"/>
                    </w:rPr>
                    <w:t>20L/人</w:t>
                  </w:r>
                  <w:r>
                    <w:rPr>
                      <w:rFonts w:hint="eastAsia"/>
                      <w:szCs w:val="21"/>
                      <w:u w:val="single"/>
                    </w:rPr>
                    <w:t>·</w:t>
                  </w:r>
                  <w:r>
                    <w:rPr>
                      <w:szCs w:val="21"/>
                      <w:u w:val="single"/>
                    </w:rPr>
                    <w:t>d</w:t>
                  </w:r>
                </w:p>
              </w:tc>
              <w:tc>
                <w:tcPr>
                  <w:tcW w:w="1134" w:type="dxa"/>
                  <w:vAlign w:val="center"/>
                </w:tcPr>
                <w:p>
                  <w:pPr>
                    <w:jc w:val="center"/>
                    <w:rPr>
                      <w:szCs w:val="21"/>
                      <w:u w:val="single"/>
                    </w:rPr>
                  </w:pPr>
                  <w:r>
                    <w:rPr>
                      <w:rFonts w:hint="eastAsia"/>
                      <w:szCs w:val="21"/>
                      <w:u w:val="single"/>
                    </w:rPr>
                    <w:t>30人</w:t>
                  </w:r>
                </w:p>
              </w:tc>
              <w:tc>
                <w:tcPr>
                  <w:tcW w:w="1641" w:type="dxa"/>
                  <w:vAlign w:val="center"/>
                </w:tcPr>
                <w:p>
                  <w:pPr>
                    <w:jc w:val="center"/>
                    <w:rPr>
                      <w:rFonts w:hint="default" w:eastAsia="宋体"/>
                      <w:szCs w:val="21"/>
                      <w:u w:val="single"/>
                      <w:lang w:val="en-US" w:eastAsia="zh-CN"/>
                    </w:rPr>
                  </w:pPr>
                  <w:r>
                    <w:rPr>
                      <w:rFonts w:hint="eastAsia"/>
                      <w:szCs w:val="21"/>
                      <w:u w:val="single"/>
                      <w:lang w:val="en-US" w:eastAsia="zh-CN"/>
                    </w:rPr>
                    <w:t>219</w:t>
                  </w:r>
                </w:p>
              </w:tc>
              <w:tc>
                <w:tcPr>
                  <w:tcW w:w="992" w:type="dxa"/>
                  <w:vAlign w:val="center"/>
                </w:tcPr>
                <w:p>
                  <w:pPr>
                    <w:jc w:val="center"/>
                    <w:rPr>
                      <w:rFonts w:hint="default" w:eastAsia="宋体"/>
                      <w:szCs w:val="21"/>
                      <w:u w:val="single"/>
                      <w:lang w:val="en-US" w:eastAsia="zh-CN"/>
                    </w:rPr>
                  </w:pPr>
                  <w:r>
                    <w:rPr>
                      <w:rFonts w:hint="eastAsia"/>
                      <w:szCs w:val="21"/>
                      <w:u w:val="single"/>
                      <w:lang w:val="en-US" w:eastAsia="zh-CN"/>
                    </w:rPr>
                    <w:t>175.2</w:t>
                  </w:r>
                </w:p>
              </w:tc>
              <w:tc>
                <w:tcPr>
                  <w:tcW w:w="1687" w:type="dxa"/>
                  <w:vAlign w:val="center"/>
                </w:tcPr>
                <w:p>
                  <w:pPr>
                    <w:jc w:val="center"/>
                    <w:rPr>
                      <w:rFonts w:hint="eastAsia"/>
                      <w:szCs w:val="21"/>
                      <w:u w:val="single"/>
                    </w:rPr>
                  </w:pPr>
                  <w:r>
                    <w:rPr>
                      <w:rFonts w:hint="eastAsia"/>
                      <w:szCs w:val="21"/>
                      <w:u w:val="single"/>
                      <w:lang w:val="en-US" w:eastAsia="zh-CN"/>
                    </w:rPr>
                    <w:t>经化粪池处理后用作农肥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u w:val="single"/>
                    </w:rPr>
                  </w:pPr>
                  <w:r>
                    <w:rPr>
                      <w:szCs w:val="21"/>
                      <w:u w:val="single"/>
                    </w:rPr>
                    <w:t>小计</w:t>
                  </w:r>
                </w:p>
              </w:tc>
              <w:tc>
                <w:tcPr>
                  <w:tcW w:w="1685" w:type="dxa"/>
                  <w:vAlign w:val="center"/>
                </w:tcPr>
                <w:p>
                  <w:pPr>
                    <w:jc w:val="center"/>
                    <w:rPr>
                      <w:szCs w:val="21"/>
                      <w:u w:val="single"/>
                    </w:rPr>
                  </w:pPr>
                  <w:r>
                    <w:rPr>
                      <w:rFonts w:hint="eastAsia"/>
                      <w:szCs w:val="21"/>
                      <w:u w:val="single"/>
                    </w:rPr>
                    <w:t>/</w:t>
                  </w:r>
                </w:p>
              </w:tc>
              <w:tc>
                <w:tcPr>
                  <w:tcW w:w="1134" w:type="dxa"/>
                  <w:vAlign w:val="center"/>
                </w:tcPr>
                <w:p>
                  <w:pPr>
                    <w:jc w:val="center"/>
                    <w:rPr>
                      <w:szCs w:val="21"/>
                      <w:u w:val="single"/>
                    </w:rPr>
                  </w:pPr>
                  <w:r>
                    <w:rPr>
                      <w:rFonts w:hint="eastAsia"/>
                      <w:szCs w:val="21"/>
                      <w:u w:val="single"/>
                    </w:rPr>
                    <w:t>/</w:t>
                  </w:r>
                </w:p>
              </w:tc>
              <w:tc>
                <w:tcPr>
                  <w:tcW w:w="1641" w:type="dxa"/>
                  <w:vAlign w:val="center"/>
                </w:tcPr>
                <w:p>
                  <w:pPr>
                    <w:jc w:val="center"/>
                    <w:rPr>
                      <w:rFonts w:hint="eastAsia"/>
                      <w:u w:val="single"/>
                      <w:lang w:val="en-US" w:eastAsia="zh-CN"/>
                    </w:rPr>
                  </w:pPr>
                  <w:r>
                    <w:rPr>
                      <w:rFonts w:hint="eastAsia"/>
                      <w:u w:val="single"/>
                      <w:lang w:val="en-US" w:eastAsia="zh-CN"/>
                    </w:rPr>
                    <w:t>433.62（新鲜水）</w:t>
                  </w:r>
                </w:p>
                <w:p>
                  <w:pPr>
                    <w:pStyle w:val="2"/>
                    <w:rPr>
                      <w:rFonts w:hint="default"/>
                      <w:u w:val="single"/>
                      <w:lang w:val="en-US" w:eastAsia="zh-CN"/>
                    </w:rPr>
                  </w:pPr>
                  <w:r>
                    <w:rPr>
                      <w:rFonts w:hint="eastAsia"/>
                      <w:szCs w:val="21"/>
                      <w:u w:val="single"/>
                      <w:lang w:val="en-US" w:eastAsia="zh-CN"/>
                    </w:rPr>
                    <w:t>595.68（回用水）</w:t>
                  </w:r>
                </w:p>
              </w:tc>
              <w:tc>
                <w:tcPr>
                  <w:tcW w:w="992" w:type="dxa"/>
                  <w:vAlign w:val="center"/>
                </w:tcPr>
                <w:p>
                  <w:pPr>
                    <w:jc w:val="center"/>
                    <w:rPr>
                      <w:rFonts w:hint="default" w:eastAsia="宋体"/>
                      <w:szCs w:val="21"/>
                      <w:u w:val="single"/>
                      <w:lang w:val="en-US" w:eastAsia="zh-CN"/>
                    </w:rPr>
                  </w:pPr>
                  <w:r>
                    <w:rPr>
                      <w:rFonts w:hint="eastAsia"/>
                      <w:szCs w:val="21"/>
                      <w:u w:val="single"/>
                      <w:lang w:val="en-US" w:eastAsia="zh-CN"/>
                    </w:rPr>
                    <w:t>0.624</w:t>
                  </w:r>
                </w:p>
              </w:tc>
              <w:tc>
                <w:tcPr>
                  <w:tcW w:w="1687" w:type="dxa"/>
                  <w:vAlign w:val="center"/>
                </w:tcPr>
                <w:p>
                  <w:pPr>
                    <w:jc w:val="center"/>
                    <w:rPr>
                      <w:rFonts w:hint="eastAsia" w:eastAsia="宋体"/>
                      <w:szCs w:val="21"/>
                      <w:u w:val="single"/>
                      <w:lang w:val="en-US" w:eastAsia="zh-CN"/>
                    </w:rPr>
                  </w:pPr>
                  <w:r>
                    <w:rPr>
                      <w:rFonts w:hint="eastAsia"/>
                      <w:szCs w:val="21"/>
                      <w:u w:val="single"/>
                      <w:lang w:val="en-US" w:eastAsia="zh-CN"/>
                    </w:rPr>
                    <w:t>/</w:t>
                  </w:r>
                </w:p>
              </w:tc>
            </w:tr>
          </w:tbl>
          <w:p>
            <w:pPr>
              <w:adjustRightInd w:val="0"/>
              <w:snapToGrid w:val="0"/>
              <w:spacing w:line="360" w:lineRule="auto"/>
              <w:jc w:val="center"/>
              <w:rPr>
                <w:rFonts w:hint="eastAsia" w:eastAsia="黑体"/>
                <w:sz w:val="24"/>
                <w:lang w:val="en-US" w:eastAsia="zh-CN"/>
              </w:rPr>
            </w:pPr>
            <w:r>
              <w:rPr>
                <w:rFonts w:hint="eastAsia" w:eastAsia="黑体"/>
                <w:sz w:val="24"/>
              </w:rPr>
              <w:t xml:space="preserve"> </w:t>
            </w:r>
          </w:p>
          <w:p>
            <w:pPr>
              <w:pStyle w:val="6"/>
            </w:pPr>
            <w:r>
              <w:t>供电</w:t>
            </w:r>
          </w:p>
          <w:p>
            <w:pPr>
              <w:pStyle w:val="4"/>
              <w:ind w:firstLine="480" w:firstLineChars="0"/>
            </w:pPr>
            <w:r>
              <w:rPr>
                <w:rFonts w:hint="eastAsia"/>
              </w:rPr>
              <w:t>项目用电由农村电网供电</w:t>
            </w:r>
            <w:r>
              <w:t>。</w:t>
            </w:r>
          </w:p>
          <w:p>
            <w:pPr>
              <w:pStyle w:val="6"/>
            </w:pPr>
            <w:r>
              <w:t>油品</w:t>
            </w:r>
            <w:r>
              <w:rPr>
                <w:rFonts w:hint="eastAsia"/>
              </w:rPr>
              <w:t>来源及</w:t>
            </w:r>
            <w:r>
              <w:t>运输</w:t>
            </w:r>
          </w:p>
          <w:p>
            <w:pPr>
              <w:pStyle w:val="4"/>
              <w:ind w:firstLine="496"/>
              <w:rPr>
                <w:spacing w:val="4"/>
              </w:rPr>
            </w:pPr>
            <w:r>
              <w:rPr>
                <w:spacing w:val="4"/>
              </w:rPr>
              <w:t>本加油站油品</w:t>
            </w:r>
            <w:r>
              <w:rPr>
                <w:rFonts w:hint="eastAsia"/>
                <w:spacing w:val="4"/>
              </w:rPr>
              <w:t>来源于</w:t>
            </w:r>
            <w:r>
              <w:rPr>
                <w:rFonts w:hint="eastAsia"/>
              </w:rPr>
              <w:t>长沙霞凝油库</w:t>
            </w:r>
            <w:r>
              <w:rPr>
                <w:rFonts w:hint="eastAsia"/>
                <w:spacing w:val="4"/>
              </w:rPr>
              <w:t>，油品</w:t>
            </w:r>
            <w:r>
              <w:rPr>
                <w:spacing w:val="4"/>
              </w:rPr>
              <w:t>运输采用公路运输，运输任务由专业运输公司承担，全站全年运输情况见下表1.</w:t>
            </w:r>
            <w:r>
              <w:rPr>
                <w:rFonts w:hint="eastAsia"/>
                <w:spacing w:val="4"/>
                <w:lang w:val="en-US" w:eastAsia="zh-CN"/>
              </w:rPr>
              <w:t>8</w:t>
            </w:r>
            <w:r>
              <w:rPr>
                <w:spacing w:val="4"/>
              </w:rPr>
              <w:t>-2。</w:t>
            </w:r>
          </w:p>
          <w:p>
            <w:pPr>
              <w:pStyle w:val="41"/>
              <w:rPr>
                <w:sz w:val="24"/>
                <w:szCs w:val="24"/>
              </w:rPr>
            </w:pPr>
            <w:r>
              <w:rPr>
                <w:rFonts w:hint="eastAsia"/>
                <w:sz w:val="24"/>
                <w:szCs w:val="24"/>
              </w:rPr>
              <w:t>表</w:t>
            </w:r>
            <w:r>
              <w:rPr>
                <w:sz w:val="24"/>
                <w:szCs w:val="24"/>
              </w:rPr>
              <w:t>1.</w:t>
            </w:r>
            <w:r>
              <w:rPr>
                <w:rFonts w:hint="eastAsia"/>
                <w:sz w:val="24"/>
                <w:szCs w:val="24"/>
                <w:lang w:val="en-US" w:eastAsia="zh-CN"/>
              </w:rPr>
              <w:t>8</w:t>
            </w:r>
            <w:r>
              <w:rPr>
                <w:sz w:val="24"/>
                <w:szCs w:val="24"/>
              </w:rPr>
              <w:t>-2  项目全年运输情况表</w:t>
            </w:r>
          </w:p>
          <w:tbl>
            <w:tblPr>
              <w:tblStyle w:val="24"/>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73"/>
              <w:gridCol w:w="1399"/>
              <w:gridCol w:w="1418"/>
              <w:gridCol w:w="1304"/>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dxa"/>
                  <w:shd w:val="clear" w:color="auto" w:fill="auto"/>
                  <w:vAlign w:val="center"/>
                </w:tcPr>
                <w:p>
                  <w:pPr>
                    <w:jc w:val="center"/>
                    <w:rPr>
                      <w:szCs w:val="21"/>
                    </w:rPr>
                  </w:pPr>
                  <w:r>
                    <w:rPr>
                      <w:szCs w:val="21"/>
                    </w:rPr>
                    <w:t>序号</w:t>
                  </w:r>
                </w:p>
              </w:tc>
              <w:tc>
                <w:tcPr>
                  <w:tcW w:w="1673" w:type="dxa"/>
                  <w:shd w:val="clear" w:color="auto" w:fill="auto"/>
                  <w:vAlign w:val="center"/>
                </w:tcPr>
                <w:p>
                  <w:pPr>
                    <w:jc w:val="center"/>
                    <w:rPr>
                      <w:szCs w:val="21"/>
                    </w:rPr>
                  </w:pPr>
                  <w:r>
                    <w:rPr>
                      <w:szCs w:val="21"/>
                    </w:rPr>
                    <w:t>名称</w:t>
                  </w:r>
                </w:p>
              </w:tc>
              <w:tc>
                <w:tcPr>
                  <w:tcW w:w="1399" w:type="dxa"/>
                  <w:shd w:val="clear" w:color="auto" w:fill="auto"/>
                  <w:vAlign w:val="center"/>
                </w:tcPr>
                <w:p>
                  <w:pPr>
                    <w:jc w:val="center"/>
                    <w:rPr>
                      <w:szCs w:val="21"/>
                    </w:rPr>
                  </w:pPr>
                  <w:r>
                    <w:rPr>
                      <w:szCs w:val="21"/>
                    </w:rPr>
                    <w:t>流向</w:t>
                  </w:r>
                </w:p>
              </w:tc>
              <w:tc>
                <w:tcPr>
                  <w:tcW w:w="1418" w:type="dxa"/>
                  <w:shd w:val="clear" w:color="auto" w:fill="auto"/>
                  <w:vAlign w:val="center"/>
                </w:tcPr>
                <w:p>
                  <w:pPr>
                    <w:jc w:val="center"/>
                    <w:rPr>
                      <w:szCs w:val="21"/>
                    </w:rPr>
                  </w:pPr>
                  <w:r>
                    <w:rPr>
                      <w:szCs w:val="21"/>
                    </w:rPr>
                    <w:t>规格</w:t>
                  </w:r>
                </w:p>
              </w:tc>
              <w:tc>
                <w:tcPr>
                  <w:tcW w:w="1304" w:type="dxa"/>
                  <w:shd w:val="clear" w:color="auto" w:fill="auto"/>
                </w:tcPr>
                <w:p>
                  <w:pPr>
                    <w:jc w:val="center"/>
                    <w:rPr>
                      <w:szCs w:val="21"/>
                    </w:rPr>
                  </w:pPr>
                  <w:r>
                    <w:rPr>
                      <w:szCs w:val="21"/>
                    </w:rPr>
                    <w:t>运输方式</w:t>
                  </w:r>
                </w:p>
              </w:tc>
              <w:tc>
                <w:tcPr>
                  <w:tcW w:w="2004" w:type="dxa"/>
                  <w:shd w:val="clear" w:color="auto" w:fill="auto"/>
                  <w:vAlign w:val="center"/>
                </w:tcPr>
                <w:p>
                  <w:pPr>
                    <w:jc w:val="center"/>
                    <w:rPr>
                      <w:szCs w:val="21"/>
                    </w:rPr>
                  </w:pPr>
                  <w:r>
                    <w:rPr>
                      <w:szCs w:val="21"/>
                    </w:rPr>
                    <w:t>运输量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dxa"/>
                  <w:shd w:val="clear" w:color="auto" w:fill="auto"/>
                  <w:vAlign w:val="center"/>
                </w:tcPr>
                <w:p>
                  <w:pPr>
                    <w:jc w:val="center"/>
                    <w:rPr>
                      <w:szCs w:val="21"/>
                    </w:rPr>
                  </w:pPr>
                  <w:bookmarkStart w:id="6" w:name="OLE_LINK12" w:colFirst="1" w:colLast="2"/>
                  <w:bookmarkStart w:id="7" w:name="OLE_LINK11" w:colFirst="4" w:colLast="4"/>
                  <w:r>
                    <w:rPr>
                      <w:szCs w:val="21"/>
                    </w:rPr>
                    <w:t>1</w:t>
                  </w:r>
                </w:p>
              </w:tc>
              <w:tc>
                <w:tcPr>
                  <w:tcW w:w="1673" w:type="dxa"/>
                  <w:shd w:val="clear" w:color="auto" w:fill="auto"/>
                  <w:vAlign w:val="center"/>
                </w:tcPr>
                <w:p>
                  <w:pPr>
                    <w:jc w:val="center"/>
                    <w:rPr>
                      <w:szCs w:val="21"/>
                    </w:rPr>
                  </w:pPr>
                  <w:r>
                    <w:rPr>
                      <w:szCs w:val="21"/>
                    </w:rPr>
                    <w:t>汽油</w:t>
                  </w:r>
                </w:p>
              </w:tc>
              <w:tc>
                <w:tcPr>
                  <w:tcW w:w="1399" w:type="dxa"/>
                  <w:shd w:val="clear" w:color="auto" w:fill="auto"/>
                  <w:vAlign w:val="center"/>
                </w:tcPr>
                <w:p>
                  <w:pPr>
                    <w:jc w:val="center"/>
                    <w:rPr>
                      <w:szCs w:val="21"/>
                    </w:rPr>
                  </w:pPr>
                  <w:r>
                    <w:rPr>
                      <w:szCs w:val="21"/>
                    </w:rPr>
                    <w:t>运入</w:t>
                  </w:r>
                </w:p>
              </w:tc>
              <w:tc>
                <w:tcPr>
                  <w:tcW w:w="1418" w:type="dxa"/>
                  <w:shd w:val="clear" w:color="auto" w:fill="auto"/>
                  <w:vAlign w:val="center"/>
                </w:tcPr>
                <w:p>
                  <w:pPr>
                    <w:jc w:val="center"/>
                    <w:rPr>
                      <w:szCs w:val="21"/>
                    </w:rPr>
                  </w:pPr>
                  <w:r>
                    <w:rPr>
                      <w:szCs w:val="21"/>
                    </w:rPr>
                    <w:t>9</w:t>
                  </w:r>
                  <w:r>
                    <w:rPr>
                      <w:rFonts w:hint="eastAsia"/>
                      <w:szCs w:val="21"/>
                    </w:rPr>
                    <w:t>2</w:t>
                  </w:r>
                  <w:r>
                    <w:rPr>
                      <w:szCs w:val="21"/>
                    </w:rPr>
                    <w:t>#</w:t>
                  </w:r>
                </w:p>
              </w:tc>
              <w:tc>
                <w:tcPr>
                  <w:tcW w:w="1304" w:type="dxa"/>
                  <w:shd w:val="clear" w:color="auto" w:fill="auto"/>
                </w:tcPr>
                <w:p>
                  <w:pPr>
                    <w:jc w:val="center"/>
                    <w:rPr>
                      <w:szCs w:val="21"/>
                    </w:rPr>
                  </w:pPr>
                  <w:r>
                    <w:rPr>
                      <w:szCs w:val="21"/>
                    </w:rPr>
                    <w:t>油罐车</w:t>
                  </w:r>
                </w:p>
              </w:tc>
              <w:tc>
                <w:tcPr>
                  <w:tcW w:w="2004" w:type="dxa"/>
                  <w:shd w:val="clear" w:color="auto" w:fill="auto"/>
                  <w:vAlign w:val="center"/>
                </w:tcPr>
                <w:p>
                  <w:pPr>
                    <w:jc w:val="center"/>
                    <w:rPr>
                      <w:szCs w:val="21"/>
                    </w:rPr>
                  </w:pPr>
                  <w:r>
                    <w:rPr>
                      <w:rFonts w:hint="eastAsia"/>
                      <w:szCs w:val="21"/>
                    </w:rPr>
                    <w:t>200</w:t>
                  </w:r>
                  <w:r>
                    <w:rPr>
                      <w:szCs w:val="21"/>
                    </w:rPr>
                    <w:t>t/a</w:t>
                  </w:r>
                </w:p>
              </w:tc>
            </w:tr>
            <w:bookmarkEnd w:id="6"/>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dxa"/>
                  <w:shd w:val="clear" w:color="auto" w:fill="auto"/>
                  <w:vAlign w:val="center"/>
                </w:tcPr>
                <w:p>
                  <w:pPr>
                    <w:jc w:val="center"/>
                    <w:rPr>
                      <w:szCs w:val="21"/>
                    </w:rPr>
                  </w:pPr>
                  <w:r>
                    <w:rPr>
                      <w:rFonts w:hint="eastAsia"/>
                      <w:szCs w:val="21"/>
                    </w:rPr>
                    <w:t>2</w:t>
                  </w:r>
                </w:p>
              </w:tc>
              <w:tc>
                <w:tcPr>
                  <w:tcW w:w="1673" w:type="dxa"/>
                  <w:shd w:val="clear" w:color="auto" w:fill="auto"/>
                  <w:vAlign w:val="center"/>
                </w:tcPr>
                <w:p>
                  <w:pPr>
                    <w:jc w:val="center"/>
                    <w:rPr>
                      <w:szCs w:val="21"/>
                    </w:rPr>
                  </w:pPr>
                  <w:r>
                    <w:rPr>
                      <w:szCs w:val="21"/>
                    </w:rPr>
                    <w:t>汽油</w:t>
                  </w:r>
                </w:p>
              </w:tc>
              <w:tc>
                <w:tcPr>
                  <w:tcW w:w="1399" w:type="dxa"/>
                  <w:shd w:val="clear" w:color="auto" w:fill="auto"/>
                  <w:vAlign w:val="center"/>
                </w:tcPr>
                <w:p>
                  <w:pPr>
                    <w:jc w:val="center"/>
                    <w:rPr>
                      <w:szCs w:val="21"/>
                    </w:rPr>
                  </w:pPr>
                  <w:r>
                    <w:rPr>
                      <w:szCs w:val="21"/>
                    </w:rPr>
                    <w:t>运入</w:t>
                  </w:r>
                </w:p>
              </w:tc>
              <w:tc>
                <w:tcPr>
                  <w:tcW w:w="1418" w:type="dxa"/>
                  <w:shd w:val="clear" w:color="auto" w:fill="auto"/>
                  <w:vAlign w:val="center"/>
                </w:tcPr>
                <w:p>
                  <w:pPr>
                    <w:jc w:val="center"/>
                    <w:rPr>
                      <w:szCs w:val="21"/>
                    </w:rPr>
                  </w:pPr>
                  <w:r>
                    <w:rPr>
                      <w:szCs w:val="21"/>
                    </w:rPr>
                    <w:t>9</w:t>
                  </w:r>
                  <w:r>
                    <w:rPr>
                      <w:rFonts w:hint="eastAsia"/>
                      <w:szCs w:val="21"/>
                    </w:rPr>
                    <w:t>5</w:t>
                  </w:r>
                  <w:r>
                    <w:rPr>
                      <w:szCs w:val="21"/>
                    </w:rPr>
                    <w:t>#</w:t>
                  </w:r>
                </w:p>
              </w:tc>
              <w:tc>
                <w:tcPr>
                  <w:tcW w:w="1304" w:type="dxa"/>
                  <w:shd w:val="clear" w:color="auto" w:fill="auto"/>
                </w:tcPr>
                <w:p>
                  <w:pPr>
                    <w:jc w:val="center"/>
                    <w:rPr>
                      <w:szCs w:val="21"/>
                    </w:rPr>
                  </w:pPr>
                  <w:r>
                    <w:rPr>
                      <w:szCs w:val="21"/>
                    </w:rPr>
                    <w:t>油罐车</w:t>
                  </w:r>
                </w:p>
              </w:tc>
              <w:tc>
                <w:tcPr>
                  <w:tcW w:w="2004" w:type="dxa"/>
                  <w:shd w:val="clear" w:color="auto" w:fill="auto"/>
                  <w:vAlign w:val="center"/>
                </w:tcPr>
                <w:p>
                  <w:pPr>
                    <w:jc w:val="center"/>
                    <w:rPr>
                      <w:szCs w:val="21"/>
                    </w:rPr>
                  </w:pPr>
                  <w:r>
                    <w:rPr>
                      <w:rFonts w:hint="eastAsia"/>
                      <w:szCs w:val="21"/>
                    </w:rPr>
                    <w:t>30</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dxa"/>
                  <w:shd w:val="clear" w:color="auto" w:fill="auto"/>
                  <w:vAlign w:val="center"/>
                </w:tcPr>
                <w:p>
                  <w:pPr>
                    <w:jc w:val="center"/>
                    <w:rPr>
                      <w:szCs w:val="21"/>
                    </w:rPr>
                  </w:pPr>
                  <w:r>
                    <w:rPr>
                      <w:rFonts w:hint="eastAsia"/>
                      <w:szCs w:val="21"/>
                    </w:rPr>
                    <w:t>3</w:t>
                  </w:r>
                </w:p>
              </w:tc>
              <w:tc>
                <w:tcPr>
                  <w:tcW w:w="1673" w:type="dxa"/>
                  <w:shd w:val="clear" w:color="auto" w:fill="auto"/>
                  <w:vAlign w:val="center"/>
                </w:tcPr>
                <w:p>
                  <w:pPr>
                    <w:jc w:val="center"/>
                    <w:rPr>
                      <w:szCs w:val="21"/>
                    </w:rPr>
                  </w:pPr>
                  <w:r>
                    <w:rPr>
                      <w:szCs w:val="21"/>
                    </w:rPr>
                    <w:t>柴油</w:t>
                  </w:r>
                </w:p>
              </w:tc>
              <w:tc>
                <w:tcPr>
                  <w:tcW w:w="1399" w:type="dxa"/>
                  <w:shd w:val="clear" w:color="auto" w:fill="auto"/>
                  <w:vAlign w:val="center"/>
                </w:tcPr>
                <w:p>
                  <w:pPr>
                    <w:jc w:val="center"/>
                    <w:rPr>
                      <w:szCs w:val="21"/>
                    </w:rPr>
                  </w:pPr>
                  <w:r>
                    <w:rPr>
                      <w:szCs w:val="21"/>
                    </w:rPr>
                    <w:t>运入</w:t>
                  </w:r>
                </w:p>
              </w:tc>
              <w:tc>
                <w:tcPr>
                  <w:tcW w:w="1418" w:type="dxa"/>
                  <w:shd w:val="clear" w:color="auto" w:fill="auto"/>
                  <w:vAlign w:val="center"/>
                </w:tcPr>
                <w:p>
                  <w:pPr>
                    <w:jc w:val="center"/>
                    <w:rPr>
                      <w:szCs w:val="21"/>
                    </w:rPr>
                  </w:pPr>
                  <w:r>
                    <w:rPr>
                      <w:szCs w:val="21"/>
                    </w:rPr>
                    <w:t>0#</w:t>
                  </w:r>
                </w:p>
              </w:tc>
              <w:tc>
                <w:tcPr>
                  <w:tcW w:w="1304" w:type="dxa"/>
                  <w:shd w:val="clear" w:color="auto" w:fill="auto"/>
                </w:tcPr>
                <w:p>
                  <w:pPr>
                    <w:jc w:val="center"/>
                    <w:rPr>
                      <w:szCs w:val="21"/>
                    </w:rPr>
                  </w:pPr>
                  <w:r>
                    <w:rPr>
                      <w:szCs w:val="21"/>
                    </w:rPr>
                    <w:t>油罐车</w:t>
                  </w:r>
                </w:p>
              </w:tc>
              <w:tc>
                <w:tcPr>
                  <w:tcW w:w="2004" w:type="dxa"/>
                  <w:shd w:val="clear" w:color="auto" w:fill="auto"/>
                  <w:vAlign w:val="center"/>
                </w:tcPr>
                <w:p>
                  <w:pPr>
                    <w:jc w:val="center"/>
                    <w:rPr>
                      <w:szCs w:val="21"/>
                    </w:rPr>
                  </w:pPr>
                  <w:r>
                    <w:rPr>
                      <w:rFonts w:hint="eastAsia"/>
                      <w:szCs w:val="21"/>
                    </w:rPr>
                    <w:t>100</w:t>
                  </w:r>
                  <w:r>
                    <w:rPr>
                      <w:szCs w:val="21"/>
                    </w:rPr>
                    <w:t>t/a</w:t>
                  </w:r>
                </w:p>
              </w:tc>
            </w:tr>
          </w:tbl>
          <w:p>
            <w:pPr>
              <w:pStyle w:val="41"/>
              <w:ind w:firstLine="436" w:firstLineChars="200"/>
              <w:jc w:val="both"/>
              <w:rPr>
                <w:rFonts w:eastAsia="宋体"/>
                <w:spacing w:val="4"/>
              </w:rPr>
            </w:pPr>
            <w:r>
              <w:rPr>
                <w:rFonts w:hint="eastAsia" w:eastAsia="宋体"/>
                <w:spacing w:val="4"/>
              </w:rPr>
              <w:t>主要理化性质：</w:t>
            </w:r>
          </w:p>
          <w:p>
            <w:pPr>
              <w:pStyle w:val="41"/>
              <w:ind w:firstLine="436" w:firstLineChars="200"/>
              <w:jc w:val="both"/>
              <w:rPr>
                <w:rFonts w:eastAsia="宋体"/>
                <w:spacing w:val="4"/>
              </w:rPr>
            </w:pPr>
            <w:r>
              <w:rPr>
                <w:rFonts w:hint="eastAsia" w:eastAsia="宋体"/>
                <w:spacing w:val="4"/>
              </w:rPr>
              <w:fldChar w:fldCharType="begin"/>
            </w:r>
            <w:r>
              <w:rPr>
                <w:rFonts w:hint="eastAsia" w:eastAsia="宋体"/>
                <w:spacing w:val="4"/>
              </w:rPr>
              <w:instrText xml:space="preserve"> = 1 \* GB3 \* MERGEFORMAT </w:instrText>
            </w:r>
            <w:r>
              <w:rPr>
                <w:rFonts w:hint="eastAsia" w:eastAsia="宋体"/>
                <w:spacing w:val="4"/>
              </w:rPr>
              <w:fldChar w:fldCharType="separate"/>
            </w:r>
            <w:r>
              <w:t>①</w:t>
            </w:r>
            <w:r>
              <w:rPr>
                <w:rFonts w:hint="eastAsia" w:eastAsia="宋体"/>
                <w:spacing w:val="4"/>
              </w:rPr>
              <w:fldChar w:fldCharType="end"/>
            </w:r>
            <w:r>
              <w:rPr>
                <w:rFonts w:hint="eastAsia" w:eastAsia="宋体"/>
                <w:spacing w:val="4"/>
              </w:rPr>
              <w:t>汽油：汽油为油品的一大类，主要成分为C4~C12脂肪烃和环烃类，并含少量芳香烃和硫化物。汽油为无色至淡黄色的易流动液体，很难溶解于水，易燃，热值约为44000kJ/kg，馏程为30℃~205℃，空气中含量为74~123g/m</w:t>
            </w:r>
            <w:r>
              <w:rPr>
                <w:rFonts w:hint="eastAsia" w:eastAsia="宋体"/>
                <w:spacing w:val="4"/>
                <w:vertAlign w:val="superscript"/>
              </w:rPr>
              <w:t>3</w:t>
            </w:r>
            <w:r>
              <w:rPr>
                <w:rFonts w:hint="eastAsia" w:eastAsia="宋体"/>
                <w:spacing w:val="4"/>
              </w:rPr>
              <w:t>时遇火爆炸。</w:t>
            </w:r>
          </w:p>
          <w:p>
            <w:pPr>
              <w:pStyle w:val="41"/>
              <w:ind w:firstLine="436" w:firstLineChars="200"/>
              <w:jc w:val="both"/>
              <w:rPr>
                <w:rFonts w:eastAsia="宋体"/>
                <w:spacing w:val="4"/>
              </w:rPr>
            </w:pPr>
            <w:r>
              <w:rPr>
                <w:rFonts w:hint="eastAsia" w:eastAsia="宋体"/>
                <w:spacing w:val="4"/>
              </w:rPr>
              <w:fldChar w:fldCharType="begin"/>
            </w:r>
            <w:r>
              <w:rPr>
                <w:rFonts w:hint="eastAsia" w:eastAsia="宋体"/>
                <w:spacing w:val="4"/>
              </w:rPr>
              <w:instrText xml:space="preserve"> = 2 \* GB3 \* MERGEFORMAT </w:instrText>
            </w:r>
            <w:r>
              <w:rPr>
                <w:rFonts w:hint="eastAsia" w:eastAsia="宋体"/>
                <w:spacing w:val="4"/>
              </w:rPr>
              <w:fldChar w:fldCharType="separate"/>
            </w:r>
            <w:r>
              <w:t>②</w:t>
            </w:r>
            <w:r>
              <w:rPr>
                <w:rFonts w:hint="eastAsia" w:eastAsia="宋体"/>
                <w:spacing w:val="4"/>
              </w:rPr>
              <w:fldChar w:fldCharType="end"/>
            </w:r>
            <w:r>
              <w:rPr>
                <w:rFonts w:hint="eastAsia" w:eastAsia="宋体"/>
                <w:spacing w:val="4"/>
              </w:rPr>
              <w:t>柴油是石油提炼后的一种油质的产物，沸点范围和黏度介于煤油与润滑油之间的液态石油馏分。其主要成分是C10~C22的链烷、环烷或芳烃，柴油分为轻柴油（沸点范围约180~370℃）和重柴油（沸点范围约350~410℃）两大类。它的化学和物理特性位于汽油和重油之间，热值为3.3</w:t>
            </w:r>
            <w:r>
              <w:rPr>
                <w:rFonts w:ascii="Arial" w:hAnsi="Arial" w:eastAsia="宋体" w:cs="Arial"/>
                <w:spacing w:val="4"/>
              </w:rPr>
              <w:t>×</w:t>
            </w:r>
            <w:r>
              <w:rPr>
                <w:rFonts w:hint="eastAsia" w:eastAsia="宋体"/>
                <w:spacing w:val="4"/>
              </w:rPr>
              <w:t>10</w:t>
            </w:r>
            <w:r>
              <w:rPr>
                <w:rFonts w:hint="eastAsia" w:eastAsia="宋体"/>
                <w:spacing w:val="4"/>
                <w:vertAlign w:val="superscript"/>
              </w:rPr>
              <w:t>7</w:t>
            </w:r>
            <w:r>
              <w:rPr>
                <w:rFonts w:hint="eastAsia" w:eastAsia="宋体"/>
                <w:spacing w:val="4"/>
              </w:rPr>
              <w:t>J/L，比重为0.82~0.845kg/L。易燃易挥发，不溶于水，易溶于醇和其他有机溶剂。</w:t>
            </w:r>
          </w:p>
          <w:p>
            <w:pPr>
              <w:pStyle w:val="6"/>
            </w:pPr>
            <w:r>
              <w:t>消防</w:t>
            </w:r>
          </w:p>
          <w:p>
            <w:pPr>
              <w:spacing w:line="360" w:lineRule="auto"/>
              <w:ind w:firstLine="480" w:firstLineChars="200"/>
              <w:rPr>
                <w:rFonts w:hint="eastAsia"/>
                <w:sz w:val="24"/>
              </w:rPr>
            </w:pPr>
            <w:r>
              <w:rPr>
                <w:sz w:val="24"/>
              </w:rPr>
              <w:t>本加油站消防器材依据《汽车加油加气站设计与施工规范》（GB50156-2012，2014年版）的各项规定及建设方提供的相关资料进行配置。站房按《建筑灭火器设置规范》（GB50140-2005）相关规定配置灭火器。本项目</w:t>
            </w:r>
            <w:r>
              <w:rPr>
                <w:rFonts w:hint="eastAsia"/>
                <w:sz w:val="24"/>
              </w:rPr>
              <w:t>消防设备材料</w:t>
            </w:r>
            <w:r>
              <w:rPr>
                <w:sz w:val="24"/>
              </w:rPr>
              <w:t>详见表1.</w:t>
            </w:r>
            <w:r>
              <w:rPr>
                <w:rFonts w:hint="eastAsia"/>
                <w:sz w:val="24"/>
                <w:lang w:val="en-US" w:eastAsia="zh-CN"/>
              </w:rPr>
              <w:t>8</w:t>
            </w:r>
            <w:r>
              <w:rPr>
                <w:sz w:val="24"/>
              </w:rPr>
              <w:t>-3</w:t>
            </w:r>
            <w:r>
              <w:rPr>
                <w:rFonts w:hint="eastAsia"/>
                <w:sz w:val="24"/>
              </w:rPr>
              <w:t>。</w:t>
            </w:r>
          </w:p>
          <w:p>
            <w:pPr>
              <w:pStyle w:val="41"/>
              <w:rPr>
                <w:b/>
                <w:sz w:val="24"/>
                <w:szCs w:val="24"/>
              </w:rPr>
            </w:pPr>
            <w:r>
              <w:rPr>
                <w:sz w:val="24"/>
                <w:szCs w:val="24"/>
              </w:rPr>
              <w:t>表1.</w:t>
            </w:r>
            <w:r>
              <w:rPr>
                <w:rFonts w:hint="eastAsia"/>
                <w:sz w:val="24"/>
                <w:szCs w:val="24"/>
                <w:lang w:val="en-US" w:eastAsia="zh-CN"/>
              </w:rPr>
              <w:t>8</w:t>
            </w:r>
            <w:r>
              <w:rPr>
                <w:sz w:val="24"/>
                <w:szCs w:val="24"/>
              </w:rPr>
              <w:t>-3   主要消防设备材料表</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986"/>
              <w:gridCol w:w="1654"/>
              <w:gridCol w:w="834"/>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序号</w:t>
                  </w:r>
                </w:p>
              </w:tc>
              <w:tc>
                <w:tcPr>
                  <w:tcW w:w="2986" w:type="dxa"/>
                  <w:vAlign w:val="center"/>
                </w:tcPr>
                <w:p>
                  <w:pPr>
                    <w:jc w:val="center"/>
                    <w:rPr>
                      <w:szCs w:val="21"/>
                    </w:rPr>
                  </w:pPr>
                  <w:r>
                    <w:rPr>
                      <w:szCs w:val="21"/>
                    </w:rPr>
                    <w:t>名称</w:t>
                  </w:r>
                </w:p>
              </w:tc>
              <w:tc>
                <w:tcPr>
                  <w:tcW w:w="1654" w:type="dxa"/>
                  <w:vAlign w:val="center"/>
                </w:tcPr>
                <w:p>
                  <w:pPr>
                    <w:jc w:val="center"/>
                    <w:rPr>
                      <w:szCs w:val="21"/>
                    </w:rPr>
                  </w:pPr>
                  <w:r>
                    <w:rPr>
                      <w:szCs w:val="21"/>
                    </w:rPr>
                    <w:t>型号</w:t>
                  </w:r>
                </w:p>
              </w:tc>
              <w:tc>
                <w:tcPr>
                  <w:tcW w:w="834" w:type="dxa"/>
                  <w:vAlign w:val="center"/>
                </w:tcPr>
                <w:p>
                  <w:pPr>
                    <w:jc w:val="center"/>
                    <w:rPr>
                      <w:szCs w:val="21"/>
                    </w:rPr>
                  </w:pPr>
                  <w:r>
                    <w:rPr>
                      <w:szCs w:val="21"/>
                    </w:rPr>
                    <w:t>数量</w:t>
                  </w:r>
                </w:p>
              </w:tc>
              <w:tc>
                <w:tcPr>
                  <w:tcW w:w="2408" w:type="dxa"/>
                  <w:vAlign w:val="center"/>
                </w:tcPr>
                <w:p>
                  <w:pPr>
                    <w:jc w:val="center"/>
                    <w:rPr>
                      <w:szCs w:val="21"/>
                    </w:rPr>
                  </w:pPr>
                  <w:r>
                    <w:rPr>
                      <w:szCs w:val="21"/>
                    </w:rPr>
                    <w:t>配备部位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1</w:t>
                  </w:r>
                </w:p>
              </w:tc>
              <w:tc>
                <w:tcPr>
                  <w:tcW w:w="2986" w:type="dxa"/>
                  <w:vAlign w:val="center"/>
                </w:tcPr>
                <w:p>
                  <w:pPr>
                    <w:jc w:val="center"/>
                    <w:rPr>
                      <w:szCs w:val="21"/>
                    </w:rPr>
                  </w:pPr>
                  <w:r>
                    <w:rPr>
                      <w:rFonts w:hint="eastAsia"/>
                      <w:szCs w:val="21"/>
                    </w:rPr>
                    <w:t>手提式磷酸铵盐干粉灭火器</w:t>
                  </w:r>
                </w:p>
              </w:tc>
              <w:tc>
                <w:tcPr>
                  <w:tcW w:w="1654" w:type="dxa"/>
                  <w:vAlign w:val="center"/>
                </w:tcPr>
                <w:p>
                  <w:pPr>
                    <w:jc w:val="center"/>
                    <w:rPr>
                      <w:szCs w:val="21"/>
                    </w:rPr>
                  </w:pPr>
                  <w:r>
                    <w:rPr>
                      <w:rFonts w:hint="eastAsia"/>
                      <w:szCs w:val="21"/>
                    </w:rPr>
                    <w:t>MF/ABC4</w:t>
                  </w:r>
                </w:p>
              </w:tc>
              <w:tc>
                <w:tcPr>
                  <w:tcW w:w="834" w:type="dxa"/>
                  <w:vAlign w:val="center"/>
                </w:tcPr>
                <w:p>
                  <w:pPr>
                    <w:jc w:val="center"/>
                    <w:rPr>
                      <w:szCs w:val="21"/>
                    </w:rPr>
                  </w:pPr>
                  <w:r>
                    <w:rPr>
                      <w:rFonts w:hint="eastAsia"/>
                      <w:szCs w:val="21"/>
                    </w:rPr>
                    <w:t>4具</w:t>
                  </w:r>
                </w:p>
              </w:tc>
              <w:tc>
                <w:tcPr>
                  <w:tcW w:w="2408" w:type="dxa"/>
                  <w:vAlign w:val="center"/>
                </w:tcPr>
                <w:p>
                  <w:pPr>
                    <w:jc w:val="center"/>
                    <w:rPr>
                      <w:szCs w:val="21"/>
                    </w:rPr>
                  </w:pPr>
                  <w:r>
                    <w:rPr>
                      <w:rFonts w:hint="eastAsia"/>
                      <w:szCs w:val="21"/>
                    </w:rPr>
                    <w:t>加油岛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2</w:t>
                  </w:r>
                </w:p>
              </w:tc>
              <w:tc>
                <w:tcPr>
                  <w:tcW w:w="2986" w:type="dxa"/>
                  <w:vAlign w:val="center"/>
                </w:tcPr>
                <w:p>
                  <w:pPr>
                    <w:jc w:val="center"/>
                    <w:rPr>
                      <w:szCs w:val="21"/>
                    </w:rPr>
                  </w:pPr>
                  <w:r>
                    <w:rPr>
                      <w:rFonts w:hint="eastAsia"/>
                      <w:szCs w:val="21"/>
                    </w:rPr>
                    <w:t>手提式磷酸铵盐干粉灭火器</w:t>
                  </w:r>
                </w:p>
              </w:tc>
              <w:tc>
                <w:tcPr>
                  <w:tcW w:w="1654" w:type="dxa"/>
                  <w:vAlign w:val="center"/>
                </w:tcPr>
                <w:p>
                  <w:pPr>
                    <w:jc w:val="center"/>
                    <w:rPr>
                      <w:szCs w:val="21"/>
                    </w:rPr>
                  </w:pPr>
                  <w:r>
                    <w:rPr>
                      <w:rFonts w:hint="eastAsia"/>
                      <w:szCs w:val="21"/>
                    </w:rPr>
                    <w:t>MF/ABC4</w:t>
                  </w:r>
                </w:p>
              </w:tc>
              <w:tc>
                <w:tcPr>
                  <w:tcW w:w="834" w:type="dxa"/>
                  <w:vAlign w:val="center"/>
                </w:tcPr>
                <w:p>
                  <w:pPr>
                    <w:jc w:val="center"/>
                    <w:rPr>
                      <w:szCs w:val="21"/>
                    </w:rPr>
                  </w:pPr>
                  <w:r>
                    <w:rPr>
                      <w:rFonts w:hint="eastAsia"/>
                      <w:szCs w:val="21"/>
                    </w:rPr>
                    <w:t>4具</w:t>
                  </w:r>
                </w:p>
              </w:tc>
              <w:tc>
                <w:tcPr>
                  <w:tcW w:w="2408" w:type="dxa"/>
                  <w:vAlign w:val="center"/>
                </w:tcPr>
                <w:p>
                  <w:pPr>
                    <w:jc w:val="center"/>
                    <w:rPr>
                      <w:szCs w:val="21"/>
                    </w:rPr>
                  </w:pPr>
                  <w:r>
                    <w:rPr>
                      <w:rFonts w:hint="eastAsia"/>
                      <w:szCs w:val="21"/>
                    </w:rPr>
                    <w:t>站房，每层2具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3</w:t>
                  </w:r>
                </w:p>
              </w:tc>
              <w:tc>
                <w:tcPr>
                  <w:tcW w:w="2986" w:type="dxa"/>
                  <w:vAlign w:val="center"/>
                </w:tcPr>
                <w:p>
                  <w:pPr>
                    <w:jc w:val="center"/>
                    <w:rPr>
                      <w:szCs w:val="21"/>
                    </w:rPr>
                  </w:pPr>
                  <w:r>
                    <w:rPr>
                      <w:rFonts w:hint="eastAsia"/>
                      <w:szCs w:val="21"/>
                    </w:rPr>
                    <w:t>手提式磷酸铵盐干粉灭火器</w:t>
                  </w:r>
                </w:p>
              </w:tc>
              <w:tc>
                <w:tcPr>
                  <w:tcW w:w="1654" w:type="dxa"/>
                  <w:vAlign w:val="center"/>
                </w:tcPr>
                <w:p>
                  <w:pPr>
                    <w:jc w:val="center"/>
                    <w:rPr>
                      <w:szCs w:val="21"/>
                    </w:rPr>
                  </w:pPr>
                  <w:r>
                    <w:rPr>
                      <w:rFonts w:hint="eastAsia"/>
                      <w:szCs w:val="21"/>
                    </w:rPr>
                    <w:t>MF/ABC4</w:t>
                  </w:r>
                </w:p>
              </w:tc>
              <w:tc>
                <w:tcPr>
                  <w:tcW w:w="834" w:type="dxa"/>
                  <w:vAlign w:val="center"/>
                </w:tcPr>
                <w:p>
                  <w:pPr>
                    <w:jc w:val="center"/>
                    <w:rPr>
                      <w:szCs w:val="21"/>
                    </w:rPr>
                  </w:pPr>
                  <w:r>
                    <w:rPr>
                      <w:rFonts w:hint="eastAsia"/>
                      <w:szCs w:val="21"/>
                    </w:rPr>
                    <w:t>2具</w:t>
                  </w:r>
                </w:p>
              </w:tc>
              <w:tc>
                <w:tcPr>
                  <w:tcW w:w="2408" w:type="dxa"/>
                  <w:vAlign w:val="center"/>
                </w:tcPr>
                <w:p>
                  <w:pPr>
                    <w:jc w:val="center"/>
                    <w:rPr>
                      <w:szCs w:val="21"/>
                    </w:rPr>
                  </w:pPr>
                  <w:r>
                    <w:rPr>
                      <w:rFonts w:hint="eastAsia"/>
                      <w:szCs w:val="21"/>
                    </w:rPr>
                    <w:t>辅助用房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4</w:t>
                  </w:r>
                </w:p>
              </w:tc>
              <w:tc>
                <w:tcPr>
                  <w:tcW w:w="2986" w:type="dxa"/>
                  <w:vAlign w:val="center"/>
                </w:tcPr>
                <w:p>
                  <w:pPr>
                    <w:jc w:val="center"/>
                    <w:rPr>
                      <w:szCs w:val="21"/>
                    </w:rPr>
                  </w:pPr>
                  <w:r>
                    <w:rPr>
                      <w:rFonts w:hint="eastAsia"/>
                      <w:szCs w:val="21"/>
                    </w:rPr>
                    <w:t>手提式二氧化碳灭火器</w:t>
                  </w:r>
                </w:p>
              </w:tc>
              <w:tc>
                <w:tcPr>
                  <w:tcW w:w="1654" w:type="dxa"/>
                  <w:vAlign w:val="center"/>
                </w:tcPr>
                <w:p>
                  <w:pPr>
                    <w:jc w:val="center"/>
                    <w:rPr>
                      <w:szCs w:val="21"/>
                    </w:rPr>
                  </w:pPr>
                  <w:r>
                    <w:rPr>
                      <w:rFonts w:hint="eastAsia"/>
                      <w:szCs w:val="21"/>
                    </w:rPr>
                    <w:t>MT7</w:t>
                  </w:r>
                </w:p>
              </w:tc>
              <w:tc>
                <w:tcPr>
                  <w:tcW w:w="834" w:type="dxa"/>
                  <w:vAlign w:val="center"/>
                </w:tcPr>
                <w:p>
                  <w:pPr>
                    <w:jc w:val="center"/>
                    <w:rPr>
                      <w:szCs w:val="21"/>
                    </w:rPr>
                  </w:pPr>
                  <w:r>
                    <w:rPr>
                      <w:rFonts w:hint="eastAsia"/>
                      <w:szCs w:val="21"/>
                    </w:rPr>
                    <w:t>2具</w:t>
                  </w:r>
                </w:p>
              </w:tc>
              <w:tc>
                <w:tcPr>
                  <w:tcW w:w="2408" w:type="dxa"/>
                  <w:vAlign w:val="center"/>
                </w:tcPr>
                <w:p>
                  <w:pPr>
                    <w:jc w:val="center"/>
                    <w:rPr>
                      <w:szCs w:val="21"/>
                    </w:rPr>
                  </w:pPr>
                  <w:r>
                    <w:rPr>
                      <w:rFonts w:hint="eastAsia"/>
                      <w:szCs w:val="21"/>
                    </w:rPr>
                    <w:t>配电间（辅助用房）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5</w:t>
                  </w:r>
                </w:p>
              </w:tc>
              <w:tc>
                <w:tcPr>
                  <w:tcW w:w="2986" w:type="dxa"/>
                  <w:vAlign w:val="center"/>
                </w:tcPr>
                <w:p>
                  <w:pPr>
                    <w:jc w:val="center"/>
                    <w:rPr>
                      <w:szCs w:val="21"/>
                    </w:rPr>
                  </w:pPr>
                  <w:r>
                    <w:rPr>
                      <w:rFonts w:hint="eastAsia"/>
                      <w:szCs w:val="21"/>
                    </w:rPr>
                    <w:t>手提式二氧化碳灭火器</w:t>
                  </w:r>
                </w:p>
              </w:tc>
              <w:tc>
                <w:tcPr>
                  <w:tcW w:w="1654" w:type="dxa"/>
                  <w:vAlign w:val="center"/>
                </w:tcPr>
                <w:p>
                  <w:pPr>
                    <w:jc w:val="center"/>
                    <w:rPr>
                      <w:szCs w:val="21"/>
                    </w:rPr>
                  </w:pPr>
                  <w:r>
                    <w:rPr>
                      <w:rFonts w:hint="eastAsia"/>
                      <w:szCs w:val="21"/>
                    </w:rPr>
                    <w:t>MT7</w:t>
                  </w:r>
                </w:p>
              </w:tc>
              <w:tc>
                <w:tcPr>
                  <w:tcW w:w="834" w:type="dxa"/>
                  <w:vAlign w:val="center"/>
                </w:tcPr>
                <w:p>
                  <w:pPr>
                    <w:jc w:val="center"/>
                    <w:rPr>
                      <w:szCs w:val="21"/>
                    </w:rPr>
                  </w:pPr>
                  <w:r>
                    <w:rPr>
                      <w:rFonts w:hint="eastAsia"/>
                      <w:szCs w:val="21"/>
                    </w:rPr>
                    <w:t>2具</w:t>
                  </w:r>
                </w:p>
              </w:tc>
              <w:tc>
                <w:tcPr>
                  <w:tcW w:w="2408" w:type="dxa"/>
                  <w:vAlign w:val="center"/>
                </w:tcPr>
                <w:p>
                  <w:pPr>
                    <w:jc w:val="center"/>
                    <w:rPr>
                      <w:szCs w:val="21"/>
                    </w:rPr>
                  </w:pPr>
                  <w:r>
                    <w:rPr>
                      <w:rFonts w:hint="eastAsia"/>
                      <w:szCs w:val="21"/>
                    </w:rPr>
                    <w:t>发电间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6</w:t>
                  </w:r>
                </w:p>
              </w:tc>
              <w:tc>
                <w:tcPr>
                  <w:tcW w:w="2986" w:type="dxa"/>
                  <w:vAlign w:val="center"/>
                </w:tcPr>
                <w:p>
                  <w:pPr>
                    <w:jc w:val="center"/>
                    <w:rPr>
                      <w:szCs w:val="21"/>
                    </w:rPr>
                  </w:pPr>
                  <w:r>
                    <w:rPr>
                      <w:rFonts w:hint="eastAsia"/>
                      <w:szCs w:val="21"/>
                    </w:rPr>
                    <w:t>推车式磷酸铵盐干粉灭火器</w:t>
                  </w:r>
                </w:p>
              </w:tc>
              <w:tc>
                <w:tcPr>
                  <w:tcW w:w="1654" w:type="dxa"/>
                  <w:vAlign w:val="center"/>
                </w:tcPr>
                <w:p>
                  <w:pPr>
                    <w:jc w:val="center"/>
                    <w:rPr>
                      <w:szCs w:val="21"/>
                    </w:rPr>
                  </w:pPr>
                  <w:r>
                    <w:rPr>
                      <w:rFonts w:hint="eastAsia"/>
                      <w:szCs w:val="21"/>
                    </w:rPr>
                    <w:t>MF/ABC35</w:t>
                  </w:r>
                </w:p>
              </w:tc>
              <w:tc>
                <w:tcPr>
                  <w:tcW w:w="834" w:type="dxa"/>
                  <w:vAlign w:val="center"/>
                </w:tcPr>
                <w:p>
                  <w:pPr>
                    <w:jc w:val="center"/>
                    <w:rPr>
                      <w:szCs w:val="21"/>
                    </w:rPr>
                  </w:pPr>
                  <w:r>
                    <w:rPr>
                      <w:rFonts w:hint="eastAsia"/>
                      <w:szCs w:val="21"/>
                    </w:rPr>
                    <w:t>1台</w:t>
                  </w:r>
                </w:p>
              </w:tc>
              <w:tc>
                <w:tcPr>
                  <w:tcW w:w="2408" w:type="dxa"/>
                  <w:vAlign w:val="center"/>
                </w:tcPr>
                <w:p>
                  <w:pPr>
                    <w:jc w:val="center"/>
                    <w:rPr>
                      <w:szCs w:val="21"/>
                    </w:rPr>
                  </w:pPr>
                  <w:r>
                    <w:rPr>
                      <w:rFonts w:hint="eastAsia"/>
                      <w:szCs w:val="21"/>
                    </w:rPr>
                    <w:t>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7</w:t>
                  </w:r>
                </w:p>
              </w:tc>
              <w:tc>
                <w:tcPr>
                  <w:tcW w:w="2986" w:type="dxa"/>
                  <w:vAlign w:val="center"/>
                </w:tcPr>
                <w:p>
                  <w:pPr>
                    <w:jc w:val="center"/>
                    <w:rPr>
                      <w:szCs w:val="21"/>
                    </w:rPr>
                  </w:pPr>
                  <w:r>
                    <w:rPr>
                      <w:rFonts w:hint="eastAsia"/>
                      <w:szCs w:val="21"/>
                    </w:rPr>
                    <w:t>灭火毯</w:t>
                  </w:r>
                </w:p>
              </w:tc>
              <w:tc>
                <w:tcPr>
                  <w:tcW w:w="1654" w:type="dxa"/>
                  <w:vAlign w:val="center"/>
                </w:tcPr>
                <w:p>
                  <w:pPr>
                    <w:jc w:val="center"/>
                    <w:rPr>
                      <w:szCs w:val="21"/>
                    </w:rPr>
                  </w:pPr>
                  <w:r>
                    <w:rPr>
                      <w:rFonts w:hint="eastAsia"/>
                      <w:szCs w:val="21"/>
                    </w:rPr>
                    <w:t>/</w:t>
                  </w:r>
                </w:p>
              </w:tc>
              <w:tc>
                <w:tcPr>
                  <w:tcW w:w="834" w:type="dxa"/>
                  <w:vAlign w:val="center"/>
                </w:tcPr>
                <w:p>
                  <w:pPr>
                    <w:jc w:val="center"/>
                    <w:rPr>
                      <w:szCs w:val="21"/>
                    </w:rPr>
                  </w:pPr>
                  <w:r>
                    <w:rPr>
                      <w:rFonts w:hint="eastAsia"/>
                      <w:szCs w:val="21"/>
                    </w:rPr>
                    <w:t>5块</w:t>
                  </w:r>
                </w:p>
              </w:tc>
              <w:tc>
                <w:tcPr>
                  <w:tcW w:w="2408" w:type="dxa"/>
                  <w:vAlign w:val="center"/>
                </w:tcPr>
                <w:p>
                  <w:pPr>
                    <w:jc w:val="center"/>
                    <w:rPr>
                      <w:szCs w:val="21"/>
                    </w:rPr>
                  </w:pPr>
                  <w:r>
                    <w:rPr>
                      <w:rFonts w:hint="eastAsia"/>
                      <w:szCs w:val="21"/>
                    </w:rPr>
                    <w:t>油罐区、加油区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8</w:t>
                  </w:r>
                </w:p>
              </w:tc>
              <w:tc>
                <w:tcPr>
                  <w:tcW w:w="2986" w:type="dxa"/>
                  <w:vAlign w:val="center"/>
                </w:tcPr>
                <w:p>
                  <w:pPr>
                    <w:jc w:val="center"/>
                    <w:rPr>
                      <w:szCs w:val="21"/>
                    </w:rPr>
                  </w:pPr>
                  <w:r>
                    <w:rPr>
                      <w:rFonts w:hint="eastAsia"/>
                      <w:szCs w:val="21"/>
                    </w:rPr>
                    <w:t>消防沙</w:t>
                  </w:r>
                </w:p>
              </w:tc>
              <w:tc>
                <w:tcPr>
                  <w:tcW w:w="1654" w:type="dxa"/>
                  <w:vAlign w:val="center"/>
                </w:tcPr>
                <w:p>
                  <w:pPr>
                    <w:jc w:val="center"/>
                    <w:rPr>
                      <w:szCs w:val="21"/>
                    </w:rPr>
                  </w:pPr>
                  <w:r>
                    <w:rPr>
                      <w:rFonts w:hint="eastAsia"/>
                      <w:szCs w:val="21"/>
                    </w:rPr>
                    <w:t>/</w:t>
                  </w:r>
                </w:p>
              </w:tc>
              <w:tc>
                <w:tcPr>
                  <w:tcW w:w="834" w:type="dxa"/>
                  <w:vAlign w:val="center"/>
                </w:tcPr>
                <w:p>
                  <w:pPr>
                    <w:jc w:val="center"/>
                    <w:rPr>
                      <w:szCs w:val="21"/>
                    </w:rPr>
                  </w:pPr>
                  <w:r>
                    <w:rPr>
                      <w:rFonts w:hint="eastAsia"/>
                      <w:szCs w:val="21"/>
                    </w:rPr>
                    <w:t>2m</w:t>
                  </w:r>
                  <w:r>
                    <w:rPr>
                      <w:rFonts w:hint="eastAsia"/>
                      <w:szCs w:val="21"/>
                      <w:vertAlign w:val="superscript"/>
                    </w:rPr>
                    <w:t>3</w:t>
                  </w:r>
                </w:p>
              </w:tc>
              <w:tc>
                <w:tcPr>
                  <w:tcW w:w="2408" w:type="dxa"/>
                  <w:vAlign w:val="center"/>
                </w:tcPr>
                <w:p>
                  <w:pPr>
                    <w:jc w:val="center"/>
                    <w:rPr>
                      <w:szCs w:val="21"/>
                    </w:rPr>
                  </w:pPr>
                  <w:r>
                    <w:rPr>
                      <w:rFonts w:hint="eastAsia"/>
                      <w:szCs w:val="21"/>
                    </w:rPr>
                    <w:t>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9</w:t>
                  </w:r>
                </w:p>
              </w:tc>
              <w:tc>
                <w:tcPr>
                  <w:tcW w:w="2986" w:type="dxa"/>
                  <w:vAlign w:val="center"/>
                </w:tcPr>
                <w:p>
                  <w:pPr>
                    <w:jc w:val="center"/>
                    <w:rPr>
                      <w:szCs w:val="21"/>
                    </w:rPr>
                  </w:pPr>
                  <w:r>
                    <w:rPr>
                      <w:rFonts w:hint="eastAsia"/>
                      <w:szCs w:val="21"/>
                    </w:rPr>
                    <w:t>消防铁揪</w:t>
                  </w:r>
                </w:p>
              </w:tc>
              <w:tc>
                <w:tcPr>
                  <w:tcW w:w="1654" w:type="dxa"/>
                  <w:vAlign w:val="center"/>
                </w:tcPr>
                <w:p>
                  <w:pPr>
                    <w:jc w:val="center"/>
                    <w:rPr>
                      <w:szCs w:val="21"/>
                    </w:rPr>
                  </w:pPr>
                  <w:r>
                    <w:rPr>
                      <w:rFonts w:hint="eastAsia"/>
                      <w:szCs w:val="21"/>
                    </w:rPr>
                    <w:t>/</w:t>
                  </w:r>
                </w:p>
              </w:tc>
              <w:tc>
                <w:tcPr>
                  <w:tcW w:w="834" w:type="dxa"/>
                  <w:vAlign w:val="center"/>
                </w:tcPr>
                <w:p>
                  <w:pPr>
                    <w:jc w:val="center"/>
                    <w:rPr>
                      <w:szCs w:val="21"/>
                    </w:rPr>
                  </w:pPr>
                  <w:r>
                    <w:rPr>
                      <w:rFonts w:hint="eastAsia"/>
                      <w:szCs w:val="21"/>
                    </w:rPr>
                    <w:t>2把</w:t>
                  </w:r>
                </w:p>
              </w:tc>
              <w:tc>
                <w:tcPr>
                  <w:tcW w:w="2408" w:type="dxa"/>
                  <w:vAlign w:val="center"/>
                </w:tcPr>
                <w:p>
                  <w:pPr>
                    <w:jc w:val="center"/>
                    <w:rPr>
                      <w:szCs w:val="21"/>
                    </w:rPr>
                  </w:pPr>
                  <w:r>
                    <w:rPr>
                      <w:rFonts w:hint="eastAsia"/>
                      <w:szCs w:val="21"/>
                    </w:rPr>
                    <w:t>消防器材箱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Align w:val="center"/>
                </w:tcPr>
                <w:p>
                  <w:pPr>
                    <w:jc w:val="center"/>
                    <w:rPr>
                      <w:szCs w:val="21"/>
                    </w:rPr>
                  </w:pPr>
                  <w:r>
                    <w:rPr>
                      <w:rFonts w:hint="eastAsia"/>
                      <w:szCs w:val="21"/>
                    </w:rPr>
                    <w:t>10</w:t>
                  </w:r>
                </w:p>
              </w:tc>
              <w:tc>
                <w:tcPr>
                  <w:tcW w:w="2986" w:type="dxa"/>
                  <w:vAlign w:val="center"/>
                </w:tcPr>
                <w:p>
                  <w:pPr>
                    <w:jc w:val="center"/>
                    <w:rPr>
                      <w:szCs w:val="21"/>
                    </w:rPr>
                  </w:pPr>
                  <w:r>
                    <w:rPr>
                      <w:rFonts w:hint="eastAsia"/>
                      <w:szCs w:val="21"/>
                    </w:rPr>
                    <w:t>消防铁桶</w:t>
                  </w:r>
                </w:p>
              </w:tc>
              <w:tc>
                <w:tcPr>
                  <w:tcW w:w="1654" w:type="dxa"/>
                  <w:vAlign w:val="center"/>
                </w:tcPr>
                <w:p>
                  <w:pPr>
                    <w:jc w:val="center"/>
                    <w:rPr>
                      <w:szCs w:val="21"/>
                    </w:rPr>
                  </w:pPr>
                  <w:r>
                    <w:rPr>
                      <w:rFonts w:hint="eastAsia"/>
                      <w:szCs w:val="21"/>
                    </w:rPr>
                    <w:t>/</w:t>
                  </w:r>
                </w:p>
              </w:tc>
              <w:tc>
                <w:tcPr>
                  <w:tcW w:w="834" w:type="dxa"/>
                  <w:vAlign w:val="center"/>
                </w:tcPr>
                <w:p>
                  <w:pPr>
                    <w:jc w:val="center"/>
                    <w:rPr>
                      <w:szCs w:val="21"/>
                    </w:rPr>
                  </w:pPr>
                  <w:r>
                    <w:rPr>
                      <w:rFonts w:hint="eastAsia"/>
                      <w:szCs w:val="21"/>
                    </w:rPr>
                    <w:t>2只</w:t>
                  </w:r>
                </w:p>
              </w:tc>
              <w:tc>
                <w:tcPr>
                  <w:tcW w:w="2408" w:type="dxa"/>
                  <w:vAlign w:val="center"/>
                </w:tcPr>
                <w:p>
                  <w:pPr>
                    <w:jc w:val="center"/>
                    <w:rPr>
                      <w:szCs w:val="21"/>
                    </w:rPr>
                  </w:pPr>
                  <w:r>
                    <w:rPr>
                      <w:rFonts w:hint="eastAsia"/>
                      <w:szCs w:val="21"/>
                    </w:rPr>
                    <w:t>消防器材箱</w:t>
                  </w:r>
                </w:p>
              </w:tc>
            </w:tr>
          </w:tbl>
          <w:p>
            <w:pPr>
              <w:pStyle w:val="6"/>
            </w:pPr>
            <w:r>
              <w:t>劳动、安全卫生设施</w:t>
            </w:r>
          </w:p>
          <w:p>
            <w:pPr>
              <w:adjustRightInd w:val="0"/>
              <w:snapToGrid w:val="0"/>
              <w:spacing w:line="360" w:lineRule="auto"/>
              <w:ind w:firstLine="496" w:firstLineChars="200"/>
              <w:rPr>
                <w:spacing w:val="4"/>
                <w:sz w:val="24"/>
              </w:rPr>
            </w:pPr>
            <w:r>
              <w:rPr>
                <w:spacing w:val="4"/>
                <w:sz w:val="24"/>
              </w:rPr>
              <w:t>加油站经营的油品为汽油、柴油</w:t>
            </w:r>
            <w:r>
              <w:rPr>
                <w:rFonts w:hint="eastAsia"/>
                <w:spacing w:val="4"/>
                <w:sz w:val="24"/>
              </w:rPr>
              <w:t>，</w:t>
            </w:r>
            <w:r>
              <w:rPr>
                <w:spacing w:val="4"/>
                <w:sz w:val="24"/>
              </w:rPr>
              <w:t>属于易燃易爆危险品，加油站采取下列劳动及安全保障措施。</w:t>
            </w:r>
          </w:p>
          <w:p>
            <w:pPr>
              <w:adjustRightInd w:val="0"/>
              <w:snapToGrid w:val="0"/>
              <w:spacing w:line="360" w:lineRule="auto"/>
              <w:ind w:firstLine="496" w:firstLineChars="200"/>
              <w:rPr>
                <w:spacing w:val="4"/>
                <w:sz w:val="24"/>
              </w:rPr>
            </w:pPr>
            <w:r>
              <w:rPr>
                <w:spacing w:val="4"/>
                <w:sz w:val="24"/>
              </w:rPr>
              <w:t>（1）各建（构）筑物的距离，安全通道出入口、电缆敷设及有关的重要设备，按有关规程确定设计原则及相应的防火防爆措施。</w:t>
            </w:r>
          </w:p>
          <w:p>
            <w:pPr>
              <w:adjustRightInd w:val="0"/>
              <w:snapToGrid w:val="0"/>
              <w:spacing w:line="360" w:lineRule="auto"/>
              <w:ind w:firstLine="496" w:firstLineChars="200"/>
              <w:rPr>
                <w:spacing w:val="4"/>
                <w:sz w:val="24"/>
              </w:rPr>
            </w:pPr>
            <w:r>
              <w:rPr>
                <w:spacing w:val="4"/>
                <w:sz w:val="24"/>
              </w:rPr>
              <w:t>（2）所有储运设备、工艺管线等均有防雷、防静电措施。</w:t>
            </w:r>
          </w:p>
          <w:p>
            <w:pPr>
              <w:adjustRightInd w:val="0"/>
              <w:snapToGrid w:val="0"/>
              <w:spacing w:line="360" w:lineRule="auto"/>
              <w:ind w:firstLine="496" w:firstLineChars="200"/>
              <w:rPr>
                <w:spacing w:val="4"/>
                <w:sz w:val="24"/>
              </w:rPr>
            </w:pPr>
            <w:r>
              <w:rPr>
                <w:spacing w:val="4"/>
                <w:sz w:val="24"/>
              </w:rPr>
              <w:t>（3）储罐区、加油区等根据规范要求，设置一定数量的灭火器材。</w:t>
            </w:r>
          </w:p>
          <w:p>
            <w:pPr>
              <w:adjustRightInd w:val="0"/>
              <w:snapToGrid w:val="0"/>
              <w:spacing w:line="360" w:lineRule="auto"/>
              <w:ind w:firstLine="496" w:firstLineChars="200"/>
              <w:rPr>
                <w:spacing w:val="4"/>
                <w:sz w:val="24"/>
              </w:rPr>
            </w:pPr>
            <w:r>
              <w:rPr>
                <w:spacing w:val="4"/>
                <w:sz w:val="24"/>
              </w:rPr>
              <w:t>（4）防爆区电器设备、器材的选型、设计安装及维护均符合《爆炸和火灾危险环境电力设置设计规范》的有关规定、要求。</w:t>
            </w:r>
          </w:p>
          <w:p>
            <w:pPr>
              <w:pStyle w:val="4"/>
              <w:ind w:firstLine="496"/>
            </w:pPr>
            <w:r>
              <w:rPr>
                <w:spacing w:val="4"/>
              </w:rPr>
              <w:t>（5）建立健全安全管理制度和各级人员安全生产责任制，配备专人或兼职人员负责安全管理工作，安全管理人员做到持证上岗，对消防器材、设施安排专人管理，并定期进行检测、维护和更换。</w:t>
            </w:r>
          </w:p>
          <w:p>
            <w:pPr>
              <w:pStyle w:val="5"/>
            </w:pPr>
            <w:r>
              <w:t>劳动定员与工作制度</w:t>
            </w:r>
          </w:p>
          <w:p>
            <w:pPr>
              <w:pStyle w:val="4"/>
              <w:ind w:firstLine="496"/>
            </w:pPr>
            <w:r>
              <w:rPr>
                <w:spacing w:val="4"/>
              </w:rPr>
              <w:t>项目年工作日365天，每天24小时营业，劳动定员</w:t>
            </w:r>
            <w:r>
              <w:rPr>
                <w:rFonts w:hint="eastAsia"/>
                <w:spacing w:val="4"/>
              </w:rPr>
              <w:t>4</w:t>
            </w:r>
            <w:r>
              <w:rPr>
                <w:spacing w:val="4"/>
              </w:rPr>
              <w:t>人，为</w:t>
            </w:r>
            <w:r>
              <w:rPr>
                <w:rFonts w:hint="eastAsia"/>
                <w:spacing w:val="4"/>
              </w:rPr>
              <w:t>三</w:t>
            </w:r>
            <w:r>
              <w:rPr>
                <w:spacing w:val="4"/>
              </w:rPr>
              <w:t>班制</w:t>
            </w:r>
            <w:r>
              <w:rPr>
                <w:rFonts w:hint="eastAsia"/>
                <w:spacing w:val="4"/>
              </w:rPr>
              <w:t>营业</w:t>
            </w:r>
            <w:r>
              <w:rPr>
                <w:spacing w:val="4"/>
              </w:rPr>
              <w:t>。</w:t>
            </w:r>
          </w:p>
          <w:p>
            <w:pPr>
              <w:pStyle w:val="4"/>
              <w:ind w:firstLine="0" w:firstLineChars="0"/>
              <w:rPr>
                <w:rFonts w:hint="default" w:ascii="Times New Roman" w:hAnsi="Times New Roman" w:eastAsia="黑体" w:cs="Times New Roman"/>
                <w:b w:val="0"/>
                <w:bCs/>
              </w:rPr>
            </w:pPr>
            <w:r>
              <w:rPr>
                <w:rFonts w:hint="default" w:ascii="Times New Roman" w:hAnsi="Times New Roman" w:eastAsia="黑体" w:cs="Times New Roman"/>
                <w:b w:val="0"/>
                <w:bCs/>
              </w:rPr>
              <w:t>1.</w:t>
            </w:r>
            <w:r>
              <w:rPr>
                <w:rFonts w:hint="default" w:ascii="Times New Roman" w:hAnsi="Times New Roman" w:eastAsia="黑体" w:cs="Times New Roman"/>
                <w:b w:val="0"/>
                <w:bCs/>
                <w:lang w:val="en-US" w:eastAsia="zh-CN"/>
              </w:rPr>
              <w:t>10</w:t>
            </w:r>
            <w:r>
              <w:rPr>
                <w:rFonts w:hint="default" w:ascii="Times New Roman" w:hAnsi="Times New Roman" w:eastAsia="黑体" w:cs="Times New Roman"/>
                <w:b w:val="0"/>
                <w:bCs/>
              </w:rPr>
              <w:t>与本项目有关的原有污染情况及主要环境问题</w:t>
            </w:r>
          </w:p>
          <w:p>
            <w:pPr>
              <w:adjustRightInd w:val="0"/>
              <w:snapToGrid w:val="0"/>
              <w:spacing w:line="360" w:lineRule="auto"/>
              <w:ind w:firstLine="480" w:firstLineChars="200"/>
              <w:rPr>
                <w:rFonts w:ascii="宋体" w:hAnsi="宋体" w:cs="宋体"/>
                <w:sz w:val="24"/>
                <w:szCs w:val="24"/>
              </w:rPr>
            </w:pPr>
            <w:r>
              <w:rPr>
                <w:sz w:val="24"/>
              </w:rPr>
              <w:t>本</w:t>
            </w:r>
            <w:r>
              <w:rPr>
                <w:rFonts w:hint="eastAsia" w:ascii="宋体" w:hAnsi="宋体" w:cs="宋体"/>
                <w:sz w:val="24"/>
                <w:szCs w:val="24"/>
              </w:rPr>
              <w:t>项目位于湘阴县杨林寨乡东合港村</w:t>
            </w:r>
            <w:r>
              <w:rPr>
                <w:sz w:val="24"/>
                <w:szCs w:val="24"/>
              </w:rPr>
              <w:t>三组，项目自2006年运行至今</w:t>
            </w:r>
            <w:r>
              <w:rPr>
                <w:rFonts w:hint="eastAsia" w:ascii="宋体" w:hAnsi="宋体" w:cs="宋体"/>
                <w:sz w:val="24"/>
                <w:szCs w:val="24"/>
              </w:rPr>
              <w:t>，未收到相关的环保投诉。</w:t>
            </w:r>
          </w:p>
          <w:p>
            <w:pPr>
              <w:adjustRightInd w:val="0"/>
              <w:snapToGrid w:val="0"/>
              <w:spacing w:line="360" w:lineRule="auto"/>
              <w:ind w:firstLine="480" w:firstLineChars="200"/>
              <w:rPr>
                <w:rFonts w:hint="default" w:ascii="Times New Roman" w:hAnsi="Times New Roman" w:cs="Times New Roman"/>
                <w:spacing w:val="4"/>
                <w:sz w:val="24"/>
                <w:szCs w:val="24"/>
                <w:u w:val="single"/>
              </w:rPr>
            </w:pPr>
            <w:r>
              <w:rPr>
                <w:rFonts w:hint="default" w:ascii="Times New Roman" w:hAnsi="Times New Roman" w:cs="Times New Roman"/>
                <w:sz w:val="24"/>
                <w:szCs w:val="24"/>
                <w:u w:val="single"/>
              </w:rPr>
              <w:t>（1）</w:t>
            </w:r>
            <w:r>
              <w:rPr>
                <w:rFonts w:hint="default" w:ascii="Times New Roman" w:hAnsi="Times New Roman" w:cs="Times New Roman"/>
                <w:spacing w:val="4"/>
                <w:sz w:val="24"/>
                <w:szCs w:val="24"/>
                <w:u w:val="single"/>
              </w:rPr>
              <w:t>项目存在的主要环境问题及整改措施</w:t>
            </w:r>
          </w:p>
          <w:p>
            <w:pPr>
              <w:adjustRightInd w:val="0"/>
              <w:snapToGrid w:val="0"/>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u w:val="single"/>
              </w:rPr>
              <w:t>据调查，目前项目主要污染源、防治措施及存在的环境问题见下表。</w:t>
            </w:r>
          </w:p>
          <w:p>
            <w:pPr>
              <w:pStyle w:val="102"/>
              <w:rPr>
                <w:rFonts w:hint="default" w:ascii="Times New Roman" w:hAnsi="Times New Roman" w:cs="Times New Roman"/>
                <w:u w:val="single"/>
              </w:rPr>
            </w:pPr>
            <w:r>
              <w:rPr>
                <w:rFonts w:hint="default" w:ascii="Times New Roman" w:hAnsi="Times New Roman" w:eastAsia="黑体" w:cs="Times New Roman"/>
                <w:b w:val="0"/>
                <w:bCs/>
                <w:sz w:val="24"/>
                <w:szCs w:val="24"/>
                <w:u w:val="single"/>
              </w:rPr>
              <w:t>表1.</w:t>
            </w:r>
            <w:r>
              <w:rPr>
                <w:rFonts w:hint="default" w:ascii="Times New Roman" w:hAnsi="Times New Roman" w:eastAsia="黑体" w:cs="Times New Roman"/>
                <w:b w:val="0"/>
                <w:bCs/>
                <w:sz w:val="24"/>
                <w:szCs w:val="24"/>
                <w:u w:val="single"/>
                <w:lang w:val="en-US" w:eastAsia="zh-CN"/>
              </w:rPr>
              <w:t>10</w:t>
            </w:r>
            <w:r>
              <w:rPr>
                <w:rFonts w:hint="default" w:ascii="Times New Roman" w:hAnsi="Times New Roman" w:eastAsia="黑体" w:cs="Times New Roman"/>
                <w:b w:val="0"/>
                <w:bCs/>
                <w:sz w:val="24"/>
                <w:szCs w:val="24"/>
                <w:u w:val="single"/>
              </w:rPr>
              <w:t>-1  现有项目主要污染源、现有防治措施及存在的问题</w:t>
            </w:r>
          </w:p>
          <w:tbl>
            <w:tblPr>
              <w:tblStyle w:val="24"/>
              <w:tblW w:w="87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90"/>
              <w:gridCol w:w="1560"/>
              <w:gridCol w:w="2625"/>
              <w:gridCol w:w="2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类别</w:t>
                  </w: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排放源</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污染物名称</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已采取的治理措施</w:t>
                  </w:r>
                </w:p>
              </w:tc>
              <w:tc>
                <w:tcPr>
                  <w:tcW w:w="2223"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是否符合环保要求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restart"/>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大气污染物</w:t>
                  </w: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加油站卸油、储油、加油过程</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非甲烷总烃</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设置油气回收装置</w:t>
                  </w:r>
                </w:p>
              </w:tc>
              <w:tc>
                <w:tcPr>
                  <w:tcW w:w="2223" w:type="dxa"/>
                  <w:vAlign w:val="center"/>
                </w:tcPr>
                <w:p>
                  <w:pPr>
                    <w:pStyle w:val="42"/>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continue"/>
                  <w:vAlign w:val="center"/>
                </w:tcPr>
                <w:p>
                  <w:pPr>
                    <w:pStyle w:val="42"/>
                    <w:spacing w:before="31" w:after="31"/>
                    <w:rPr>
                      <w:rFonts w:hint="default" w:ascii="Times New Roman" w:hAnsi="Times New Roman" w:cs="Times New Roman"/>
                      <w:u w:val="single"/>
                    </w:rPr>
                  </w:pP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机动车尾气</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NO</w:t>
                  </w:r>
                  <w:r>
                    <w:rPr>
                      <w:rFonts w:hint="default" w:ascii="Times New Roman" w:hAnsi="Times New Roman" w:cs="Times New Roman"/>
                      <w:u w:val="single"/>
                      <w:vertAlign w:val="subscript"/>
                    </w:rPr>
                    <w:t>X</w:t>
                  </w:r>
                  <w:r>
                    <w:rPr>
                      <w:rFonts w:hint="default" w:ascii="Times New Roman" w:hAnsi="Times New Roman" w:cs="Times New Roman"/>
                      <w:u w:val="single"/>
                    </w:rPr>
                    <w:t>，CO，HC</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自然扩散</w:t>
                  </w:r>
                </w:p>
              </w:tc>
              <w:tc>
                <w:tcPr>
                  <w:tcW w:w="2223" w:type="dxa"/>
                  <w:vAlign w:val="center"/>
                </w:tcPr>
                <w:p>
                  <w:pPr>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restart"/>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水污染物</w:t>
                  </w: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生活污水</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CODcr、BOD</w:t>
                  </w:r>
                  <w:r>
                    <w:rPr>
                      <w:rFonts w:hint="default" w:ascii="Times New Roman" w:hAnsi="Times New Roman" w:cs="Times New Roman"/>
                      <w:u w:val="single"/>
                      <w:vertAlign w:val="subscript"/>
                    </w:rPr>
                    <w:t>5</w:t>
                  </w:r>
                  <w:r>
                    <w:rPr>
                      <w:rFonts w:hint="default" w:ascii="Times New Roman" w:hAnsi="Times New Roman" w:cs="Times New Roman"/>
                      <w:u w:val="single"/>
                    </w:rPr>
                    <w:t>、SS、NH</w:t>
                  </w:r>
                  <w:r>
                    <w:rPr>
                      <w:rFonts w:hint="default" w:ascii="Times New Roman" w:hAnsi="Times New Roman" w:cs="Times New Roman"/>
                      <w:u w:val="single"/>
                      <w:vertAlign w:val="subscript"/>
                    </w:rPr>
                    <w:t>3</w:t>
                  </w:r>
                  <w:r>
                    <w:rPr>
                      <w:rFonts w:hint="default" w:ascii="Times New Roman" w:hAnsi="Times New Roman" w:cs="Times New Roman"/>
                      <w:u w:val="single"/>
                    </w:rPr>
                    <w:t>-N</w:t>
                  </w:r>
                </w:p>
              </w:tc>
              <w:tc>
                <w:tcPr>
                  <w:tcW w:w="2625" w:type="dxa"/>
                  <w:vAlign w:val="center"/>
                </w:tcPr>
                <w:p>
                  <w:pPr>
                    <w:pStyle w:val="42"/>
                    <w:rPr>
                      <w:rFonts w:hint="default" w:ascii="Times New Roman" w:hAnsi="Times New Roman" w:cs="Times New Roman"/>
                      <w:u w:val="single"/>
                    </w:rPr>
                  </w:pPr>
                  <w:r>
                    <w:rPr>
                      <w:rFonts w:hint="default" w:ascii="Times New Roman" w:hAnsi="Times New Roman" w:cs="Times New Roman"/>
                      <w:u w:val="single"/>
                      <w:lang w:eastAsia="zh-CN"/>
                    </w:rPr>
                    <w:t>站区已设置雨污分流措施，</w:t>
                  </w:r>
                  <w:r>
                    <w:rPr>
                      <w:rFonts w:hint="default" w:ascii="Times New Roman" w:hAnsi="Times New Roman" w:cs="Times New Roman"/>
                      <w:u w:val="single"/>
                    </w:rPr>
                    <w:t>目前生活污水经化粪池处理后用于农肥不外排</w:t>
                  </w:r>
                </w:p>
              </w:tc>
              <w:tc>
                <w:tcPr>
                  <w:tcW w:w="2223" w:type="dxa"/>
                  <w:vAlign w:val="center"/>
                </w:tcPr>
                <w:p>
                  <w:pPr>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continue"/>
                  <w:vAlign w:val="center"/>
                </w:tcPr>
                <w:p>
                  <w:pPr>
                    <w:pStyle w:val="42"/>
                    <w:spacing w:before="31" w:after="31"/>
                    <w:rPr>
                      <w:rFonts w:hint="default" w:ascii="Times New Roman" w:hAnsi="Times New Roman" w:cs="Times New Roman"/>
                      <w:u w:val="single"/>
                    </w:rPr>
                  </w:pP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地面清洁废水</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石油类、SS</w:t>
                  </w:r>
                </w:p>
              </w:tc>
              <w:tc>
                <w:tcPr>
                  <w:tcW w:w="2625" w:type="dxa"/>
                  <w:vMerge w:val="restart"/>
                  <w:vAlign w:val="center"/>
                </w:tcPr>
                <w:p>
                  <w:pPr>
                    <w:pStyle w:val="42"/>
                    <w:rPr>
                      <w:rFonts w:hint="default" w:ascii="Times New Roman" w:hAnsi="Times New Roman" w:cs="Times New Roman"/>
                      <w:u w:val="single"/>
                    </w:rPr>
                  </w:pPr>
                  <w:r>
                    <w:rPr>
                      <w:rFonts w:hint="default" w:ascii="Times New Roman" w:hAnsi="Times New Roman" w:cs="Times New Roman"/>
                      <w:u w:val="single"/>
                    </w:rPr>
                    <w:t>经隔油池及</w:t>
                  </w:r>
                  <w:r>
                    <w:rPr>
                      <w:rFonts w:hint="default" w:ascii="Times New Roman" w:hAnsi="Times New Roman" w:cs="Times New Roman"/>
                      <w:u w:val="single"/>
                      <w:lang w:eastAsia="zh-CN"/>
                    </w:rPr>
                    <w:t>沉淀池</w:t>
                  </w:r>
                  <w:r>
                    <w:rPr>
                      <w:rFonts w:hint="default" w:ascii="Times New Roman" w:hAnsi="Times New Roman" w:cs="Times New Roman"/>
                      <w:u w:val="single"/>
                    </w:rPr>
                    <w:t>处理后回用</w:t>
                  </w:r>
                </w:p>
              </w:tc>
              <w:tc>
                <w:tcPr>
                  <w:tcW w:w="2223" w:type="dxa"/>
                  <w:vAlign w:val="center"/>
                </w:tcPr>
                <w:p>
                  <w:pPr>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continue"/>
                  <w:vAlign w:val="center"/>
                </w:tcPr>
                <w:p>
                  <w:pPr>
                    <w:pStyle w:val="42"/>
                    <w:spacing w:before="31" w:after="31"/>
                    <w:rPr>
                      <w:rFonts w:hint="default" w:ascii="Times New Roman" w:hAnsi="Times New Roman" w:cs="Times New Roman"/>
                      <w:u w:val="single"/>
                    </w:rPr>
                  </w:pP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洗车废水</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石油类LAS、SS</w:t>
                  </w:r>
                </w:p>
              </w:tc>
              <w:tc>
                <w:tcPr>
                  <w:tcW w:w="2625" w:type="dxa"/>
                  <w:vMerge w:val="continue"/>
                  <w:vAlign w:val="center"/>
                </w:tcPr>
                <w:p>
                  <w:pPr>
                    <w:pStyle w:val="42"/>
                    <w:rPr>
                      <w:rFonts w:hint="default" w:ascii="Times New Roman" w:hAnsi="Times New Roman" w:cs="Times New Roman"/>
                      <w:u w:val="single"/>
                    </w:rPr>
                  </w:pPr>
                </w:p>
              </w:tc>
              <w:tc>
                <w:tcPr>
                  <w:tcW w:w="2223" w:type="dxa"/>
                  <w:vAlign w:val="center"/>
                </w:tcPr>
                <w:p>
                  <w:pPr>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噪声</w:t>
                  </w:r>
                </w:p>
              </w:tc>
              <w:tc>
                <w:tcPr>
                  <w:tcW w:w="3150" w:type="dxa"/>
                  <w:gridSpan w:val="2"/>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本项目主要噪声源为设备噪声</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加强设备维护，采取减震及隔声等措施</w:t>
                  </w:r>
                </w:p>
              </w:tc>
              <w:tc>
                <w:tcPr>
                  <w:tcW w:w="2223" w:type="dxa"/>
                  <w:vAlign w:val="center"/>
                </w:tcPr>
                <w:p>
                  <w:pPr>
                    <w:pStyle w:val="42"/>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restart"/>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固体废物</w:t>
                  </w:r>
                </w:p>
              </w:tc>
              <w:tc>
                <w:tcPr>
                  <w:tcW w:w="159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生活垃圾</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生活垃圾</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交由环卫部门处理</w:t>
                  </w:r>
                </w:p>
              </w:tc>
              <w:tc>
                <w:tcPr>
                  <w:tcW w:w="2223" w:type="dxa"/>
                  <w:vAlign w:val="center"/>
                </w:tcPr>
                <w:p>
                  <w:pPr>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continue"/>
                  <w:vAlign w:val="center"/>
                </w:tcPr>
                <w:p>
                  <w:pPr>
                    <w:pStyle w:val="42"/>
                    <w:spacing w:before="31" w:after="31"/>
                    <w:rPr>
                      <w:rFonts w:hint="default" w:ascii="Times New Roman" w:hAnsi="Times New Roman" w:cs="Times New Roman"/>
                      <w:u w:val="single"/>
                    </w:rPr>
                  </w:pPr>
                </w:p>
              </w:tc>
              <w:tc>
                <w:tcPr>
                  <w:tcW w:w="1590" w:type="dxa"/>
                  <w:vMerge w:val="restart"/>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危险废物</w:t>
                  </w: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油罐清洁废油渣</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未签订危废回收协议及设置危废暂存间</w:t>
                  </w:r>
                </w:p>
              </w:tc>
              <w:tc>
                <w:tcPr>
                  <w:tcW w:w="2223" w:type="dxa"/>
                  <w:vAlign w:val="center"/>
                </w:tcPr>
                <w:p>
                  <w:pPr>
                    <w:pStyle w:val="42"/>
                    <w:spacing w:before="31" w:after="31"/>
                    <w:jc w:val="center"/>
                    <w:rPr>
                      <w:rFonts w:hint="default" w:ascii="Times New Roman" w:hAnsi="Times New Roman" w:cs="Times New Roman"/>
                      <w:u w:val="single"/>
                    </w:rPr>
                  </w:pPr>
                  <w:r>
                    <w:rPr>
                      <w:rFonts w:hint="default" w:ascii="Times New Roman" w:hAnsi="Times New Roman" w:cs="Times New Roman"/>
                      <w:u w:val="single"/>
                    </w:rPr>
                    <w:t>不符合，需签订危废回收协议</w:t>
                  </w:r>
                  <w:r>
                    <w:rPr>
                      <w:rFonts w:hint="default" w:ascii="Times New Roman" w:hAnsi="Times New Roman" w:cs="Times New Roman"/>
                      <w:u w:val="single"/>
                      <w:lang w:eastAsia="zh-CN"/>
                    </w:rPr>
                    <w:t>并</w:t>
                  </w:r>
                  <w:r>
                    <w:rPr>
                      <w:rFonts w:hint="default" w:ascii="Times New Roman" w:hAnsi="Times New Roman" w:cs="Times New Roman"/>
                      <w:u w:val="single"/>
                    </w:rPr>
                    <w:t>设置危废暂存间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vMerge w:val="continue"/>
                  <w:vAlign w:val="center"/>
                </w:tcPr>
                <w:p>
                  <w:pPr>
                    <w:pStyle w:val="42"/>
                    <w:spacing w:before="31" w:after="31"/>
                    <w:rPr>
                      <w:rFonts w:hint="default" w:ascii="Times New Roman" w:hAnsi="Times New Roman" w:cs="Times New Roman"/>
                      <w:u w:val="single"/>
                    </w:rPr>
                  </w:pPr>
                </w:p>
              </w:tc>
              <w:tc>
                <w:tcPr>
                  <w:tcW w:w="1590" w:type="dxa"/>
                  <w:vMerge w:val="continue"/>
                  <w:vAlign w:val="center"/>
                </w:tcPr>
                <w:p>
                  <w:pPr>
                    <w:pStyle w:val="42"/>
                    <w:spacing w:before="31" w:after="31"/>
                    <w:rPr>
                      <w:rFonts w:hint="default" w:ascii="Times New Roman" w:hAnsi="Times New Roman" w:cs="Times New Roman"/>
                      <w:u w:val="single"/>
                    </w:rPr>
                  </w:pPr>
                </w:p>
              </w:tc>
              <w:tc>
                <w:tcPr>
                  <w:tcW w:w="1560"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隔油池油泥</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未签订危废回收协议及设置危废暂存间</w:t>
                  </w:r>
                </w:p>
              </w:tc>
              <w:tc>
                <w:tcPr>
                  <w:tcW w:w="2223" w:type="dxa"/>
                  <w:vAlign w:val="center"/>
                </w:tcPr>
                <w:p>
                  <w:pPr>
                    <w:pStyle w:val="42"/>
                    <w:spacing w:before="31" w:after="31"/>
                    <w:jc w:val="center"/>
                    <w:rPr>
                      <w:rFonts w:hint="default" w:ascii="Times New Roman" w:hAnsi="Times New Roman" w:cs="Times New Roman"/>
                      <w:u w:val="single"/>
                    </w:rPr>
                  </w:pPr>
                  <w:r>
                    <w:rPr>
                      <w:rFonts w:hint="default" w:ascii="Times New Roman" w:hAnsi="Times New Roman" w:cs="Times New Roman"/>
                      <w:u w:val="single"/>
                    </w:rPr>
                    <w:t>不符合，需签订危废回收协议</w:t>
                  </w:r>
                  <w:r>
                    <w:rPr>
                      <w:rFonts w:hint="default" w:ascii="Times New Roman" w:hAnsi="Times New Roman" w:cs="Times New Roman"/>
                      <w:u w:val="single"/>
                      <w:lang w:eastAsia="zh-CN"/>
                    </w:rPr>
                    <w:t>并</w:t>
                  </w:r>
                  <w:r>
                    <w:rPr>
                      <w:rFonts w:hint="default" w:ascii="Times New Roman" w:hAnsi="Times New Roman" w:cs="Times New Roman"/>
                      <w:u w:val="single"/>
                    </w:rPr>
                    <w:t>设置危废暂存间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8" w:type="dxa"/>
                  <w:gridSpan w:val="3"/>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风险防控措施</w:t>
                  </w:r>
                </w:p>
              </w:tc>
              <w:tc>
                <w:tcPr>
                  <w:tcW w:w="2625" w:type="dxa"/>
                  <w:vAlign w:val="center"/>
                </w:tcPr>
                <w:p>
                  <w:pPr>
                    <w:pStyle w:val="42"/>
                    <w:spacing w:before="31" w:after="31"/>
                    <w:rPr>
                      <w:rFonts w:hint="default" w:ascii="Times New Roman" w:hAnsi="Times New Roman" w:cs="Times New Roman"/>
                      <w:u w:val="single"/>
                    </w:rPr>
                  </w:pPr>
                  <w:r>
                    <w:rPr>
                      <w:rFonts w:hint="default" w:ascii="Times New Roman" w:hAnsi="Times New Roman" w:cs="Times New Roman"/>
                      <w:u w:val="single"/>
                    </w:rPr>
                    <w:t>液位仪，防渗池，水封井，地下双层油罐、地下水观测井</w:t>
                  </w:r>
                </w:p>
              </w:tc>
              <w:tc>
                <w:tcPr>
                  <w:tcW w:w="2223" w:type="dxa"/>
                  <w:vAlign w:val="center"/>
                </w:tcPr>
                <w:p>
                  <w:pPr>
                    <w:pStyle w:val="42"/>
                    <w:spacing w:before="31" w:after="31"/>
                    <w:jc w:val="center"/>
                    <w:rPr>
                      <w:rFonts w:hint="default" w:ascii="Times New Roman" w:hAnsi="Times New Roman" w:cs="Times New Roman"/>
                      <w:u w:val="single"/>
                    </w:rPr>
                  </w:pPr>
                  <w:r>
                    <w:rPr>
                      <w:rFonts w:hint="default" w:ascii="Times New Roman" w:hAnsi="Times New Roman" w:cs="Times New Roman"/>
                      <w:u w:val="single"/>
                      <w:lang w:eastAsia="zh-CN"/>
                    </w:rPr>
                    <w:t>不</w:t>
                  </w:r>
                  <w:r>
                    <w:rPr>
                      <w:rFonts w:hint="eastAsia" w:ascii="Times New Roman" w:hAnsi="Times New Roman" w:cs="Times New Roman"/>
                      <w:u w:val="single"/>
                      <w:lang w:eastAsia="zh-CN"/>
                    </w:rPr>
                    <w:t>完全</w:t>
                  </w:r>
                  <w:r>
                    <w:rPr>
                      <w:rFonts w:hint="default" w:ascii="Times New Roman" w:hAnsi="Times New Roman" w:cs="Times New Roman"/>
                      <w:u w:val="single"/>
                      <w:lang w:eastAsia="zh-CN"/>
                    </w:rPr>
                    <w:t>符合，需设置外排雨水关闭或切换阀门，并配套设置应急事故池</w:t>
                  </w:r>
                </w:p>
              </w:tc>
            </w:tr>
          </w:tbl>
          <w:p>
            <w:pPr>
              <w:adjustRightInd w:val="0"/>
              <w:snapToGrid w:val="0"/>
              <w:spacing w:line="360" w:lineRule="auto"/>
              <w:ind w:firstLine="480" w:firstLineChars="200"/>
              <w:rPr>
                <w:sz w:val="24"/>
                <w:szCs w:val="24"/>
              </w:rPr>
            </w:pPr>
            <w:r>
              <w:rPr>
                <w:sz w:val="24"/>
                <w:szCs w:val="24"/>
              </w:rPr>
              <w:t>（2）项目周边环境情况及相关情况判定</w:t>
            </w:r>
          </w:p>
          <w:p>
            <w:pPr>
              <w:adjustRightInd w:val="0"/>
              <w:snapToGrid w:val="0"/>
              <w:spacing w:line="360" w:lineRule="auto"/>
              <w:ind w:firstLine="480" w:firstLineChars="200"/>
              <w:rPr>
                <w:sz w:val="24"/>
                <w:szCs w:val="24"/>
              </w:rPr>
            </w:pPr>
            <w:r>
              <w:rPr>
                <w:sz w:val="24"/>
                <w:szCs w:val="24"/>
              </w:rPr>
              <w:t>项目位于农村环境，东侧为县道，北侧与南侧为居民，西侧为农田。据调查，区域内无自然保护区和重点文物保护单位，也未发现国家明文规定的珍稀动、植物群落。</w:t>
            </w:r>
          </w:p>
          <w:p>
            <w:pPr>
              <w:adjustRightInd w:val="0"/>
              <w:snapToGrid w:val="0"/>
              <w:spacing w:line="360" w:lineRule="auto"/>
              <w:ind w:firstLine="480" w:firstLineChars="200"/>
            </w:pPr>
            <w:r>
              <w:rPr>
                <w:sz w:val="24"/>
                <w:szCs w:val="24"/>
              </w:rPr>
              <w:t>最近居民区距本项目油罐外壁20米，距加油机中心线24米。根据《汽车加油加气站设计与施工规范》（GB50156-2012（2014年版））中</w:t>
            </w:r>
            <w:r>
              <w:rPr>
                <w:rFonts w:hint="eastAsia"/>
                <w:sz w:val="24"/>
                <w:szCs w:val="24"/>
              </w:rPr>
              <w:t>“4.0.4站址选择”的</w:t>
            </w:r>
            <w:r>
              <w:rPr>
                <w:sz w:val="24"/>
                <w:szCs w:val="24"/>
              </w:rPr>
              <w:t>相关规定，临近项目居民点为总建筑面积不超过5000㎡的居住建筑，应为民用建筑三类保护物，有卸油和加油油气回收系统的</w:t>
            </w:r>
            <w:r>
              <w:rPr>
                <w:rFonts w:hint="eastAsia"/>
                <w:sz w:val="24"/>
                <w:szCs w:val="24"/>
              </w:rPr>
              <w:t>三</w:t>
            </w:r>
            <w:r>
              <w:rPr>
                <w:sz w:val="24"/>
                <w:szCs w:val="24"/>
              </w:rPr>
              <w:t>级加油站地埋油罐距离三类保护民用建筑物的最近距离均为8.5米，有卸油和加油油气回收装置的加油机、通气管管口距离三类保护民用建筑物的最近距离均为7米，本项目符合汽油设备与站外建(构)筑物的安全间距规定。</w:t>
            </w:r>
          </w:p>
          <w:p>
            <w:pPr>
              <w:pStyle w:val="4"/>
              <w:ind w:firstLine="0" w:firstLineChars="0"/>
              <w:rPr>
                <w:snapToGrid w:val="0"/>
                <w:kern w:val="24"/>
              </w:rPr>
            </w:pPr>
          </w:p>
        </w:tc>
      </w:tr>
    </w:tbl>
    <w:p>
      <w:pPr>
        <w:pStyle w:val="3"/>
        <w:sectPr>
          <w:headerReference r:id="rId8" w:type="default"/>
          <w:footerReference r:id="rId9" w:type="default"/>
          <w:pgSz w:w="11907" w:h="16840"/>
          <w:pgMar w:top="1418" w:right="1418" w:bottom="1418" w:left="1701" w:header="851" w:footer="851" w:gutter="0"/>
          <w:pgNumType w:start="1"/>
          <w:cols w:space="720" w:num="1"/>
          <w:docGrid w:linePitch="285" w:charSpace="0"/>
        </w:sectPr>
      </w:pPr>
    </w:p>
    <w:p>
      <w:pPr>
        <w:pStyle w:val="3"/>
      </w:pPr>
      <w:bookmarkStart w:id="8" w:name="_Toc2949"/>
      <w:r>
        <w:t>自然环境简况</w:t>
      </w:r>
      <w:bookmarkEnd w:id="8"/>
    </w:p>
    <w:tbl>
      <w:tblPr>
        <w:tblStyle w:val="24"/>
        <w:tblW w:w="906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0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1978" w:hRule="atLeast"/>
        </w:trPr>
        <w:tc>
          <w:tcPr>
            <w:tcW w:w="9060" w:type="dxa"/>
            <w:tcBorders>
              <w:top w:val="single" w:color="auto" w:sz="12" w:space="0"/>
              <w:left w:val="single" w:color="auto" w:sz="12" w:space="0"/>
              <w:bottom w:val="single" w:color="auto" w:sz="8" w:space="0"/>
              <w:right w:val="single" w:color="auto" w:sz="12" w:space="0"/>
            </w:tcBorders>
          </w:tcPr>
          <w:p>
            <w:pPr>
              <w:spacing w:line="360" w:lineRule="auto"/>
              <w:ind w:right="113"/>
              <w:rPr>
                <w:rFonts w:eastAsia="黑体"/>
                <w:snapToGrid w:val="0"/>
                <w:sz w:val="24"/>
                <w:szCs w:val="24"/>
              </w:rPr>
            </w:pPr>
            <w:r>
              <w:rPr>
                <w:rFonts w:eastAsia="黑体"/>
                <w:snapToGrid w:val="0"/>
                <w:sz w:val="24"/>
                <w:szCs w:val="24"/>
              </w:rPr>
              <w:t>自然环境简况（地形、地貌、地质、气候、气象、水文、植被、生物多样性等）：</w:t>
            </w:r>
          </w:p>
          <w:p>
            <w:pPr>
              <w:pStyle w:val="5"/>
            </w:pPr>
            <w:r>
              <w:t>地理位置</w:t>
            </w:r>
          </w:p>
          <w:p>
            <w:pPr>
              <w:adjustRightInd w:val="0"/>
              <w:snapToGrid w:val="0"/>
              <w:spacing w:line="360" w:lineRule="auto"/>
              <w:ind w:firstLine="480" w:firstLineChars="200"/>
              <w:rPr>
                <w:sz w:val="24"/>
              </w:rPr>
            </w:pPr>
            <w:r>
              <w:rPr>
                <w:rFonts w:hint="eastAsia"/>
                <w:sz w:val="24"/>
                <w:szCs w:val="24"/>
              </w:rPr>
              <w:t>湘阴位于湖南省东北部洞庭南岸，处幕阜山余脉，居湘、资两水尾闾；东据逶迤山岭，西展坦荡湖乡；东临汩罗，西接益阳，南连长沙、望城，北抵岳阳、沅江。地理坐标为北纬28°30</w:t>
            </w:r>
            <w:r>
              <w:rPr>
                <w:sz w:val="24"/>
                <w:szCs w:val="24"/>
              </w:rPr>
              <w:t>’</w:t>
            </w:r>
            <w:r>
              <w:rPr>
                <w:rFonts w:hint="eastAsia"/>
                <w:sz w:val="24"/>
                <w:szCs w:val="24"/>
              </w:rPr>
              <w:t>13</w:t>
            </w:r>
            <w:r>
              <w:rPr>
                <w:sz w:val="24"/>
                <w:szCs w:val="24"/>
              </w:rPr>
              <w:t>”</w:t>
            </w:r>
            <w:r>
              <w:rPr>
                <w:rFonts w:hint="eastAsia"/>
                <w:sz w:val="24"/>
                <w:szCs w:val="24"/>
              </w:rPr>
              <w:t>—29°3</w:t>
            </w:r>
            <w:r>
              <w:rPr>
                <w:sz w:val="24"/>
                <w:szCs w:val="24"/>
              </w:rPr>
              <w:t>’</w:t>
            </w:r>
            <w:r>
              <w:rPr>
                <w:rFonts w:hint="eastAsia"/>
                <w:sz w:val="24"/>
                <w:szCs w:val="24"/>
              </w:rPr>
              <w:t>2</w:t>
            </w:r>
            <w:r>
              <w:rPr>
                <w:sz w:val="24"/>
                <w:szCs w:val="24"/>
              </w:rPr>
              <w:t>”</w:t>
            </w:r>
            <w:r>
              <w:rPr>
                <w:rFonts w:hint="eastAsia"/>
                <w:sz w:val="24"/>
                <w:szCs w:val="24"/>
              </w:rPr>
              <w:t>，东经 112°30</w:t>
            </w:r>
            <w:r>
              <w:rPr>
                <w:sz w:val="24"/>
                <w:szCs w:val="24"/>
              </w:rPr>
              <w:t>’</w:t>
            </w:r>
            <w:r>
              <w:rPr>
                <w:rFonts w:hint="eastAsia"/>
                <w:sz w:val="24"/>
                <w:szCs w:val="24"/>
              </w:rPr>
              <w:t>20</w:t>
            </w:r>
            <w:r>
              <w:rPr>
                <w:sz w:val="24"/>
                <w:szCs w:val="24"/>
              </w:rPr>
              <w:t>”</w:t>
            </w:r>
            <w:r>
              <w:rPr>
                <w:rFonts w:hint="eastAsia"/>
                <w:sz w:val="24"/>
                <w:szCs w:val="24"/>
              </w:rPr>
              <w:t>—113°1</w:t>
            </w:r>
            <w:r>
              <w:rPr>
                <w:sz w:val="24"/>
                <w:szCs w:val="24"/>
              </w:rPr>
              <w:t>’</w:t>
            </w:r>
            <w:r>
              <w:rPr>
                <w:rFonts w:hint="eastAsia"/>
                <w:sz w:val="24"/>
                <w:szCs w:val="24"/>
              </w:rPr>
              <w:t>50</w:t>
            </w:r>
            <w:r>
              <w:rPr>
                <w:sz w:val="24"/>
                <w:szCs w:val="24"/>
              </w:rPr>
              <w:t>”</w:t>
            </w:r>
            <w:r>
              <w:rPr>
                <w:rFonts w:hint="eastAsia"/>
                <w:sz w:val="24"/>
                <w:szCs w:val="24"/>
              </w:rPr>
              <w:t>之间。南北长61km，东西宽51.3km。</w:t>
            </w:r>
            <w:r>
              <w:rPr>
                <w:sz w:val="24"/>
                <w:szCs w:val="24"/>
              </w:rPr>
              <w:t>本项目位于</w:t>
            </w:r>
            <w:r>
              <w:rPr>
                <w:rFonts w:hint="eastAsia"/>
                <w:sz w:val="24"/>
                <w:szCs w:val="24"/>
              </w:rPr>
              <w:t>湘阴县杨林寨乡东合港村三组</w:t>
            </w:r>
            <w:r>
              <w:rPr>
                <w:sz w:val="24"/>
                <w:szCs w:val="24"/>
              </w:rPr>
              <w:t>，</w:t>
            </w:r>
            <w:r>
              <w:rPr>
                <w:rFonts w:hint="eastAsia"/>
                <w:sz w:val="24"/>
                <w:szCs w:val="24"/>
              </w:rPr>
              <w:t>项目坐标为</w:t>
            </w:r>
            <w:r>
              <w:rPr>
                <w:rFonts w:hint="eastAsia" w:hAnsiTheme="minorEastAsia"/>
                <w:sz w:val="24"/>
                <w:szCs w:val="24"/>
              </w:rPr>
              <w:t>N28°43′46.74″，E112°44′37.24″，</w:t>
            </w:r>
            <w:r>
              <w:rPr>
                <w:sz w:val="24"/>
              </w:rPr>
              <w:t>地理位置图见附图1。</w:t>
            </w:r>
          </w:p>
          <w:p>
            <w:pPr>
              <w:pStyle w:val="5"/>
            </w:pPr>
            <w:r>
              <w:t>地形、地质、地貌</w:t>
            </w:r>
          </w:p>
          <w:p>
            <w:pPr>
              <w:pStyle w:val="44"/>
              <w:ind w:firstLine="480"/>
              <w:rPr>
                <w:rFonts w:ascii="Times New Roman" w:hAnsi="Times New Roman"/>
                <w:sz w:val="24"/>
                <w:szCs w:val="24"/>
              </w:rPr>
            </w:pPr>
            <w:r>
              <w:rPr>
                <w:rFonts w:hint="eastAsia" w:ascii="Times New Roman" w:hAnsi="Times New Roman"/>
                <w:sz w:val="24"/>
                <w:szCs w:val="24"/>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702.11平方公里，占全县总面积的44.4%；岗地占13.59%；低山占1.51%。其三、河湖交会，水域广阔。湘江自南而北贯穿全景，自然分成东西两部，江东为东乡，为低山岗丘地，岗丘婉蜒，地形起伏；江西为西乡，属滨湖平原地，河渠纵横，湖沼塘堰星罗棋布。全县国土总面积1581.5平方公里，湖区、山丘区、湖洲分别为675.0平方公里、484.6平方公里、421.9平方公里。水域面积98.56万亩，占全县总面积的41.56%。各类地貌中的水面面积占总面积的百分比分别为：滨湖平原为89.06万亩，占53.99%；江河平原为2.37万亩，占 21.68%；溪谷平原为3.82万亩，占15.54%；岗地为2.95万亩，占8.92%，低山为3600 亩，占10.08%。</w:t>
            </w:r>
          </w:p>
          <w:p>
            <w:pPr>
              <w:pStyle w:val="44"/>
              <w:ind w:firstLine="480"/>
              <w:rPr>
                <w:rFonts w:ascii="Times New Roman" w:hAnsi="Times New Roman"/>
                <w:sz w:val="24"/>
                <w:szCs w:val="24"/>
              </w:rPr>
            </w:pPr>
            <w:r>
              <w:rPr>
                <w:rFonts w:hint="eastAsia" w:ascii="Times New Roman" w:hAnsi="Times New Roman"/>
                <w:sz w:val="24"/>
                <w:szCs w:val="24"/>
              </w:rPr>
              <w:t>根据《建筑抗震设计规范》（GB50011—2001）附录A及相关规定，湘阴为Ⅶ度烈度区。</w:t>
            </w:r>
          </w:p>
          <w:p>
            <w:pPr>
              <w:pStyle w:val="5"/>
            </w:pPr>
            <w:r>
              <w:t>气象气候</w:t>
            </w:r>
          </w:p>
          <w:p>
            <w:pPr>
              <w:pStyle w:val="44"/>
              <w:ind w:firstLine="480"/>
              <w:rPr>
                <w:rFonts w:ascii="Times New Roman" w:hAnsi="Times New Roman"/>
                <w:sz w:val="24"/>
                <w:szCs w:val="24"/>
              </w:rPr>
            </w:pPr>
            <w:r>
              <w:rPr>
                <w:rFonts w:hint="eastAsia" w:ascii="Times New Roman" w:hAnsi="Times New Roman"/>
                <w:sz w:val="24"/>
                <w:szCs w:val="24"/>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pStyle w:val="44"/>
              <w:ind w:firstLine="480"/>
              <w:rPr>
                <w:rFonts w:ascii="Times New Roman" w:hAnsi="Times New Roman"/>
                <w:sz w:val="24"/>
                <w:szCs w:val="24"/>
              </w:rPr>
            </w:pPr>
            <w:r>
              <w:rPr>
                <w:rFonts w:hint="eastAsia" w:ascii="Times New Roman" w:hAnsi="Times New Roman"/>
                <w:sz w:val="24"/>
                <w:szCs w:val="24"/>
              </w:rPr>
              <w:t>湘阴县区域主要气象数据；</w:t>
            </w:r>
          </w:p>
          <w:p>
            <w:pPr>
              <w:pStyle w:val="44"/>
              <w:ind w:firstLine="480"/>
              <w:rPr>
                <w:rFonts w:ascii="Times New Roman" w:hAnsi="Times New Roman"/>
                <w:sz w:val="24"/>
                <w:szCs w:val="24"/>
              </w:rPr>
            </w:pPr>
            <w:r>
              <w:rPr>
                <w:rFonts w:hint="eastAsia" w:ascii="Times New Roman" w:hAnsi="Times New Roman"/>
                <w:sz w:val="24"/>
                <w:szCs w:val="24"/>
              </w:rPr>
              <w:t>年平均气温                  16.9℃</w:t>
            </w:r>
          </w:p>
          <w:p>
            <w:pPr>
              <w:pStyle w:val="44"/>
              <w:ind w:firstLine="480"/>
              <w:rPr>
                <w:rFonts w:ascii="Times New Roman" w:hAnsi="Times New Roman"/>
                <w:sz w:val="24"/>
                <w:szCs w:val="24"/>
              </w:rPr>
            </w:pPr>
            <w:r>
              <w:rPr>
                <w:rFonts w:hint="eastAsia" w:ascii="Times New Roman" w:hAnsi="Times New Roman"/>
                <w:sz w:val="24"/>
                <w:szCs w:val="24"/>
              </w:rPr>
              <w:t>最热月平均气温              29.0℃</w:t>
            </w:r>
          </w:p>
          <w:p>
            <w:pPr>
              <w:pStyle w:val="44"/>
              <w:ind w:firstLine="480"/>
              <w:rPr>
                <w:rFonts w:ascii="Times New Roman" w:hAnsi="Times New Roman"/>
                <w:sz w:val="24"/>
                <w:szCs w:val="24"/>
              </w:rPr>
            </w:pPr>
            <w:r>
              <w:rPr>
                <w:rFonts w:hint="eastAsia" w:ascii="Times New Roman" w:hAnsi="Times New Roman"/>
                <w:sz w:val="24"/>
                <w:szCs w:val="24"/>
              </w:rPr>
              <w:t>最冷月平均气温              4.4℃</w:t>
            </w:r>
          </w:p>
          <w:p>
            <w:pPr>
              <w:pStyle w:val="44"/>
              <w:ind w:firstLine="480"/>
              <w:rPr>
                <w:rFonts w:ascii="Times New Roman" w:hAnsi="Times New Roman"/>
                <w:sz w:val="24"/>
                <w:szCs w:val="24"/>
              </w:rPr>
            </w:pPr>
            <w:r>
              <w:rPr>
                <w:rFonts w:hint="eastAsia" w:ascii="Times New Roman" w:hAnsi="Times New Roman"/>
                <w:sz w:val="24"/>
                <w:szCs w:val="24"/>
              </w:rPr>
              <w:t>极端最高气温                38.4℃</w:t>
            </w:r>
          </w:p>
          <w:p>
            <w:pPr>
              <w:pStyle w:val="44"/>
              <w:ind w:firstLine="480"/>
              <w:rPr>
                <w:rFonts w:ascii="Times New Roman" w:hAnsi="Times New Roman"/>
                <w:sz w:val="24"/>
                <w:szCs w:val="24"/>
              </w:rPr>
            </w:pPr>
            <w:r>
              <w:rPr>
                <w:rFonts w:hint="eastAsia" w:ascii="Times New Roman" w:hAnsi="Times New Roman"/>
                <w:sz w:val="24"/>
                <w:szCs w:val="24"/>
              </w:rPr>
              <w:t>极端最低气温                -12.0℃</w:t>
            </w:r>
          </w:p>
          <w:p>
            <w:pPr>
              <w:pStyle w:val="44"/>
              <w:ind w:firstLine="480"/>
              <w:rPr>
                <w:rFonts w:ascii="Times New Roman" w:hAnsi="Times New Roman"/>
                <w:sz w:val="24"/>
                <w:szCs w:val="24"/>
              </w:rPr>
            </w:pPr>
            <w:r>
              <w:rPr>
                <w:rFonts w:hint="eastAsia" w:ascii="Times New Roman" w:hAnsi="Times New Roman"/>
                <w:sz w:val="24"/>
                <w:szCs w:val="24"/>
              </w:rPr>
              <w:t>年总降水量                  1410.8mm</w:t>
            </w:r>
          </w:p>
          <w:p>
            <w:pPr>
              <w:pStyle w:val="44"/>
              <w:ind w:firstLine="480"/>
              <w:rPr>
                <w:rFonts w:ascii="Times New Roman" w:hAnsi="Times New Roman"/>
                <w:sz w:val="24"/>
                <w:szCs w:val="24"/>
              </w:rPr>
            </w:pPr>
            <w:r>
              <w:rPr>
                <w:rFonts w:hint="eastAsia" w:ascii="Times New Roman" w:hAnsi="Times New Roman"/>
                <w:sz w:val="24"/>
                <w:szCs w:val="24"/>
              </w:rPr>
              <w:t>年总日照                    1610.5h</w:t>
            </w:r>
          </w:p>
          <w:p>
            <w:pPr>
              <w:pStyle w:val="44"/>
              <w:ind w:firstLine="480"/>
              <w:rPr>
                <w:rFonts w:ascii="Times New Roman" w:hAnsi="Times New Roman"/>
                <w:sz w:val="24"/>
                <w:szCs w:val="24"/>
              </w:rPr>
            </w:pPr>
            <w:r>
              <w:rPr>
                <w:rFonts w:hint="eastAsia" w:ascii="Times New Roman" w:hAnsi="Times New Roman"/>
                <w:sz w:val="24"/>
                <w:szCs w:val="24"/>
              </w:rPr>
              <w:t>年总辐射量                  1410.4千卡/平方厘米</w:t>
            </w:r>
          </w:p>
          <w:p>
            <w:pPr>
              <w:pStyle w:val="44"/>
              <w:ind w:firstLine="480"/>
              <w:rPr>
                <w:rFonts w:ascii="Times New Roman" w:hAnsi="Times New Roman"/>
                <w:sz w:val="24"/>
                <w:szCs w:val="24"/>
              </w:rPr>
            </w:pPr>
            <w:r>
              <w:rPr>
                <w:rFonts w:hint="eastAsia" w:ascii="Times New Roman" w:hAnsi="Times New Roman"/>
                <w:sz w:val="24"/>
                <w:szCs w:val="24"/>
              </w:rPr>
              <w:t>年主导风向                  西北风</w:t>
            </w:r>
          </w:p>
          <w:p>
            <w:pPr>
              <w:pStyle w:val="44"/>
              <w:ind w:firstLine="480"/>
              <w:rPr>
                <w:rFonts w:ascii="Times New Roman" w:hAnsi="Times New Roman"/>
                <w:sz w:val="24"/>
                <w:szCs w:val="24"/>
              </w:rPr>
            </w:pPr>
            <w:r>
              <w:rPr>
                <w:rFonts w:hint="eastAsia" w:ascii="Times New Roman" w:hAnsi="Times New Roman"/>
                <w:sz w:val="24"/>
                <w:szCs w:val="24"/>
              </w:rPr>
              <w:t>年平均风速                  2.5m/s</w:t>
            </w:r>
          </w:p>
          <w:p>
            <w:pPr>
              <w:pStyle w:val="44"/>
              <w:ind w:firstLine="480"/>
              <w:rPr>
                <w:rFonts w:ascii="Times New Roman" w:hAnsi="Times New Roman"/>
                <w:sz w:val="24"/>
                <w:szCs w:val="24"/>
              </w:rPr>
            </w:pPr>
            <w:r>
              <w:rPr>
                <w:rFonts w:hint="eastAsia" w:ascii="Times New Roman" w:hAnsi="Times New Roman"/>
                <w:sz w:val="24"/>
                <w:szCs w:val="24"/>
              </w:rPr>
              <w:t>年相对湿度                  81%</w:t>
            </w:r>
          </w:p>
          <w:p>
            <w:pPr>
              <w:pStyle w:val="44"/>
              <w:ind w:firstLine="480"/>
              <w:rPr>
                <w:rFonts w:ascii="Times New Roman" w:hAnsi="Times New Roman"/>
                <w:sz w:val="24"/>
                <w:szCs w:val="24"/>
              </w:rPr>
            </w:pPr>
            <w:r>
              <w:rPr>
                <w:rFonts w:hint="eastAsia" w:ascii="Times New Roman" w:hAnsi="Times New Roman"/>
                <w:sz w:val="24"/>
                <w:szCs w:val="24"/>
              </w:rPr>
              <w:t>年平均降雨量                1383毫米</w:t>
            </w:r>
          </w:p>
          <w:p>
            <w:pPr>
              <w:pStyle w:val="44"/>
              <w:ind w:firstLine="480"/>
              <w:rPr>
                <w:rFonts w:ascii="Times New Roman" w:hAnsi="Times New Roman"/>
                <w:sz w:val="24"/>
                <w:szCs w:val="24"/>
              </w:rPr>
            </w:pPr>
            <w:r>
              <w:rPr>
                <w:rFonts w:hint="eastAsia" w:ascii="Times New Roman" w:hAnsi="Times New Roman"/>
                <w:sz w:val="24"/>
                <w:szCs w:val="24"/>
              </w:rPr>
              <w:t>年总蒸发量                  1329.4mm</w:t>
            </w:r>
          </w:p>
          <w:p>
            <w:pPr>
              <w:pStyle w:val="44"/>
              <w:ind w:firstLine="480"/>
              <w:rPr>
                <w:rFonts w:ascii="Times New Roman" w:hAnsi="Times New Roman"/>
                <w:sz w:val="24"/>
                <w:szCs w:val="24"/>
              </w:rPr>
            </w:pPr>
            <w:r>
              <w:rPr>
                <w:rFonts w:hint="eastAsia" w:ascii="Times New Roman" w:hAnsi="Times New Roman"/>
                <w:sz w:val="24"/>
                <w:szCs w:val="24"/>
              </w:rPr>
              <w:t>全年无霜期                   274 天。</w:t>
            </w:r>
          </w:p>
          <w:p>
            <w:pPr>
              <w:pStyle w:val="5"/>
              <w:rPr>
                <w:u w:val="single"/>
              </w:rPr>
            </w:pPr>
            <w:r>
              <w:rPr>
                <w:u w:val="single"/>
              </w:rPr>
              <w:t>水文</w:t>
            </w:r>
          </w:p>
          <w:p>
            <w:pPr>
              <w:pStyle w:val="4"/>
              <w:ind w:firstLine="480"/>
              <w:rPr>
                <w:rFonts w:hint="eastAsia"/>
                <w:u w:val="single"/>
              </w:rPr>
            </w:pPr>
            <w:r>
              <w:rPr>
                <w:rFonts w:hint="eastAsia"/>
                <w:szCs w:val="21"/>
                <w:u w:val="single"/>
              </w:rPr>
              <w:t>项目实行雨污分流制。</w:t>
            </w:r>
            <w:r>
              <w:rPr>
                <w:rFonts w:hint="eastAsia"/>
                <w:szCs w:val="21"/>
                <w:u w:val="single"/>
                <w:lang w:eastAsia="zh-CN"/>
              </w:rPr>
              <w:t>初期</w:t>
            </w:r>
            <w:r>
              <w:rPr>
                <w:kern w:val="0"/>
                <w:szCs w:val="21"/>
                <w:u w:val="single"/>
              </w:rPr>
              <w:t>雨水、</w:t>
            </w:r>
            <w:r>
              <w:rPr>
                <w:rFonts w:hint="eastAsia"/>
                <w:kern w:val="0"/>
                <w:szCs w:val="21"/>
                <w:u w:val="single"/>
              </w:rPr>
              <w:t>地面</w:t>
            </w:r>
            <w:r>
              <w:rPr>
                <w:kern w:val="0"/>
                <w:szCs w:val="21"/>
                <w:u w:val="single"/>
              </w:rPr>
              <w:t>冲洗废水经集水沟收集后</w:t>
            </w:r>
            <w:r>
              <w:rPr>
                <w:rFonts w:hint="eastAsia"/>
                <w:kern w:val="0"/>
                <w:szCs w:val="21"/>
                <w:u w:val="single"/>
              </w:rPr>
              <w:t>由</w:t>
            </w:r>
            <w:r>
              <w:rPr>
                <w:kern w:val="0"/>
                <w:szCs w:val="21"/>
                <w:u w:val="single"/>
              </w:rPr>
              <w:t>隔油</w:t>
            </w:r>
            <w:r>
              <w:rPr>
                <w:rFonts w:hint="eastAsia"/>
                <w:kern w:val="0"/>
                <w:szCs w:val="21"/>
                <w:u w:val="single"/>
              </w:rPr>
              <w:t>沉淀</w:t>
            </w:r>
            <w:r>
              <w:rPr>
                <w:kern w:val="0"/>
                <w:szCs w:val="21"/>
                <w:u w:val="single"/>
              </w:rPr>
              <w:t>池处理后循环利用于场区绿化、抑尘</w:t>
            </w:r>
            <w:r>
              <w:rPr>
                <w:rFonts w:hint="eastAsia"/>
                <w:kern w:val="0"/>
                <w:szCs w:val="21"/>
                <w:u w:val="single"/>
              </w:rPr>
              <w:t>；洗车废水经沉淀处理后回用，</w:t>
            </w:r>
            <w:r>
              <w:rPr>
                <w:kern w:val="0"/>
                <w:szCs w:val="21"/>
                <w:u w:val="single"/>
              </w:rPr>
              <w:t>不外排</w:t>
            </w:r>
            <w:r>
              <w:rPr>
                <w:rFonts w:hint="eastAsia"/>
                <w:kern w:val="0"/>
                <w:szCs w:val="21"/>
                <w:u w:val="single"/>
              </w:rPr>
              <w:t>；</w:t>
            </w:r>
            <w:r>
              <w:rPr>
                <w:rFonts w:hint="eastAsia"/>
                <w:szCs w:val="21"/>
                <w:u w:val="single"/>
              </w:rPr>
              <w:t>生活废水经化粪池处理后用做农肥</w:t>
            </w:r>
            <w:r>
              <w:rPr>
                <w:szCs w:val="21"/>
                <w:u w:val="single"/>
              </w:rPr>
              <w:t>。</w:t>
            </w:r>
            <w:r>
              <w:rPr>
                <w:rFonts w:hint="eastAsia"/>
                <w:szCs w:val="21"/>
                <w:u w:val="single"/>
                <w:lang w:eastAsia="zh-CN"/>
              </w:rPr>
              <w:t>雨水排入西侧农灌渠。</w:t>
            </w:r>
            <w:r>
              <w:rPr>
                <w:szCs w:val="21"/>
                <w:u w:val="single"/>
              </w:rPr>
              <w:t>项目所在区域涉及的水系主要为西侧550m的农灌渠及南侧3.06km的湘江。项目无废水外排，废水处理不影响到周边饮用水源保护区。</w:t>
            </w:r>
          </w:p>
          <w:p>
            <w:pPr>
              <w:pStyle w:val="4"/>
              <w:ind w:firstLine="480"/>
            </w:pPr>
            <w:r>
              <w:rPr>
                <w:rFonts w:hint="eastAsia"/>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 个，内湖78个，塘堰3372个，水坝2249座，主要外湖有横岭湖、团林湖、淳湖和荷叶湖等，主要内湖有鹤龙湖、洋沙湖、范家坝、白洋湖和南湖垸哑河等。水域面积98.56 万多亩，占全县总面积的41.56%以上，为养殖、捕捞、灌溉、航运、工业用水提供了十分充裕的水源。</w:t>
            </w:r>
          </w:p>
          <w:p>
            <w:pPr>
              <w:pStyle w:val="4"/>
              <w:ind w:firstLine="480"/>
            </w:pPr>
            <w:r>
              <w:rPr>
                <w:rFonts w:hint="eastAsia"/>
              </w:rPr>
              <w:t>湘阴县区域地表水发达，主要水系有洋沙湖、白水江、资江、湘江。本项目所在区域水体为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 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pacing w:line="360" w:lineRule="auto"/>
              <w:ind w:firstLine="480" w:firstLineChars="200"/>
              <w:rPr>
                <w:color w:val="000000"/>
                <w:sz w:val="24"/>
              </w:rPr>
            </w:pPr>
            <w:r>
              <w:rPr>
                <w:rFonts w:hint="eastAsia"/>
                <w:color w:val="000000"/>
                <w:sz w:val="24"/>
              </w:rPr>
              <w:t>项目所在区域</w:t>
            </w:r>
            <w:r>
              <w:rPr>
                <w:color w:val="000000"/>
                <w:sz w:val="24"/>
              </w:rPr>
              <w:t>湘江主要水文参数如下：</w:t>
            </w:r>
          </w:p>
          <w:p>
            <w:pPr>
              <w:spacing w:line="360" w:lineRule="auto"/>
              <w:ind w:firstLine="480" w:firstLineChars="200"/>
              <w:rPr>
                <w:color w:val="000000"/>
                <w:sz w:val="24"/>
              </w:rPr>
            </w:pPr>
            <w:r>
              <w:rPr>
                <w:color w:val="000000"/>
                <w:sz w:val="24"/>
              </w:rPr>
              <w:t>年平均水位                   27.31m</w:t>
            </w:r>
          </w:p>
          <w:p>
            <w:pPr>
              <w:spacing w:line="360" w:lineRule="auto"/>
              <w:ind w:firstLine="480" w:firstLineChars="200"/>
              <w:rPr>
                <w:color w:val="000000"/>
                <w:sz w:val="24"/>
              </w:rPr>
            </w:pPr>
            <w:r>
              <w:rPr>
                <w:color w:val="000000"/>
                <w:sz w:val="24"/>
              </w:rPr>
              <w:t>平均最高水位                 36.65m</w:t>
            </w:r>
          </w:p>
          <w:p>
            <w:pPr>
              <w:spacing w:line="360" w:lineRule="auto"/>
              <w:ind w:firstLine="480" w:firstLineChars="200"/>
              <w:rPr>
                <w:color w:val="000000"/>
                <w:sz w:val="24"/>
              </w:rPr>
            </w:pPr>
            <w:r>
              <w:rPr>
                <w:color w:val="000000"/>
                <w:sz w:val="24"/>
              </w:rPr>
              <w:t>平均最低水位                 23.25m</w:t>
            </w:r>
          </w:p>
          <w:p>
            <w:pPr>
              <w:spacing w:line="360" w:lineRule="auto"/>
              <w:ind w:firstLine="480" w:firstLineChars="200"/>
              <w:rPr>
                <w:color w:val="000000"/>
                <w:sz w:val="24"/>
              </w:rPr>
            </w:pPr>
            <w:r>
              <w:rPr>
                <w:color w:val="000000"/>
                <w:sz w:val="24"/>
              </w:rPr>
              <w:t>历史最高洪峰水位             37.37m</w:t>
            </w:r>
          </w:p>
          <w:p>
            <w:pPr>
              <w:spacing w:line="360" w:lineRule="auto"/>
              <w:ind w:firstLine="480" w:firstLineChars="200"/>
              <w:rPr>
                <w:color w:val="000000"/>
                <w:sz w:val="24"/>
              </w:rPr>
            </w:pPr>
            <w:r>
              <w:rPr>
                <w:color w:val="000000"/>
                <w:sz w:val="24"/>
              </w:rPr>
              <w:t>平均径流深                   7.76m</w:t>
            </w:r>
          </w:p>
          <w:p>
            <w:pPr>
              <w:spacing w:line="360" w:lineRule="auto"/>
              <w:ind w:firstLine="480" w:firstLineChars="200"/>
              <w:rPr>
                <w:color w:val="000000"/>
                <w:sz w:val="24"/>
              </w:rPr>
            </w:pPr>
            <w:r>
              <w:rPr>
                <w:color w:val="000000"/>
                <w:sz w:val="24"/>
              </w:rPr>
              <w:t>年平均流量                   2131m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年均最大流量                 12900m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历史最大洪峰流量             23000 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平均最小流量                 248m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枯水期流量（90%保证率）     410m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历史最小流量                 120m</w:t>
            </w:r>
            <w:r>
              <w:rPr>
                <w:color w:val="000000"/>
                <w:sz w:val="24"/>
                <w:vertAlign w:val="superscript"/>
              </w:rPr>
              <w:t>3</w:t>
            </w:r>
            <w:r>
              <w:rPr>
                <w:color w:val="000000"/>
                <w:sz w:val="24"/>
              </w:rPr>
              <w:t>/s</w:t>
            </w:r>
          </w:p>
          <w:p>
            <w:pPr>
              <w:spacing w:line="360" w:lineRule="auto"/>
              <w:ind w:firstLine="480" w:firstLineChars="200"/>
              <w:rPr>
                <w:color w:val="000000"/>
                <w:sz w:val="24"/>
              </w:rPr>
            </w:pPr>
            <w:r>
              <w:rPr>
                <w:color w:val="000000"/>
                <w:sz w:val="24"/>
              </w:rPr>
              <w:t>最大流速                     2.6m/s</w:t>
            </w:r>
          </w:p>
          <w:p>
            <w:pPr>
              <w:spacing w:line="360" w:lineRule="auto"/>
              <w:ind w:firstLine="480" w:firstLineChars="200"/>
              <w:rPr>
                <w:color w:val="000000"/>
                <w:sz w:val="24"/>
              </w:rPr>
            </w:pPr>
            <w:r>
              <w:rPr>
                <w:color w:val="000000"/>
                <w:sz w:val="24"/>
              </w:rPr>
              <w:t>年平均流速                   0.45m/s</w:t>
            </w:r>
          </w:p>
          <w:p>
            <w:pPr>
              <w:spacing w:line="360" w:lineRule="auto"/>
              <w:ind w:firstLine="480" w:firstLineChars="200"/>
              <w:rPr>
                <w:color w:val="000000"/>
                <w:sz w:val="24"/>
              </w:rPr>
            </w:pPr>
            <w:r>
              <w:rPr>
                <w:color w:val="000000"/>
                <w:sz w:val="24"/>
              </w:rPr>
              <w:t>平均含砂量                  0.1-0.2k</w:t>
            </w:r>
            <w:r>
              <w:rPr>
                <w:rFonts w:hint="eastAsia"/>
                <w:color w:val="000000"/>
                <w:sz w:val="24"/>
              </w:rPr>
              <w:t>g/m³</w:t>
            </w:r>
          </w:p>
          <w:p>
            <w:pPr>
              <w:pStyle w:val="5"/>
            </w:pPr>
            <w:r>
              <w:t>生态环境</w:t>
            </w:r>
          </w:p>
          <w:p>
            <w:pPr>
              <w:pStyle w:val="4"/>
              <w:ind w:firstLine="480" w:firstLineChars="0"/>
            </w:pPr>
            <w:r>
              <w:rPr>
                <w:rFonts w:hint="eastAsia"/>
              </w:rPr>
              <w:t>湘阴县农业生物资源极为丰富，全县有以水稻、红薯为主的11种粮食作物，有以茶叶、棉花、荞头为主的15种经济作物，有以芦苇、湘莲为主的10余种水生经济作物，有以松、杉、樟、柳为主的228个树种，有以青、草、鲢、鳙、鲤和湘去鲫(鲤)为主的114个鱼类品种，有以猪、牛、山羊、鸡、鸭、鹅为主的9个畜禽种类。</w:t>
            </w:r>
          </w:p>
          <w:p>
            <w:pPr>
              <w:pStyle w:val="4"/>
              <w:ind w:firstLine="480" w:firstLineChars="0"/>
            </w:pPr>
            <w:r>
              <w:rPr>
                <w:rFonts w:hint="eastAsia"/>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pStyle w:val="4"/>
              <w:ind w:firstLine="480" w:firstLineChars="0"/>
            </w:pPr>
            <w:r>
              <w:rPr>
                <w:rFonts w:hint="eastAsia"/>
              </w:rPr>
              <w:t>根据现场调查，项目所在地周边200m范围内无自然保护区、风景名胜区等环境敏感区域。</w:t>
            </w:r>
          </w:p>
        </w:tc>
      </w:tr>
    </w:tbl>
    <w:p>
      <w:pPr>
        <w:pStyle w:val="3"/>
        <w:numPr>
          <w:ilvl w:val="0"/>
          <w:numId w:val="0"/>
        </w:numPr>
        <w:ind w:left="432" w:hanging="432"/>
        <w:sectPr>
          <w:pgSz w:w="11907" w:h="16840"/>
          <w:pgMar w:top="1418" w:right="1418" w:bottom="1418" w:left="1701" w:header="851" w:footer="851" w:gutter="0"/>
          <w:cols w:space="720" w:num="1"/>
          <w:docGrid w:linePitch="285" w:charSpace="0"/>
        </w:sectPr>
      </w:pPr>
    </w:p>
    <w:p>
      <w:pPr>
        <w:pStyle w:val="3"/>
      </w:pPr>
      <w:bookmarkStart w:id="9" w:name="_Toc13249"/>
      <w:r>
        <w:t>环境质量状况</w:t>
      </w:r>
      <w:bookmarkEnd w:id="9"/>
    </w:p>
    <w:tbl>
      <w:tblPr>
        <w:tblStyle w:val="24"/>
        <w:tblW w:w="889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6" w:type="dxa"/>
          </w:tcPr>
          <w:p>
            <w:pPr>
              <w:spacing w:line="360" w:lineRule="auto"/>
              <w:rPr>
                <w:rFonts w:eastAsia="黑体"/>
                <w:bCs/>
                <w:sz w:val="24"/>
                <w:szCs w:val="24"/>
              </w:rPr>
            </w:pPr>
            <w:r>
              <w:rPr>
                <w:rFonts w:eastAsia="黑体"/>
                <w:bCs/>
                <w:sz w:val="24"/>
                <w:szCs w:val="24"/>
              </w:rPr>
              <w:t>建设项目所在地区环境质量现状及主要环境问题</w:t>
            </w:r>
            <w:bookmarkStart w:id="10" w:name="_Toc260819606"/>
            <w:bookmarkStart w:id="11" w:name="_Toc215375685"/>
            <w:r>
              <w:rPr>
                <w:rFonts w:eastAsia="黑体"/>
                <w:bCs/>
                <w:sz w:val="24"/>
                <w:szCs w:val="24"/>
              </w:rPr>
              <w:t>（空气环境、地面水、声环境、生态环境等）</w:t>
            </w:r>
          </w:p>
          <w:p>
            <w:pPr>
              <w:pStyle w:val="5"/>
            </w:pPr>
            <w:r>
              <w:t>环境空气质量现状调查与评价</w:t>
            </w:r>
            <w:bookmarkEnd w:id="10"/>
            <w:bookmarkEnd w:id="11"/>
          </w:p>
          <w:p>
            <w:pPr>
              <w:adjustRightInd w:val="0"/>
              <w:snapToGrid w:val="0"/>
              <w:spacing w:line="360" w:lineRule="auto"/>
              <w:rPr>
                <w:b/>
                <w:bCs/>
                <w:sz w:val="24"/>
                <w:u w:val="single"/>
              </w:rPr>
            </w:pPr>
            <w:bookmarkStart w:id="12" w:name="_Toc215375686"/>
            <w:bookmarkStart w:id="13" w:name="_Toc260819607"/>
            <w:r>
              <w:rPr>
                <w:rFonts w:hint="eastAsia"/>
                <w:b/>
                <w:bCs/>
                <w:sz w:val="24"/>
                <w:u w:val="single"/>
              </w:rPr>
              <w:t>达标区判定</w:t>
            </w:r>
          </w:p>
          <w:p>
            <w:pPr>
              <w:adjustRightInd w:val="0"/>
              <w:snapToGrid w:val="0"/>
              <w:spacing w:line="360" w:lineRule="auto"/>
              <w:ind w:firstLine="480" w:firstLineChars="200"/>
              <w:rPr>
                <w:sz w:val="24"/>
                <w:u w:val="single"/>
              </w:rPr>
            </w:pPr>
            <w:r>
              <w:rPr>
                <w:sz w:val="24"/>
                <w:u w:val="single"/>
              </w:rPr>
              <w:t>根据《环境影响评价技术导则—大气环境》（HJ2.2-2018）中“6.2.1项目所在区域达标判定，优先采用国家或地方生态环境主管部门公开发布的评价基准年环境质量公告或环境质量报告中数据或结论”。本次收集了岳阳市生态环境局湘阴分局201</w:t>
            </w:r>
            <w:r>
              <w:rPr>
                <w:rFonts w:hint="eastAsia"/>
                <w:sz w:val="24"/>
                <w:u w:val="single"/>
              </w:rPr>
              <w:t>9</w:t>
            </w:r>
            <w:r>
              <w:rPr>
                <w:sz w:val="24"/>
                <w:u w:val="single"/>
              </w:rPr>
              <w:t>年12月17日发布的《2019年11月湘阴县环境空气质量自动监测表》中的相关内容。区域空气质量现状评价见下表：</w:t>
            </w:r>
          </w:p>
          <w:p>
            <w:pPr>
              <w:pStyle w:val="4"/>
              <w:spacing w:line="240" w:lineRule="auto"/>
              <w:ind w:firstLine="0" w:firstLineChars="0"/>
              <w:jc w:val="center"/>
              <w:rPr>
                <w:rFonts w:eastAsia="黑体"/>
                <w:kern w:val="0"/>
                <w:szCs w:val="24"/>
                <w:u w:val="single"/>
              </w:rPr>
            </w:pPr>
            <w:r>
              <w:rPr>
                <w:rFonts w:eastAsia="黑体"/>
                <w:kern w:val="0"/>
                <w:szCs w:val="24"/>
                <w:u w:val="single"/>
              </w:rPr>
              <w:t>表3</w:t>
            </w:r>
            <w:r>
              <w:rPr>
                <w:rFonts w:hint="eastAsia" w:eastAsia="黑体"/>
                <w:kern w:val="0"/>
                <w:szCs w:val="24"/>
                <w:u w:val="single"/>
              </w:rPr>
              <w:t>.1</w:t>
            </w:r>
            <w:r>
              <w:rPr>
                <w:rFonts w:eastAsia="黑体"/>
                <w:kern w:val="0"/>
                <w:szCs w:val="24"/>
                <w:u w:val="single"/>
              </w:rPr>
              <w:t>-1  2019年11月</w:t>
            </w:r>
            <w:r>
              <w:rPr>
                <w:rFonts w:hint="default" w:eastAsia="黑体"/>
                <w:kern w:val="0"/>
                <w:szCs w:val="24"/>
                <w:u w:val="single"/>
              </w:rPr>
              <w:t>湘阴县</w:t>
            </w:r>
            <w:r>
              <w:rPr>
                <w:rFonts w:eastAsia="黑体"/>
                <w:kern w:val="0"/>
                <w:szCs w:val="24"/>
                <w:u w:val="single"/>
              </w:rPr>
              <w:t>区域空气质量现状评价表</w:t>
            </w:r>
          </w:p>
          <w:tbl>
            <w:tblPr>
              <w:tblStyle w:val="24"/>
              <w:tblW w:w="8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7"/>
              <w:gridCol w:w="1380"/>
              <w:gridCol w:w="2083"/>
              <w:gridCol w:w="2057"/>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污染物</w:t>
                  </w:r>
                </w:p>
              </w:tc>
              <w:tc>
                <w:tcPr>
                  <w:tcW w:w="1380" w:type="dxa"/>
                  <w:vAlign w:val="center"/>
                </w:tcPr>
                <w:p>
                  <w:pPr>
                    <w:pStyle w:val="4"/>
                    <w:spacing w:line="240" w:lineRule="auto"/>
                    <w:ind w:firstLine="0" w:firstLineChars="0"/>
                    <w:jc w:val="center"/>
                    <w:rPr>
                      <w:sz w:val="21"/>
                      <w:szCs w:val="21"/>
                      <w:u w:val="single"/>
                    </w:rPr>
                  </w:pPr>
                  <w:r>
                    <w:rPr>
                      <w:sz w:val="21"/>
                      <w:szCs w:val="21"/>
                      <w:u w:val="single"/>
                    </w:rPr>
                    <w:t>年评价指标</w:t>
                  </w:r>
                </w:p>
              </w:tc>
              <w:tc>
                <w:tcPr>
                  <w:tcW w:w="2083" w:type="dxa"/>
                  <w:vAlign w:val="center"/>
                </w:tcPr>
                <w:p>
                  <w:pPr>
                    <w:pStyle w:val="4"/>
                    <w:spacing w:line="240" w:lineRule="auto"/>
                    <w:ind w:firstLine="0" w:firstLineChars="0"/>
                    <w:jc w:val="center"/>
                    <w:rPr>
                      <w:sz w:val="21"/>
                      <w:szCs w:val="21"/>
                      <w:u w:val="single"/>
                    </w:rPr>
                  </w:pPr>
                  <w:r>
                    <w:rPr>
                      <w:sz w:val="21"/>
                      <w:szCs w:val="21"/>
                      <w:u w:val="single"/>
                    </w:rPr>
                    <w:t>现状浓度（µg/m</w:t>
                  </w:r>
                  <w:r>
                    <w:rPr>
                      <w:sz w:val="21"/>
                      <w:szCs w:val="21"/>
                      <w:u w:val="single"/>
                      <w:vertAlign w:val="superscript"/>
                    </w:rPr>
                    <w:t>3</w:t>
                  </w:r>
                  <w:r>
                    <w:rPr>
                      <w:sz w:val="21"/>
                      <w:szCs w:val="21"/>
                      <w:u w:val="single"/>
                    </w:rPr>
                    <w:t>）</w:t>
                  </w:r>
                </w:p>
              </w:tc>
              <w:tc>
                <w:tcPr>
                  <w:tcW w:w="2057" w:type="dxa"/>
                  <w:vAlign w:val="center"/>
                </w:tcPr>
                <w:p>
                  <w:pPr>
                    <w:pStyle w:val="4"/>
                    <w:spacing w:line="240" w:lineRule="auto"/>
                    <w:ind w:firstLine="0" w:firstLineChars="0"/>
                    <w:jc w:val="center"/>
                    <w:rPr>
                      <w:sz w:val="21"/>
                      <w:szCs w:val="21"/>
                      <w:u w:val="single"/>
                    </w:rPr>
                  </w:pPr>
                  <w:r>
                    <w:rPr>
                      <w:sz w:val="21"/>
                      <w:szCs w:val="21"/>
                      <w:u w:val="single"/>
                    </w:rPr>
                    <w:t>标准值（µg/m</w:t>
                  </w:r>
                  <w:r>
                    <w:rPr>
                      <w:sz w:val="21"/>
                      <w:szCs w:val="21"/>
                      <w:u w:val="single"/>
                      <w:vertAlign w:val="superscript"/>
                    </w:rPr>
                    <w:t>3</w:t>
                  </w:r>
                  <w:r>
                    <w:rPr>
                      <w:sz w:val="21"/>
                      <w:szCs w:val="21"/>
                      <w:u w:val="single"/>
                    </w:rPr>
                    <w:t>）</w:t>
                  </w:r>
                </w:p>
              </w:tc>
              <w:tc>
                <w:tcPr>
                  <w:tcW w:w="1653" w:type="dxa"/>
                  <w:vAlign w:val="center"/>
                </w:tcPr>
                <w:p>
                  <w:pPr>
                    <w:pStyle w:val="4"/>
                    <w:spacing w:line="240" w:lineRule="auto"/>
                    <w:ind w:firstLine="0" w:firstLineChars="0"/>
                    <w:jc w:val="center"/>
                    <w:rPr>
                      <w:sz w:val="21"/>
                      <w:szCs w:val="21"/>
                      <w:u w:val="single"/>
                    </w:rPr>
                  </w:pPr>
                  <w:r>
                    <w:rPr>
                      <w:sz w:val="21"/>
                      <w:szCs w:val="21"/>
                      <w:u w:val="single"/>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PM</w:t>
                  </w:r>
                  <w:r>
                    <w:rPr>
                      <w:sz w:val="21"/>
                      <w:szCs w:val="21"/>
                      <w:u w:val="single"/>
                      <w:vertAlign w:val="subscript"/>
                    </w:rPr>
                    <w:t>10</w:t>
                  </w:r>
                </w:p>
              </w:tc>
              <w:tc>
                <w:tcPr>
                  <w:tcW w:w="1380" w:type="dxa"/>
                  <w:vMerge w:val="restart"/>
                  <w:vAlign w:val="center"/>
                </w:tcPr>
                <w:p>
                  <w:pPr>
                    <w:pStyle w:val="4"/>
                    <w:spacing w:line="240" w:lineRule="auto"/>
                    <w:ind w:firstLine="0" w:firstLineChars="0"/>
                    <w:jc w:val="center"/>
                    <w:rPr>
                      <w:sz w:val="21"/>
                      <w:szCs w:val="21"/>
                      <w:u w:val="single"/>
                    </w:rPr>
                  </w:pPr>
                  <w:r>
                    <w:rPr>
                      <w:sz w:val="21"/>
                      <w:szCs w:val="21"/>
                      <w:u w:val="single"/>
                    </w:rPr>
                    <w:t>年平均质量浓度</w:t>
                  </w:r>
                </w:p>
              </w:tc>
              <w:tc>
                <w:tcPr>
                  <w:tcW w:w="2083" w:type="dxa"/>
                  <w:vAlign w:val="center"/>
                </w:tcPr>
                <w:p>
                  <w:pPr>
                    <w:pStyle w:val="4"/>
                    <w:spacing w:line="240" w:lineRule="auto"/>
                    <w:ind w:firstLine="0" w:firstLineChars="0"/>
                    <w:jc w:val="center"/>
                    <w:rPr>
                      <w:sz w:val="21"/>
                      <w:szCs w:val="21"/>
                      <w:u w:val="single"/>
                    </w:rPr>
                  </w:pPr>
                  <w:r>
                    <w:rPr>
                      <w:sz w:val="21"/>
                      <w:szCs w:val="21"/>
                      <w:u w:val="single"/>
                    </w:rPr>
                    <w:t>68</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72</w:t>
                  </w:r>
                </w:p>
              </w:tc>
              <w:tc>
                <w:tcPr>
                  <w:tcW w:w="1653" w:type="dxa"/>
                  <w:vAlign w:val="center"/>
                </w:tcPr>
                <w:p>
                  <w:pPr>
                    <w:jc w:val="center"/>
                    <w:rPr>
                      <w:szCs w:val="21"/>
                      <w:u w:val="single"/>
                    </w:rPr>
                  </w:pPr>
                  <w:r>
                    <w:rPr>
                      <w:szCs w:val="21"/>
                      <w:u w:val="single"/>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PM</w:t>
                  </w:r>
                  <w:r>
                    <w:rPr>
                      <w:sz w:val="21"/>
                      <w:szCs w:val="21"/>
                      <w:u w:val="single"/>
                      <w:vertAlign w:val="subscript"/>
                    </w:rPr>
                    <w:t>2.5</w:t>
                  </w:r>
                </w:p>
              </w:tc>
              <w:tc>
                <w:tcPr>
                  <w:tcW w:w="1380" w:type="dxa"/>
                  <w:vMerge w:val="continue"/>
                  <w:vAlign w:val="center"/>
                </w:tcPr>
                <w:p>
                  <w:pPr>
                    <w:pStyle w:val="4"/>
                    <w:spacing w:line="240" w:lineRule="auto"/>
                    <w:ind w:firstLine="0" w:firstLineChars="0"/>
                    <w:jc w:val="center"/>
                    <w:rPr>
                      <w:sz w:val="21"/>
                      <w:szCs w:val="21"/>
                      <w:u w:val="single"/>
                    </w:rPr>
                  </w:pPr>
                </w:p>
              </w:tc>
              <w:tc>
                <w:tcPr>
                  <w:tcW w:w="2083" w:type="dxa"/>
                  <w:vAlign w:val="center"/>
                </w:tcPr>
                <w:p>
                  <w:pPr>
                    <w:pStyle w:val="4"/>
                    <w:spacing w:line="240" w:lineRule="auto"/>
                    <w:ind w:firstLine="0" w:firstLineChars="0"/>
                    <w:jc w:val="center"/>
                    <w:rPr>
                      <w:sz w:val="21"/>
                      <w:szCs w:val="21"/>
                      <w:u w:val="single"/>
                    </w:rPr>
                  </w:pPr>
                  <w:r>
                    <w:rPr>
                      <w:sz w:val="21"/>
                      <w:szCs w:val="21"/>
                      <w:u w:val="single"/>
                    </w:rPr>
                    <w:t>47</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45</w:t>
                  </w:r>
                </w:p>
              </w:tc>
              <w:tc>
                <w:tcPr>
                  <w:tcW w:w="1653" w:type="dxa"/>
                  <w:vAlign w:val="center"/>
                </w:tcPr>
                <w:p>
                  <w:pPr>
                    <w:jc w:val="center"/>
                    <w:rPr>
                      <w:szCs w:val="21"/>
                      <w:u w:val="single"/>
                    </w:rPr>
                  </w:pPr>
                  <w:r>
                    <w:rPr>
                      <w:szCs w:val="21"/>
                      <w:u w:val="single"/>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NO</w:t>
                  </w:r>
                  <w:r>
                    <w:rPr>
                      <w:sz w:val="21"/>
                      <w:szCs w:val="21"/>
                      <w:u w:val="single"/>
                      <w:vertAlign w:val="subscript"/>
                    </w:rPr>
                    <w:t>2</w:t>
                  </w:r>
                </w:p>
              </w:tc>
              <w:tc>
                <w:tcPr>
                  <w:tcW w:w="1380" w:type="dxa"/>
                  <w:vMerge w:val="continue"/>
                  <w:vAlign w:val="center"/>
                </w:tcPr>
                <w:p>
                  <w:pPr>
                    <w:pStyle w:val="4"/>
                    <w:spacing w:line="240" w:lineRule="auto"/>
                    <w:ind w:firstLine="0" w:firstLineChars="0"/>
                    <w:jc w:val="center"/>
                    <w:rPr>
                      <w:sz w:val="21"/>
                      <w:szCs w:val="21"/>
                      <w:u w:val="single"/>
                    </w:rPr>
                  </w:pPr>
                </w:p>
              </w:tc>
              <w:tc>
                <w:tcPr>
                  <w:tcW w:w="2083" w:type="dxa"/>
                  <w:vAlign w:val="center"/>
                </w:tcPr>
                <w:p>
                  <w:pPr>
                    <w:pStyle w:val="4"/>
                    <w:spacing w:line="240" w:lineRule="auto"/>
                    <w:ind w:firstLine="0" w:firstLineChars="0"/>
                    <w:jc w:val="center"/>
                    <w:rPr>
                      <w:sz w:val="21"/>
                      <w:szCs w:val="21"/>
                      <w:u w:val="single"/>
                    </w:rPr>
                  </w:pPr>
                  <w:r>
                    <w:rPr>
                      <w:sz w:val="21"/>
                      <w:szCs w:val="21"/>
                      <w:u w:val="single"/>
                    </w:rPr>
                    <w:t>32</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23</w:t>
                  </w:r>
                </w:p>
              </w:tc>
              <w:tc>
                <w:tcPr>
                  <w:tcW w:w="1653" w:type="dxa"/>
                  <w:vAlign w:val="center"/>
                </w:tcPr>
                <w:p>
                  <w:pPr>
                    <w:jc w:val="center"/>
                    <w:rPr>
                      <w:szCs w:val="21"/>
                      <w:u w:val="single"/>
                    </w:rPr>
                  </w:pPr>
                  <w:r>
                    <w:rPr>
                      <w:szCs w:val="21"/>
                      <w:u w:val="single"/>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p>
              </w:tc>
              <w:tc>
                <w:tcPr>
                  <w:tcW w:w="1380" w:type="dxa"/>
                  <w:vMerge w:val="continue"/>
                  <w:vAlign w:val="center"/>
                </w:tcPr>
                <w:p>
                  <w:pPr>
                    <w:pStyle w:val="4"/>
                    <w:spacing w:line="240" w:lineRule="auto"/>
                    <w:ind w:firstLine="0" w:firstLineChars="0"/>
                    <w:jc w:val="center"/>
                    <w:rPr>
                      <w:sz w:val="21"/>
                      <w:szCs w:val="21"/>
                      <w:u w:val="single"/>
                    </w:rPr>
                  </w:pPr>
                </w:p>
              </w:tc>
              <w:tc>
                <w:tcPr>
                  <w:tcW w:w="2083" w:type="dxa"/>
                  <w:vAlign w:val="center"/>
                </w:tcPr>
                <w:p>
                  <w:pPr>
                    <w:pStyle w:val="4"/>
                    <w:spacing w:line="240" w:lineRule="auto"/>
                    <w:ind w:firstLine="0" w:firstLineChars="0"/>
                    <w:jc w:val="center"/>
                    <w:rPr>
                      <w:sz w:val="21"/>
                      <w:szCs w:val="21"/>
                      <w:u w:val="single"/>
                    </w:rPr>
                  </w:pPr>
                  <w:r>
                    <w:rPr>
                      <w:sz w:val="21"/>
                      <w:szCs w:val="21"/>
                      <w:u w:val="single"/>
                    </w:rPr>
                    <w:t>9</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10</w:t>
                  </w:r>
                </w:p>
              </w:tc>
              <w:tc>
                <w:tcPr>
                  <w:tcW w:w="1653" w:type="dxa"/>
                  <w:vAlign w:val="center"/>
                </w:tcPr>
                <w:p>
                  <w:pPr>
                    <w:jc w:val="center"/>
                    <w:rPr>
                      <w:szCs w:val="21"/>
                      <w:u w:val="single"/>
                    </w:rPr>
                  </w:pPr>
                  <w:r>
                    <w:rPr>
                      <w:szCs w:val="21"/>
                      <w:u w:val="single"/>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CO（mg/m</w:t>
                  </w:r>
                  <w:r>
                    <w:rPr>
                      <w:sz w:val="21"/>
                      <w:szCs w:val="21"/>
                      <w:u w:val="single"/>
                      <w:vertAlign w:val="superscript"/>
                    </w:rPr>
                    <w:t>3</w:t>
                  </w:r>
                  <w:r>
                    <w:rPr>
                      <w:sz w:val="21"/>
                      <w:szCs w:val="21"/>
                      <w:u w:val="single"/>
                    </w:rPr>
                    <w:t>）</w:t>
                  </w:r>
                </w:p>
              </w:tc>
              <w:tc>
                <w:tcPr>
                  <w:tcW w:w="1380" w:type="dxa"/>
                  <w:vMerge w:val="continue"/>
                  <w:vAlign w:val="center"/>
                </w:tcPr>
                <w:p>
                  <w:pPr>
                    <w:pStyle w:val="4"/>
                    <w:spacing w:line="240" w:lineRule="auto"/>
                    <w:ind w:firstLine="0" w:firstLineChars="0"/>
                    <w:jc w:val="center"/>
                    <w:rPr>
                      <w:sz w:val="21"/>
                      <w:szCs w:val="21"/>
                      <w:u w:val="single"/>
                    </w:rPr>
                  </w:pPr>
                </w:p>
              </w:tc>
              <w:tc>
                <w:tcPr>
                  <w:tcW w:w="2083" w:type="dxa"/>
                  <w:vAlign w:val="center"/>
                </w:tcPr>
                <w:p>
                  <w:pPr>
                    <w:pStyle w:val="4"/>
                    <w:spacing w:line="240" w:lineRule="auto"/>
                    <w:ind w:firstLine="0" w:firstLineChars="0"/>
                    <w:jc w:val="center"/>
                    <w:rPr>
                      <w:sz w:val="21"/>
                      <w:szCs w:val="21"/>
                      <w:u w:val="single"/>
                    </w:rPr>
                  </w:pPr>
                  <w:r>
                    <w:rPr>
                      <w:sz w:val="21"/>
                      <w:szCs w:val="21"/>
                      <w:u w:val="single"/>
                    </w:rPr>
                    <w:t>1.1</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1.4</w:t>
                  </w:r>
                </w:p>
              </w:tc>
              <w:tc>
                <w:tcPr>
                  <w:tcW w:w="1653" w:type="dxa"/>
                  <w:vAlign w:val="center"/>
                </w:tcPr>
                <w:p>
                  <w:pPr>
                    <w:jc w:val="center"/>
                    <w:rPr>
                      <w:szCs w:val="21"/>
                      <w:u w:val="single"/>
                    </w:rPr>
                  </w:pPr>
                  <w:r>
                    <w:rPr>
                      <w:szCs w:val="21"/>
                      <w:u w:val="single"/>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97" w:type="dxa"/>
                  <w:vAlign w:val="center"/>
                </w:tcPr>
                <w:p>
                  <w:pPr>
                    <w:pStyle w:val="4"/>
                    <w:spacing w:line="240" w:lineRule="auto"/>
                    <w:ind w:firstLine="0" w:firstLineChars="0"/>
                    <w:jc w:val="center"/>
                    <w:rPr>
                      <w:sz w:val="21"/>
                      <w:szCs w:val="21"/>
                      <w:u w:val="single"/>
                    </w:rPr>
                  </w:pPr>
                  <w:r>
                    <w:rPr>
                      <w:sz w:val="21"/>
                      <w:szCs w:val="21"/>
                      <w:u w:val="single"/>
                    </w:rPr>
                    <w:t>O</w:t>
                  </w:r>
                  <w:r>
                    <w:rPr>
                      <w:sz w:val="21"/>
                      <w:szCs w:val="21"/>
                      <w:u w:val="single"/>
                      <w:vertAlign w:val="subscript"/>
                    </w:rPr>
                    <w:t>3</w:t>
                  </w:r>
                </w:p>
              </w:tc>
              <w:tc>
                <w:tcPr>
                  <w:tcW w:w="1380" w:type="dxa"/>
                  <w:vMerge w:val="continue"/>
                  <w:vAlign w:val="center"/>
                </w:tcPr>
                <w:p>
                  <w:pPr>
                    <w:pStyle w:val="4"/>
                    <w:spacing w:line="240" w:lineRule="auto"/>
                    <w:ind w:firstLine="0" w:firstLineChars="0"/>
                    <w:jc w:val="center"/>
                    <w:rPr>
                      <w:sz w:val="21"/>
                      <w:szCs w:val="21"/>
                      <w:u w:val="single"/>
                    </w:rPr>
                  </w:pPr>
                </w:p>
              </w:tc>
              <w:tc>
                <w:tcPr>
                  <w:tcW w:w="2083" w:type="dxa"/>
                  <w:vAlign w:val="center"/>
                </w:tcPr>
                <w:p>
                  <w:pPr>
                    <w:pStyle w:val="4"/>
                    <w:spacing w:line="240" w:lineRule="auto"/>
                    <w:ind w:firstLine="0" w:firstLineChars="0"/>
                    <w:jc w:val="center"/>
                    <w:rPr>
                      <w:sz w:val="21"/>
                      <w:szCs w:val="21"/>
                      <w:u w:val="single"/>
                    </w:rPr>
                  </w:pPr>
                  <w:r>
                    <w:rPr>
                      <w:sz w:val="21"/>
                      <w:szCs w:val="21"/>
                      <w:u w:val="single"/>
                    </w:rPr>
                    <w:t>125</w:t>
                  </w:r>
                </w:p>
              </w:tc>
              <w:tc>
                <w:tcPr>
                  <w:tcW w:w="2057" w:type="dxa"/>
                  <w:vAlign w:val="center"/>
                </w:tcPr>
                <w:p>
                  <w:pPr>
                    <w:pStyle w:val="4"/>
                    <w:spacing w:line="240" w:lineRule="auto"/>
                    <w:ind w:firstLine="0" w:firstLineChars="0"/>
                    <w:jc w:val="center"/>
                    <w:rPr>
                      <w:sz w:val="21"/>
                      <w:szCs w:val="21"/>
                      <w:u w:val="single"/>
                    </w:rPr>
                  </w:pPr>
                  <w:r>
                    <w:rPr>
                      <w:rFonts w:hint="eastAsia"/>
                      <w:sz w:val="21"/>
                      <w:szCs w:val="21"/>
                      <w:u w:val="single"/>
                    </w:rPr>
                    <w:t>155</w:t>
                  </w:r>
                </w:p>
              </w:tc>
              <w:tc>
                <w:tcPr>
                  <w:tcW w:w="1653" w:type="dxa"/>
                  <w:vAlign w:val="center"/>
                </w:tcPr>
                <w:p>
                  <w:pPr>
                    <w:jc w:val="center"/>
                    <w:rPr>
                      <w:szCs w:val="21"/>
                      <w:u w:val="single"/>
                    </w:rPr>
                  </w:pPr>
                  <w:r>
                    <w:rPr>
                      <w:szCs w:val="21"/>
                      <w:u w:val="single"/>
                    </w:rPr>
                    <w:t>达标</w:t>
                  </w:r>
                </w:p>
              </w:tc>
            </w:tr>
          </w:tbl>
          <w:p>
            <w:pPr>
              <w:pStyle w:val="4"/>
              <w:ind w:firstLine="480"/>
              <w:rPr>
                <w:color w:val="000000"/>
                <w:u w:val="single"/>
              </w:rPr>
            </w:pPr>
            <w:r>
              <w:rPr>
                <w:color w:val="000000"/>
                <w:u w:val="single"/>
              </w:rPr>
              <w:t>空气环境质量收集监测资料表明，项目所在区域的环境空气中NO</w:t>
            </w:r>
            <w:r>
              <w:rPr>
                <w:color w:val="000000"/>
                <w:u w:val="single"/>
                <w:vertAlign w:val="subscript"/>
              </w:rPr>
              <w:t>2</w:t>
            </w:r>
            <w:r>
              <w:rPr>
                <w:color w:val="000000"/>
                <w:u w:val="single"/>
              </w:rPr>
              <w:t>、SO</w:t>
            </w:r>
            <w:r>
              <w:rPr>
                <w:color w:val="000000"/>
                <w:u w:val="single"/>
                <w:vertAlign w:val="subscript"/>
              </w:rPr>
              <w:t>2</w:t>
            </w:r>
            <w:r>
              <w:rPr>
                <w:color w:val="000000"/>
                <w:u w:val="single"/>
              </w:rPr>
              <w:t>、</w:t>
            </w:r>
            <w:r>
              <w:rPr>
                <w:rFonts w:hint="eastAsia"/>
                <w:color w:val="000000"/>
                <w:u w:val="single"/>
              </w:rPr>
              <w:t>CO、O</w:t>
            </w:r>
            <w:r>
              <w:rPr>
                <w:rFonts w:hint="eastAsia"/>
                <w:color w:val="000000"/>
                <w:u w:val="single"/>
                <w:vertAlign w:val="subscript"/>
              </w:rPr>
              <w:t>3</w:t>
            </w:r>
            <w:r>
              <w:rPr>
                <w:color w:val="000000"/>
                <w:u w:val="single"/>
              </w:rPr>
              <w:t>年平均质量浓度均满足《环境空气质量标准》（GB3095－2012）中二级标准要求，所在区域的PM</w:t>
            </w:r>
            <w:r>
              <w:rPr>
                <w:rFonts w:hint="eastAsia"/>
                <w:color w:val="000000"/>
                <w:u w:val="single"/>
                <w:vertAlign w:val="subscript"/>
              </w:rPr>
              <w:t>2.5</w:t>
            </w:r>
            <w:r>
              <w:rPr>
                <w:rFonts w:hint="eastAsia"/>
                <w:color w:val="000000"/>
                <w:u w:val="single"/>
              </w:rPr>
              <w:t>、</w:t>
            </w:r>
            <w:r>
              <w:rPr>
                <w:color w:val="000000"/>
                <w:u w:val="single"/>
              </w:rPr>
              <w:t>PM</w:t>
            </w:r>
            <w:r>
              <w:rPr>
                <w:rFonts w:hint="eastAsia"/>
                <w:color w:val="000000"/>
                <w:u w:val="single"/>
                <w:vertAlign w:val="subscript"/>
              </w:rPr>
              <w:t>10</w:t>
            </w:r>
            <w:r>
              <w:rPr>
                <w:color w:val="000000"/>
                <w:u w:val="single"/>
              </w:rPr>
              <w:t>存在超标的情况。</w:t>
            </w:r>
          </w:p>
          <w:p>
            <w:pPr>
              <w:pStyle w:val="4"/>
              <w:ind w:firstLine="480"/>
              <w:rPr>
                <w:u w:val="single"/>
              </w:rPr>
            </w:pPr>
            <w:r>
              <w:rPr>
                <w:u w:val="single"/>
              </w:rPr>
              <w:t>根据《环境影响评价技术导则 大气环境》（HJ 2.2-2018）对项目所在区域环境空气质量进行达标判断，六项污染物没有全部达标，故本项目所在区域为环境空气质量不达标区。</w:t>
            </w:r>
          </w:p>
          <w:p>
            <w:pPr>
              <w:pStyle w:val="4"/>
              <w:ind w:firstLine="0" w:firstLineChars="0"/>
              <w:rPr>
                <w:b/>
                <w:bCs/>
              </w:rPr>
            </w:pPr>
            <w:r>
              <w:rPr>
                <w:rFonts w:hint="eastAsia"/>
                <w:b/>
                <w:bCs/>
              </w:rPr>
              <w:t>现状监测调查与评价</w:t>
            </w:r>
          </w:p>
          <w:p>
            <w:pPr>
              <w:adjustRightInd w:val="0"/>
              <w:snapToGrid w:val="0"/>
              <w:spacing w:line="360" w:lineRule="auto"/>
              <w:ind w:firstLine="480" w:firstLineChars="200"/>
              <w:rPr>
                <w:color w:val="000000"/>
                <w:sz w:val="24"/>
              </w:rPr>
            </w:pPr>
            <w:r>
              <w:rPr>
                <w:sz w:val="24"/>
              </w:rPr>
              <w:t>本项目</w:t>
            </w:r>
            <w:r>
              <w:rPr>
                <w:rFonts w:hint="eastAsia"/>
                <w:sz w:val="24"/>
              </w:rPr>
              <w:t>委托湖南宏润检测有限公司对项目所在地进行了环境空气质量检测</w:t>
            </w:r>
            <w:r>
              <w:rPr>
                <w:sz w:val="24"/>
              </w:rPr>
              <w:t>，监测时间</w:t>
            </w:r>
            <w:r>
              <w:rPr>
                <w:rFonts w:hint="eastAsia"/>
                <w:sz w:val="24"/>
              </w:rPr>
              <w:t>为</w:t>
            </w:r>
            <w:r>
              <w:rPr>
                <w:sz w:val="24"/>
              </w:rPr>
              <w:t>201</w:t>
            </w:r>
            <w:r>
              <w:rPr>
                <w:rFonts w:hint="eastAsia"/>
                <w:sz w:val="24"/>
              </w:rPr>
              <w:t>9</w:t>
            </w:r>
            <w:r>
              <w:rPr>
                <w:sz w:val="24"/>
              </w:rPr>
              <w:t>年</w:t>
            </w:r>
            <w:r>
              <w:rPr>
                <w:rFonts w:hint="eastAsia"/>
                <w:sz w:val="24"/>
              </w:rPr>
              <w:t>9月27</w:t>
            </w:r>
            <w:r>
              <w:rPr>
                <w:sz w:val="24"/>
              </w:rPr>
              <w:t>日至</w:t>
            </w:r>
            <w:r>
              <w:rPr>
                <w:rFonts w:hint="eastAsia"/>
                <w:sz w:val="24"/>
              </w:rPr>
              <w:t>10</w:t>
            </w:r>
            <w:r>
              <w:rPr>
                <w:sz w:val="24"/>
              </w:rPr>
              <w:t>月</w:t>
            </w:r>
            <w:r>
              <w:rPr>
                <w:rFonts w:hint="eastAsia"/>
                <w:sz w:val="24"/>
              </w:rPr>
              <w:t>3</w:t>
            </w:r>
            <w:r>
              <w:rPr>
                <w:sz w:val="24"/>
              </w:rPr>
              <w:t>日</w:t>
            </w:r>
            <w:r>
              <w:rPr>
                <w:rFonts w:hint="eastAsia"/>
                <w:sz w:val="24"/>
              </w:rPr>
              <w:t>，检测内容如下</w:t>
            </w:r>
            <w:r>
              <w:rPr>
                <w:color w:val="000000"/>
                <w:sz w:val="24"/>
              </w:rPr>
              <w:t>。</w:t>
            </w:r>
          </w:p>
          <w:p>
            <w:pPr>
              <w:numPr>
                <w:ilvl w:val="0"/>
                <w:numId w:val="2"/>
              </w:numPr>
              <w:spacing w:line="360" w:lineRule="auto"/>
              <w:ind w:firstLine="480"/>
              <w:jc w:val="left"/>
              <w:rPr>
                <w:sz w:val="24"/>
              </w:rPr>
            </w:pPr>
            <w:bookmarkStart w:id="14" w:name="_Ref497147348"/>
            <w:r>
              <w:rPr>
                <w:sz w:val="24"/>
              </w:rPr>
              <w:t>监测点位</w:t>
            </w:r>
          </w:p>
          <w:p>
            <w:pPr>
              <w:spacing w:line="360" w:lineRule="auto"/>
              <w:ind w:left="480"/>
              <w:jc w:val="left"/>
              <w:rPr>
                <w:sz w:val="24"/>
              </w:rPr>
            </w:pPr>
            <w:r>
              <w:rPr>
                <w:sz w:val="24"/>
              </w:rPr>
              <w:t>监测点位详见表3</w:t>
            </w:r>
            <w:r>
              <w:rPr>
                <w:rFonts w:hint="eastAsia"/>
                <w:sz w:val="24"/>
              </w:rPr>
              <w:t>.1-2。</w:t>
            </w:r>
          </w:p>
          <w:p>
            <w:pPr>
              <w:pStyle w:val="98"/>
              <w:spacing w:beforeLines="0" w:afterLines="0"/>
              <w:rPr>
                <w:rFonts w:eastAsia="黑体"/>
                <w:b w:val="0"/>
                <w:snapToGrid/>
                <w:kern w:val="0"/>
                <w:szCs w:val="24"/>
              </w:rPr>
            </w:pPr>
            <w:r>
              <w:rPr>
                <w:rFonts w:eastAsia="黑体"/>
                <w:b w:val="0"/>
                <w:snapToGrid/>
                <w:kern w:val="0"/>
                <w:szCs w:val="24"/>
              </w:rPr>
              <w:t>表3</w:t>
            </w:r>
            <w:r>
              <w:rPr>
                <w:rFonts w:hint="eastAsia" w:eastAsia="黑体"/>
                <w:b w:val="0"/>
                <w:snapToGrid/>
                <w:kern w:val="0"/>
                <w:szCs w:val="24"/>
              </w:rPr>
              <w:t xml:space="preserve">.1-2  </w:t>
            </w:r>
            <w:r>
              <w:rPr>
                <w:rFonts w:eastAsia="黑体"/>
                <w:b w:val="0"/>
                <w:snapToGrid/>
                <w:kern w:val="0"/>
                <w:szCs w:val="24"/>
              </w:rPr>
              <w:t xml:space="preserve"> 环境空气现状监测布点表</w:t>
            </w:r>
          </w:p>
          <w:tbl>
            <w:tblPr>
              <w:tblStyle w:val="2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bCs/>
                    </w:rPr>
                    <w:t>序号</w:t>
                  </w:r>
                </w:p>
              </w:tc>
              <w:tc>
                <w:tcPr>
                  <w:tcW w:w="6292" w:type="dxa"/>
                  <w:tcBorders>
                    <w:tl2br w:val="nil"/>
                    <w:tr2bl w:val="nil"/>
                  </w:tcBorders>
                  <w:vAlign w:val="center"/>
                </w:tcPr>
                <w:p>
                  <w:pPr>
                    <w:jc w:val="center"/>
                    <w:rPr>
                      <w:bCs/>
                    </w:rPr>
                  </w:pPr>
                  <w:r>
                    <w:rPr>
                      <w:bCs/>
                    </w:rPr>
                    <w:t>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bCs/>
                    </w:rPr>
                    <w:t>G1</w:t>
                  </w:r>
                </w:p>
              </w:tc>
              <w:tc>
                <w:tcPr>
                  <w:tcW w:w="6292" w:type="dxa"/>
                  <w:tcBorders>
                    <w:tl2br w:val="nil"/>
                    <w:tr2bl w:val="nil"/>
                  </w:tcBorders>
                  <w:vAlign w:val="center"/>
                </w:tcPr>
                <w:p>
                  <w:pPr>
                    <w:jc w:val="center"/>
                    <w:rPr>
                      <w:bCs/>
                    </w:rPr>
                  </w:pPr>
                  <w:r>
                    <w:rPr>
                      <w:rFonts w:hint="eastAsia"/>
                      <w:bCs/>
                    </w:rPr>
                    <w:t>项目所在地中心处</w:t>
                  </w:r>
                </w:p>
              </w:tc>
            </w:tr>
          </w:tbl>
          <w:p>
            <w:pPr>
              <w:pStyle w:val="45"/>
              <w:ind w:firstLine="480"/>
              <w:rPr>
                <w:vertAlign w:val="subscript"/>
              </w:rPr>
            </w:pPr>
            <w:r>
              <w:t>（2）监测因子：</w:t>
            </w:r>
            <w:r>
              <w:rPr>
                <w:rFonts w:hint="eastAsia"/>
              </w:rPr>
              <w:t>非甲烷总烃、TSP</w:t>
            </w:r>
          </w:p>
          <w:p>
            <w:pPr>
              <w:pStyle w:val="4"/>
              <w:tabs>
                <w:tab w:val="left" w:pos="5940"/>
              </w:tabs>
              <w:ind w:firstLine="480"/>
              <w:outlineLvl w:val="0"/>
            </w:pPr>
            <w:r>
              <w:t>（3）监测时间及频次</w:t>
            </w:r>
          </w:p>
          <w:p>
            <w:pPr>
              <w:pStyle w:val="92"/>
              <w:tabs>
                <w:tab w:val="clear" w:pos="1320"/>
              </w:tabs>
              <w:spacing w:line="360" w:lineRule="auto"/>
              <w:rPr>
                <w:szCs w:val="24"/>
              </w:rPr>
            </w:pPr>
            <w:r>
              <w:t>连续监测7天</w:t>
            </w:r>
            <w:r>
              <w:rPr>
                <w:rFonts w:hint="eastAsia"/>
              </w:rPr>
              <w:t>，监测24小时值</w:t>
            </w:r>
            <w:r>
              <w:rPr>
                <w:szCs w:val="24"/>
              </w:rPr>
              <w:t>。</w:t>
            </w:r>
          </w:p>
          <w:p>
            <w:pPr>
              <w:pStyle w:val="45"/>
              <w:numPr>
                <w:ilvl w:val="0"/>
                <w:numId w:val="3"/>
              </w:numPr>
              <w:ind w:firstLine="480"/>
            </w:pPr>
            <w:r>
              <w:t>评价标准：《环境空气质量标准》（GB3095-2012）中二级标准；</w:t>
            </w:r>
          </w:p>
          <w:p>
            <w:pPr>
              <w:spacing w:line="360" w:lineRule="auto"/>
              <w:ind w:firstLine="480" w:firstLineChars="200"/>
            </w:pPr>
            <w:r>
              <w:rPr>
                <w:rFonts w:hint="eastAsia"/>
                <w:sz w:val="24"/>
                <w:szCs w:val="24"/>
                <w:lang w:eastAsia="zh-CN"/>
              </w:rPr>
              <w:t>（</w:t>
            </w:r>
            <w:r>
              <w:rPr>
                <w:rFonts w:hint="eastAsia"/>
                <w:sz w:val="24"/>
                <w:szCs w:val="24"/>
                <w:lang w:val="en-US" w:eastAsia="zh-CN"/>
              </w:rPr>
              <w:t>5</w:t>
            </w:r>
            <w:r>
              <w:rPr>
                <w:rFonts w:hint="eastAsia"/>
                <w:sz w:val="24"/>
                <w:szCs w:val="24"/>
                <w:lang w:eastAsia="zh-CN"/>
              </w:rPr>
              <w:t>）监测工况：站区正常运营状态下进行监测。</w:t>
            </w:r>
          </w:p>
          <w:p>
            <w:pPr>
              <w:pStyle w:val="45"/>
              <w:numPr>
                <w:ilvl w:val="0"/>
                <w:numId w:val="0"/>
              </w:numPr>
              <w:ind w:firstLine="480" w:firstLineChars="200"/>
            </w:pPr>
            <w:r>
              <w:rPr>
                <w:rFonts w:hint="eastAsia"/>
                <w:lang w:eastAsia="zh-CN"/>
              </w:rPr>
              <w:t>（</w:t>
            </w:r>
            <w:r>
              <w:rPr>
                <w:rFonts w:hint="eastAsia"/>
                <w:lang w:val="en-US" w:eastAsia="zh-CN"/>
              </w:rPr>
              <w:t>6</w:t>
            </w:r>
            <w:r>
              <w:rPr>
                <w:rFonts w:hint="eastAsia"/>
                <w:lang w:eastAsia="zh-CN"/>
              </w:rPr>
              <w:t>）</w:t>
            </w:r>
            <w:r>
              <w:t>监测及评价结果</w:t>
            </w:r>
          </w:p>
          <w:p>
            <w:pPr>
              <w:pStyle w:val="92"/>
              <w:tabs>
                <w:tab w:val="clear" w:pos="1320"/>
              </w:tabs>
              <w:spacing w:line="360" w:lineRule="auto"/>
            </w:pPr>
            <w:r>
              <w:t>监测及评价结果见表3</w:t>
            </w:r>
            <w:r>
              <w:rPr>
                <w:rFonts w:hint="eastAsia"/>
              </w:rPr>
              <w:t>.1-3</w:t>
            </w:r>
            <w:r>
              <w:t>：</w:t>
            </w:r>
          </w:p>
          <w:bookmarkEnd w:id="14"/>
          <w:p>
            <w:pPr>
              <w:pStyle w:val="92"/>
              <w:tabs>
                <w:tab w:val="clear" w:pos="1320"/>
              </w:tabs>
              <w:spacing w:line="240" w:lineRule="auto"/>
              <w:jc w:val="center"/>
              <w:rPr>
                <w:rFonts w:eastAsia="黑体"/>
                <w:kern w:val="0"/>
                <w:szCs w:val="24"/>
              </w:rPr>
            </w:pPr>
            <w:bookmarkStart w:id="15" w:name="_Ref492655863"/>
            <w:r>
              <w:rPr>
                <w:rFonts w:eastAsia="黑体"/>
                <w:kern w:val="0"/>
                <w:szCs w:val="24"/>
              </w:rPr>
              <w:t>表3</w:t>
            </w:r>
            <w:bookmarkEnd w:id="15"/>
            <w:r>
              <w:rPr>
                <w:rFonts w:hint="eastAsia" w:eastAsia="黑体"/>
                <w:kern w:val="0"/>
                <w:szCs w:val="24"/>
              </w:rPr>
              <w:t>.1-3</w:t>
            </w:r>
            <w:r>
              <w:rPr>
                <w:rFonts w:eastAsia="黑体"/>
                <w:kern w:val="0"/>
                <w:szCs w:val="24"/>
              </w:rPr>
              <w:t xml:space="preserve">   环境空气监测结果</w:t>
            </w:r>
          </w:p>
          <w:tbl>
            <w:tblPr>
              <w:tblStyle w:val="2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30"/>
              <w:gridCol w:w="960"/>
              <w:gridCol w:w="750"/>
              <w:gridCol w:w="720"/>
              <w:gridCol w:w="705"/>
              <w:gridCol w:w="750"/>
              <w:gridCol w:w="720"/>
              <w:gridCol w:w="705"/>
              <w:gridCol w:w="732"/>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Merge w:val="restart"/>
                  <w:vAlign w:val="center"/>
                </w:tcPr>
                <w:p>
                  <w:pPr>
                    <w:jc w:val="center"/>
                    <w:rPr>
                      <w:bCs/>
                    </w:rPr>
                  </w:pPr>
                  <w:r>
                    <w:rPr>
                      <w:rFonts w:hint="eastAsia"/>
                      <w:bCs/>
                    </w:rPr>
                    <w:t>采样点位</w:t>
                  </w:r>
                </w:p>
              </w:tc>
              <w:tc>
                <w:tcPr>
                  <w:tcW w:w="930" w:type="dxa"/>
                  <w:vMerge w:val="restart"/>
                  <w:vAlign w:val="center"/>
                </w:tcPr>
                <w:p>
                  <w:pPr>
                    <w:jc w:val="center"/>
                    <w:rPr>
                      <w:bCs/>
                    </w:rPr>
                  </w:pPr>
                  <w:r>
                    <w:rPr>
                      <w:rFonts w:hint="eastAsia"/>
                      <w:bCs/>
                    </w:rPr>
                    <w:t>检测项目</w:t>
                  </w:r>
                </w:p>
              </w:tc>
              <w:tc>
                <w:tcPr>
                  <w:tcW w:w="960" w:type="dxa"/>
                  <w:vMerge w:val="restart"/>
                  <w:vAlign w:val="center"/>
                </w:tcPr>
                <w:p>
                  <w:pPr>
                    <w:jc w:val="center"/>
                    <w:rPr>
                      <w:bCs/>
                    </w:rPr>
                  </w:pPr>
                  <w:r>
                    <w:rPr>
                      <w:rFonts w:hint="eastAsia"/>
                      <w:bCs/>
                    </w:rPr>
                    <w:t>检测频次</w:t>
                  </w:r>
                </w:p>
              </w:tc>
              <w:tc>
                <w:tcPr>
                  <w:tcW w:w="5082" w:type="dxa"/>
                  <w:gridSpan w:val="7"/>
                  <w:vAlign w:val="center"/>
                </w:tcPr>
                <w:p>
                  <w:pPr>
                    <w:jc w:val="center"/>
                    <w:rPr>
                      <w:bCs/>
                    </w:rPr>
                  </w:pPr>
                  <w:r>
                    <w:rPr>
                      <w:rFonts w:hint="eastAsia"/>
                      <w:bCs/>
                    </w:rPr>
                    <w:t>采样时间及检测结果（mg/m</w:t>
                  </w:r>
                  <w:r>
                    <w:rPr>
                      <w:rFonts w:hint="eastAsia"/>
                      <w:bCs/>
                      <w:vertAlign w:val="superscript"/>
                    </w:rPr>
                    <w:t>3</w:t>
                  </w:r>
                  <w:r>
                    <w:rPr>
                      <w:rFonts w:hint="eastAsia"/>
                      <w:bCs/>
                    </w:rPr>
                    <w:t>）</w:t>
                  </w:r>
                </w:p>
              </w:tc>
              <w:tc>
                <w:tcPr>
                  <w:tcW w:w="790" w:type="dxa"/>
                  <w:vMerge w:val="restart"/>
                  <w:vAlign w:val="center"/>
                </w:tcPr>
                <w:p>
                  <w:pPr>
                    <w:jc w:val="center"/>
                    <w:rPr>
                      <w:bCs/>
                    </w:rPr>
                  </w:pPr>
                  <w:r>
                    <w:rPr>
                      <w:rFonts w:hint="eastAsia"/>
                      <w:bCs/>
                    </w:rPr>
                    <w:t>参考限值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Merge w:val="continue"/>
                  <w:vAlign w:val="center"/>
                </w:tcPr>
                <w:p>
                  <w:pPr>
                    <w:jc w:val="center"/>
                    <w:rPr>
                      <w:bCs/>
                    </w:rPr>
                  </w:pPr>
                </w:p>
              </w:tc>
              <w:tc>
                <w:tcPr>
                  <w:tcW w:w="930" w:type="dxa"/>
                  <w:vMerge w:val="continue"/>
                  <w:vAlign w:val="center"/>
                </w:tcPr>
                <w:p>
                  <w:pPr>
                    <w:jc w:val="center"/>
                    <w:rPr>
                      <w:bCs/>
                    </w:rPr>
                  </w:pPr>
                </w:p>
              </w:tc>
              <w:tc>
                <w:tcPr>
                  <w:tcW w:w="960" w:type="dxa"/>
                  <w:vMerge w:val="continue"/>
                  <w:vAlign w:val="center"/>
                </w:tcPr>
                <w:p>
                  <w:pPr>
                    <w:jc w:val="center"/>
                    <w:rPr>
                      <w:bCs/>
                    </w:rPr>
                  </w:pPr>
                </w:p>
              </w:tc>
              <w:tc>
                <w:tcPr>
                  <w:tcW w:w="750" w:type="dxa"/>
                  <w:vAlign w:val="center"/>
                </w:tcPr>
                <w:p>
                  <w:pPr>
                    <w:jc w:val="center"/>
                    <w:rPr>
                      <w:bCs/>
                    </w:rPr>
                  </w:pPr>
                  <w:r>
                    <w:rPr>
                      <w:rFonts w:hint="eastAsia"/>
                      <w:bCs/>
                    </w:rPr>
                    <w:t>9.27</w:t>
                  </w:r>
                </w:p>
              </w:tc>
              <w:tc>
                <w:tcPr>
                  <w:tcW w:w="720" w:type="dxa"/>
                  <w:vAlign w:val="center"/>
                </w:tcPr>
                <w:p>
                  <w:pPr>
                    <w:jc w:val="center"/>
                    <w:rPr>
                      <w:bCs/>
                    </w:rPr>
                  </w:pPr>
                  <w:r>
                    <w:rPr>
                      <w:rFonts w:hint="eastAsia"/>
                      <w:bCs/>
                    </w:rPr>
                    <w:t>9.28</w:t>
                  </w:r>
                </w:p>
              </w:tc>
              <w:tc>
                <w:tcPr>
                  <w:tcW w:w="705" w:type="dxa"/>
                  <w:vAlign w:val="center"/>
                </w:tcPr>
                <w:p>
                  <w:pPr>
                    <w:jc w:val="center"/>
                    <w:rPr>
                      <w:bCs/>
                    </w:rPr>
                  </w:pPr>
                  <w:r>
                    <w:rPr>
                      <w:rFonts w:hint="eastAsia"/>
                      <w:bCs/>
                    </w:rPr>
                    <w:t>9.29</w:t>
                  </w:r>
                </w:p>
              </w:tc>
              <w:tc>
                <w:tcPr>
                  <w:tcW w:w="750" w:type="dxa"/>
                  <w:vAlign w:val="center"/>
                </w:tcPr>
                <w:p>
                  <w:pPr>
                    <w:jc w:val="center"/>
                    <w:rPr>
                      <w:bCs/>
                    </w:rPr>
                  </w:pPr>
                  <w:r>
                    <w:rPr>
                      <w:rFonts w:hint="eastAsia"/>
                      <w:bCs/>
                    </w:rPr>
                    <w:t>9.30</w:t>
                  </w:r>
                </w:p>
              </w:tc>
              <w:tc>
                <w:tcPr>
                  <w:tcW w:w="720" w:type="dxa"/>
                  <w:vAlign w:val="center"/>
                </w:tcPr>
                <w:p>
                  <w:pPr>
                    <w:jc w:val="center"/>
                    <w:rPr>
                      <w:bCs/>
                    </w:rPr>
                  </w:pPr>
                  <w:r>
                    <w:rPr>
                      <w:rFonts w:hint="eastAsia"/>
                      <w:bCs/>
                    </w:rPr>
                    <w:t>10.1</w:t>
                  </w:r>
                </w:p>
              </w:tc>
              <w:tc>
                <w:tcPr>
                  <w:tcW w:w="705" w:type="dxa"/>
                  <w:vAlign w:val="center"/>
                </w:tcPr>
                <w:p>
                  <w:pPr>
                    <w:jc w:val="center"/>
                    <w:rPr>
                      <w:bCs/>
                    </w:rPr>
                  </w:pPr>
                  <w:r>
                    <w:rPr>
                      <w:rFonts w:hint="eastAsia"/>
                      <w:bCs/>
                    </w:rPr>
                    <w:t>10.2</w:t>
                  </w:r>
                </w:p>
              </w:tc>
              <w:tc>
                <w:tcPr>
                  <w:tcW w:w="732" w:type="dxa"/>
                  <w:vAlign w:val="center"/>
                </w:tcPr>
                <w:p>
                  <w:pPr>
                    <w:jc w:val="center"/>
                    <w:rPr>
                      <w:bCs/>
                    </w:rPr>
                  </w:pPr>
                  <w:r>
                    <w:rPr>
                      <w:rFonts w:hint="eastAsia"/>
                      <w:bCs/>
                    </w:rPr>
                    <w:t>10.3</w:t>
                  </w:r>
                </w:p>
              </w:tc>
              <w:tc>
                <w:tcPr>
                  <w:tcW w:w="790" w:type="dxa"/>
                  <w:vMerge w:val="continue"/>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Merge w:val="restart"/>
                  <w:vAlign w:val="center"/>
                </w:tcPr>
                <w:p>
                  <w:pPr>
                    <w:jc w:val="center"/>
                    <w:rPr>
                      <w:bCs/>
                    </w:rPr>
                  </w:pPr>
                  <w:r>
                    <w:rPr>
                      <w:rFonts w:hint="eastAsia"/>
                      <w:bCs/>
                    </w:rPr>
                    <w:t>项目所在地中心处</w:t>
                  </w:r>
                </w:p>
              </w:tc>
              <w:tc>
                <w:tcPr>
                  <w:tcW w:w="930" w:type="dxa"/>
                  <w:vAlign w:val="center"/>
                </w:tcPr>
                <w:p>
                  <w:pPr>
                    <w:jc w:val="center"/>
                    <w:rPr>
                      <w:bCs/>
                    </w:rPr>
                  </w:pPr>
                  <w:r>
                    <w:rPr>
                      <w:rFonts w:hint="eastAsia"/>
                      <w:bCs/>
                    </w:rPr>
                    <w:t>非甲烷总烃</w:t>
                  </w:r>
                </w:p>
              </w:tc>
              <w:tc>
                <w:tcPr>
                  <w:tcW w:w="960" w:type="dxa"/>
                  <w:vMerge w:val="restart"/>
                  <w:vAlign w:val="center"/>
                </w:tcPr>
                <w:p>
                  <w:pPr>
                    <w:jc w:val="center"/>
                    <w:rPr>
                      <w:bCs/>
                    </w:rPr>
                  </w:pPr>
                  <w:r>
                    <w:rPr>
                      <w:rFonts w:hint="eastAsia"/>
                      <w:bCs/>
                    </w:rPr>
                    <w:t>24小时平均值</w:t>
                  </w:r>
                </w:p>
              </w:tc>
              <w:tc>
                <w:tcPr>
                  <w:tcW w:w="750" w:type="dxa"/>
                  <w:vAlign w:val="center"/>
                </w:tcPr>
                <w:p>
                  <w:pPr>
                    <w:jc w:val="center"/>
                    <w:rPr>
                      <w:bCs/>
                    </w:rPr>
                  </w:pPr>
                  <w:r>
                    <w:rPr>
                      <w:rFonts w:hint="eastAsia"/>
                      <w:bCs/>
                    </w:rPr>
                    <w:t>0.62</w:t>
                  </w:r>
                </w:p>
              </w:tc>
              <w:tc>
                <w:tcPr>
                  <w:tcW w:w="720" w:type="dxa"/>
                  <w:vAlign w:val="center"/>
                </w:tcPr>
                <w:p>
                  <w:pPr>
                    <w:jc w:val="center"/>
                    <w:rPr>
                      <w:bCs/>
                    </w:rPr>
                  </w:pPr>
                  <w:r>
                    <w:rPr>
                      <w:rFonts w:hint="eastAsia"/>
                      <w:bCs/>
                    </w:rPr>
                    <w:t>0.68</w:t>
                  </w:r>
                </w:p>
              </w:tc>
              <w:tc>
                <w:tcPr>
                  <w:tcW w:w="705" w:type="dxa"/>
                  <w:vAlign w:val="center"/>
                </w:tcPr>
                <w:p>
                  <w:pPr>
                    <w:jc w:val="center"/>
                    <w:rPr>
                      <w:bCs/>
                    </w:rPr>
                  </w:pPr>
                  <w:r>
                    <w:rPr>
                      <w:rFonts w:hint="eastAsia"/>
                      <w:bCs/>
                    </w:rPr>
                    <w:t>0.63</w:t>
                  </w:r>
                </w:p>
              </w:tc>
              <w:tc>
                <w:tcPr>
                  <w:tcW w:w="750" w:type="dxa"/>
                  <w:vAlign w:val="center"/>
                </w:tcPr>
                <w:p>
                  <w:pPr>
                    <w:jc w:val="center"/>
                    <w:rPr>
                      <w:bCs/>
                    </w:rPr>
                  </w:pPr>
                  <w:r>
                    <w:rPr>
                      <w:rFonts w:hint="eastAsia"/>
                      <w:bCs/>
                    </w:rPr>
                    <w:t>0.64</w:t>
                  </w:r>
                </w:p>
              </w:tc>
              <w:tc>
                <w:tcPr>
                  <w:tcW w:w="720" w:type="dxa"/>
                  <w:vAlign w:val="center"/>
                </w:tcPr>
                <w:p>
                  <w:pPr>
                    <w:jc w:val="center"/>
                    <w:rPr>
                      <w:bCs/>
                    </w:rPr>
                  </w:pPr>
                  <w:r>
                    <w:rPr>
                      <w:rFonts w:hint="eastAsia"/>
                      <w:bCs/>
                    </w:rPr>
                    <w:t>0.66</w:t>
                  </w:r>
                </w:p>
              </w:tc>
              <w:tc>
                <w:tcPr>
                  <w:tcW w:w="705" w:type="dxa"/>
                  <w:vAlign w:val="center"/>
                </w:tcPr>
                <w:p>
                  <w:pPr>
                    <w:jc w:val="center"/>
                    <w:rPr>
                      <w:bCs/>
                    </w:rPr>
                  </w:pPr>
                  <w:r>
                    <w:rPr>
                      <w:rFonts w:hint="eastAsia"/>
                      <w:bCs/>
                    </w:rPr>
                    <w:t>0.69</w:t>
                  </w:r>
                </w:p>
              </w:tc>
              <w:tc>
                <w:tcPr>
                  <w:tcW w:w="732" w:type="dxa"/>
                  <w:vAlign w:val="center"/>
                </w:tcPr>
                <w:p>
                  <w:pPr>
                    <w:jc w:val="center"/>
                    <w:rPr>
                      <w:bCs/>
                    </w:rPr>
                  </w:pPr>
                  <w:r>
                    <w:rPr>
                      <w:rFonts w:hint="eastAsia"/>
                      <w:bCs/>
                    </w:rPr>
                    <w:t>0.67</w:t>
                  </w:r>
                </w:p>
              </w:tc>
              <w:tc>
                <w:tcPr>
                  <w:tcW w:w="790" w:type="dxa"/>
                  <w:vAlign w:val="center"/>
                </w:tcPr>
                <w:p>
                  <w:pPr>
                    <w:jc w:val="center"/>
                    <w:rPr>
                      <w:bCs/>
                    </w:rPr>
                  </w:pPr>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Merge w:val="continue"/>
                  <w:vAlign w:val="center"/>
                </w:tcPr>
                <w:p>
                  <w:pPr>
                    <w:jc w:val="center"/>
                    <w:rPr>
                      <w:bCs/>
                    </w:rPr>
                  </w:pPr>
                  <w:r>
                    <w:rPr>
                      <w:rFonts w:hint="eastAsia"/>
                      <w:bCs/>
                    </w:rPr>
                    <w:t>0.</w:t>
                  </w:r>
                </w:p>
              </w:tc>
              <w:tc>
                <w:tcPr>
                  <w:tcW w:w="930" w:type="dxa"/>
                  <w:vAlign w:val="center"/>
                </w:tcPr>
                <w:p>
                  <w:pPr>
                    <w:jc w:val="center"/>
                    <w:rPr>
                      <w:bCs/>
                    </w:rPr>
                  </w:pPr>
                  <w:r>
                    <w:rPr>
                      <w:rFonts w:hint="eastAsia"/>
                      <w:bCs/>
                    </w:rPr>
                    <w:t>TSP</w:t>
                  </w:r>
                </w:p>
              </w:tc>
              <w:tc>
                <w:tcPr>
                  <w:tcW w:w="960" w:type="dxa"/>
                  <w:vMerge w:val="continue"/>
                  <w:vAlign w:val="center"/>
                </w:tcPr>
                <w:p>
                  <w:pPr>
                    <w:jc w:val="center"/>
                    <w:rPr>
                      <w:bCs/>
                    </w:rPr>
                  </w:pPr>
                </w:p>
              </w:tc>
              <w:tc>
                <w:tcPr>
                  <w:tcW w:w="750" w:type="dxa"/>
                  <w:vAlign w:val="center"/>
                </w:tcPr>
                <w:p>
                  <w:pPr>
                    <w:jc w:val="center"/>
                    <w:rPr>
                      <w:bCs/>
                    </w:rPr>
                  </w:pPr>
                  <w:r>
                    <w:rPr>
                      <w:rFonts w:hint="eastAsia"/>
                      <w:bCs/>
                    </w:rPr>
                    <w:t>0.094</w:t>
                  </w:r>
                </w:p>
              </w:tc>
              <w:tc>
                <w:tcPr>
                  <w:tcW w:w="720" w:type="dxa"/>
                  <w:vAlign w:val="center"/>
                </w:tcPr>
                <w:p>
                  <w:pPr>
                    <w:jc w:val="center"/>
                    <w:rPr>
                      <w:bCs/>
                    </w:rPr>
                  </w:pPr>
                  <w:r>
                    <w:rPr>
                      <w:rFonts w:hint="eastAsia"/>
                      <w:bCs/>
                    </w:rPr>
                    <w:t>0.087</w:t>
                  </w:r>
                </w:p>
              </w:tc>
              <w:tc>
                <w:tcPr>
                  <w:tcW w:w="705" w:type="dxa"/>
                  <w:vAlign w:val="center"/>
                </w:tcPr>
                <w:p>
                  <w:pPr>
                    <w:jc w:val="center"/>
                    <w:rPr>
                      <w:bCs/>
                    </w:rPr>
                  </w:pPr>
                  <w:r>
                    <w:rPr>
                      <w:rFonts w:hint="eastAsia"/>
                      <w:bCs/>
                    </w:rPr>
                    <w:t>0.085</w:t>
                  </w:r>
                </w:p>
              </w:tc>
              <w:tc>
                <w:tcPr>
                  <w:tcW w:w="750" w:type="dxa"/>
                  <w:vAlign w:val="center"/>
                </w:tcPr>
                <w:p>
                  <w:pPr>
                    <w:jc w:val="center"/>
                    <w:rPr>
                      <w:bCs/>
                    </w:rPr>
                  </w:pPr>
                  <w:r>
                    <w:rPr>
                      <w:rFonts w:hint="eastAsia"/>
                      <w:bCs/>
                    </w:rPr>
                    <w:t>0.092</w:t>
                  </w:r>
                </w:p>
              </w:tc>
              <w:tc>
                <w:tcPr>
                  <w:tcW w:w="720" w:type="dxa"/>
                  <w:vAlign w:val="center"/>
                </w:tcPr>
                <w:p>
                  <w:pPr>
                    <w:jc w:val="center"/>
                    <w:rPr>
                      <w:bCs/>
                    </w:rPr>
                  </w:pPr>
                  <w:r>
                    <w:rPr>
                      <w:rFonts w:hint="eastAsia"/>
                      <w:bCs/>
                    </w:rPr>
                    <w:t>0.083</w:t>
                  </w:r>
                </w:p>
              </w:tc>
              <w:tc>
                <w:tcPr>
                  <w:tcW w:w="705" w:type="dxa"/>
                  <w:vAlign w:val="center"/>
                </w:tcPr>
                <w:p>
                  <w:pPr>
                    <w:jc w:val="center"/>
                    <w:rPr>
                      <w:bCs/>
                    </w:rPr>
                  </w:pPr>
                  <w:r>
                    <w:rPr>
                      <w:rFonts w:hint="eastAsia"/>
                      <w:bCs/>
                    </w:rPr>
                    <w:t>0.086</w:t>
                  </w:r>
                </w:p>
              </w:tc>
              <w:tc>
                <w:tcPr>
                  <w:tcW w:w="732" w:type="dxa"/>
                  <w:vAlign w:val="center"/>
                </w:tcPr>
                <w:p>
                  <w:pPr>
                    <w:jc w:val="center"/>
                    <w:rPr>
                      <w:bCs/>
                    </w:rPr>
                  </w:pPr>
                  <w:r>
                    <w:rPr>
                      <w:rFonts w:hint="eastAsia"/>
                      <w:bCs/>
                    </w:rPr>
                    <w:t>0.092</w:t>
                  </w:r>
                </w:p>
              </w:tc>
              <w:tc>
                <w:tcPr>
                  <w:tcW w:w="790" w:type="dxa"/>
                  <w:vAlign w:val="center"/>
                </w:tcPr>
                <w:p>
                  <w:pPr>
                    <w:jc w:val="center"/>
                    <w:rPr>
                      <w:bCs/>
                    </w:rPr>
                  </w:pPr>
                  <w:r>
                    <w:rPr>
                      <w:rFonts w:hint="eastAsia"/>
                      <w:bCs/>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80" w:type="dxa"/>
                  <w:gridSpan w:val="11"/>
                  <w:vAlign w:val="center"/>
                </w:tcPr>
                <w:p>
                  <w:pPr>
                    <w:rPr>
                      <w:bCs/>
                    </w:rPr>
                  </w:pPr>
                  <w:r>
                    <w:rPr>
                      <w:rFonts w:hint="eastAsia"/>
                      <w:bCs/>
                    </w:rPr>
                    <w:t>备注：参考《环境空气质量标准》（GB3095-2012）表2中浓度限值</w:t>
                  </w:r>
                </w:p>
              </w:tc>
            </w:tr>
          </w:tbl>
          <w:p>
            <w:pPr>
              <w:spacing w:line="360" w:lineRule="auto"/>
              <w:ind w:firstLine="480" w:firstLineChars="200"/>
              <w:rPr>
                <w:color w:val="000000"/>
                <w:kern w:val="0"/>
              </w:rPr>
            </w:pPr>
            <w:r>
              <w:rPr>
                <w:sz w:val="24"/>
              </w:rPr>
              <w:t>由</w:t>
            </w:r>
            <w:r>
              <w:fldChar w:fldCharType="begin"/>
            </w:r>
            <w:r>
              <w:instrText xml:space="preserve"> REF _Ref492655863 \h  \* MERGEFORMAT </w:instrText>
            </w:r>
            <w:r>
              <w:fldChar w:fldCharType="separate"/>
            </w:r>
            <w:r>
              <w:rPr>
                <w:sz w:val="24"/>
              </w:rPr>
              <w:t>表3</w:t>
            </w:r>
            <w:r>
              <w:rPr>
                <w:rFonts w:hint="eastAsia"/>
                <w:sz w:val="24"/>
              </w:rPr>
              <w:t>.</w:t>
            </w:r>
            <w:r>
              <w:rPr>
                <w:rFonts w:hint="eastAsia"/>
                <w:sz w:val="24"/>
              </w:rPr>
              <w:fldChar w:fldCharType="end"/>
            </w:r>
            <w:r>
              <w:rPr>
                <w:rFonts w:hint="eastAsia"/>
                <w:sz w:val="24"/>
              </w:rPr>
              <w:t>1-3</w:t>
            </w:r>
            <w:r>
              <w:rPr>
                <w:sz w:val="24"/>
              </w:rPr>
              <w:t>监测结果可知，</w:t>
            </w:r>
            <w:r>
              <w:rPr>
                <w:rFonts w:hint="eastAsia"/>
                <w:bCs/>
                <w:kern w:val="0"/>
                <w:sz w:val="24"/>
              </w:rPr>
              <w:t>各监测因子均可</w:t>
            </w:r>
            <w:r>
              <w:rPr>
                <w:bCs/>
                <w:sz w:val="24"/>
              </w:rPr>
              <w:t>满足《环境空气质量标准》（GB3095-2012）中二级标准，</w:t>
            </w:r>
            <w:r>
              <w:rPr>
                <w:bCs/>
                <w:kern w:val="24"/>
                <w:sz w:val="24"/>
              </w:rPr>
              <w:t>评价区域环境空气质量现状较好。</w:t>
            </w:r>
          </w:p>
          <w:p>
            <w:pPr>
              <w:pStyle w:val="5"/>
            </w:pPr>
            <w:r>
              <w:t>地表水环境现状调查与评价</w:t>
            </w:r>
            <w:bookmarkEnd w:id="12"/>
            <w:bookmarkEnd w:id="13"/>
          </w:p>
          <w:p>
            <w:pPr>
              <w:spacing w:line="360" w:lineRule="auto"/>
              <w:ind w:firstLine="480" w:firstLineChars="200"/>
              <w:textAlignment w:val="baseline"/>
              <w:rPr>
                <w:sz w:val="24"/>
                <w:szCs w:val="24"/>
              </w:rPr>
            </w:pPr>
            <w:bookmarkStart w:id="16" w:name="_Toc215375688"/>
            <w:bookmarkStart w:id="17" w:name="_Toc260819609"/>
            <w:r>
              <w:rPr>
                <w:rFonts w:hint="eastAsia"/>
                <w:sz w:val="24"/>
                <w:szCs w:val="24"/>
              </w:rPr>
              <w:t>本项目所在地主要地表水体为项目南侧3.06km处的湘江。</w:t>
            </w:r>
            <w:r>
              <w:rPr>
                <w:sz w:val="24"/>
                <w:szCs w:val="24"/>
              </w:rPr>
              <w:t>为了解建设项目所在地的地表水环境状况，</w:t>
            </w:r>
            <w:r>
              <w:rPr>
                <w:bCs/>
                <w:sz w:val="24"/>
              </w:rPr>
              <w:t>本次评价水环境质量现状</w:t>
            </w:r>
            <w:r>
              <w:rPr>
                <w:rFonts w:hint="eastAsia"/>
                <w:bCs/>
                <w:sz w:val="24"/>
              </w:rPr>
              <w:t>引用了湘阴县监测站2018年对</w:t>
            </w:r>
            <w:r>
              <w:rPr>
                <w:bCs/>
                <w:sz w:val="24"/>
              </w:rPr>
              <w:t>湘江</w:t>
            </w:r>
            <w:r>
              <w:rPr>
                <w:rFonts w:hint="eastAsia"/>
                <w:bCs/>
                <w:sz w:val="24"/>
              </w:rPr>
              <w:t>湘阴段</w:t>
            </w:r>
            <w:r>
              <w:rPr>
                <w:bCs/>
                <w:sz w:val="24"/>
              </w:rPr>
              <w:t>的监测数据</w:t>
            </w:r>
            <w:r>
              <w:rPr>
                <w:sz w:val="24"/>
                <w:szCs w:val="24"/>
              </w:rPr>
              <w:t>。具体监测情况详见下表。</w:t>
            </w:r>
          </w:p>
          <w:p>
            <w:pPr>
              <w:spacing w:line="360" w:lineRule="auto"/>
              <w:jc w:val="center"/>
              <w:rPr>
                <w:sz w:val="24"/>
                <w:szCs w:val="24"/>
              </w:rPr>
            </w:pPr>
            <w:r>
              <w:rPr>
                <w:sz w:val="24"/>
                <w:szCs w:val="24"/>
              </w:rPr>
              <w:t>表3</w:t>
            </w:r>
            <w:r>
              <w:rPr>
                <w:rFonts w:hint="eastAsia"/>
                <w:sz w:val="24"/>
                <w:szCs w:val="24"/>
              </w:rPr>
              <w:t>.2-1</w:t>
            </w:r>
            <w:r>
              <w:rPr>
                <w:sz w:val="24"/>
                <w:szCs w:val="24"/>
              </w:rPr>
              <w:t xml:space="preserve">  地表水环境质量现状监测结果</w:t>
            </w:r>
            <w:r>
              <w:rPr>
                <w:rFonts w:hint="eastAsia"/>
                <w:sz w:val="24"/>
                <w:szCs w:val="24"/>
              </w:rPr>
              <w:t>（湘江湘阴段）</w:t>
            </w:r>
            <w:r>
              <w:rPr>
                <w:sz w:val="24"/>
                <w:szCs w:val="24"/>
              </w:rPr>
              <w:t xml:space="preserve">  </w:t>
            </w:r>
          </w:p>
          <w:p>
            <w:pPr>
              <w:spacing w:line="360" w:lineRule="auto"/>
              <w:jc w:val="right"/>
              <w:rPr>
                <w:szCs w:val="21"/>
              </w:rPr>
            </w:pPr>
            <w:r>
              <w:rPr>
                <w:szCs w:val="21"/>
              </w:rPr>
              <w:t>单位：mg/L (pH无量纲，粪大肠菌群个/L)</w:t>
            </w:r>
          </w:p>
          <w:tbl>
            <w:tblPr>
              <w:tblStyle w:val="2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4"/>
              <w:gridCol w:w="964"/>
              <w:gridCol w:w="964"/>
              <w:gridCol w:w="964"/>
              <w:gridCol w:w="965"/>
              <w:gridCol w:w="1103"/>
              <w:gridCol w:w="99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vAlign w:val="center"/>
                </w:tcPr>
                <w:p>
                  <w:pPr>
                    <w:jc w:val="center"/>
                    <w:rPr>
                      <w:bCs/>
                    </w:rPr>
                  </w:pPr>
                  <w:r>
                    <w:rPr>
                      <w:rFonts w:hint="eastAsia"/>
                      <w:bCs/>
                    </w:rPr>
                    <w:t>监测点位</w:t>
                  </w:r>
                </w:p>
              </w:tc>
              <w:tc>
                <w:tcPr>
                  <w:tcW w:w="964" w:type="dxa"/>
                  <w:vMerge w:val="restart"/>
                  <w:vAlign w:val="center"/>
                </w:tcPr>
                <w:p>
                  <w:pPr>
                    <w:jc w:val="center"/>
                    <w:rPr>
                      <w:bCs/>
                    </w:rPr>
                  </w:pPr>
                  <w:r>
                    <w:rPr>
                      <w:rFonts w:hint="eastAsia"/>
                      <w:bCs/>
                    </w:rPr>
                    <w:t>监测项目</w:t>
                  </w:r>
                </w:p>
              </w:tc>
              <w:tc>
                <w:tcPr>
                  <w:tcW w:w="964" w:type="dxa"/>
                  <w:vMerge w:val="restart"/>
                  <w:vAlign w:val="center"/>
                </w:tcPr>
                <w:p>
                  <w:pPr>
                    <w:jc w:val="center"/>
                    <w:rPr>
                      <w:bCs/>
                    </w:rPr>
                  </w:pPr>
                  <w:r>
                    <w:rPr>
                      <w:rFonts w:hint="eastAsia"/>
                      <w:bCs/>
                    </w:rPr>
                    <w:t>单位</w:t>
                  </w:r>
                </w:p>
              </w:tc>
              <w:tc>
                <w:tcPr>
                  <w:tcW w:w="3996" w:type="dxa"/>
                  <w:gridSpan w:val="4"/>
                  <w:vAlign w:val="center"/>
                </w:tcPr>
                <w:p>
                  <w:pPr>
                    <w:jc w:val="center"/>
                    <w:rPr>
                      <w:bCs/>
                    </w:rPr>
                  </w:pPr>
                  <w:r>
                    <w:rPr>
                      <w:rFonts w:hint="eastAsia"/>
                      <w:bCs/>
                    </w:rPr>
                    <w:t>监测结果</w:t>
                  </w:r>
                </w:p>
              </w:tc>
              <w:tc>
                <w:tcPr>
                  <w:tcW w:w="990" w:type="dxa"/>
                  <w:vMerge w:val="restart"/>
                  <w:vAlign w:val="center"/>
                </w:tcPr>
                <w:p>
                  <w:pPr>
                    <w:jc w:val="center"/>
                    <w:rPr>
                      <w:bCs/>
                    </w:rPr>
                  </w:pPr>
                  <w:r>
                    <w:rPr>
                      <w:rFonts w:hint="eastAsia"/>
                      <w:bCs/>
                    </w:rPr>
                    <w:t>标准值</w:t>
                  </w:r>
                </w:p>
              </w:tc>
              <w:tc>
                <w:tcPr>
                  <w:tcW w:w="802" w:type="dxa"/>
                  <w:vMerge w:val="restart"/>
                  <w:vAlign w:val="center"/>
                </w:tcPr>
                <w:p>
                  <w:pPr>
                    <w:jc w:val="center"/>
                    <w:rPr>
                      <w:bCs/>
                    </w:rPr>
                  </w:pPr>
                  <w:r>
                    <w:rPr>
                      <w:rFonts w:hint="eastAsia"/>
                      <w:bCs/>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Merge w:val="continue"/>
                  <w:vAlign w:val="center"/>
                </w:tcPr>
                <w:p>
                  <w:pPr>
                    <w:jc w:val="center"/>
                    <w:rPr>
                      <w:bCs/>
                    </w:rPr>
                  </w:pPr>
                </w:p>
              </w:tc>
              <w:tc>
                <w:tcPr>
                  <w:tcW w:w="964" w:type="dxa"/>
                  <w:vMerge w:val="continue"/>
                  <w:vAlign w:val="center"/>
                </w:tcPr>
                <w:p>
                  <w:pPr>
                    <w:jc w:val="center"/>
                    <w:rPr>
                      <w:bCs/>
                    </w:rPr>
                  </w:pPr>
                </w:p>
              </w:tc>
              <w:tc>
                <w:tcPr>
                  <w:tcW w:w="964" w:type="dxa"/>
                  <w:vAlign w:val="center"/>
                </w:tcPr>
                <w:p>
                  <w:pPr>
                    <w:jc w:val="center"/>
                    <w:rPr>
                      <w:bCs/>
                    </w:rPr>
                  </w:pPr>
                  <w:r>
                    <w:rPr>
                      <w:rFonts w:hint="eastAsia"/>
                      <w:bCs/>
                    </w:rPr>
                    <w:t>左</w:t>
                  </w:r>
                </w:p>
              </w:tc>
              <w:tc>
                <w:tcPr>
                  <w:tcW w:w="964" w:type="dxa"/>
                  <w:vAlign w:val="center"/>
                </w:tcPr>
                <w:p>
                  <w:pPr>
                    <w:jc w:val="center"/>
                    <w:rPr>
                      <w:bCs/>
                    </w:rPr>
                  </w:pPr>
                  <w:r>
                    <w:rPr>
                      <w:rFonts w:hint="eastAsia"/>
                      <w:bCs/>
                    </w:rPr>
                    <w:t>中</w:t>
                  </w:r>
                </w:p>
              </w:tc>
              <w:tc>
                <w:tcPr>
                  <w:tcW w:w="965" w:type="dxa"/>
                  <w:vAlign w:val="center"/>
                </w:tcPr>
                <w:p>
                  <w:pPr>
                    <w:jc w:val="center"/>
                    <w:rPr>
                      <w:bCs/>
                    </w:rPr>
                  </w:pPr>
                  <w:r>
                    <w:rPr>
                      <w:rFonts w:hint="eastAsia"/>
                      <w:bCs/>
                    </w:rPr>
                    <w:t>右</w:t>
                  </w:r>
                </w:p>
              </w:tc>
              <w:tc>
                <w:tcPr>
                  <w:tcW w:w="1103" w:type="dxa"/>
                  <w:vAlign w:val="center"/>
                </w:tcPr>
                <w:p>
                  <w:pPr>
                    <w:jc w:val="center"/>
                    <w:rPr>
                      <w:bCs/>
                    </w:rPr>
                  </w:pPr>
                  <w:r>
                    <w:rPr>
                      <w:rFonts w:hint="eastAsia"/>
                      <w:bCs/>
                    </w:rPr>
                    <w:t>均值</w:t>
                  </w:r>
                </w:p>
              </w:tc>
              <w:tc>
                <w:tcPr>
                  <w:tcW w:w="990" w:type="dxa"/>
                  <w:vMerge w:val="continue"/>
                  <w:vAlign w:val="center"/>
                </w:tcPr>
                <w:p>
                  <w:pPr>
                    <w:jc w:val="center"/>
                    <w:rPr>
                      <w:bCs/>
                    </w:rPr>
                  </w:pPr>
                </w:p>
              </w:tc>
              <w:tc>
                <w:tcPr>
                  <w:tcW w:w="802" w:type="dxa"/>
                  <w:vMerge w:val="continue"/>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vAlign w:val="center"/>
                </w:tcPr>
                <w:p>
                  <w:pPr>
                    <w:jc w:val="center"/>
                    <w:rPr>
                      <w:bCs/>
                    </w:rPr>
                  </w:pPr>
                  <w:r>
                    <w:rPr>
                      <w:rFonts w:hint="eastAsia"/>
                      <w:bCs/>
                    </w:rPr>
                    <w:t>洋沙湖断面</w:t>
                  </w:r>
                </w:p>
              </w:tc>
              <w:tc>
                <w:tcPr>
                  <w:tcW w:w="964" w:type="dxa"/>
                  <w:vAlign w:val="center"/>
                </w:tcPr>
                <w:p>
                  <w:pPr>
                    <w:jc w:val="center"/>
                    <w:rPr>
                      <w:bCs/>
                    </w:rPr>
                  </w:pPr>
                  <w:r>
                    <w:rPr>
                      <w:rFonts w:hint="eastAsia"/>
                      <w:bCs/>
                    </w:rPr>
                    <w:t>pH</w:t>
                  </w:r>
                </w:p>
              </w:tc>
              <w:tc>
                <w:tcPr>
                  <w:tcW w:w="964" w:type="dxa"/>
                  <w:vAlign w:val="center"/>
                </w:tcPr>
                <w:p>
                  <w:pPr>
                    <w:jc w:val="center"/>
                    <w:rPr>
                      <w:bCs/>
                    </w:rPr>
                  </w:pPr>
                  <w:r>
                    <w:rPr>
                      <w:rFonts w:hint="eastAsia"/>
                      <w:bCs/>
                    </w:rPr>
                    <w:t>无量纲</w:t>
                  </w:r>
                </w:p>
              </w:tc>
              <w:tc>
                <w:tcPr>
                  <w:tcW w:w="964" w:type="dxa"/>
                  <w:vAlign w:val="center"/>
                </w:tcPr>
                <w:p>
                  <w:pPr>
                    <w:jc w:val="center"/>
                    <w:rPr>
                      <w:bCs/>
                    </w:rPr>
                  </w:pPr>
                  <w:r>
                    <w:rPr>
                      <w:rFonts w:hint="eastAsia"/>
                      <w:bCs/>
                    </w:rPr>
                    <w:t>6.98</w:t>
                  </w:r>
                </w:p>
              </w:tc>
              <w:tc>
                <w:tcPr>
                  <w:tcW w:w="964" w:type="dxa"/>
                  <w:vAlign w:val="center"/>
                </w:tcPr>
                <w:p>
                  <w:pPr>
                    <w:jc w:val="center"/>
                    <w:rPr>
                      <w:bCs/>
                    </w:rPr>
                  </w:pPr>
                  <w:r>
                    <w:rPr>
                      <w:rFonts w:hint="eastAsia"/>
                      <w:bCs/>
                    </w:rPr>
                    <w:t>7.12</w:t>
                  </w:r>
                </w:p>
              </w:tc>
              <w:tc>
                <w:tcPr>
                  <w:tcW w:w="965" w:type="dxa"/>
                  <w:vAlign w:val="center"/>
                </w:tcPr>
                <w:p>
                  <w:pPr>
                    <w:jc w:val="center"/>
                    <w:rPr>
                      <w:bCs/>
                    </w:rPr>
                  </w:pPr>
                  <w:r>
                    <w:rPr>
                      <w:rFonts w:hint="eastAsia"/>
                      <w:bCs/>
                    </w:rPr>
                    <w:t>7.08</w:t>
                  </w:r>
                </w:p>
              </w:tc>
              <w:tc>
                <w:tcPr>
                  <w:tcW w:w="1103" w:type="dxa"/>
                  <w:vAlign w:val="center"/>
                </w:tcPr>
                <w:p>
                  <w:pPr>
                    <w:jc w:val="center"/>
                    <w:rPr>
                      <w:bCs/>
                    </w:rPr>
                  </w:pPr>
                  <w:r>
                    <w:rPr>
                      <w:rFonts w:hint="eastAsia"/>
                      <w:bCs/>
                    </w:rPr>
                    <w:t>6.98-7.12</w:t>
                  </w:r>
                </w:p>
              </w:tc>
              <w:tc>
                <w:tcPr>
                  <w:tcW w:w="990" w:type="dxa"/>
                  <w:vAlign w:val="center"/>
                </w:tcPr>
                <w:p>
                  <w:pPr>
                    <w:jc w:val="center"/>
                    <w:rPr>
                      <w:bCs/>
                    </w:rPr>
                  </w:pPr>
                  <w:r>
                    <w:rPr>
                      <w:rFonts w:hint="eastAsia"/>
                      <w:bCs/>
                    </w:rPr>
                    <w:t>6-9</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DO</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5.76</w:t>
                  </w:r>
                </w:p>
              </w:tc>
              <w:tc>
                <w:tcPr>
                  <w:tcW w:w="964" w:type="dxa"/>
                  <w:vAlign w:val="center"/>
                </w:tcPr>
                <w:p>
                  <w:pPr>
                    <w:jc w:val="center"/>
                    <w:rPr>
                      <w:bCs/>
                    </w:rPr>
                  </w:pPr>
                  <w:r>
                    <w:rPr>
                      <w:rFonts w:hint="eastAsia"/>
                      <w:bCs/>
                    </w:rPr>
                    <w:t>5.61</w:t>
                  </w:r>
                </w:p>
              </w:tc>
              <w:tc>
                <w:tcPr>
                  <w:tcW w:w="965" w:type="dxa"/>
                  <w:vAlign w:val="center"/>
                </w:tcPr>
                <w:p>
                  <w:pPr>
                    <w:jc w:val="center"/>
                    <w:rPr>
                      <w:bCs/>
                    </w:rPr>
                  </w:pPr>
                  <w:r>
                    <w:rPr>
                      <w:rFonts w:hint="eastAsia"/>
                      <w:bCs/>
                    </w:rPr>
                    <w:t>5.84</w:t>
                  </w:r>
                </w:p>
              </w:tc>
              <w:tc>
                <w:tcPr>
                  <w:tcW w:w="1103" w:type="dxa"/>
                  <w:vAlign w:val="center"/>
                </w:tcPr>
                <w:p>
                  <w:pPr>
                    <w:jc w:val="center"/>
                    <w:rPr>
                      <w:bCs/>
                    </w:rPr>
                  </w:pPr>
                  <w:r>
                    <w:rPr>
                      <w:rFonts w:hint="eastAsia"/>
                      <w:bCs/>
                    </w:rPr>
                    <w:t>5.74</w:t>
                  </w:r>
                </w:p>
              </w:tc>
              <w:tc>
                <w:tcPr>
                  <w:tcW w:w="990" w:type="dxa"/>
                  <w:vAlign w:val="center"/>
                </w:tcPr>
                <w:p>
                  <w:pPr>
                    <w:jc w:val="center"/>
                    <w:rPr>
                      <w:bCs/>
                    </w:rPr>
                  </w:pPr>
                  <w:r>
                    <w:rPr>
                      <w:rFonts w:hint="eastAsia"/>
                      <w:bCs/>
                    </w:rPr>
                    <w:t>≧5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CODcr</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13.6</w:t>
                  </w:r>
                </w:p>
              </w:tc>
              <w:tc>
                <w:tcPr>
                  <w:tcW w:w="964" w:type="dxa"/>
                  <w:vAlign w:val="center"/>
                </w:tcPr>
                <w:p>
                  <w:pPr>
                    <w:jc w:val="center"/>
                    <w:rPr>
                      <w:bCs/>
                    </w:rPr>
                  </w:pPr>
                  <w:r>
                    <w:rPr>
                      <w:rFonts w:hint="eastAsia"/>
                      <w:bCs/>
                    </w:rPr>
                    <w:t>13.1</w:t>
                  </w:r>
                </w:p>
              </w:tc>
              <w:tc>
                <w:tcPr>
                  <w:tcW w:w="965" w:type="dxa"/>
                  <w:vAlign w:val="center"/>
                </w:tcPr>
                <w:p>
                  <w:pPr>
                    <w:jc w:val="center"/>
                    <w:rPr>
                      <w:bCs/>
                    </w:rPr>
                  </w:pPr>
                  <w:r>
                    <w:rPr>
                      <w:rFonts w:hint="eastAsia"/>
                      <w:bCs/>
                    </w:rPr>
                    <w:t>13.4</w:t>
                  </w:r>
                </w:p>
              </w:tc>
              <w:tc>
                <w:tcPr>
                  <w:tcW w:w="1103" w:type="dxa"/>
                  <w:vAlign w:val="center"/>
                </w:tcPr>
                <w:p>
                  <w:pPr>
                    <w:jc w:val="center"/>
                    <w:rPr>
                      <w:bCs/>
                    </w:rPr>
                  </w:pPr>
                  <w:r>
                    <w:rPr>
                      <w:rFonts w:hint="eastAsia"/>
                      <w:bCs/>
                    </w:rPr>
                    <w:t>13.4</w:t>
                  </w:r>
                </w:p>
              </w:tc>
              <w:tc>
                <w:tcPr>
                  <w:tcW w:w="990" w:type="dxa"/>
                  <w:vAlign w:val="center"/>
                </w:tcPr>
                <w:p>
                  <w:pPr>
                    <w:jc w:val="center"/>
                    <w:rPr>
                      <w:bCs/>
                    </w:rPr>
                  </w:pPr>
                  <w:r>
                    <w:rPr>
                      <w:rFonts w:hint="eastAsia"/>
                      <w:bCs/>
                    </w:rPr>
                    <w:t>≦20</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BOD</w:t>
                  </w:r>
                  <w:r>
                    <w:rPr>
                      <w:rFonts w:hint="eastAsia"/>
                      <w:bCs/>
                      <w:vertAlign w:val="subscript"/>
                    </w:rPr>
                    <w:t>5</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2.72</w:t>
                  </w:r>
                </w:p>
              </w:tc>
              <w:tc>
                <w:tcPr>
                  <w:tcW w:w="964" w:type="dxa"/>
                  <w:vAlign w:val="center"/>
                </w:tcPr>
                <w:p>
                  <w:pPr>
                    <w:jc w:val="center"/>
                    <w:rPr>
                      <w:bCs/>
                    </w:rPr>
                  </w:pPr>
                  <w:r>
                    <w:rPr>
                      <w:rFonts w:hint="eastAsia"/>
                      <w:bCs/>
                    </w:rPr>
                    <w:t>2.62</w:t>
                  </w:r>
                </w:p>
              </w:tc>
              <w:tc>
                <w:tcPr>
                  <w:tcW w:w="965" w:type="dxa"/>
                  <w:vAlign w:val="center"/>
                </w:tcPr>
                <w:p>
                  <w:pPr>
                    <w:jc w:val="center"/>
                    <w:rPr>
                      <w:bCs/>
                    </w:rPr>
                  </w:pPr>
                  <w:r>
                    <w:rPr>
                      <w:rFonts w:hint="eastAsia"/>
                      <w:bCs/>
                    </w:rPr>
                    <w:t>2.68</w:t>
                  </w:r>
                </w:p>
              </w:tc>
              <w:tc>
                <w:tcPr>
                  <w:tcW w:w="1103" w:type="dxa"/>
                  <w:vAlign w:val="center"/>
                </w:tcPr>
                <w:p>
                  <w:pPr>
                    <w:jc w:val="center"/>
                    <w:rPr>
                      <w:bCs/>
                    </w:rPr>
                  </w:pPr>
                  <w:r>
                    <w:rPr>
                      <w:rFonts w:hint="eastAsia"/>
                      <w:bCs/>
                    </w:rPr>
                    <w:t>2.67</w:t>
                  </w:r>
                </w:p>
              </w:tc>
              <w:tc>
                <w:tcPr>
                  <w:tcW w:w="990" w:type="dxa"/>
                  <w:vAlign w:val="center"/>
                </w:tcPr>
                <w:p>
                  <w:pPr>
                    <w:jc w:val="center"/>
                    <w:rPr>
                      <w:bCs/>
                    </w:rPr>
                  </w:pPr>
                  <w:r>
                    <w:rPr>
                      <w:rFonts w:hint="eastAsia"/>
                      <w:bCs/>
                    </w:rPr>
                    <w:t>≦4</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氨氮</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0.535</w:t>
                  </w:r>
                </w:p>
              </w:tc>
              <w:tc>
                <w:tcPr>
                  <w:tcW w:w="964" w:type="dxa"/>
                  <w:vAlign w:val="center"/>
                </w:tcPr>
                <w:p>
                  <w:pPr>
                    <w:jc w:val="center"/>
                    <w:rPr>
                      <w:bCs/>
                    </w:rPr>
                  </w:pPr>
                  <w:r>
                    <w:rPr>
                      <w:rFonts w:hint="eastAsia"/>
                      <w:bCs/>
                    </w:rPr>
                    <w:t>0.486</w:t>
                  </w:r>
                </w:p>
              </w:tc>
              <w:tc>
                <w:tcPr>
                  <w:tcW w:w="965" w:type="dxa"/>
                  <w:vAlign w:val="center"/>
                </w:tcPr>
                <w:p>
                  <w:pPr>
                    <w:jc w:val="center"/>
                    <w:rPr>
                      <w:bCs/>
                    </w:rPr>
                  </w:pPr>
                  <w:r>
                    <w:rPr>
                      <w:rFonts w:hint="eastAsia"/>
                      <w:bCs/>
                    </w:rPr>
                    <w:t>0.429</w:t>
                  </w:r>
                </w:p>
              </w:tc>
              <w:tc>
                <w:tcPr>
                  <w:tcW w:w="1103" w:type="dxa"/>
                  <w:vAlign w:val="center"/>
                </w:tcPr>
                <w:p>
                  <w:pPr>
                    <w:jc w:val="center"/>
                    <w:rPr>
                      <w:bCs/>
                    </w:rPr>
                  </w:pPr>
                  <w:r>
                    <w:rPr>
                      <w:rFonts w:hint="eastAsia"/>
                      <w:bCs/>
                    </w:rPr>
                    <w:t>0.519</w:t>
                  </w:r>
                </w:p>
              </w:tc>
              <w:tc>
                <w:tcPr>
                  <w:tcW w:w="990" w:type="dxa"/>
                  <w:vAlign w:val="center"/>
                </w:tcPr>
                <w:p>
                  <w:pPr>
                    <w:jc w:val="center"/>
                    <w:rPr>
                      <w:bCs/>
                    </w:rPr>
                  </w:pPr>
                  <w:r>
                    <w:rPr>
                      <w:rFonts w:hint="eastAsia"/>
                      <w:bCs/>
                    </w:rPr>
                    <w:t>≦1</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总磷</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0.092</w:t>
                  </w:r>
                </w:p>
              </w:tc>
              <w:tc>
                <w:tcPr>
                  <w:tcW w:w="964" w:type="dxa"/>
                  <w:vAlign w:val="center"/>
                </w:tcPr>
                <w:p>
                  <w:pPr>
                    <w:jc w:val="center"/>
                    <w:rPr>
                      <w:bCs/>
                    </w:rPr>
                  </w:pPr>
                  <w:r>
                    <w:rPr>
                      <w:rFonts w:hint="eastAsia"/>
                      <w:bCs/>
                    </w:rPr>
                    <w:t>0.076</w:t>
                  </w:r>
                </w:p>
              </w:tc>
              <w:tc>
                <w:tcPr>
                  <w:tcW w:w="965" w:type="dxa"/>
                  <w:vAlign w:val="center"/>
                </w:tcPr>
                <w:p>
                  <w:pPr>
                    <w:jc w:val="center"/>
                    <w:rPr>
                      <w:bCs/>
                    </w:rPr>
                  </w:pPr>
                  <w:r>
                    <w:rPr>
                      <w:rFonts w:hint="eastAsia"/>
                      <w:bCs/>
                    </w:rPr>
                    <w:t>0.083</w:t>
                  </w:r>
                </w:p>
              </w:tc>
              <w:tc>
                <w:tcPr>
                  <w:tcW w:w="1103" w:type="dxa"/>
                  <w:vAlign w:val="center"/>
                </w:tcPr>
                <w:p>
                  <w:pPr>
                    <w:jc w:val="center"/>
                    <w:rPr>
                      <w:bCs/>
                    </w:rPr>
                  </w:pPr>
                  <w:r>
                    <w:rPr>
                      <w:rFonts w:hint="eastAsia"/>
                      <w:bCs/>
                    </w:rPr>
                    <w:t>0.084</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六价铬</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氰化物</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挥发酚</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石油类</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0.02</w:t>
                  </w:r>
                </w:p>
              </w:tc>
              <w:tc>
                <w:tcPr>
                  <w:tcW w:w="964" w:type="dxa"/>
                  <w:vAlign w:val="center"/>
                </w:tcPr>
                <w:p>
                  <w:pPr>
                    <w:jc w:val="center"/>
                    <w:rPr>
                      <w:bCs/>
                    </w:rPr>
                  </w:pPr>
                  <w:r>
                    <w:rPr>
                      <w:rFonts w:hint="eastAsia"/>
                      <w:bCs/>
                    </w:rPr>
                    <w:t>0.03</w:t>
                  </w:r>
                </w:p>
              </w:tc>
              <w:tc>
                <w:tcPr>
                  <w:tcW w:w="965" w:type="dxa"/>
                  <w:vAlign w:val="center"/>
                </w:tcPr>
                <w:p>
                  <w:pPr>
                    <w:jc w:val="center"/>
                    <w:rPr>
                      <w:bCs/>
                    </w:rPr>
                  </w:pPr>
                  <w:r>
                    <w:rPr>
                      <w:rFonts w:hint="eastAsia"/>
                      <w:bCs/>
                    </w:rPr>
                    <w:t>0.02</w:t>
                  </w:r>
                </w:p>
              </w:tc>
              <w:tc>
                <w:tcPr>
                  <w:tcW w:w="1103" w:type="dxa"/>
                  <w:vAlign w:val="center"/>
                </w:tcPr>
                <w:p>
                  <w:pPr>
                    <w:jc w:val="center"/>
                    <w:rPr>
                      <w:bCs/>
                    </w:rPr>
                  </w:pPr>
                  <w:r>
                    <w:rPr>
                      <w:rFonts w:hint="eastAsia"/>
                      <w:bCs/>
                    </w:rPr>
                    <w:t>0.02</w:t>
                  </w:r>
                </w:p>
              </w:tc>
              <w:tc>
                <w:tcPr>
                  <w:tcW w:w="990" w:type="dxa"/>
                  <w:vAlign w:val="center"/>
                </w:tcPr>
                <w:p>
                  <w:pPr>
                    <w:jc w:val="center"/>
                    <w:rPr>
                      <w:bCs/>
                    </w:rPr>
                  </w:pPr>
                  <w:r>
                    <w:rPr>
                      <w:rFonts w:hint="eastAsia"/>
                      <w:bCs/>
                    </w:rPr>
                    <w:t>≦0.005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硫化物</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粪大肠菌群</w:t>
                  </w:r>
                </w:p>
              </w:tc>
              <w:tc>
                <w:tcPr>
                  <w:tcW w:w="964" w:type="dxa"/>
                  <w:vAlign w:val="center"/>
                </w:tcPr>
                <w:p>
                  <w:pPr>
                    <w:jc w:val="center"/>
                    <w:rPr>
                      <w:bCs/>
                    </w:rPr>
                  </w:pPr>
                  <w:r>
                    <w:rPr>
                      <w:rFonts w:hint="eastAsia"/>
                      <w:bCs/>
                    </w:rPr>
                    <w:t>个/L</w:t>
                  </w:r>
                </w:p>
              </w:tc>
              <w:tc>
                <w:tcPr>
                  <w:tcW w:w="964" w:type="dxa"/>
                  <w:vAlign w:val="center"/>
                </w:tcPr>
                <w:p>
                  <w:pPr>
                    <w:jc w:val="center"/>
                    <w:rPr>
                      <w:bCs/>
                    </w:rPr>
                  </w:pPr>
                  <w:r>
                    <w:rPr>
                      <w:rFonts w:hint="eastAsia"/>
                      <w:bCs/>
                    </w:rPr>
                    <w:t>2200</w:t>
                  </w:r>
                </w:p>
              </w:tc>
              <w:tc>
                <w:tcPr>
                  <w:tcW w:w="964" w:type="dxa"/>
                  <w:vAlign w:val="center"/>
                </w:tcPr>
                <w:p>
                  <w:pPr>
                    <w:jc w:val="center"/>
                    <w:rPr>
                      <w:bCs/>
                    </w:rPr>
                  </w:pPr>
                  <w:r>
                    <w:rPr>
                      <w:rFonts w:hint="eastAsia"/>
                      <w:bCs/>
                    </w:rPr>
                    <w:t>2200</w:t>
                  </w:r>
                </w:p>
              </w:tc>
              <w:tc>
                <w:tcPr>
                  <w:tcW w:w="965" w:type="dxa"/>
                  <w:vAlign w:val="center"/>
                </w:tcPr>
                <w:p>
                  <w:pPr>
                    <w:jc w:val="center"/>
                    <w:rPr>
                      <w:bCs/>
                    </w:rPr>
                  </w:pPr>
                  <w:r>
                    <w:rPr>
                      <w:rFonts w:hint="eastAsia"/>
                      <w:bCs/>
                    </w:rPr>
                    <w:t>2800</w:t>
                  </w:r>
                </w:p>
              </w:tc>
              <w:tc>
                <w:tcPr>
                  <w:tcW w:w="1103" w:type="dxa"/>
                  <w:vAlign w:val="center"/>
                </w:tcPr>
                <w:p>
                  <w:pPr>
                    <w:jc w:val="center"/>
                    <w:rPr>
                      <w:bCs/>
                    </w:rPr>
                  </w:pPr>
                  <w:r>
                    <w:rPr>
                      <w:rFonts w:hint="eastAsia"/>
                      <w:bCs/>
                    </w:rPr>
                    <w:t>2400</w:t>
                  </w:r>
                </w:p>
              </w:tc>
              <w:tc>
                <w:tcPr>
                  <w:tcW w:w="990" w:type="dxa"/>
                  <w:vAlign w:val="center"/>
                </w:tcPr>
                <w:p>
                  <w:pPr>
                    <w:jc w:val="center"/>
                    <w:rPr>
                      <w:bCs/>
                    </w:rPr>
                  </w:pPr>
                  <w:r>
                    <w:rPr>
                      <w:rFonts w:hint="eastAsia"/>
                      <w:bCs/>
                    </w:rPr>
                    <w:t>≦10000</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vAlign w:val="center"/>
                </w:tcPr>
                <w:p>
                  <w:pPr>
                    <w:jc w:val="center"/>
                    <w:rPr>
                      <w:bCs/>
                    </w:rPr>
                  </w:pPr>
                  <w:r>
                    <w:rPr>
                      <w:rFonts w:hint="eastAsia"/>
                      <w:bCs/>
                    </w:rPr>
                    <w:t>乌龙咀断面</w:t>
                  </w:r>
                </w:p>
              </w:tc>
              <w:tc>
                <w:tcPr>
                  <w:tcW w:w="964" w:type="dxa"/>
                  <w:vAlign w:val="center"/>
                </w:tcPr>
                <w:p>
                  <w:pPr>
                    <w:jc w:val="center"/>
                    <w:rPr>
                      <w:bCs/>
                    </w:rPr>
                  </w:pPr>
                  <w:r>
                    <w:rPr>
                      <w:rFonts w:hint="eastAsia"/>
                      <w:bCs/>
                    </w:rPr>
                    <w:t>pH</w:t>
                  </w:r>
                </w:p>
              </w:tc>
              <w:tc>
                <w:tcPr>
                  <w:tcW w:w="964" w:type="dxa"/>
                  <w:vAlign w:val="center"/>
                </w:tcPr>
                <w:p>
                  <w:pPr>
                    <w:jc w:val="center"/>
                    <w:rPr>
                      <w:bCs/>
                    </w:rPr>
                  </w:pPr>
                  <w:r>
                    <w:rPr>
                      <w:rFonts w:hint="eastAsia"/>
                      <w:bCs/>
                    </w:rPr>
                    <w:t>无量纲</w:t>
                  </w:r>
                </w:p>
              </w:tc>
              <w:tc>
                <w:tcPr>
                  <w:tcW w:w="964" w:type="dxa"/>
                  <w:vAlign w:val="center"/>
                </w:tcPr>
                <w:p>
                  <w:pPr>
                    <w:jc w:val="center"/>
                    <w:rPr>
                      <w:bCs/>
                    </w:rPr>
                  </w:pPr>
                  <w:r>
                    <w:rPr>
                      <w:rFonts w:hint="eastAsia"/>
                      <w:bCs/>
                    </w:rPr>
                    <w:t>7.17</w:t>
                  </w:r>
                </w:p>
              </w:tc>
              <w:tc>
                <w:tcPr>
                  <w:tcW w:w="964" w:type="dxa"/>
                  <w:vAlign w:val="center"/>
                </w:tcPr>
                <w:p>
                  <w:pPr>
                    <w:jc w:val="center"/>
                    <w:rPr>
                      <w:bCs/>
                    </w:rPr>
                  </w:pPr>
                  <w:r>
                    <w:rPr>
                      <w:rFonts w:hint="eastAsia"/>
                      <w:bCs/>
                    </w:rPr>
                    <w:t>7.21</w:t>
                  </w:r>
                </w:p>
              </w:tc>
              <w:tc>
                <w:tcPr>
                  <w:tcW w:w="965" w:type="dxa"/>
                  <w:vAlign w:val="center"/>
                </w:tcPr>
                <w:p>
                  <w:pPr>
                    <w:jc w:val="center"/>
                    <w:rPr>
                      <w:bCs/>
                    </w:rPr>
                  </w:pPr>
                  <w:r>
                    <w:rPr>
                      <w:rFonts w:hint="eastAsia"/>
                      <w:bCs/>
                    </w:rPr>
                    <w:t>7.13</w:t>
                  </w:r>
                </w:p>
              </w:tc>
              <w:tc>
                <w:tcPr>
                  <w:tcW w:w="1103" w:type="dxa"/>
                  <w:vAlign w:val="center"/>
                </w:tcPr>
                <w:p>
                  <w:pPr>
                    <w:jc w:val="center"/>
                    <w:rPr>
                      <w:bCs/>
                    </w:rPr>
                  </w:pPr>
                  <w:r>
                    <w:rPr>
                      <w:rFonts w:hint="eastAsia"/>
                      <w:bCs/>
                    </w:rPr>
                    <w:t>7.13-7.21</w:t>
                  </w:r>
                </w:p>
              </w:tc>
              <w:tc>
                <w:tcPr>
                  <w:tcW w:w="990" w:type="dxa"/>
                  <w:vAlign w:val="center"/>
                </w:tcPr>
                <w:p>
                  <w:pPr>
                    <w:jc w:val="center"/>
                    <w:rPr>
                      <w:bCs/>
                    </w:rPr>
                  </w:pPr>
                  <w:r>
                    <w:rPr>
                      <w:rFonts w:hint="eastAsia"/>
                      <w:bCs/>
                    </w:rPr>
                    <w:t>6-9</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DO</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6.9</w:t>
                  </w:r>
                </w:p>
              </w:tc>
              <w:tc>
                <w:tcPr>
                  <w:tcW w:w="964" w:type="dxa"/>
                  <w:vAlign w:val="center"/>
                </w:tcPr>
                <w:p>
                  <w:pPr>
                    <w:jc w:val="center"/>
                    <w:rPr>
                      <w:bCs/>
                    </w:rPr>
                  </w:pPr>
                  <w:r>
                    <w:rPr>
                      <w:rFonts w:hint="eastAsia"/>
                      <w:bCs/>
                    </w:rPr>
                    <w:t>6.7</w:t>
                  </w:r>
                </w:p>
              </w:tc>
              <w:tc>
                <w:tcPr>
                  <w:tcW w:w="965" w:type="dxa"/>
                  <w:vAlign w:val="center"/>
                </w:tcPr>
                <w:p>
                  <w:pPr>
                    <w:jc w:val="center"/>
                    <w:rPr>
                      <w:bCs/>
                    </w:rPr>
                  </w:pPr>
                  <w:r>
                    <w:rPr>
                      <w:rFonts w:hint="eastAsia"/>
                      <w:bCs/>
                    </w:rPr>
                    <w:t>7.3</w:t>
                  </w:r>
                </w:p>
              </w:tc>
              <w:tc>
                <w:tcPr>
                  <w:tcW w:w="1103" w:type="dxa"/>
                  <w:vAlign w:val="center"/>
                </w:tcPr>
                <w:p>
                  <w:pPr>
                    <w:jc w:val="center"/>
                    <w:rPr>
                      <w:bCs/>
                    </w:rPr>
                  </w:pPr>
                  <w:r>
                    <w:rPr>
                      <w:rFonts w:hint="eastAsia"/>
                      <w:bCs/>
                    </w:rPr>
                    <w:t>7.0</w:t>
                  </w:r>
                </w:p>
              </w:tc>
              <w:tc>
                <w:tcPr>
                  <w:tcW w:w="990" w:type="dxa"/>
                  <w:vAlign w:val="center"/>
                </w:tcPr>
                <w:p>
                  <w:pPr>
                    <w:jc w:val="center"/>
                    <w:rPr>
                      <w:bCs/>
                    </w:rPr>
                  </w:pPr>
                  <w:r>
                    <w:rPr>
                      <w:rFonts w:hint="eastAsia"/>
                      <w:bCs/>
                    </w:rPr>
                    <w:t>≧5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CODcr</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12</w:t>
                  </w:r>
                </w:p>
              </w:tc>
              <w:tc>
                <w:tcPr>
                  <w:tcW w:w="964" w:type="dxa"/>
                  <w:vAlign w:val="center"/>
                </w:tcPr>
                <w:p>
                  <w:pPr>
                    <w:jc w:val="center"/>
                    <w:rPr>
                      <w:bCs/>
                    </w:rPr>
                  </w:pPr>
                  <w:r>
                    <w:rPr>
                      <w:rFonts w:hint="eastAsia"/>
                      <w:bCs/>
                    </w:rPr>
                    <w:t>13</w:t>
                  </w:r>
                </w:p>
              </w:tc>
              <w:tc>
                <w:tcPr>
                  <w:tcW w:w="965" w:type="dxa"/>
                  <w:vAlign w:val="center"/>
                </w:tcPr>
                <w:p>
                  <w:pPr>
                    <w:jc w:val="center"/>
                    <w:rPr>
                      <w:bCs/>
                    </w:rPr>
                  </w:pPr>
                  <w:r>
                    <w:rPr>
                      <w:rFonts w:hint="eastAsia"/>
                      <w:bCs/>
                    </w:rPr>
                    <w:t>12</w:t>
                  </w:r>
                </w:p>
              </w:tc>
              <w:tc>
                <w:tcPr>
                  <w:tcW w:w="1103" w:type="dxa"/>
                  <w:vAlign w:val="center"/>
                </w:tcPr>
                <w:p>
                  <w:pPr>
                    <w:jc w:val="center"/>
                    <w:rPr>
                      <w:bCs/>
                    </w:rPr>
                  </w:pPr>
                  <w:r>
                    <w:rPr>
                      <w:rFonts w:hint="eastAsia"/>
                      <w:bCs/>
                    </w:rPr>
                    <w:t>12</w:t>
                  </w:r>
                </w:p>
              </w:tc>
              <w:tc>
                <w:tcPr>
                  <w:tcW w:w="990" w:type="dxa"/>
                  <w:vAlign w:val="center"/>
                </w:tcPr>
                <w:p>
                  <w:pPr>
                    <w:jc w:val="center"/>
                    <w:rPr>
                      <w:bCs/>
                    </w:rPr>
                  </w:pPr>
                  <w:r>
                    <w:rPr>
                      <w:rFonts w:hint="eastAsia"/>
                      <w:bCs/>
                    </w:rPr>
                    <w:t>≦20</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BOD</w:t>
                  </w:r>
                  <w:r>
                    <w:rPr>
                      <w:rFonts w:hint="eastAsia"/>
                      <w:bCs/>
                      <w:vertAlign w:val="subscript"/>
                    </w:rPr>
                    <w:t>5</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2.4</w:t>
                  </w:r>
                </w:p>
              </w:tc>
              <w:tc>
                <w:tcPr>
                  <w:tcW w:w="964" w:type="dxa"/>
                  <w:vAlign w:val="center"/>
                </w:tcPr>
                <w:p>
                  <w:pPr>
                    <w:jc w:val="center"/>
                    <w:rPr>
                      <w:bCs/>
                    </w:rPr>
                  </w:pPr>
                  <w:r>
                    <w:rPr>
                      <w:rFonts w:hint="eastAsia"/>
                      <w:bCs/>
                    </w:rPr>
                    <w:t>2.6</w:t>
                  </w:r>
                </w:p>
              </w:tc>
              <w:tc>
                <w:tcPr>
                  <w:tcW w:w="965" w:type="dxa"/>
                  <w:vAlign w:val="center"/>
                </w:tcPr>
                <w:p>
                  <w:pPr>
                    <w:jc w:val="center"/>
                    <w:rPr>
                      <w:bCs/>
                    </w:rPr>
                  </w:pPr>
                  <w:r>
                    <w:rPr>
                      <w:rFonts w:hint="eastAsia"/>
                      <w:bCs/>
                    </w:rPr>
                    <w:t>2.4</w:t>
                  </w:r>
                </w:p>
              </w:tc>
              <w:tc>
                <w:tcPr>
                  <w:tcW w:w="1103" w:type="dxa"/>
                  <w:vAlign w:val="center"/>
                </w:tcPr>
                <w:p>
                  <w:pPr>
                    <w:jc w:val="center"/>
                    <w:rPr>
                      <w:bCs/>
                    </w:rPr>
                  </w:pPr>
                  <w:r>
                    <w:rPr>
                      <w:rFonts w:hint="eastAsia"/>
                      <w:bCs/>
                    </w:rPr>
                    <w:t>2.5</w:t>
                  </w:r>
                </w:p>
              </w:tc>
              <w:tc>
                <w:tcPr>
                  <w:tcW w:w="990" w:type="dxa"/>
                  <w:vAlign w:val="center"/>
                </w:tcPr>
                <w:p>
                  <w:pPr>
                    <w:jc w:val="center"/>
                    <w:rPr>
                      <w:bCs/>
                    </w:rPr>
                  </w:pPr>
                  <w:r>
                    <w:rPr>
                      <w:rFonts w:hint="eastAsia"/>
                      <w:bCs/>
                    </w:rPr>
                    <w:t>≦4</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氨氮</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0.98</w:t>
                  </w:r>
                </w:p>
              </w:tc>
              <w:tc>
                <w:tcPr>
                  <w:tcW w:w="964" w:type="dxa"/>
                  <w:vAlign w:val="center"/>
                </w:tcPr>
                <w:p>
                  <w:pPr>
                    <w:jc w:val="center"/>
                    <w:rPr>
                      <w:bCs/>
                    </w:rPr>
                  </w:pPr>
                  <w:r>
                    <w:rPr>
                      <w:rFonts w:hint="eastAsia"/>
                      <w:bCs/>
                    </w:rPr>
                    <w:t>0.88</w:t>
                  </w:r>
                </w:p>
              </w:tc>
              <w:tc>
                <w:tcPr>
                  <w:tcW w:w="965" w:type="dxa"/>
                  <w:vAlign w:val="center"/>
                </w:tcPr>
                <w:p>
                  <w:pPr>
                    <w:jc w:val="center"/>
                    <w:rPr>
                      <w:bCs/>
                    </w:rPr>
                  </w:pPr>
                  <w:r>
                    <w:rPr>
                      <w:rFonts w:hint="eastAsia"/>
                      <w:bCs/>
                    </w:rPr>
                    <w:t>0.87</w:t>
                  </w:r>
                </w:p>
              </w:tc>
              <w:tc>
                <w:tcPr>
                  <w:tcW w:w="1103" w:type="dxa"/>
                  <w:vAlign w:val="center"/>
                </w:tcPr>
                <w:p>
                  <w:pPr>
                    <w:jc w:val="center"/>
                    <w:rPr>
                      <w:bCs/>
                    </w:rPr>
                  </w:pPr>
                  <w:r>
                    <w:rPr>
                      <w:rFonts w:hint="eastAsia"/>
                      <w:bCs/>
                    </w:rPr>
                    <w:t>0.91</w:t>
                  </w:r>
                </w:p>
              </w:tc>
              <w:tc>
                <w:tcPr>
                  <w:tcW w:w="990" w:type="dxa"/>
                  <w:vAlign w:val="center"/>
                </w:tcPr>
                <w:p>
                  <w:pPr>
                    <w:jc w:val="center"/>
                    <w:rPr>
                      <w:bCs/>
                    </w:rPr>
                  </w:pPr>
                  <w:r>
                    <w:rPr>
                      <w:rFonts w:hint="eastAsia"/>
                      <w:bCs/>
                    </w:rPr>
                    <w:t>≦1</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总磷</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0.02</w:t>
                  </w:r>
                </w:p>
              </w:tc>
              <w:tc>
                <w:tcPr>
                  <w:tcW w:w="964" w:type="dxa"/>
                  <w:vAlign w:val="center"/>
                </w:tcPr>
                <w:p>
                  <w:pPr>
                    <w:jc w:val="center"/>
                    <w:rPr>
                      <w:bCs/>
                    </w:rPr>
                  </w:pPr>
                  <w:r>
                    <w:rPr>
                      <w:rFonts w:hint="eastAsia"/>
                      <w:bCs/>
                    </w:rPr>
                    <w:t>0.03</w:t>
                  </w:r>
                </w:p>
              </w:tc>
              <w:tc>
                <w:tcPr>
                  <w:tcW w:w="965" w:type="dxa"/>
                  <w:vAlign w:val="center"/>
                </w:tcPr>
                <w:p>
                  <w:pPr>
                    <w:jc w:val="center"/>
                    <w:rPr>
                      <w:bCs/>
                    </w:rPr>
                  </w:pPr>
                  <w:r>
                    <w:rPr>
                      <w:rFonts w:hint="eastAsia"/>
                      <w:bCs/>
                    </w:rPr>
                    <w:t>0.03</w:t>
                  </w:r>
                </w:p>
              </w:tc>
              <w:tc>
                <w:tcPr>
                  <w:tcW w:w="1103" w:type="dxa"/>
                  <w:vAlign w:val="center"/>
                </w:tcPr>
                <w:p>
                  <w:pPr>
                    <w:jc w:val="center"/>
                    <w:rPr>
                      <w:bCs/>
                    </w:rPr>
                  </w:pPr>
                  <w:r>
                    <w:rPr>
                      <w:rFonts w:hint="eastAsia"/>
                      <w:bCs/>
                    </w:rPr>
                    <w:t>0.03</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六价铬</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氰化物</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挥发酚</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石油类</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0.02</w:t>
                  </w:r>
                </w:p>
              </w:tc>
              <w:tc>
                <w:tcPr>
                  <w:tcW w:w="964" w:type="dxa"/>
                  <w:vAlign w:val="center"/>
                </w:tcPr>
                <w:p>
                  <w:pPr>
                    <w:jc w:val="center"/>
                    <w:rPr>
                      <w:bCs/>
                    </w:rPr>
                  </w:pPr>
                  <w:r>
                    <w:rPr>
                      <w:rFonts w:hint="eastAsia"/>
                      <w:bCs/>
                    </w:rPr>
                    <w:t>0.01</w:t>
                  </w:r>
                </w:p>
              </w:tc>
              <w:tc>
                <w:tcPr>
                  <w:tcW w:w="965" w:type="dxa"/>
                  <w:vAlign w:val="center"/>
                </w:tcPr>
                <w:p>
                  <w:pPr>
                    <w:jc w:val="center"/>
                    <w:rPr>
                      <w:bCs/>
                    </w:rPr>
                  </w:pPr>
                  <w:r>
                    <w:rPr>
                      <w:rFonts w:hint="eastAsia"/>
                      <w:bCs/>
                    </w:rPr>
                    <w:t>0.02</w:t>
                  </w:r>
                </w:p>
              </w:tc>
              <w:tc>
                <w:tcPr>
                  <w:tcW w:w="1103" w:type="dxa"/>
                  <w:vAlign w:val="center"/>
                </w:tcPr>
                <w:p>
                  <w:pPr>
                    <w:jc w:val="center"/>
                    <w:rPr>
                      <w:bCs/>
                    </w:rPr>
                  </w:pPr>
                  <w:r>
                    <w:rPr>
                      <w:rFonts w:hint="eastAsia"/>
                      <w:bCs/>
                    </w:rPr>
                    <w:t>0.02</w:t>
                  </w:r>
                </w:p>
              </w:tc>
              <w:tc>
                <w:tcPr>
                  <w:tcW w:w="990" w:type="dxa"/>
                  <w:vAlign w:val="center"/>
                </w:tcPr>
                <w:p>
                  <w:pPr>
                    <w:jc w:val="center"/>
                    <w:rPr>
                      <w:bCs/>
                    </w:rPr>
                  </w:pPr>
                  <w:r>
                    <w:rPr>
                      <w:rFonts w:hint="eastAsia"/>
                      <w:bCs/>
                    </w:rPr>
                    <w:t>≦0.005</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硫化物</w:t>
                  </w:r>
                </w:p>
              </w:tc>
              <w:tc>
                <w:tcPr>
                  <w:tcW w:w="964" w:type="dxa"/>
                  <w:vAlign w:val="center"/>
                </w:tcPr>
                <w:p>
                  <w:pPr>
                    <w:jc w:val="center"/>
                    <w:rPr>
                      <w:bCs/>
                    </w:rPr>
                  </w:pPr>
                  <w:r>
                    <w:rPr>
                      <w:rFonts w:hint="eastAsia"/>
                      <w:bCs/>
                    </w:rPr>
                    <w:t>mg/L</w:t>
                  </w:r>
                </w:p>
              </w:tc>
              <w:tc>
                <w:tcPr>
                  <w:tcW w:w="964" w:type="dxa"/>
                  <w:vAlign w:val="center"/>
                </w:tcPr>
                <w:p>
                  <w:pPr>
                    <w:jc w:val="center"/>
                    <w:rPr>
                      <w:bCs/>
                    </w:rPr>
                  </w:pPr>
                  <w:r>
                    <w:rPr>
                      <w:rFonts w:hint="eastAsia"/>
                      <w:bCs/>
                    </w:rPr>
                    <w:t>ND</w:t>
                  </w:r>
                </w:p>
              </w:tc>
              <w:tc>
                <w:tcPr>
                  <w:tcW w:w="964" w:type="dxa"/>
                  <w:vAlign w:val="center"/>
                </w:tcPr>
                <w:p>
                  <w:pPr>
                    <w:jc w:val="center"/>
                    <w:rPr>
                      <w:bCs/>
                    </w:rPr>
                  </w:pPr>
                  <w:r>
                    <w:rPr>
                      <w:rFonts w:hint="eastAsia"/>
                      <w:bCs/>
                    </w:rPr>
                    <w:t>ND</w:t>
                  </w:r>
                </w:p>
              </w:tc>
              <w:tc>
                <w:tcPr>
                  <w:tcW w:w="965" w:type="dxa"/>
                  <w:vAlign w:val="center"/>
                </w:tcPr>
                <w:p>
                  <w:pPr>
                    <w:jc w:val="center"/>
                    <w:rPr>
                      <w:bCs/>
                    </w:rPr>
                  </w:pPr>
                  <w:r>
                    <w:rPr>
                      <w:rFonts w:hint="eastAsia"/>
                      <w:bCs/>
                    </w:rPr>
                    <w:t>ND</w:t>
                  </w:r>
                </w:p>
              </w:tc>
              <w:tc>
                <w:tcPr>
                  <w:tcW w:w="1103" w:type="dxa"/>
                  <w:vAlign w:val="center"/>
                </w:tcPr>
                <w:p>
                  <w:pPr>
                    <w:jc w:val="center"/>
                    <w:rPr>
                      <w:bCs/>
                    </w:rPr>
                  </w:pPr>
                  <w:r>
                    <w:rPr>
                      <w:rFonts w:hint="eastAsia"/>
                      <w:bCs/>
                    </w:rPr>
                    <w:t>ND</w:t>
                  </w:r>
                </w:p>
              </w:tc>
              <w:tc>
                <w:tcPr>
                  <w:tcW w:w="990" w:type="dxa"/>
                  <w:vAlign w:val="center"/>
                </w:tcPr>
                <w:p>
                  <w:pPr>
                    <w:jc w:val="center"/>
                    <w:rPr>
                      <w:bCs/>
                    </w:rPr>
                  </w:pPr>
                  <w:r>
                    <w:rPr>
                      <w:rFonts w:hint="eastAsia"/>
                      <w:bCs/>
                    </w:rPr>
                    <w:t>≦0.2</w:t>
                  </w:r>
                </w:p>
              </w:tc>
              <w:tc>
                <w:tcPr>
                  <w:tcW w:w="802" w:type="dxa"/>
                  <w:vAlign w:val="center"/>
                </w:tcPr>
                <w:p>
                  <w:pPr>
                    <w:jc w:val="center"/>
                    <w:rPr>
                      <w:bCs/>
                    </w:rPr>
                  </w:pPr>
                  <w:r>
                    <w:rPr>
                      <w:rFonts w:hint="eastAsia"/>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jc w:val="center"/>
                    <w:rPr>
                      <w:bCs/>
                    </w:rPr>
                  </w:pPr>
                </w:p>
              </w:tc>
              <w:tc>
                <w:tcPr>
                  <w:tcW w:w="964" w:type="dxa"/>
                  <w:vAlign w:val="center"/>
                </w:tcPr>
                <w:p>
                  <w:pPr>
                    <w:jc w:val="center"/>
                    <w:rPr>
                      <w:bCs/>
                    </w:rPr>
                  </w:pPr>
                  <w:r>
                    <w:rPr>
                      <w:rFonts w:hint="eastAsia"/>
                      <w:bCs/>
                    </w:rPr>
                    <w:t>粪大肠菌群</w:t>
                  </w:r>
                </w:p>
              </w:tc>
              <w:tc>
                <w:tcPr>
                  <w:tcW w:w="964" w:type="dxa"/>
                  <w:vAlign w:val="center"/>
                </w:tcPr>
                <w:p>
                  <w:pPr>
                    <w:jc w:val="center"/>
                    <w:rPr>
                      <w:bCs/>
                    </w:rPr>
                  </w:pPr>
                  <w:r>
                    <w:rPr>
                      <w:rFonts w:hint="eastAsia"/>
                      <w:bCs/>
                    </w:rPr>
                    <w:t>个/L</w:t>
                  </w:r>
                </w:p>
              </w:tc>
              <w:tc>
                <w:tcPr>
                  <w:tcW w:w="964" w:type="dxa"/>
                  <w:vAlign w:val="center"/>
                </w:tcPr>
                <w:p>
                  <w:pPr>
                    <w:jc w:val="center"/>
                    <w:rPr>
                      <w:bCs/>
                    </w:rPr>
                  </w:pPr>
                  <w:r>
                    <w:rPr>
                      <w:rFonts w:hint="eastAsia"/>
                      <w:bCs/>
                    </w:rPr>
                    <w:t>9200</w:t>
                  </w:r>
                </w:p>
              </w:tc>
              <w:tc>
                <w:tcPr>
                  <w:tcW w:w="964" w:type="dxa"/>
                  <w:vAlign w:val="center"/>
                </w:tcPr>
                <w:p>
                  <w:pPr>
                    <w:jc w:val="center"/>
                    <w:rPr>
                      <w:bCs/>
                    </w:rPr>
                  </w:pPr>
                  <w:r>
                    <w:rPr>
                      <w:rFonts w:hint="eastAsia"/>
                      <w:bCs/>
                    </w:rPr>
                    <w:t>5400</w:t>
                  </w:r>
                </w:p>
              </w:tc>
              <w:tc>
                <w:tcPr>
                  <w:tcW w:w="965" w:type="dxa"/>
                  <w:vAlign w:val="center"/>
                </w:tcPr>
                <w:p>
                  <w:pPr>
                    <w:jc w:val="center"/>
                    <w:rPr>
                      <w:bCs/>
                    </w:rPr>
                  </w:pPr>
                  <w:r>
                    <w:rPr>
                      <w:rFonts w:hint="eastAsia"/>
                      <w:bCs/>
                    </w:rPr>
                    <w:t>9200</w:t>
                  </w:r>
                </w:p>
              </w:tc>
              <w:tc>
                <w:tcPr>
                  <w:tcW w:w="1103" w:type="dxa"/>
                  <w:vAlign w:val="center"/>
                </w:tcPr>
                <w:p>
                  <w:pPr>
                    <w:jc w:val="center"/>
                    <w:rPr>
                      <w:bCs/>
                    </w:rPr>
                  </w:pPr>
                  <w:r>
                    <w:rPr>
                      <w:rFonts w:hint="eastAsia"/>
                      <w:bCs/>
                    </w:rPr>
                    <w:t>7933</w:t>
                  </w:r>
                </w:p>
              </w:tc>
              <w:tc>
                <w:tcPr>
                  <w:tcW w:w="990" w:type="dxa"/>
                  <w:vAlign w:val="center"/>
                </w:tcPr>
                <w:p>
                  <w:pPr>
                    <w:jc w:val="center"/>
                    <w:rPr>
                      <w:bCs/>
                    </w:rPr>
                  </w:pPr>
                  <w:r>
                    <w:rPr>
                      <w:rFonts w:hint="eastAsia"/>
                      <w:bCs/>
                    </w:rPr>
                    <w:t>≦10000</w:t>
                  </w:r>
                </w:p>
              </w:tc>
              <w:tc>
                <w:tcPr>
                  <w:tcW w:w="802" w:type="dxa"/>
                  <w:vAlign w:val="center"/>
                </w:tcPr>
                <w:p>
                  <w:pPr>
                    <w:jc w:val="center"/>
                    <w:rPr>
                      <w:bCs/>
                    </w:rPr>
                  </w:pPr>
                  <w:r>
                    <w:rPr>
                      <w:rFonts w:hint="eastAsia"/>
                      <w:bCs/>
                    </w:rPr>
                    <w:t>是</w:t>
                  </w:r>
                </w:p>
              </w:tc>
            </w:tr>
          </w:tbl>
          <w:p>
            <w:pPr>
              <w:adjustRightInd w:val="0"/>
              <w:snapToGrid w:val="0"/>
              <w:spacing w:line="360" w:lineRule="auto"/>
              <w:ind w:firstLine="480" w:firstLineChars="200"/>
              <w:rPr>
                <w:sz w:val="24"/>
              </w:rPr>
            </w:pPr>
            <w:r>
              <w:rPr>
                <w:rFonts w:hint="eastAsia"/>
                <w:sz w:val="24"/>
              </w:rPr>
              <w:t>由表3.2-1可知，洋沙湖</w:t>
            </w:r>
            <w:r>
              <w:rPr>
                <w:sz w:val="24"/>
              </w:rPr>
              <w:t>断面、乌龙咀断面水质各项指标均达到《地表水环境质量标准》（GB3838-2002）中Ⅲ类标准，区域水质状况良好</w:t>
            </w:r>
            <w:r>
              <w:rPr>
                <w:rFonts w:hint="eastAsia"/>
                <w:sz w:val="24"/>
              </w:rPr>
              <w:t>。</w:t>
            </w:r>
          </w:p>
          <w:p>
            <w:pPr>
              <w:pStyle w:val="5"/>
            </w:pPr>
            <w:r>
              <w:rPr>
                <w:rFonts w:hint="eastAsia"/>
              </w:rPr>
              <w:t>地下水环境现状调查与评价</w:t>
            </w:r>
          </w:p>
          <w:p>
            <w:pPr>
              <w:adjustRightInd w:val="0"/>
              <w:snapToGrid w:val="0"/>
              <w:spacing w:line="360" w:lineRule="auto"/>
              <w:ind w:firstLine="480" w:firstLineChars="200"/>
              <w:rPr>
                <w:color w:val="000000"/>
                <w:sz w:val="24"/>
              </w:rPr>
            </w:pPr>
            <w:r>
              <w:rPr>
                <w:sz w:val="24"/>
              </w:rPr>
              <w:t>本项目</w:t>
            </w:r>
            <w:r>
              <w:rPr>
                <w:rFonts w:hint="eastAsia"/>
                <w:sz w:val="24"/>
              </w:rPr>
              <w:t>委托湖南宏润检测有限公司对项目所在地进行地下水环境质量检测</w:t>
            </w:r>
            <w:r>
              <w:rPr>
                <w:sz w:val="24"/>
              </w:rPr>
              <w:t>，监测时间</w:t>
            </w:r>
            <w:r>
              <w:rPr>
                <w:rFonts w:hint="eastAsia"/>
                <w:sz w:val="24"/>
              </w:rPr>
              <w:t>为</w:t>
            </w:r>
            <w:r>
              <w:rPr>
                <w:sz w:val="24"/>
              </w:rPr>
              <w:t>201</w:t>
            </w:r>
            <w:r>
              <w:rPr>
                <w:rFonts w:hint="eastAsia"/>
                <w:sz w:val="24"/>
              </w:rPr>
              <w:t>9</w:t>
            </w:r>
            <w:r>
              <w:rPr>
                <w:sz w:val="24"/>
              </w:rPr>
              <w:t>年</w:t>
            </w:r>
            <w:r>
              <w:rPr>
                <w:rFonts w:hint="eastAsia"/>
                <w:sz w:val="24"/>
              </w:rPr>
              <w:t>9月27</w:t>
            </w:r>
            <w:r>
              <w:rPr>
                <w:sz w:val="24"/>
              </w:rPr>
              <w:t>日</w:t>
            </w:r>
            <w:r>
              <w:rPr>
                <w:rFonts w:hint="eastAsia"/>
                <w:sz w:val="24"/>
              </w:rPr>
              <w:t>，检测内容如下</w:t>
            </w:r>
            <w:r>
              <w:rPr>
                <w:color w:val="000000"/>
                <w:sz w:val="24"/>
              </w:rPr>
              <w:t>。</w:t>
            </w:r>
          </w:p>
          <w:p>
            <w:pPr>
              <w:spacing w:line="360" w:lineRule="auto"/>
              <w:ind w:firstLine="480" w:firstLineChars="200"/>
              <w:jc w:val="left"/>
              <w:rPr>
                <w:sz w:val="24"/>
              </w:rPr>
            </w:pPr>
            <w:r>
              <w:rPr>
                <w:rFonts w:hint="eastAsia"/>
                <w:sz w:val="24"/>
              </w:rPr>
              <w:t>（1）</w:t>
            </w:r>
            <w:r>
              <w:rPr>
                <w:sz w:val="24"/>
              </w:rPr>
              <w:t>监测点位</w:t>
            </w:r>
          </w:p>
          <w:p>
            <w:pPr>
              <w:spacing w:line="360" w:lineRule="auto"/>
              <w:ind w:left="480"/>
              <w:jc w:val="left"/>
              <w:rPr>
                <w:sz w:val="24"/>
              </w:rPr>
            </w:pPr>
            <w:r>
              <w:rPr>
                <w:sz w:val="24"/>
              </w:rPr>
              <w:t>监测点位详见表3</w:t>
            </w:r>
            <w:r>
              <w:rPr>
                <w:rFonts w:hint="eastAsia"/>
                <w:sz w:val="24"/>
              </w:rPr>
              <w:t>.3-1。</w:t>
            </w:r>
          </w:p>
          <w:p>
            <w:pPr>
              <w:pStyle w:val="98"/>
              <w:spacing w:beforeLines="0" w:afterLines="0"/>
              <w:rPr>
                <w:rFonts w:eastAsia="黑体"/>
                <w:b w:val="0"/>
                <w:snapToGrid/>
                <w:kern w:val="0"/>
                <w:szCs w:val="24"/>
              </w:rPr>
            </w:pPr>
            <w:r>
              <w:rPr>
                <w:rFonts w:eastAsia="黑体"/>
                <w:b w:val="0"/>
                <w:snapToGrid/>
                <w:kern w:val="0"/>
                <w:szCs w:val="24"/>
              </w:rPr>
              <w:t>表3</w:t>
            </w:r>
            <w:r>
              <w:rPr>
                <w:rFonts w:hint="eastAsia" w:eastAsia="黑体"/>
                <w:b w:val="0"/>
                <w:snapToGrid/>
                <w:kern w:val="0"/>
                <w:szCs w:val="24"/>
              </w:rPr>
              <w:t xml:space="preserve">.3-1  </w:t>
            </w:r>
            <w:r>
              <w:rPr>
                <w:rFonts w:eastAsia="黑体"/>
                <w:b w:val="0"/>
                <w:snapToGrid/>
                <w:kern w:val="0"/>
                <w:szCs w:val="24"/>
              </w:rPr>
              <w:t xml:space="preserve"> </w:t>
            </w:r>
            <w:r>
              <w:rPr>
                <w:rFonts w:hint="eastAsia" w:eastAsia="黑体"/>
                <w:b w:val="0"/>
                <w:snapToGrid/>
                <w:kern w:val="0"/>
                <w:szCs w:val="24"/>
              </w:rPr>
              <w:t>地下水环境质量</w:t>
            </w:r>
            <w:r>
              <w:rPr>
                <w:rFonts w:eastAsia="黑体"/>
                <w:b w:val="0"/>
                <w:snapToGrid/>
                <w:kern w:val="0"/>
                <w:szCs w:val="24"/>
              </w:rPr>
              <w:t>监测布点表</w:t>
            </w:r>
          </w:p>
          <w:tbl>
            <w:tblPr>
              <w:tblStyle w:val="2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bCs/>
                    </w:rPr>
                    <w:t>序号</w:t>
                  </w:r>
                </w:p>
              </w:tc>
              <w:tc>
                <w:tcPr>
                  <w:tcW w:w="6292" w:type="dxa"/>
                  <w:tcBorders>
                    <w:tl2br w:val="nil"/>
                    <w:tr2bl w:val="nil"/>
                  </w:tcBorders>
                  <w:vAlign w:val="center"/>
                </w:tcPr>
                <w:p>
                  <w:pPr>
                    <w:jc w:val="center"/>
                    <w:rPr>
                      <w:bCs/>
                    </w:rPr>
                  </w:pPr>
                  <w:r>
                    <w:rPr>
                      <w:bCs/>
                    </w:rPr>
                    <w:t>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eastAsia"/>
                      <w:bCs/>
                    </w:rPr>
                    <w:t>W1</w:t>
                  </w:r>
                </w:p>
              </w:tc>
              <w:tc>
                <w:tcPr>
                  <w:tcW w:w="6292" w:type="dxa"/>
                  <w:tcBorders>
                    <w:tl2br w:val="nil"/>
                    <w:tr2bl w:val="nil"/>
                  </w:tcBorders>
                  <w:vAlign w:val="center"/>
                </w:tcPr>
                <w:p>
                  <w:pPr>
                    <w:jc w:val="center"/>
                    <w:rPr>
                      <w:bCs/>
                    </w:rPr>
                  </w:pPr>
                  <w:r>
                    <w:rPr>
                      <w:rFonts w:hint="eastAsia"/>
                      <w:bCs/>
                    </w:rPr>
                    <w:t>加油站地下水监测井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eastAsia"/>
                      <w:bCs/>
                    </w:rPr>
                    <w:t>W2</w:t>
                  </w:r>
                </w:p>
              </w:tc>
              <w:tc>
                <w:tcPr>
                  <w:tcW w:w="6292" w:type="dxa"/>
                  <w:tcBorders>
                    <w:tl2br w:val="nil"/>
                    <w:tr2bl w:val="nil"/>
                  </w:tcBorders>
                  <w:vAlign w:val="center"/>
                </w:tcPr>
                <w:p>
                  <w:pPr>
                    <w:jc w:val="center"/>
                    <w:rPr>
                      <w:bCs/>
                    </w:rPr>
                  </w:pPr>
                  <w:r>
                    <w:rPr>
                      <w:rFonts w:hint="eastAsia"/>
                      <w:bCs/>
                    </w:rPr>
                    <w:t>杨林寨居民点1（位于站区南侧18m处）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eastAsia"/>
                      <w:bCs/>
                    </w:rPr>
                    <w:t>W3</w:t>
                  </w:r>
                </w:p>
              </w:tc>
              <w:tc>
                <w:tcPr>
                  <w:tcW w:w="6292" w:type="dxa"/>
                  <w:tcBorders>
                    <w:tl2br w:val="nil"/>
                    <w:tr2bl w:val="nil"/>
                  </w:tcBorders>
                  <w:vAlign w:val="center"/>
                </w:tcPr>
                <w:p>
                  <w:pPr>
                    <w:jc w:val="center"/>
                    <w:rPr>
                      <w:bCs/>
                    </w:rPr>
                  </w:pPr>
                  <w:r>
                    <w:rPr>
                      <w:rFonts w:hint="eastAsia"/>
                      <w:bCs/>
                    </w:rPr>
                    <w:t>杨林寨居民点2（位于站区北侧30m处）</w:t>
                  </w:r>
                </w:p>
              </w:tc>
            </w:tr>
          </w:tbl>
          <w:p>
            <w:pPr>
              <w:pStyle w:val="45"/>
              <w:ind w:firstLine="480"/>
              <w:rPr>
                <w:vertAlign w:val="subscript"/>
              </w:rPr>
            </w:pPr>
            <w:r>
              <w:t>（2）监测因子：</w:t>
            </w:r>
            <w:r>
              <w:rPr>
                <w:rFonts w:hint="eastAsia"/>
              </w:rPr>
              <w:t>pH、氨氮、硝酸盐、亚硝酸盐、挥发性酚类、总硬度、溶解性总固体、高锰酸盐指数（耗氧量）、硫酸盐、氯化物、总大肠菌群数、石油类</w:t>
            </w:r>
          </w:p>
          <w:p>
            <w:pPr>
              <w:pStyle w:val="4"/>
              <w:tabs>
                <w:tab w:val="left" w:pos="5940"/>
              </w:tabs>
              <w:ind w:firstLine="480"/>
              <w:outlineLvl w:val="0"/>
            </w:pPr>
            <w:r>
              <w:t>（3）监测时间及频次</w:t>
            </w:r>
          </w:p>
          <w:p>
            <w:pPr>
              <w:pStyle w:val="45"/>
              <w:ind w:firstLine="480"/>
            </w:pPr>
            <w:r>
              <w:rPr>
                <w:rFonts w:hint="eastAsia"/>
              </w:rPr>
              <w:t>采样监测1次。</w:t>
            </w:r>
          </w:p>
          <w:p>
            <w:pPr>
              <w:pStyle w:val="45"/>
              <w:ind w:firstLine="480"/>
            </w:pPr>
            <w:r>
              <w:rPr>
                <w:rFonts w:hint="eastAsia"/>
              </w:rPr>
              <w:t>（4）评价标准：《地下水质量标准》（GB/T14848-2017）中</w:t>
            </w:r>
            <w:r>
              <w:rPr>
                <w:rFonts w:hint="eastAsia"/>
              </w:rPr>
              <w:fldChar w:fldCharType="begin"/>
            </w:r>
            <w:r>
              <w:rPr>
                <w:rFonts w:hint="eastAsia"/>
              </w:rPr>
              <w:instrText xml:space="preserve"> = 3 \* ROMAN \* MERGEFORMAT </w:instrText>
            </w:r>
            <w:r>
              <w:rPr>
                <w:rFonts w:hint="eastAsia"/>
              </w:rPr>
              <w:fldChar w:fldCharType="separate"/>
            </w:r>
            <w:r>
              <w:rPr>
                <w:rFonts w:hint="eastAsia"/>
              </w:rPr>
              <w:t>III</w:t>
            </w:r>
            <w:r>
              <w:rPr>
                <w:rFonts w:hint="eastAsia"/>
              </w:rPr>
              <w:fldChar w:fldCharType="end"/>
            </w:r>
            <w:r>
              <w:rPr>
                <w:rFonts w:hint="eastAsia"/>
              </w:rPr>
              <w:t>类标准；</w:t>
            </w:r>
          </w:p>
          <w:p>
            <w:pPr>
              <w:pStyle w:val="45"/>
              <w:ind w:firstLine="480"/>
            </w:pPr>
            <w:r>
              <w:rPr>
                <w:rFonts w:hint="eastAsia"/>
              </w:rPr>
              <w:t>（5）监测及评价结果</w:t>
            </w:r>
          </w:p>
          <w:p>
            <w:pPr>
              <w:pStyle w:val="45"/>
              <w:ind w:firstLine="480"/>
            </w:pPr>
            <w:r>
              <w:rPr>
                <w:rFonts w:hint="eastAsia"/>
              </w:rPr>
              <w:t>监测及评价结果见</w:t>
            </w:r>
            <w:r>
              <w:t>表3</w:t>
            </w:r>
            <w:r>
              <w:rPr>
                <w:rFonts w:hint="eastAsia"/>
              </w:rPr>
              <w:t>.3-2</w:t>
            </w:r>
            <w:r>
              <w:t>：</w:t>
            </w:r>
          </w:p>
          <w:p>
            <w:pPr>
              <w:pStyle w:val="97"/>
              <w:spacing w:line="240" w:lineRule="auto"/>
              <w:ind w:firstLine="0" w:firstLineChars="0"/>
              <w:jc w:val="center"/>
              <w:rPr>
                <w:rFonts w:eastAsia="黑体"/>
                <w:snapToGrid w:val="0"/>
                <w:kern w:val="0"/>
              </w:rPr>
            </w:pPr>
            <w:r>
              <w:rPr>
                <w:rFonts w:hAnsi="黑体" w:eastAsia="黑体"/>
                <w:snapToGrid w:val="0"/>
                <w:kern w:val="0"/>
              </w:rPr>
              <w:t>表</w:t>
            </w:r>
            <w:r>
              <w:rPr>
                <w:rFonts w:eastAsia="黑体"/>
                <w:snapToGrid w:val="0"/>
                <w:kern w:val="0"/>
              </w:rPr>
              <w:t>3</w:t>
            </w:r>
            <w:r>
              <w:rPr>
                <w:rFonts w:hint="eastAsia" w:eastAsia="黑体"/>
                <w:snapToGrid w:val="0"/>
                <w:kern w:val="0"/>
              </w:rPr>
              <w:t>.3-2</w:t>
            </w:r>
            <w:r>
              <w:rPr>
                <w:rFonts w:eastAsia="黑体"/>
                <w:snapToGrid w:val="0"/>
                <w:kern w:val="0"/>
              </w:rPr>
              <w:t xml:space="preserve">   </w:t>
            </w:r>
            <w:r>
              <w:rPr>
                <w:rFonts w:hint="eastAsia" w:hAnsi="黑体" w:eastAsia="黑体"/>
                <w:snapToGrid w:val="0"/>
                <w:kern w:val="0"/>
              </w:rPr>
              <w:t>地下水</w:t>
            </w:r>
            <w:r>
              <w:rPr>
                <w:rFonts w:hAnsi="黑体" w:eastAsia="黑体"/>
                <w:snapToGrid w:val="0"/>
                <w:kern w:val="0"/>
              </w:rPr>
              <w:t>监测统计结果</w:t>
            </w:r>
            <w:r>
              <w:rPr>
                <w:rFonts w:eastAsia="黑体"/>
                <w:snapToGrid w:val="0"/>
                <w:kern w:val="0"/>
              </w:rPr>
              <w:t xml:space="preserve">  </w:t>
            </w:r>
          </w:p>
          <w:tbl>
            <w:tblPr>
              <w:tblStyle w:val="2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6"/>
              <w:gridCol w:w="1641"/>
              <w:gridCol w:w="1253"/>
              <w:gridCol w:w="1447"/>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Align w:val="center"/>
                </w:tcPr>
                <w:p>
                  <w:pPr>
                    <w:jc w:val="center"/>
                    <w:rPr>
                      <w:bCs/>
                    </w:rPr>
                  </w:pPr>
                  <w:r>
                    <w:rPr>
                      <w:rFonts w:hint="eastAsia"/>
                      <w:bCs/>
                    </w:rPr>
                    <w:t>采样点位</w:t>
                  </w:r>
                </w:p>
              </w:tc>
              <w:tc>
                <w:tcPr>
                  <w:tcW w:w="1446" w:type="dxa"/>
                  <w:vAlign w:val="center"/>
                </w:tcPr>
                <w:p>
                  <w:pPr>
                    <w:jc w:val="center"/>
                    <w:rPr>
                      <w:bCs/>
                    </w:rPr>
                  </w:pPr>
                  <w:r>
                    <w:rPr>
                      <w:rFonts w:hint="eastAsia"/>
                      <w:bCs/>
                    </w:rPr>
                    <w:t>样品状态</w:t>
                  </w:r>
                </w:p>
              </w:tc>
              <w:tc>
                <w:tcPr>
                  <w:tcW w:w="1641" w:type="dxa"/>
                  <w:vAlign w:val="center"/>
                </w:tcPr>
                <w:p>
                  <w:pPr>
                    <w:jc w:val="center"/>
                    <w:rPr>
                      <w:bCs/>
                    </w:rPr>
                  </w:pPr>
                  <w:r>
                    <w:rPr>
                      <w:rFonts w:hint="eastAsia"/>
                      <w:bCs/>
                    </w:rPr>
                    <w:t>检测项目</w:t>
                  </w:r>
                </w:p>
              </w:tc>
              <w:tc>
                <w:tcPr>
                  <w:tcW w:w="1253" w:type="dxa"/>
                  <w:vAlign w:val="center"/>
                </w:tcPr>
                <w:p>
                  <w:pPr>
                    <w:jc w:val="center"/>
                    <w:rPr>
                      <w:bCs/>
                    </w:rPr>
                  </w:pPr>
                  <w:r>
                    <w:rPr>
                      <w:rFonts w:hint="eastAsia"/>
                      <w:bCs/>
                    </w:rPr>
                    <w:t>单位</w:t>
                  </w:r>
                </w:p>
              </w:tc>
              <w:tc>
                <w:tcPr>
                  <w:tcW w:w="1447" w:type="dxa"/>
                  <w:vAlign w:val="center"/>
                </w:tcPr>
                <w:p>
                  <w:pPr>
                    <w:jc w:val="center"/>
                    <w:rPr>
                      <w:bCs/>
                    </w:rPr>
                  </w:pPr>
                  <w:r>
                    <w:rPr>
                      <w:rFonts w:hint="eastAsia"/>
                      <w:bCs/>
                    </w:rPr>
                    <w:t>检测结果</w:t>
                  </w:r>
                </w:p>
              </w:tc>
              <w:tc>
                <w:tcPr>
                  <w:tcW w:w="1447" w:type="dxa"/>
                  <w:vAlign w:val="center"/>
                </w:tcPr>
                <w:p>
                  <w:pPr>
                    <w:jc w:val="center"/>
                    <w:rPr>
                      <w:bCs/>
                    </w:rPr>
                  </w:pPr>
                  <w:r>
                    <w:rPr>
                      <w:rFonts w:hint="eastAsia"/>
                      <w:bCs/>
                    </w:rPr>
                    <w:t>参考限值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restart"/>
                  <w:vAlign w:val="center"/>
                </w:tcPr>
                <w:p>
                  <w:pPr>
                    <w:jc w:val="center"/>
                    <w:rPr>
                      <w:bCs/>
                    </w:rPr>
                  </w:pPr>
                  <w:r>
                    <w:rPr>
                      <w:rFonts w:hint="eastAsia"/>
                      <w:bCs/>
                    </w:rPr>
                    <w:t>加油站地下水监测井W1</w:t>
                  </w:r>
                </w:p>
              </w:tc>
              <w:tc>
                <w:tcPr>
                  <w:tcW w:w="1446" w:type="dxa"/>
                  <w:vMerge w:val="restart"/>
                  <w:vAlign w:val="center"/>
                </w:tcPr>
                <w:p>
                  <w:pPr>
                    <w:jc w:val="center"/>
                    <w:rPr>
                      <w:bCs/>
                    </w:rPr>
                  </w:pPr>
                  <w:r>
                    <w:rPr>
                      <w:rFonts w:hint="eastAsia"/>
                      <w:bCs/>
                    </w:rPr>
                    <w:t>无色、无味</w:t>
                  </w:r>
                </w:p>
              </w:tc>
              <w:tc>
                <w:tcPr>
                  <w:tcW w:w="1641" w:type="dxa"/>
                  <w:vAlign w:val="center"/>
                </w:tcPr>
                <w:p>
                  <w:pPr>
                    <w:jc w:val="center"/>
                    <w:rPr>
                      <w:bCs/>
                    </w:rPr>
                  </w:pPr>
                  <w:r>
                    <w:rPr>
                      <w:rFonts w:hint="eastAsia"/>
                      <w:bCs/>
                    </w:rPr>
                    <w:t>pH</w:t>
                  </w:r>
                </w:p>
              </w:tc>
              <w:tc>
                <w:tcPr>
                  <w:tcW w:w="1253" w:type="dxa"/>
                  <w:vAlign w:val="center"/>
                </w:tcPr>
                <w:p>
                  <w:pPr>
                    <w:jc w:val="center"/>
                    <w:rPr>
                      <w:bCs/>
                    </w:rPr>
                  </w:pPr>
                  <w:r>
                    <w:rPr>
                      <w:rFonts w:hint="eastAsia"/>
                      <w:bCs/>
                    </w:rPr>
                    <w:t>无量纲</w:t>
                  </w:r>
                </w:p>
              </w:tc>
              <w:tc>
                <w:tcPr>
                  <w:tcW w:w="1447" w:type="dxa"/>
                  <w:vAlign w:val="center"/>
                </w:tcPr>
                <w:p>
                  <w:pPr>
                    <w:jc w:val="center"/>
                    <w:rPr>
                      <w:bCs/>
                    </w:rPr>
                  </w:pPr>
                  <w:r>
                    <w:rPr>
                      <w:rFonts w:hint="eastAsia"/>
                      <w:bCs/>
                    </w:rPr>
                    <w:t>6.25</w:t>
                  </w:r>
                </w:p>
              </w:tc>
              <w:tc>
                <w:tcPr>
                  <w:tcW w:w="1447" w:type="dxa"/>
                  <w:vAlign w:val="center"/>
                </w:tcPr>
                <w:p>
                  <w:pPr>
                    <w:jc w:val="center"/>
                    <w:rPr>
                      <w:bCs/>
                    </w:rPr>
                  </w:pPr>
                  <w:r>
                    <w:rPr>
                      <w:bCs/>
                    </w:rPr>
                    <w:t>6.5≤pH≤8.5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氨氮</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0.142</w:t>
                  </w:r>
                </w:p>
              </w:tc>
              <w:tc>
                <w:tcPr>
                  <w:tcW w:w="1447" w:type="dxa"/>
                  <w:vAlign w:val="center"/>
                </w:tcPr>
                <w:p>
                  <w:pPr>
                    <w:jc w:val="center"/>
                    <w:rPr>
                      <w:bCs/>
                    </w:rPr>
                  </w:pPr>
                  <w:r>
                    <w:rPr>
                      <w:bCs/>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0.88</w:t>
                  </w:r>
                </w:p>
              </w:tc>
              <w:tc>
                <w:tcPr>
                  <w:tcW w:w="1447" w:type="dxa"/>
                  <w:vAlign w:val="center"/>
                </w:tcPr>
                <w:p>
                  <w:pPr>
                    <w:jc w:val="center"/>
                    <w:rPr>
                      <w:bCs/>
                    </w:rPr>
                  </w:pPr>
                  <w:r>
                    <w:rPr>
                      <w:bCs/>
                    </w:rPr>
                    <w:t>≤</w:t>
                  </w: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亚硝酸盐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0.001L</w:t>
                  </w:r>
                </w:p>
              </w:tc>
              <w:tc>
                <w:tcPr>
                  <w:tcW w:w="1447" w:type="dxa"/>
                  <w:vAlign w:val="center"/>
                </w:tcPr>
                <w:p>
                  <w:pPr>
                    <w:jc w:val="center"/>
                    <w:rPr>
                      <w:bCs/>
                    </w:rPr>
                  </w:pPr>
                  <w:r>
                    <w:rPr>
                      <w:bCs/>
                    </w:rPr>
                    <w:t>≤</w:t>
                  </w:r>
                  <w:r>
                    <w:rPr>
                      <w:rFonts w:hint="eastAsia"/>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挥发性酚类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0.0003L</w:t>
                  </w:r>
                </w:p>
              </w:tc>
              <w:tc>
                <w:tcPr>
                  <w:tcW w:w="1447" w:type="dxa"/>
                  <w:vAlign w:val="center"/>
                </w:tcPr>
                <w:p>
                  <w:pPr>
                    <w:jc w:val="center"/>
                    <w:rPr>
                      <w:bCs/>
                    </w:rPr>
                  </w:pPr>
                  <w:r>
                    <w:rPr>
                      <w:bCs/>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总硬度</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87.5</w:t>
                  </w:r>
                </w:p>
              </w:tc>
              <w:tc>
                <w:tcPr>
                  <w:tcW w:w="1447" w:type="dxa"/>
                  <w:vAlign w:val="center"/>
                </w:tcPr>
                <w:p>
                  <w:pPr>
                    <w:jc w:val="center"/>
                    <w:rPr>
                      <w:bCs/>
                    </w:rPr>
                  </w:pPr>
                  <w:r>
                    <w:rPr>
                      <w:bCs/>
                    </w:rPr>
                    <w:t>≤</w:t>
                  </w:r>
                  <w:r>
                    <w:rPr>
                      <w:rFonts w:hint="eastAsia"/>
                      <w:bCs/>
                    </w:rPr>
                    <w:t>4</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溶解性总固体</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102</w:t>
                  </w:r>
                </w:p>
              </w:tc>
              <w:tc>
                <w:tcPr>
                  <w:tcW w:w="1447" w:type="dxa"/>
                  <w:vAlign w:val="center"/>
                </w:tcPr>
                <w:p>
                  <w:pPr>
                    <w:jc w:val="center"/>
                    <w:rPr>
                      <w:bCs/>
                    </w:rPr>
                  </w:pPr>
                  <w:r>
                    <w:rPr>
                      <w:bCs/>
                    </w:rPr>
                    <w:t>≤</w:t>
                  </w:r>
                  <w:r>
                    <w:rPr>
                      <w:rFonts w:hint="eastAsia"/>
                      <w:bCs/>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高锰酸盐指数（耗氧量）</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1.27</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硫酸盐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9.24</w:t>
                  </w:r>
                </w:p>
              </w:tc>
              <w:tc>
                <w:tcPr>
                  <w:tcW w:w="1447" w:type="dxa"/>
                  <w:vAlign w:val="center"/>
                </w:tcPr>
                <w:p>
                  <w:pPr>
                    <w:jc w:val="center"/>
                    <w:rPr>
                      <w:bCs/>
                    </w:rPr>
                  </w:pPr>
                  <w:r>
                    <w:rPr>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氯化物</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4.54</w:t>
                  </w:r>
                </w:p>
              </w:tc>
              <w:tc>
                <w:tcPr>
                  <w:tcW w:w="1447" w:type="dxa"/>
                  <w:vAlign w:val="center"/>
                </w:tcPr>
                <w:p>
                  <w:pPr>
                    <w:jc w:val="center"/>
                    <w:rPr>
                      <w:bCs/>
                    </w:rPr>
                  </w:pPr>
                  <w:r>
                    <w:rPr>
                      <w:bCs/>
                    </w:rPr>
                    <w:t>≤</w:t>
                  </w:r>
                  <w:r>
                    <w:rPr>
                      <w:rFonts w:hint="eastAsia"/>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总大肠菌群数</w:t>
                  </w:r>
                </w:p>
              </w:tc>
              <w:tc>
                <w:tcPr>
                  <w:tcW w:w="1253" w:type="dxa"/>
                  <w:vAlign w:val="center"/>
                </w:tcPr>
                <w:p>
                  <w:pPr>
                    <w:jc w:val="center"/>
                    <w:rPr>
                      <w:bCs/>
                    </w:rPr>
                  </w:pPr>
                  <w:r>
                    <w:rPr>
                      <w:rFonts w:hint="eastAsia"/>
                      <w:bCs/>
                    </w:rPr>
                    <w:t>MPN/L</w:t>
                  </w:r>
                </w:p>
              </w:tc>
              <w:tc>
                <w:tcPr>
                  <w:tcW w:w="1447" w:type="dxa"/>
                  <w:vAlign w:val="center"/>
                </w:tcPr>
                <w:p>
                  <w:pPr>
                    <w:jc w:val="center"/>
                    <w:rPr>
                      <w:bCs/>
                    </w:rPr>
                  </w:pPr>
                  <w:r>
                    <w:rPr>
                      <w:rFonts w:hint="eastAsia"/>
                      <w:bCs/>
                    </w:rPr>
                    <w:t>ND</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石油类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0.01L</w:t>
                  </w:r>
                </w:p>
              </w:tc>
              <w:tc>
                <w:tcPr>
                  <w:tcW w:w="1447" w:type="dxa"/>
                  <w:vAlign w:val="center"/>
                </w:tcPr>
                <w:p>
                  <w:pPr>
                    <w:jc w:val="center"/>
                    <w:rPr>
                      <w:bCs/>
                    </w:rPr>
                  </w:pP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restart"/>
                  <w:vAlign w:val="center"/>
                </w:tcPr>
                <w:p>
                  <w:pPr>
                    <w:jc w:val="center"/>
                    <w:rPr>
                      <w:bCs/>
                    </w:rPr>
                  </w:pPr>
                  <w:r>
                    <w:rPr>
                      <w:rFonts w:hint="eastAsia"/>
                      <w:bCs/>
                    </w:rPr>
                    <w:t>杨林寨居民点1（S，18m）W1</w:t>
                  </w:r>
                </w:p>
              </w:tc>
              <w:tc>
                <w:tcPr>
                  <w:tcW w:w="1446" w:type="dxa"/>
                  <w:vMerge w:val="restart"/>
                  <w:vAlign w:val="center"/>
                </w:tcPr>
                <w:p>
                  <w:pPr>
                    <w:jc w:val="center"/>
                    <w:rPr>
                      <w:bCs/>
                    </w:rPr>
                  </w:pPr>
                  <w:r>
                    <w:rPr>
                      <w:rFonts w:hint="eastAsia"/>
                      <w:bCs/>
                    </w:rPr>
                    <w:t>无色、无味</w:t>
                  </w:r>
                </w:p>
                <w:p>
                  <w:pPr>
                    <w:jc w:val="center"/>
                    <w:rPr>
                      <w:bCs/>
                    </w:rPr>
                  </w:pPr>
                </w:p>
              </w:tc>
              <w:tc>
                <w:tcPr>
                  <w:tcW w:w="1641" w:type="dxa"/>
                  <w:vAlign w:val="center"/>
                </w:tcPr>
                <w:p>
                  <w:pPr>
                    <w:jc w:val="center"/>
                    <w:rPr>
                      <w:bCs/>
                    </w:rPr>
                  </w:pPr>
                  <w:r>
                    <w:rPr>
                      <w:rFonts w:hint="eastAsia"/>
                      <w:bCs/>
                    </w:rPr>
                    <w:t>pH</w:t>
                  </w:r>
                </w:p>
              </w:tc>
              <w:tc>
                <w:tcPr>
                  <w:tcW w:w="1253" w:type="dxa"/>
                  <w:vAlign w:val="center"/>
                </w:tcPr>
                <w:p>
                  <w:pPr>
                    <w:jc w:val="center"/>
                    <w:rPr>
                      <w:bCs/>
                    </w:rPr>
                  </w:pPr>
                  <w:r>
                    <w:rPr>
                      <w:rFonts w:hint="eastAsia"/>
                      <w:bCs/>
                    </w:rPr>
                    <w:t>无量纲</w:t>
                  </w:r>
                </w:p>
              </w:tc>
              <w:tc>
                <w:tcPr>
                  <w:tcW w:w="1447" w:type="dxa"/>
                  <w:vAlign w:val="center"/>
                </w:tcPr>
                <w:p>
                  <w:pPr>
                    <w:jc w:val="center"/>
                    <w:rPr>
                      <w:bCs/>
                    </w:rPr>
                  </w:pPr>
                  <w:r>
                    <w:rPr>
                      <w:rFonts w:hint="eastAsia"/>
                      <w:bCs/>
                    </w:rPr>
                    <w:t>6.44</w:t>
                  </w:r>
                </w:p>
              </w:tc>
              <w:tc>
                <w:tcPr>
                  <w:tcW w:w="1447" w:type="dxa"/>
                  <w:vAlign w:val="center"/>
                </w:tcPr>
                <w:p>
                  <w:pPr>
                    <w:jc w:val="center"/>
                    <w:rPr>
                      <w:bCs/>
                    </w:rPr>
                  </w:pPr>
                  <w:r>
                    <w:rPr>
                      <w:bCs/>
                    </w:rPr>
                    <w:t>6.5≤pH≤8.5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氨氮</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0.182</w:t>
                  </w:r>
                </w:p>
              </w:tc>
              <w:tc>
                <w:tcPr>
                  <w:tcW w:w="1447" w:type="dxa"/>
                  <w:vAlign w:val="center"/>
                </w:tcPr>
                <w:p>
                  <w:pPr>
                    <w:jc w:val="center"/>
                    <w:rPr>
                      <w:bCs/>
                    </w:rPr>
                  </w:pPr>
                  <w:r>
                    <w:rPr>
                      <w:bCs/>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0.89</w:t>
                  </w:r>
                </w:p>
              </w:tc>
              <w:tc>
                <w:tcPr>
                  <w:tcW w:w="1447" w:type="dxa"/>
                  <w:vAlign w:val="center"/>
                </w:tcPr>
                <w:p>
                  <w:pPr>
                    <w:jc w:val="center"/>
                    <w:rPr>
                      <w:bCs/>
                    </w:rPr>
                  </w:pPr>
                  <w:r>
                    <w:rPr>
                      <w:bCs/>
                    </w:rPr>
                    <w:t>≤</w:t>
                  </w: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亚硝酸盐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0.001L</w:t>
                  </w:r>
                </w:p>
              </w:tc>
              <w:tc>
                <w:tcPr>
                  <w:tcW w:w="1447" w:type="dxa"/>
                  <w:vAlign w:val="center"/>
                </w:tcPr>
                <w:p>
                  <w:pPr>
                    <w:jc w:val="center"/>
                    <w:rPr>
                      <w:bCs/>
                    </w:rPr>
                  </w:pPr>
                  <w:r>
                    <w:rPr>
                      <w:bCs/>
                    </w:rPr>
                    <w:t>≤</w:t>
                  </w:r>
                  <w:r>
                    <w:rPr>
                      <w:rFonts w:hint="eastAsia"/>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挥发性酚类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0.0003L</w:t>
                  </w:r>
                </w:p>
              </w:tc>
              <w:tc>
                <w:tcPr>
                  <w:tcW w:w="1447" w:type="dxa"/>
                  <w:vAlign w:val="center"/>
                </w:tcPr>
                <w:p>
                  <w:pPr>
                    <w:jc w:val="center"/>
                    <w:rPr>
                      <w:bCs/>
                    </w:rPr>
                  </w:pPr>
                  <w:r>
                    <w:rPr>
                      <w:bCs/>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总硬度</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96.4</w:t>
                  </w:r>
                </w:p>
              </w:tc>
              <w:tc>
                <w:tcPr>
                  <w:tcW w:w="1447" w:type="dxa"/>
                  <w:vAlign w:val="center"/>
                </w:tcPr>
                <w:p>
                  <w:pPr>
                    <w:jc w:val="center"/>
                    <w:rPr>
                      <w:bCs/>
                    </w:rPr>
                  </w:pPr>
                  <w:r>
                    <w:rPr>
                      <w:bCs/>
                    </w:rPr>
                    <w:t>≤</w:t>
                  </w:r>
                  <w:r>
                    <w:rPr>
                      <w:rFonts w:hint="eastAsia"/>
                      <w:bCs/>
                    </w:rPr>
                    <w:t>4</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溶解性总固体</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128</w:t>
                  </w:r>
                </w:p>
              </w:tc>
              <w:tc>
                <w:tcPr>
                  <w:tcW w:w="1447" w:type="dxa"/>
                  <w:vAlign w:val="center"/>
                </w:tcPr>
                <w:p>
                  <w:pPr>
                    <w:jc w:val="center"/>
                    <w:rPr>
                      <w:bCs/>
                    </w:rPr>
                  </w:pPr>
                  <w:r>
                    <w:rPr>
                      <w:bCs/>
                    </w:rPr>
                    <w:t>≤</w:t>
                  </w:r>
                  <w:r>
                    <w:rPr>
                      <w:rFonts w:hint="eastAsia"/>
                      <w:bCs/>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高锰酸盐指数（耗氧量）</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1.16</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硫酸盐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10.3</w:t>
                  </w:r>
                </w:p>
              </w:tc>
              <w:tc>
                <w:tcPr>
                  <w:tcW w:w="1447" w:type="dxa"/>
                  <w:vAlign w:val="center"/>
                </w:tcPr>
                <w:p>
                  <w:pPr>
                    <w:jc w:val="center"/>
                    <w:rPr>
                      <w:bCs/>
                    </w:rPr>
                  </w:pPr>
                  <w:r>
                    <w:rPr>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氯化物</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5.30</w:t>
                  </w:r>
                </w:p>
              </w:tc>
              <w:tc>
                <w:tcPr>
                  <w:tcW w:w="1447" w:type="dxa"/>
                  <w:vAlign w:val="center"/>
                </w:tcPr>
                <w:p>
                  <w:pPr>
                    <w:jc w:val="center"/>
                    <w:rPr>
                      <w:bCs/>
                    </w:rPr>
                  </w:pPr>
                  <w:r>
                    <w:rPr>
                      <w:bCs/>
                    </w:rPr>
                    <w:t>≤</w:t>
                  </w:r>
                  <w:r>
                    <w:rPr>
                      <w:rFonts w:hint="eastAsia"/>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总大肠菌群数</w:t>
                  </w:r>
                </w:p>
              </w:tc>
              <w:tc>
                <w:tcPr>
                  <w:tcW w:w="1253" w:type="dxa"/>
                  <w:vAlign w:val="center"/>
                </w:tcPr>
                <w:p>
                  <w:pPr>
                    <w:jc w:val="center"/>
                    <w:rPr>
                      <w:bCs/>
                    </w:rPr>
                  </w:pPr>
                  <w:r>
                    <w:rPr>
                      <w:rFonts w:hint="eastAsia"/>
                      <w:bCs/>
                    </w:rPr>
                    <w:t>MPN/L</w:t>
                  </w:r>
                </w:p>
              </w:tc>
              <w:tc>
                <w:tcPr>
                  <w:tcW w:w="1447" w:type="dxa"/>
                  <w:vAlign w:val="center"/>
                </w:tcPr>
                <w:p>
                  <w:pPr>
                    <w:jc w:val="center"/>
                    <w:rPr>
                      <w:bCs/>
                    </w:rPr>
                  </w:pPr>
                  <w:r>
                    <w:rPr>
                      <w:rFonts w:hint="eastAsia"/>
                      <w:bCs/>
                    </w:rPr>
                    <w:t>ND</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石油类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0.01L</w:t>
                  </w:r>
                </w:p>
              </w:tc>
              <w:tc>
                <w:tcPr>
                  <w:tcW w:w="1447" w:type="dxa"/>
                  <w:vAlign w:val="center"/>
                </w:tcPr>
                <w:p>
                  <w:pPr>
                    <w:jc w:val="center"/>
                    <w:rPr>
                      <w:bCs/>
                    </w:rPr>
                  </w:pP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restart"/>
                  <w:vAlign w:val="center"/>
                </w:tcPr>
                <w:p>
                  <w:pPr>
                    <w:jc w:val="center"/>
                    <w:rPr>
                      <w:bCs/>
                    </w:rPr>
                  </w:pPr>
                  <w:r>
                    <w:rPr>
                      <w:rFonts w:hint="eastAsia"/>
                      <w:bCs/>
                    </w:rPr>
                    <w:t>杨林寨居民点2（N，30m）W3</w:t>
                  </w:r>
                </w:p>
              </w:tc>
              <w:tc>
                <w:tcPr>
                  <w:tcW w:w="1446" w:type="dxa"/>
                  <w:vMerge w:val="restart"/>
                  <w:vAlign w:val="center"/>
                </w:tcPr>
                <w:p>
                  <w:pPr>
                    <w:jc w:val="center"/>
                    <w:rPr>
                      <w:bCs/>
                    </w:rPr>
                  </w:pPr>
                  <w:r>
                    <w:rPr>
                      <w:rFonts w:hint="eastAsia"/>
                      <w:bCs/>
                    </w:rPr>
                    <w:t>无色、无味</w:t>
                  </w:r>
                </w:p>
              </w:tc>
              <w:tc>
                <w:tcPr>
                  <w:tcW w:w="1641" w:type="dxa"/>
                  <w:vAlign w:val="center"/>
                </w:tcPr>
                <w:p>
                  <w:pPr>
                    <w:jc w:val="center"/>
                    <w:rPr>
                      <w:bCs/>
                    </w:rPr>
                  </w:pPr>
                  <w:r>
                    <w:rPr>
                      <w:rFonts w:hint="eastAsia"/>
                      <w:bCs/>
                    </w:rPr>
                    <w:t>pH</w:t>
                  </w:r>
                </w:p>
              </w:tc>
              <w:tc>
                <w:tcPr>
                  <w:tcW w:w="1253" w:type="dxa"/>
                  <w:vAlign w:val="center"/>
                </w:tcPr>
                <w:p>
                  <w:pPr>
                    <w:jc w:val="center"/>
                    <w:rPr>
                      <w:bCs/>
                    </w:rPr>
                  </w:pPr>
                  <w:r>
                    <w:rPr>
                      <w:rFonts w:hint="eastAsia"/>
                      <w:bCs/>
                    </w:rPr>
                    <w:t>无量纲</w:t>
                  </w:r>
                </w:p>
              </w:tc>
              <w:tc>
                <w:tcPr>
                  <w:tcW w:w="1447" w:type="dxa"/>
                  <w:vAlign w:val="center"/>
                </w:tcPr>
                <w:p>
                  <w:pPr>
                    <w:jc w:val="center"/>
                    <w:rPr>
                      <w:bCs/>
                    </w:rPr>
                  </w:pPr>
                  <w:r>
                    <w:rPr>
                      <w:rFonts w:hint="eastAsia"/>
                      <w:bCs/>
                    </w:rPr>
                    <w:t>6.18</w:t>
                  </w:r>
                </w:p>
              </w:tc>
              <w:tc>
                <w:tcPr>
                  <w:tcW w:w="1447" w:type="dxa"/>
                  <w:vAlign w:val="center"/>
                </w:tcPr>
                <w:p>
                  <w:pPr>
                    <w:jc w:val="center"/>
                    <w:rPr>
                      <w:bCs/>
                    </w:rPr>
                  </w:pPr>
                  <w:r>
                    <w:rPr>
                      <w:bCs/>
                    </w:rPr>
                    <w:t>6.5≤pH≤8.5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氨氮</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0.161</w:t>
                  </w:r>
                </w:p>
              </w:tc>
              <w:tc>
                <w:tcPr>
                  <w:tcW w:w="1447" w:type="dxa"/>
                  <w:vAlign w:val="center"/>
                </w:tcPr>
                <w:p>
                  <w:pPr>
                    <w:jc w:val="center"/>
                    <w:rPr>
                      <w:bCs/>
                    </w:rPr>
                  </w:pPr>
                  <w:r>
                    <w:rPr>
                      <w:bCs/>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0.83</w:t>
                  </w:r>
                </w:p>
              </w:tc>
              <w:tc>
                <w:tcPr>
                  <w:tcW w:w="1447" w:type="dxa"/>
                  <w:vAlign w:val="center"/>
                </w:tcPr>
                <w:p>
                  <w:pPr>
                    <w:jc w:val="center"/>
                    <w:rPr>
                      <w:bCs/>
                    </w:rPr>
                  </w:pPr>
                  <w:r>
                    <w:rPr>
                      <w:bCs/>
                    </w:rPr>
                    <w:t>≤</w:t>
                  </w: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亚硝酸盐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0.001L</w:t>
                  </w:r>
                </w:p>
              </w:tc>
              <w:tc>
                <w:tcPr>
                  <w:tcW w:w="1447" w:type="dxa"/>
                  <w:vAlign w:val="center"/>
                </w:tcPr>
                <w:p>
                  <w:pPr>
                    <w:jc w:val="center"/>
                    <w:rPr>
                      <w:bCs/>
                    </w:rPr>
                  </w:pPr>
                  <w:r>
                    <w:rPr>
                      <w:bCs/>
                    </w:rPr>
                    <w:t>≤</w:t>
                  </w:r>
                  <w:r>
                    <w:rPr>
                      <w:rFonts w:hint="eastAsia"/>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挥发性酚类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0.0003L</w:t>
                  </w:r>
                </w:p>
              </w:tc>
              <w:tc>
                <w:tcPr>
                  <w:tcW w:w="1447" w:type="dxa"/>
                  <w:vAlign w:val="center"/>
                </w:tcPr>
                <w:p>
                  <w:pPr>
                    <w:jc w:val="center"/>
                    <w:rPr>
                      <w:bCs/>
                    </w:rPr>
                  </w:pPr>
                  <w:r>
                    <w:rPr>
                      <w:bCs/>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总硬度</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91.7</w:t>
                  </w:r>
                </w:p>
              </w:tc>
              <w:tc>
                <w:tcPr>
                  <w:tcW w:w="1447" w:type="dxa"/>
                  <w:vAlign w:val="center"/>
                </w:tcPr>
                <w:p>
                  <w:pPr>
                    <w:jc w:val="center"/>
                    <w:rPr>
                      <w:bCs/>
                    </w:rPr>
                  </w:pPr>
                  <w:r>
                    <w:rPr>
                      <w:bCs/>
                    </w:rPr>
                    <w:t>≤</w:t>
                  </w:r>
                  <w:r>
                    <w:rPr>
                      <w:rFonts w:hint="eastAsia"/>
                      <w:bCs/>
                    </w:rPr>
                    <w:t>4</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溶解性总固体</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112</w:t>
                  </w:r>
                </w:p>
              </w:tc>
              <w:tc>
                <w:tcPr>
                  <w:tcW w:w="1447" w:type="dxa"/>
                  <w:vAlign w:val="center"/>
                </w:tcPr>
                <w:p>
                  <w:pPr>
                    <w:jc w:val="center"/>
                    <w:rPr>
                      <w:bCs/>
                    </w:rPr>
                  </w:pPr>
                  <w:r>
                    <w:rPr>
                      <w:bCs/>
                    </w:rPr>
                    <w:t>≤</w:t>
                  </w:r>
                  <w:r>
                    <w:rPr>
                      <w:rFonts w:hint="eastAsia"/>
                      <w:bCs/>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高锰酸盐指数（耗氧量）</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1.22</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硫酸盐</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8.62</w:t>
                  </w:r>
                </w:p>
              </w:tc>
              <w:tc>
                <w:tcPr>
                  <w:tcW w:w="1447" w:type="dxa"/>
                  <w:vAlign w:val="center"/>
                </w:tcPr>
                <w:p>
                  <w:pPr>
                    <w:jc w:val="center"/>
                    <w:rPr>
                      <w:bCs/>
                    </w:rPr>
                  </w:pPr>
                  <w:r>
                    <w:rPr>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氯化物</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4.95</w:t>
                  </w:r>
                </w:p>
              </w:tc>
              <w:tc>
                <w:tcPr>
                  <w:tcW w:w="1447" w:type="dxa"/>
                  <w:vAlign w:val="center"/>
                </w:tcPr>
                <w:p>
                  <w:pPr>
                    <w:jc w:val="center"/>
                    <w:rPr>
                      <w:bCs/>
                    </w:rPr>
                  </w:pPr>
                  <w:r>
                    <w:rPr>
                      <w:bCs/>
                    </w:rPr>
                    <w:t>≤</w:t>
                  </w:r>
                  <w:r>
                    <w:rPr>
                      <w:rFonts w:hint="eastAsia"/>
                      <w:bC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总大肠菌群数</w:t>
                  </w:r>
                </w:p>
              </w:tc>
              <w:tc>
                <w:tcPr>
                  <w:tcW w:w="1253" w:type="dxa"/>
                  <w:vAlign w:val="center"/>
                </w:tcPr>
                <w:p>
                  <w:pPr>
                    <w:jc w:val="center"/>
                    <w:rPr>
                      <w:bCs/>
                    </w:rPr>
                  </w:pPr>
                  <w:r>
                    <w:rPr>
                      <w:rFonts w:hint="eastAsia"/>
                      <w:bCs/>
                    </w:rPr>
                    <w:t>MPN/L</w:t>
                  </w:r>
                </w:p>
              </w:tc>
              <w:tc>
                <w:tcPr>
                  <w:tcW w:w="1447" w:type="dxa"/>
                  <w:vAlign w:val="center"/>
                </w:tcPr>
                <w:p>
                  <w:pPr>
                    <w:jc w:val="center"/>
                    <w:rPr>
                      <w:bCs/>
                    </w:rPr>
                  </w:pPr>
                  <w:r>
                    <w:rPr>
                      <w:rFonts w:hint="eastAsia"/>
                      <w:bCs/>
                    </w:rPr>
                    <w:t>ND</w:t>
                  </w:r>
                </w:p>
              </w:tc>
              <w:tc>
                <w:tcPr>
                  <w:tcW w:w="1447" w:type="dxa"/>
                  <w:vAlign w:val="center"/>
                </w:tcPr>
                <w:p>
                  <w:pPr>
                    <w:jc w:val="center"/>
                    <w:rPr>
                      <w:bCs/>
                    </w:rPr>
                  </w:pPr>
                  <w:r>
                    <w:rPr>
                      <w:bCs/>
                    </w:rPr>
                    <w:t>≤</w:t>
                  </w:r>
                  <w:r>
                    <w:rPr>
                      <w:rFonts w:hint="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6" w:type="dxa"/>
                  <w:vMerge w:val="continue"/>
                  <w:vAlign w:val="center"/>
                </w:tcPr>
                <w:p>
                  <w:pPr>
                    <w:jc w:val="center"/>
                    <w:rPr>
                      <w:bCs/>
                    </w:rPr>
                  </w:pPr>
                </w:p>
              </w:tc>
              <w:tc>
                <w:tcPr>
                  <w:tcW w:w="1446" w:type="dxa"/>
                  <w:vMerge w:val="continue"/>
                  <w:vAlign w:val="center"/>
                </w:tcPr>
                <w:p>
                  <w:pPr>
                    <w:jc w:val="center"/>
                    <w:rPr>
                      <w:bCs/>
                    </w:rPr>
                  </w:pPr>
                </w:p>
              </w:tc>
              <w:tc>
                <w:tcPr>
                  <w:tcW w:w="1641" w:type="dxa"/>
                  <w:vAlign w:val="center"/>
                </w:tcPr>
                <w:p>
                  <w:pPr>
                    <w:jc w:val="center"/>
                    <w:rPr>
                      <w:bCs/>
                    </w:rPr>
                  </w:pPr>
                  <w:r>
                    <w:rPr>
                      <w:rFonts w:hint="eastAsia"/>
                      <w:bCs/>
                    </w:rPr>
                    <w:t>石油类</w:t>
                  </w:r>
                </w:p>
              </w:tc>
              <w:tc>
                <w:tcPr>
                  <w:tcW w:w="1253" w:type="dxa"/>
                  <w:vAlign w:val="center"/>
                </w:tcPr>
                <w:p>
                  <w:pPr>
                    <w:jc w:val="center"/>
                    <w:rPr>
                      <w:bCs/>
                    </w:rPr>
                  </w:pPr>
                  <w:r>
                    <w:rPr>
                      <w:rFonts w:hint="eastAsia"/>
                      <w:bCs/>
                    </w:rPr>
                    <w:t>mg/L</w:t>
                  </w:r>
                </w:p>
              </w:tc>
              <w:tc>
                <w:tcPr>
                  <w:tcW w:w="1447" w:type="dxa"/>
                  <w:vAlign w:val="center"/>
                </w:tcPr>
                <w:p>
                  <w:pPr>
                    <w:jc w:val="center"/>
                    <w:rPr>
                      <w:bCs/>
                    </w:rPr>
                  </w:pPr>
                  <w:r>
                    <w:rPr>
                      <w:rFonts w:hint="eastAsia"/>
                      <w:bCs/>
                    </w:rPr>
                    <w:t>0.01L</w:t>
                  </w:r>
                </w:p>
              </w:tc>
              <w:tc>
                <w:tcPr>
                  <w:tcW w:w="1447" w:type="dxa"/>
                  <w:vAlign w:val="center"/>
                </w:tcPr>
                <w:p>
                  <w:pPr>
                    <w:jc w:val="center"/>
                    <w:rPr>
                      <w:bCs/>
                    </w:rPr>
                  </w:pPr>
                  <w:r>
                    <w:rPr>
                      <w:bCs/>
                    </w:rPr>
                    <w:t>——</w:t>
                  </w:r>
                </w:p>
              </w:tc>
            </w:tr>
          </w:tbl>
          <w:p>
            <w:pPr>
              <w:spacing w:line="360" w:lineRule="auto"/>
              <w:ind w:firstLine="470" w:firstLineChars="196"/>
              <w:rPr>
                <w:bCs/>
                <w:sz w:val="24"/>
              </w:rPr>
            </w:pPr>
            <w:r>
              <w:rPr>
                <w:bCs/>
                <w:sz w:val="24"/>
              </w:rPr>
              <w:t>由上表数据可见，</w:t>
            </w:r>
            <w:r>
              <w:rPr>
                <w:rFonts w:hint="eastAsia"/>
                <w:bCs/>
                <w:sz w:val="24"/>
              </w:rPr>
              <w:t>项目所在</w:t>
            </w:r>
            <w:r>
              <w:rPr>
                <w:bCs/>
                <w:sz w:val="24"/>
              </w:rPr>
              <w:t>区域</w:t>
            </w:r>
            <w:r>
              <w:rPr>
                <w:rFonts w:hint="eastAsia"/>
                <w:bCs/>
                <w:sz w:val="24"/>
              </w:rPr>
              <w:t>地下水环境质量现状良好，地下水水质可</w:t>
            </w:r>
            <w:r>
              <w:rPr>
                <w:bCs/>
                <w:sz w:val="24"/>
              </w:rPr>
              <w:t>达到</w:t>
            </w:r>
            <w:r>
              <w:rPr>
                <w:bCs/>
                <w:sz w:val="24"/>
                <w:szCs w:val="24"/>
              </w:rPr>
              <w:t>《</w:t>
            </w:r>
            <w:r>
              <w:rPr>
                <w:rFonts w:hint="eastAsia"/>
                <w:bCs/>
                <w:sz w:val="24"/>
                <w:szCs w:val="24"/>
              </w:rPr>
              <w:t>地下水质量标准</w:t>
            </w:r>
            <w:r>
              <w:rPr>
                <w:bCs/>
                <w:sz w:val="24"/>
                <w:szCs w:val="24"/>
              </w:rPr>
              <w:t>》（GB</w:t>
            </w:r>
            <w:r>
              <w:rPr>
                <w:rFonts w:hint="eastAsia"/>
                <w:bCs/>
                <w:sz w:val="24"/>
                <w:szCs w:val="24"/>
              </w:rPr>
              <w:t>/T14848-93</w:t>
            </w:r>
            <w:r>
              <w:rPr>
                <w:bCs/>
                <w:sz w:val="24"/>
                <w:szCs w:val="24"/>
              </w:rPr>
              <w:t>）中的</w:t>
            </w:r>
            <w:r>
              <w:rPr>
                <w:rFonts w:hint="eastAsia"/>
                <w:bCs/>
                <w:sz w:val="24"/>
                <w:szCs w:val="24"/>
              </w:rPr>
              <w:fldChar w:fldCharType="begin"/>
            </w:r>
            <w:r>
              <w:rPr>
                <w:rFonts w:hint="eastAsia"/>
                <w:bCs/>
                <w:sz w:val="24"/>
                <w:szCs w:val="24"/>
              </w:rPr>
              <w:instrText xml:space="preserve"> = 3 \* ROMAN \* MERGEFORMAT </w:instrText>
            </w:r>
            <w:r>
              <w:rPr>
                <w:rFonts w:hint="eastAsia"/>
                <w:bCs/>
                <w:sz w:val="24"/>
                <w:szCs w:val="24"/>
              </w:rPr>
              <w:fldChar w:fldCharType="separate"/>
            </w:r>
            <w:r>
              <w:rPr>
                <w:sz w:val="24"/>
                <w:szCs w:val="24"/>
              </w:rPr>
              <w:t>III</w:t>
            </w:r>
            <w:r>
              <w:rPr>
                <w:rFonts w:hint="eastAsia"/>
                <w:bCs/>
                <w:sz w:val="24"/>
                <w:szCs w:val="24"/>
              </w:rPr>
              <w:fldChar w:fldCharType="end"/>
            </w:r>
            <w:r>
              <w:rPr>
                <w:rFonts w:hint="eastAsia"/>
                <w:bCs/>
                <w:sz w:val="24"/>
                <w:szCs w:val="24"/>
              </w:rPr>
              <w:t>类水质</w:t>
            </w:r>
            <w:r>
              <w:rPr>
                <w:bCs/>
                <w:sz w:val="24"/>
                <w:szCs w:val="24"/>
              </w:rPr>
              <w:t>标准</w:t>
            </w:r>
            <w:r>
              <w:rPr>
                <w:rFonts w:hint="eastAsia"/>
                <w:bCs/>
                <w:sz w:val="24"/>
                <w:szCs w:val="24"/>
              </w:rPr>
              <w:t>要求</w:t>
            </w:r>
            <w:r>
              <w:rPr>
                <w:bCs/>
                <w:sz w:val="24"/>
              </w:rPr>
              <w:t>。</w:t>
            </w:r>
          </w:p>
          <w:p>
            <w:pPr>
              <w:pStyle w:val="5"/>
            </w:pPr>
            <w:r>
              <w:rPr>
                <w:rFonts w:hint="eastAsia"/>
                <w:lang w:eastAsia="zh-CN"/>
              </w:rPr>
              <w:t>土壤环境现状调查与评价</w:t>
            </w:r>
          </w:p>
          <w:p>
            <w:pPr>
              <w:adjustRightInd w:val="0"/>
              <w:snapToGrid w:val="0"/>
              <w:spacing w:line="360" w:lineRule="auto"/>
              <w:ind w:firstLine="480" w:firstLineChars="200"/>
              <w:rPr>
                <w:color w:val="000000"/>
                <w:sz w:val="24"/>
              </w:rPr>
            </w:pPr>
            <w:r>
              <w:rPr>
                <w:sz w:val="24"/>
              </w:rPr>
              <w:t>本项目</w:t>
            </w:r>
            <w:r>
              <w:rPr>
                <w:rFonts w:hint="eastAsia"/>
                <w:sz w:val="24"/>
              </w:rPr>
              <w:t>委托湖南宏润检测有限公司对项目所在地进行</w:t>
            </w:r>
            <w:r>
              <w:rPr>
                <w:rFonts w:hint="eastAsia"/>
                <w:sz w:val="24"/>
                <w:lang w:eastAsia="zh-CN"/>
              </w:rPr>
              <w:t>土壤</w:t>
            </w:r>
            <w:r>
              <w:rPr>
                <w:rFonts w:hint="eastAsia"/>
                <w:sz w:val="24"/>
              </w:rPr>
              <w:t>环境质量检测</w:t>
            </w:r>
            <w:r>
              <w:rPr>
                <w:sz w:val="24"/>
              </w:rPr>
              <w:t>，监测时间</w:t>
            </w:r>
            <w:r>
              <w:rPr>
                <w:rFonts w:hint="eastAsia"/>
                <w:sz w:val="24"/>
              </w:rPr>
              <w:t>为</w:t>
            </w:r>
            <w:r>
              <w:rPr>
                <w:sz w:val="24"/>
              </w:rPr>
              <w:t>201</w:t>
            </w:r>
            <w:r>
              <w:rPr>
                <w:rFonts w:hint="eastAsia"/>
                <w:sz w:val="24"/>
              </w:rPr>
              <w:t>9</w:t>
            </w:r>
            <w:r>
              <w:rPr>
                <w:sz w:val="24"/>
              </w:rPr>
              <w:t>年</w:t>
            </w:r>
            <w:r>
              <w:rPr>
                <w:rFonts w:hint="eastAsia"/>
                <w:sz w:val="24"/>
                <w:lang w:val="en-US" w:eastAsia="zh-CN"/>
              </w:rPr>
              <w:t>12</w:t>
            </w:r>
            <w:r>
              <w:rPr>
                <w:rFonts w:hint="eastAsia"/>
                <w:sz w:val="24"/>
              </w:rPr>
              <w:t>月2</w:t>
            </w:r>
            <w:r>
              <w:rPr>
                <w:rFonts w:hint="eastAsia"/>
                <w:sz w:val="24"/>
                <w:lang w:val="en-US" w:eastAsia="zh-CN"/>
              </w:rPr>
              <w:t>0</w:t>
            </w:r>
            <w:r>
              <w:rPr>
                <w:sz w:val="24"/>
              </w:rPr>
              <w:t>日</w:t>
            </w:r>
            <w:r>
              <w:rPr>
                <w:rFonts w:hint="eastAsia"/>
                <w:sz w:val="24"/>
              </w:rPr>
              <w:t>，检测内容如下</w:t>
            </w:r>
            <w:r>
              <w:rPr>
                <w:color w:val="000000"/>
                <w:sz w:val="24"/>
              </w:rPr>
              <w:t>。</w:t>
            </w:r>
          </w:p>
          <w:p>
            <w:pPr>
              <w:spacing w:line="360" w:lineRule="auto"/>
              <w:ind w:firstLine="480" w:firstLineChars="200"/>
              <w:jc w:val="left"/>
              <w:rPr>
                <w:sz w:val="24"/>
              </w:rPr>
            </w:pPr>
            <w:r>
              <w:rPr>
                <w:rFonts w:hint="eastAsia"/>
                <w:sz w:val="24"/>
              </w:rPr>
              <w:t>（1）</w:t>
            </w:r>
            <w:r>
              <w:rPr>
                <w:sz w:val="24"/>
              </w:rPr>
              <w:t>监测点位</w:t>
            </w:r>
          </w:p>
          <w:p>
            <w:pPr>
              <w:spacing w:line="360" w:lineRule="auto"/>
              <w:ind w:left="480"/>
              <w:jc w:val="left"/>
              <w:rPr>
                <w:sz w:val="24"/>
              </w:rPr>
            </w:pPr>
            <w:r>
              <w:rPr>
                <w:sz w:val="24"/>
              </w:rPr>
              <w:t>监测点位详见表3</w:t>
            </w:r>
            <w:r>
              <w:rPr>
                <w:rFonts w:hint="eastAsia"/>
                <w:sz w:val="24"/>
              </w:rPr>
              <w:t>.</w:t>
            </w:r>
            <w:r>
              <w:rPr>
                <w:rFonts w:hint="eastAsia"/>
                <w:sz w:val="24"/>
                <w:lang w:val="en-US" w:eastAsia="zh-CN"/>
              </w:rPr>
              <w:t>4</w:t>
            </w:r>
            <w:r>
              <w:rPr>
                <w:rFonts w:hint="eastAsia"/>
                <w:sz w:val="24"/>
              </w:rPr>
              <w:t>-1。</w:t>
            </w:r>
          </w:p>
          <w:p>
            <w:pPr>
              <w:pStyle w:val="98"/>
              <w:spacing w:beforeLines="0" w:afterLines="0"/>
              <w:rPr>
                <w:rFonts w:eastAsia="黑体"/>
                <w:b w:val="0"/>
                <w:snapToGrid/>
                <w:kern w:val="0"/>
                <w:szCs w:val="24"/>
              </w:rPr>
            </w:pPr>
            <w:r>
              <w:rPr>
                <w:rFonts w:eastAsia="黑体"/>
                <w:b w:val="0"/>
                <w:snapToGrid/>
                <w:kern w:val="0"/>
                <w:szCs w:val="24"/>
              </w:rPr>
              <w:t>表3</w:t>
            </w:r>
            <w:r>
              <w:rPr>
                <w:rFonts w:hint="eastAsia" w:eastAsia="黑体"/>
                <w:b w:val="0"/>
                <w:snapToGrid/>
                <w:kern w:val="0"/>
                <w:szCs w:val="24"/>
              </w:rPr>
              <w:t>.</w:t>
            </w:r>
            <w:r>
              <w:rPr>
                <w:rFonts w:hint="eastAsia" w:eastAsia="黑体"/>
                <w:b w:val="0"/>
                <w:snapToGrid/>
                <w:kern w:val="0"/>
                <w:szCs w:val="24"/>
                <w:lang w:val="en-US" w:eastAsia="zh-CN"/>
              </w:rPr>
              <w:t>4</w:t>
            </w:r>
            <w:r>
              <w:rPr>
                <w:rFonts w:hint="eastAsia" w:eastAsia="黑体"/>
                <w:b w:val="0"/>
                <w:snapToGrid/>
                <w:kern w:val="0"/>
                <w:szCs w:val="24"/>
              </w:rPr>
              <w:t xml:space="preserve">-1  </w:t>
            </w:r>
            <w:r>
              <w:rPr>
                <w:rFonts w:hint="eastAsia" w:eastAsia="黑体"/>
                <w:b w:val="0"/>
                <w:snapToGrid/>
                <w:kern w:val="0"/>
                <w:szCs w:val="24"/>
                <w:lang w:eastAsia="zh-CN"/>
              </w:rPr>
              <w:t>土壤</w:t>
            </w:r>
            <w:r>
              <w:rPr>
                <w:rFonts w:hint="eastAsia" w:eastAsia="黑体"/>
                <w:b w:val="0"/>
                <w:snapToGrid/>
                <w:kern w:val="0"/>
                <w:szCs w:val="24"/>
              </w:rPr>
              <w:t>环境质量</w:t>
            </w:r>
            <w:r>
              <w:rPr>
                <w:rFonts w:eastAsia="黑体"/>
                <w:b w:val="0"/>
                <w:snapToGrid/>
                <w:kern w:val="0"/>
                <w:szCs w:val="24"/>
              </w:rPr>
              <w:t>监测布点表</w:t>
            </w:r>
          </w:p>
          <w:tbl>
            <w:tblPr>
              <w:tblStyle w:val="2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bCs/>
                    </w:rPr>
                    <w:t>序号</w:t>
                  </w:r>
                </w:p>
              </w:tc>
              <w:tc>
                <w:tcPr>
                  <w:tcW w:w="6292" w:type="dxa"/>
                  <w:tcBorders>
                    <w:tl2br w:val="nil"/>
                    <w:tr2bl w:val="nil"/>
                  </w:tcBorders>
                  <w:vAlign w:val="center"/>
                </w:tcPr>
                <w:p>
                  <w:pPr>
                    <w:jc w:val="center"/>
                    <w:rPr>
                      <w:bCs/>
                    </w:rPr>
                  </w:pPr>
                  <w:r>
                    <w:rPr>
                      <w:bCs/>
                    </w:rPr>
                    <w:t>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default" w:ascii="Times New Roman" w:hAnsi="Times New Roman" w:eastAsia="宋体" w:cs="Times New Roman"/>
                      <w:color w:val="auto"/>
                      <w:sz w:val="21"/>
                      <w:szCs w:val="21"/>
                      <w:lang w:val="en-US" w:eastAsia="zh-CN"/>
                    </w:rPr>
                    <w:t>T1</w:t>
                  </w:r>
                </w:p>
              </w:tc>
              <w:tc>
                <w:tcPr>
                  <w:tcW w:w="6292" w:type="dxa"/>
                  <w:tcBorders>
                    <w:tl2br w:val="nil"/>
                    <w:tr2bl w:val="nil"/>
                  </w:tcBorders>
                  <w:vAlign w:val="center"/>
                </w:tcPr>
                <w:p>
                  <w:pPr>
                    <w:widowControl/>
                    <w:spacing w:line="240" w:lineRule="auto"/>
                    <w:jc w:val="center"/>
                    <w:rPr>
                      <w:bCs/>
                    </w:rPr>
                  </w:pPr>
                  <w:r>
                    <w:rPr>
                      <w:rFonts w:hint="eastAsia" w:ascii="Times New Roman" w:hAnsi="Times New Roman" w:eastAsia="宋体" w:cs="Times New Roman"/>
                      <w:szCs w:val="21"/>
                      <w:lang w:val="en-US" w:eastAsia="zh-CN"/>
                    </w:rPr>
                    <w:t>项目北面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default" w:ascii="Times New Roman" w:hAnsi="Times New Roman" w:eastAsia="宋体" w:cs="Times New Roman"/>
                      <w:color w:val="auto"/>
                      <w:sz w:val="21"/>
                      <w:szCs w:val="21"/>
                      <w:lang w:val="en-US" w:eastAsia="zh-CN"/>
                    </w:rPr>
                    <w:t>T</w:t>
                  </w:r>
                  <w:r>
                    <w:rPr>
                      <w:rFonts w:hint="eastAsia" w:ascii="Times New Roman" w:hAnsi="Times New Roman" w:eastAsia="宋体" w:cs="Times New Roman"/>
                      <w:color w:val="auto"/>
                      <w:sz w:val="21"/>
                      <w:szCs w:val="21"/>
                      <w:lang w:val="en-US" w:eastAsia="zh-CN"/>
                    </w:rPr>
                    <w:t>2</w:t>
                  </w:r>
                </w:p>
              </w:tc>
              <w:tc>
                <w:tcPr>
                  <w:tcW w:w="6292" w:type="dxa"/>
                  <w:tcBorders>
                    <w:tl2br w:val="nil"/>
                    <w:tr2bl w:val="nil"/>
                  </w:tcBorders>
                  <w:vAlign w:val="center"/>
                </w:tcPr>
                <w:p>
                  <w:pPr>
                    <w:widowControl/>
                    <w:spacing w:line="240" w:lineRule="auto"/>
                    <w:jc w:val="center"/>
                    <w:rPr>
                      <w:bCs/>
                    </w:rPr>
                  </w:pPr>
                  <w:r>
                    <w:rPr>
                      <w:rFonts w:hint="eastAsia" w:ascii="Times New Roman" w:hAnsi="Times New Roman" w:eastAsia="宋体" w:cs="Times New Roman"/>
                      <w:szCs w:val="21"/>
                      <w:lang w:val="en-US" w:eastAsia="zh-CN"/>
                    </w:rPr>
                    <w:t>项目中心位置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58" w:type="dxa"/>
                  <w:tcBorders>
                    <w:tl2br w:val="nil"/>
                    <w:tr2bl w:val="nil"/>
                  </w:tcBorders>
                  <w:vAlign w:val="center"/>
                </w:tcPr>
                <w:p>
                  <w:pPr>
                    <w:jc w:val="center"/>
                    <w:rPr>
                      <w:bCs/>
                    </w:rPr>
                  </w:pPr>
                  <w:r>
                    <w:rPr>
                      <w:rFonts w:hint="default" w:ascii="Times New Roman" w:hAnsi="Times New Roman" w:eastAsia="宋体" w:cs="Times New Roman"/>
                      <w:color w:val="auto"/>
                      <w:sz w:val="21"/>
                      <w:szCs w:val="21"/>
                      <w:lang w:val="en-US" w:eastAsia="zh-CN"/>
                    </w:rPr>
                    <w:t>T</w:t>
                  </w:r>
                  <w:r>
                    <w:rPr>
                      <w:rFonts w:hint="eastAsia" w:ascii="Times New Roman" w:hAnsi="Times New Roman" w:eastAsia="宋体" w:cs="Times New Roman"/>
                      <w:color w:val="auto"/>
                      <w:sz w:val="21"/>
                      <w:szCs w:val="21"/>
                      <w:lang w:val="en-US" w:eastAsia="zh-CN"/>
                    </w:rPr>
                    <w:t>3</w:t>
                  </w:r>
                </w:p>
              </w:tc>
              <w:tc>
                <w:tcPr>
                  <w:tcW w:w="6292" w:type="dxa"/>
                  <w:tcBorders>
                    <w:tl2br w:val="nil"/>
                    <w:tr2bl w:val="nil"/>
                  </w:tcBorders>
                  <w:vAlign w:val="center"/>
                </w:tcPr>
                <w:p>
                  <w:pPr>
                    <w:widowControl/>
                    <w:spacing w:line="240" w:lineRule="auto"/>
                    <w:jc w:val="center"/>
                    <w:rPr>
                      <w:bCs/>
                    </w:rPr>
                  </w:pPr>
                  <w:r>
                    <w:rPr>
                      <w:rFonts w:hint="eastAsia" w:ascii="Times New Roman" w:hAnsi="Times New Roman" w:eastAsia="宋体" w:cs="Times New Roman"/>
                      <w:szCs w:val="21"/>
                      <w:lang w:val="en-US" w:eastAsia="zh-CN"/>
                    </w:rPr>
                    <w:t>项目西面</w:t>
                  </w:r>
                </w:p>
              </w:tc>
            </w:tr>
          </w:tbl>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（2）监测因子：</w:t>
            </w:r>
            <w:r>
              <w:rPr>
                <w:rFonts w:hint="eastAsia" w:ascii="Times New Roman" w:hAnsi="Times New Roman" w:eastAsia="宋体" w:cs="Times New Roman"/>
                <w:sz w:val="24"/>
                <w:szCs w:val="24"/>
                <w:lang w:val="en-US" w:eastAsia="zh-CN"/>
              </w:rPr>
              <w:t>pH、镉、汞、砷、铅、铬、铜、镍、锌、石油烃（C10~C40）</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（3）监测时间及频次</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采样监测1次。</w:t>
            </w:r>
          </w:p>
          <w:p>
            <w:pPr>
              <w:adjustRightInd w:val="0"/>
              <w:snapToGrid w:val="0"/>
              <w:spacing w:line="360" w:lineRule="auto"/>
              <w:ind w:firstLine="480" w:firstLineChars="200"/>
              <w:rPr>
                <w:sz w:val="24"/>
                <w:szCs w:val="24"/>
              </w:rPr>
            </w:pPr>
            <w:r>
              <w:rPr>
                <w:rFonts w:hint="eastAsia" w:ascii="Times New Roman" w:hAnsi="Times New Roman" w:eastAsia="宋体" w:cs="Times New Roman"/>
                <w:sz w:val="24"/>
                <w:szCs w:val="24"/>
              </w:rPr>
              <w:t>（4）评价标准：</w:t>
            </w:r>
            <w:r>
              <w:rPr>
                <w:rFonts w:hint="default" w:ascii="Times New Roman" w:hAnsi="Times New Roman" w:eastAsia="宋体" w:cs="Times New Roman"/>
                <w:color w:val="auto"/>
                <w:sz w:val="24"/>
                <w:szCs w:val="24"/>
                <w:lang w:val="en-US" w:eastAsia="zh-CN"/>
              </w:rPr>
              <w:t>《土壤环境质量 建设用地土壤污染风险管控标准》（GB 36600-2018）表1中筛选值第二类用地标准限值</w:t>
            </w:r>
            <w:r>
              <w:rPr>
                <w:rFonts w:hint="eastAsia"/>
                <w:sz w:val="24"/>
                <w:szCs w:val="24"/>
              </w:rPr>
              <w:t>；</w:t>
            </w:r>
          </w:p>
          <w:p>
            <w:pPr>
              <w:pStyle w:val="45"/>
              <w:ind w:firstLine="480"/>
            </w:pPr>
            <w:r>
              <w:rPr>
                <w:rFonts w:hint="eastAsia"/>
              </w:rPr>
              <w:t>（5）监测及评价结果</w:t>
            </w:r>
          </w:p>
          <w:p>
            <w:pPr>
              <w:pStyle w:val="45"/>
              <w:ind w:firstLine="480"/>
            </w:pPr>
            <w:r>
              <w:rPr>
                <w:rFonts w:hint="eastAsia"/>
              </w:rPr>
              <w:t>监测及评价结果见</w:t>
            </w:r>
            <w:r>
              <w:t>表3</w:t>
            </w:r>
            <w:r>
              <w:rPr>
                <w:rFonts w:hint="eastAsia"/>
              </w:rPr>
              <w:t>.</w:t>
            </w:r>
            <w:r>
              <w:rPr>
                <w:rFonts w:hint="eastAsia"/>
                <w:lang w:val="en-US" w:eastAsia="zh-CN"/>
              </w:rPr>
              <w:t>4</w:t>
            </w:r>
            <w:r>
              <w:rPr>
                <w:rFonts w:hint="eastAsia"/>
              </w:rPr>
              <w:t>-2</w:t>
            </w:r>
            <w:r>
              <w:t>：</w:t>
            </w:r>
          </w:p>
          <w:p>
            <w:pPr>
              <w:pStyle w:val="38"/>
              <w:jc w:val="center"/>
              <w:rPr>
                <w:rFonts w:hint="default" w:ascii="Times New Roman" w:hAnsi="Times New Roman" w:eastAsia="黑体" w:cs="Times New Roman"/>
                <w:b w:val="0"/>
                <w:snapToGrid/>
                <w:color w:val="auto"/>
                <w:kern w:val="0"/>
                <w:sz w:val="24"/>
                <w:szCs w:val="24"/>
                <w:lang w:val="en-US" w:eastAsia="zh-CN" w:bidi="ar-SA"/>
              </w:rPr>
            </w:pPr>
            <w:r>
              <w:rPr>
                <w:rFonts w:hint="default" w:ascii="Times New Roman" w:hAnsi="Times New Roman" w:eastAsia="黑体" w:cs="Times New Roman"/>
                <w:b w:val="0"/>
                <w:snapToGrid/>
                <w:color w:val="auto"/>
                <w:kern w:val="0"/>
                <w:sz w:val="24"/>
                <w:szCs w:val="24"/>
                <w:lang w:val="en-US" w:eastAsia="zh-CN" w:bidi="ar-SA"/>
              </w:rPr>
              <w:t>表3</w:t>
            </w:r>
            <w:r>
              <w:rPr>
                <w:rFonts w:hint="eastAsia" w:ascii="Times New Roman" w:hAnsi="Times New Roman" w:eastAsia="黑体" w:cs="Times New Roman"/>
                <w:b w:val="0"/>
                <w:snapToGrid/>
                <w:color w:val="auto"/>
                <w:kern w:val="0"/>
                <w:sz w:val="24"/>
                <w:szCs w:val="24"/>
                <w:lang w:val="en-US" w:eastAsia="zh-CN" w:bidi="ar-SA"/>
              </w:rPr>
              <w:t>.4-2</w:t>
            </w:r>
            <w:r>
              <w:rPr>
                <w:rFonts w:hint="default" w:ascii="Times New Roman" w:hAnsi="Times New Roman" w:eastAsia="黑体" w:cs="Times New Roman"/>
                <w:b w:val="0"/>
                <w:snapToGrid/>
                <w:color w:val="auto"/>
                <w:kern w:val="0"/>
                <w:sz w:val="24"/>
                <w:szCs w:val="24"/>
                <w:lang w:val="en-US" w:eastAsia="zh-CN" w:bidi="ar-SA"/>
              </w:rPr>
              <w:t xml:space="preserve"> 土壤</w:t>
            </w:r>
            <w:r>
              <w:rPr>
                <w:rFonts w:hint="eastAsia" w:ascii="Times New Roman" w:hAnsi="Times New Roman" w:eastAsia="黑体" w:cs="Times New Roman"/>
                <w:b w:val="0"/>
                <w:snapToGrid/>
                <w:color w:val="auto"/>
                <w:kern w:val="0"/>
                <w:sz w:val="24"/>
                <w:szCs w:val="24"/>
                <w:lang w:val="en-US" w:eastAsia="zh-CN" w:bidi="ar-SA"/>
              </w:rPr>
              <w:t>环境现状监测</w:t>
            </w:r>
            <w:r>
              <w:rPr>
                <w:rFonts w:hint="default" w:ascii="Times New Roman" w:hAnsi="Times New Roman" w:eastAsia="黑体" w:cs="Times New Roman"/>
                <w:b w:val="0"/>
                <w:snapToGrid/>
                <w:color w:val="auto"/>
                <w:kern w:val="0"/>
                <w:sz w:val="24"/>
                <w:szCs w:val="24"/>
                <w:lang w:val="en-US" w:eastAsia="zh-CN" w:bidi="ar-SA"/>
              </w:rPr>
              <w:t>结果</w:t>
            </w:r>
          </w:p>
          <w:tbl>
            <w:tblPr>
              <w:tblStyle w:val="24"/>
              <w:tblW w:w="864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5"/>
              <w:gridCol w:w="1096"/>
              <w:gridCol w:w="2113"/>
              <w:gridCol w:w="1261"/>
              <w:gridCol w:w="1335"/>
              <w:gridCol w:w="1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95" w:type="dxa"/>
                  <w:tcBorders>
                    <w:top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采样</w:t>
                  </w:r>
                  <w:r>
                    <w:rPr>
                      <w:rFonts w:hint="default" w:ascii="Times New Roman" w:hAnsi="Times New Roman" w:eastAsia="宋体" w:cs="Times New Roman"/>
                      <w:b/>
                      <w:bCs/>
                      <w:color w:val="auto"/>
                      <w:sz w:val="21"/>
                      <w:szCs w:val="21"/>
                      <w:lang w:eastAsia="zh-CN"/>
                    </w:rPr>
                    <w:t>点位</w:t>
                  </w:r>
                </w:p>
              </w:tc>
              <w:tc>
                <w:tcPr>
                  <w:tcW w:w="1096" w:type="dxa"/>
                  <w:tcBorders>
                    <w:top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样品状态</w:t>
                  </w:r>
                </w:p>
              </w:tc>
              <w:tc>
                <w:tcPr>
                  <w:tcW w:w="2113" w:type="dxa"/>
                  <w:tcBorders>
                    <w:top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检测项目</w:t>
                  </w:r>
                </w:p>
              </w:tc>
              <w:tc>
                <w:tcPr>
                  <w:tcW w:w="1261" w:type="dxa"/>
                  <w:tcBorders>
                    <w:top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单位</w:t>
                  </w:r>
                </w:p>
              </w:tc>
              <w:tc>
                <w:tcPr>
                  <w:tcW w:w="1335" w:type="dxa"/>
                  <w:tcBorders>
                    <w:top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检测结果</w:t>
                  </w:r>
                </w:p>
              </w:tc>
              <w:tc>
                <w:tcPr>
                  <w:tcW w:w="1147" w:type="dxa"/>
                  <w:tcBorders>
                    <w:top w:val="single" w:color="auto" w:sz="4" w:space="0"/>
                    <w:right w:val="single" w:color="auto" w:sz="4" w:space="0"/>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参考限值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restart"/>
                  <w:tcBorders>
                    <w:left w:val="single" w:color="auto" w:sz="4" w:space="0"/>
                    <w:tl2br w:val="nil"/>
                    <w:tr2bl w:val="nil"/>
                  </w:tcBorders>
                  <w:vAlign w:val="center"/>
                </w:tcPr>
                <w:p>
                  <w:pPr>
                    <w:widowControl/>
                    <w:spacing w:line="24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项目北面</w:t>
                  </w:r>
                </w:p>
                <w:p>
                  <w:pPr>
                    <w:widowControl/>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T1</w:t>
                  </w:r>
                </w:p>
              </w:tc>
              <w:tc>
                <w:tcPr>
                  <w:tcW w:w="1096" w:type="dxa"/>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highlight w:val="none"/>
                      <w:lang w:val="en-US" w:eastAsia="zh-CN"/>
                    </w:rPr>
                    <w:t>棕</w:t>
                  </w:r>
                  <w:r>
                    <w:rPr>
                      <w:rFonts w:hint="default" w:ascii="Times New Roman" w:hAnsi="Times New Roman" w:eastAsia="宋体" w:cs="Times New Roman"/>
                      <w:b w:val="0"/>
                      <w:bCs w:val="0"/>
                      <w:color w:val="auto"/>
                      <w:sz w:val="21"/>
                      <w:szCs w:val="21"/>
                      <w:highlight w:val="none"/>
                      <w:lang w:val="en-US" w:eastAsia="zh-CN"/>
                    </w:rPr>
                    <w:t>色</w:t>
                  </w: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lang w:eastAsia="zh-CN"/>
                    </w:rPr>
                  </w:pPr>
                  <w:r>
                    <w:rPr>
                      <w:rFonts w:hint="eastAsia" w:ascii="Times New Roman" w:hAnsi="Times New Roman" w:cs="Times New Roman" w:eastAsiaTheme="minorEastAsia"/>
                      <w:color w:val="auto"/>
                      <w:sz w:val="21"/>
                      <w:szCs w:val="21"/>
                      <w:lang w:val="en-US" w:eastAsia="zh-CN" w:bidi="ar-SA"/>
                    </w:rPr>
                    <w:t>pH</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eastAsia="zh-CN"/>
                    </w:rPr>
                  </w:pPr>
                  <w:r>
                    <w:rPr>
                      <w:rFonts w:hint="eastAsia" w:cs="Times New Roman"/>
                      <w:b w:val="0"/>
                      <w:bCs w:val="0"/>
                      <w:color w:val="auto"/>
                      <w:kern w:val="2"/>
                      <w:sz w:val="21"/>
                      <w:szCs w:val="21"/>
                      <w:lang w:val="en-US" w:eastAsia="zh-CN"/>
                    </w:rPr>
                    <w:t>无量纲</w:t>
                  </w:r>
                </w:p>
              </w:tc>
              <w:tc>
                <w:tcPr>
                  <w:tcW w:w="1335" w:type="dxa"/>
                  <w:tcBorders>
                    <w:tl2br w:val="nil"/>
                    <w:tr2bl w:val="nil"/>
                  </w:tcBorders>
                  <w:vAlign w:val="center"/>
                </w:tcPr>
                <w:p>
                  <w:pPr>
                    <w:widowControl/>
                    <w:spacing w:line="360" w:lineRule="auto"/>
                    <w:jc w:val="center"/>
                    <w:rPr>
                      <w:rFonts w:hint="default" w:ascii="Times New Roman" w:hAnsi="Times New Roman" w:eastAsia="宋体" w:cs="Times New Roman"/>
                      <w:b/>
                      <w:bCs/>
                      <w:color w:val="auto"/>
                      <w:sz w:val="21"/>
                      <w:szCs w:val="21"/>
                      <w:lang w:val="en-US" w:eastAsia="zh-CN"/>
                    </w:rPr>
                  </w:pPr>
                  <w:r>
                    <w:rPr>
                      <w:rFonts w:hint="eastAsia" w:cs="Times New Roman"/>
                      <w:b w:val="0"/>
                      <w:bCs w:val="0"/>
                      <w:color w:val="auto"/>
                      <w:sz w:val="21"/>
                      <w:szCs w:val="21"/>
                      <w:lang w:val="en-US" w:eastAsia="zh-CN"/>
                    </w:rPr>
                    <w:t>6.14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eastAsia" w:ascii="宋体" w:hAnsi="宋体" w:cs="宋体"/>
                      <w:color w:val="auto"/>
                      <w:sz w:val="21"/>
                      <w:szCs w:val="21"/>
                      <w:lang w:val="en-US"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color w:val="auto"/>
                      <w:sz w:val="21"/>
                      <w:szCs w:val="21"/>
                      <w:highlight w:val="none"/>
                      <w:lang w:val="en-US" w:eastAsia="zh-CN"/>
                    </w:rPr>
                  </w:pPr>
                </w:p>
              </w:tc>
              <w:tc>
                <w:tcPr>
                  <w:tcW w:w="2113" w:type="dxa"/>
                  <w:tcBorders>
                    <w:tl2br w:val="nil"/>
                    <w:tr2bl w:val="nil"/>
                  </w:tcBorders>
                  <w:vAlign w:val="center"/>
                </w:tcPr>
                <w:p>
                  <w:pPr>
                    <w:pStyle w:val="38"/>
                    <w:jc w:val="center"/>
                    <w:rPr>
                      <w:rFonts w:hint="eastAsia" w:cs="Times New Roman"/>
                      <w:sz w:val="21"/>
                      <w:szCs w:val="21"/>
                      <w:lang w:val="en-US" w:eastAsia="zh-CN" w:bidi="ar"/>
                    </w:rPr>
                  </w:pPr>
                  <w:r>
                    <w:rPr>
                      <w:rFonts w:hint="eastAsia" w:ascii="Times New Roman" w:hAnsi="Times New Roman" w:eastAsiaTheme="minorEastAsia"/>
                      <w:color w:val="auto"/>
                      <w:sz w:val="21"/>
                      <w:szCs w:val="21"/>
                      <w:lang w:val="en-US" w:eastAsia="zh-CN"/>
                    </w:rPr>
                    <w:t>镉</w:t>
                  </w:r>
                </w:p>
              </w:tc>
              <w:tc>
                <w:tcPr>
                  <w:tcW w:w="1261" w:type="dxa"/>
                  <w:tcBorders>
                    <w:tl2br w:val="nil"/>
                    <w:tr2bl w:val="nil"/>
                  </w:tcBorders>
                  <w:vAlign w:val="center"/>
                </w:tcPr>
                <w:p>
                  <w:pPr>
                    <w:widowControl/>
                    <w:spacing w:line="360" w:lineRule="auto"/>
                    <w:jc w:val="center"/>
                    <w:rPr>
                      <w:rFonts w:hint="eastAsia"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widowControl/>
                    <w:spacing w:line="360" w:lineRule="auto"/>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0.25</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eastAsia" w:ascii="宋体" w:hAnsi="宋体" w:cs="宋体"/>
                      <w:color w:val="auto"/>
                      <w:sz w:val="21"/>
                      <w:szCs w:val="21"/>
                      <w:lang w:val="en-US"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b w:val="0"/>
                      <w:bCs w:val="0"/>
                      <w:color w:val="auto"/>
                      <w:sz w:val="21"/>
                      <w:szCs w:val="21"/>
                      <w:highlight w:val="none"/>
                      <w:lang w:val="en-US" w:eastAsia="zh-CN"/>
                    </w:rPr>
                  </w:pPr>
                </w:p>
              </w:tc>
              <w:tc>
                <w:tcPr>
                  <w:tcW w:w="2113" w:type="dxa"/>
                  <w:tcBorders>
                    <w:tl2br w:val="nil"/>
                    <w:tr2bl w:val="nil"/>
                  </w:tcBorders>
                  <w:vAlign w:val="center"/>
                </w:tcPr>
                <w:p>
                  <w:pPr>
                    <w:pStyle w:val="38"/>
                    <w:jc w:val="center"/>
                    <w:rPr>
                      <w:rFonts w:hint="eastAsia" w:cs="Times New Roman"/>
                      <w:sz w:val="21"/>
                      <w:szCs w:val="21"/>
                      <w:lang w:val="en-US" w:eastAsia="zh-CN" w:bidi="ar"/>
                    </w:rPr>
                  </w:pPr>
                  <w:r>
                    <w:rPr>
                      <w:rFonts w:hint="eastAsia" w:ascii="Times New Roman" w:hAnsi="Times New Roman" w:eastAsiaTheme="minorEastAsia"/>
                      <w:color w:val="auto"/>
                      <w:sz w:val="21"/>
                      <w:szCs w:val="21"/>
                      <w:lang w:val="en-US" w:eastAsia="zh-CN"/>
                    </w:rPr>
                    <w:t>汞</w:t>
                  </w:r>
                </w:p>
              </w:tc>
              <w:tc>
                <w:tcPr>
                  <w:tcW w:w="1261" w:type="dxa"/>
                  <w:tcBorders>
                    <w:tl2br w:val="nil"/>
                    <w:tr2bl w:val="nil"/>
                  </w:tcBorders>
                  <w:vAlign w:val="center"/>
                </w:tcPr>
                <w:p>
                  <w:pPr>
                    <w:widowControl/>
                    <w:spacing w:line="360" w:lineRule="auto"/>
                    <w:jc w:val="center"/>
                    <w:rPr>
                      <w:rFonts w:hint="default"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widowControl/>
                    <w:spacing w:line="360" w:lineRule="auto"/>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0.068</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val="en-US"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Theme="minorEastAsia"/>
                      <w:color w:val="auto"/>
                      <w:sz w:val="21"/>
                      <w:szCs w:val="21"/>
                      <w:lang w:val="en-US" w:eastAsia="zh-CN"/>
                    </w:rPr>
                    <w:t>砷</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13.4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Theme="minorEastAsia"/>
                      <w:color w:val="auto"/>
                      <w:sz w:val="21"/>
                      <w:szCs w:val="21"/>
                      <w:lang w:val="en-US" w:eastAsia="zh-CN"/>
                    </w:rPr>
                    <w:t>铅</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38</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pStyle w:val="38"/>
                    <w:spacing w:line="360" w:lineRule="auto"/>
                    <w:jc w:val="center"/>
                    <w:rPr>
                      <w:rFonts w:hint="default" w:ascii="Times New Roman" w:hAnsi="Times New Roman" w:eastAsia="宋体" w:cs="Times New Roman"/>
                      <w:color w:val="auto"/>
                      <w:kern w:val="2"/>
                      <w:sz w:val="21"/>
                      <w:szCs w:val="21"/>
                      <w:lang w:val="en-US" w:eastAsia="zh-CN" w:bidi="ar-SA"/>
                    </w:rPr>
                  </w:pPr>
                </w:p>
              </w:tc>
              <w:tc>
                <w:tcPr>
                  <w:tcW w:w="2113" w:type="dxa"/>
                  <w:tcBorders>
                    <w:tl2br w:val="nil"/>
                    <w:tr2bl w:val="nil"/>
                  </w:tcBorders>
                  <w:vAlign w:val="center"/>
                </w:tcPr>
                <w:p>
                  <w:pPr>
                    <w:pStyle w:val="38"/>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themeColor="text1"/>
                      <w:sz w:val="21"/>
                      <w:szCs w:val="21"/>
                      <w:lang w:eastAsia="zh-CN"/>
                      <w14:textFill>
                        <w14:solidFill>
                          <w14:schemeClr w14:val="tx1"/>
                        </w14:solidFill>
                      </w14:textFill>
                    </w:rPr>
                    <w:t>铬</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pStyle w:val="38"/>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sz w:val="21"/>
                      <w:szCs w:val="21"/>
                    </w:rPr>
                  </w:pPr>
                  <w:r>
                    <w:rPr>
                      <w:rFonts w:hint="eastAsia" w:ascii="Times New Roman" w:hAnsi="Times New Roman" w:eastAsiaTheme="minorEastAsia"/>
                      <w:color w:val="auto"/>
                      <w:sz w:val="21"/>
                      <w:szCs w:val="21"/>
                      <w:lang w:val="en-US" w:eastAsia="zh-CN"/>
                    </w:rPr>
                    <w:t>铜</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sz w:val="21"/>
                      <w:szCs w:val="21"/>
                    </w:rPr>
                  </w:pPr>
                  <w:r>
                    <w:rPr>
                      <w:rFonts w:hint="eastAsia" w:ascii="Times New Roman" w:hAnsi="Times New Roman" w:eastAsiaTheme="minorEastAsia"/>
                      <w:color w:val="auto"/>
                      <w:sz w:val="21"/>
                      <w:szCs w:val="21"/>
                      <w:lang w:val="en-US" w:eastAsia="zh-CN"/>
                    </w:rPr>
                    <w:t>镍</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pStyle w:val="38"/>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锌</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103</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石油烃</w:t>
                  </w:r>
                  <w:r>
                    <w:rPr>
                      <w:rFonts w:hint="eastAsia"/>
                      <w:bCs/>
                      <w:sz w:val="21"/>
                      <w:szCs w:val="21"/>
                      <w:u w:val="none"/>
                      <w:lang w:val="en-US" w:eastAsia="zh-CN"/>
                    </w:rPr>
                    <w:t>（C</w:t>
                  </w:r>
                  <w:r>
                    <w:rPr>
                      <w:rFonts w:hint="eastAsia"/>
                      <w:bCs/>
                      <w:sz w:val="21"/>
                      <w:szCs w:val="21"/>
                      <w:u w:val="none"/>
                      <w:vertAlign w:val="subscript"/>
                      <w:lang w:val="en-US" w:eastAsia="zh-CN"/>
                    </w:rPr>
                    <w:t>10</w:t>
                  </w:r>
                  <w:r>
                    <w:rPr>
                      <w:rFonts w:hint="eastAsia"/>
                      <w:bCs/>
                      <w:sz w:val="21"/>
                      <w:szCs w:val="21"/>
                      <w:u w:val="none"/>
                      <w:lang w:val="en-US" w:eastAsia="zh-CN"/>
                    </w:rPr>
                    <w:t>~C</w:t>
                  </w:r>
                  <w:r>
                    <w:rPr>
                      <w:rFonts w:hint="eastAsia"/>
                      <w:bCs/>
                      <w:sz w:val="21"/>
                      <w:szCs w:val="21"/>
                      <w:u w:val="none"/>
                      <w:vertAlign w:val="subscript"/>
                      <w:lang w:val="en-US" w:eastAsia="zh-CN"/>
                    </w:rPr>
                    <w:t>40</w:t>
                  </w:r>
                  <w:r>
                    <w:rPr>
                      <w:rFonts w:hint="eastAsia"/>
                      <w:bCs/>
                      <w:sz w:val="21"/>
                      <w:szCs w:val="21"/>
                      <w:u w:val="none"/>
                      <w:lang w:val="en-US" w:eastAsia="zh-CN"/>
                    </w:rPr>
                    <w:t>）</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restart"/>
                  <w:tcBorders>
                    <w:left w:val="single" w:color="auto" w:sz="4" w:space="0"/>
                    <w:tl2br w:val="nil"/>
                    <w:tr2bl w:val="nil"/>
                  </w:tcBorders>
                  <w:vAlign w:val="center"/>
                </w:tcPr>
                <w:p>
                  <w:pPr>
                    <w:widowControl/>
                    <w:spacing w:line="24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项目中心位置</w:t>
                  </w:r>
                </w:p>
                <w:p>
                  <w:pPr>
                    <w:widowControl/>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T</w:t>
                  </w:r>
                  <w:r>
                    <w:rPr>
                      <w:rFonts w:hint="eastAsia" w:ascii="Times New Roman" w:hAnsi="Times New Roman" w:eastAsia="宋体" w:cs="Times New Roman"/>
                      <w:color w:val="auto"/>
                      <w:sz w:val="21"/>
                      <w:szCs w:val="21"/>
                      <w:lang w:val="en-US" w:eastAsia="zh-CN"/>
                    </w:rPr>
                    <w:t>2</w:t>
                  </w:r>
                </w:p>
              </w:tc>
              <w:tc>
                <w:tcPr>
                  <w:tcW w:w="1096" w:type="dxa"/>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b w:val="0"/>
                      <w:bCs w:val="0"/>
                      <w:color w:val="auto"/>
                      <w:sz w:val="21"/>
                      <w:szCs w:val="21"/>
                      <w:highlight w:val="none"/>
                      <w:lang w:val="en-US" w:eastAsia="zh-CN"/>
                    </w:rPr>
                    <w:t>棕</w:t>
                  </w:r>
                  <w:r>
                    <w:rPr>
                      <w:rFonts w:hint="default" w:ascii="Times New Roman" w:hAnsi="Times New Roman" w:eastAsia="宋体" w:cs="Times New Roman"/>
                      <w:b w:val="0"/>
                      <w:bCs w:val="0"/>
                      <w:color w:val="auto"/>
                      <w:sz w:val="21"/>
                      <w:szCs w:val="21"/>
                      <w:highlight w:val="none"/>
                      <w:lang w:val="en-US" w:eastAsia="zh-CN"/>
                    </w:rPr>
                    <w:t>色</w:t>
                  </w: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bidi="ar-SA"/>
                    </w:rPr>
                    <w:t>pH</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b w:val="0"/>
                      <w:bCs w:val="0"/>
                      <w:color w:val="auto"/>
                      <w:kern w:val="2"/>
                      <w:sz w:val="21"/>
                      <w:szCs w:val="21"/>
                      <w:lang w:val="en-US" w:eastAsia="zh-CN"/>
                    </w:rPr>
                    <w:t>无量纲</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6.21</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镉</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0.23</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汞</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0.092</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砷</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13.8</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铅</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23</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000000" w:themeColor="text1"/>
                      <w:sz w:val="21"/>
                      <w:szCs w:val="21"/>
                      <w:lang w:eastAsia="zh-CN"/>
                      <w14:textFill>
                        <w14:solidFill>
                          <w14:schemeClr w14:val="tx1"/>
                        </w14:solidFill>
                      </w14:textFill>
                    </w:rPr>
                    <w:t>铬</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107</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铜</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镍</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锌</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石油烃</w:t>
                  </w:r>
                  <w:r>
                    <w:rPr>
                      <w:rFonts w:hint="eastAsia"/>
                      <w:bCs/>
                      <w:sz w:val="21"/>
                      <w:szCs w:val="21"/>
                      <w:u w:val="none"/>
                      <w:lang w:val="en-US" w:eastAsia="zh-CN"/>
                    </w:rPr>
                    <w:t>（C</w:t>
                  </w:r>
                  <w:r>
                    <w:rPr>
                      <w:rFonts w:hint="eastAsia"/>
                      <w:bCs/>
                      <w:sz w:val="21"/>
                      <w:szCs w:val="21"/>
                      <w:u w:val="none"/>
                      <w:vertAlign w:val="subscript"/>
                      <w:lang w:val="en-US" w:eastAsia="zh-CN"/>
                    </w:rPr>
                    <w:t>10</w:t>
                  </w:r>
                  <w:r>
                    <w:rPr>
                      <w:rFonts w:hint="eastAsia"/>
                      <w:bCs/>
                      <w:sz w:val="21"/>
                      <w:szCs w:val="21"/>
                      <w:u w:val="none"/>
                      <w:lang w:val="en-US" w:eastAsia="zh-CN"/>
                    </w:rPr>
                    <w:t>~C</w:t>
                  </w:r>
                  <w:r>
                    <w:rPr>
                      <w:rFonts w:hint="eastAsia"/>
                      <w:bCs/>
                      <w:sz w:val="21"/>
                      <w:szCs w:val="21"/>
                      <w:u w:val="none"/>
                      <w:vertAlign w:val="subscript"/>
                      <w:lang w:val="en-US" w:eastAsia="zh-CN"/>
                    </w:rPr>
                    <w:t>40</w:t>
                  </w:r>
                  <w:r>
                    <w:rPr>
                      <w:rFonts w:hint="eastAsia"/>
                      <w:bCs/>
                      <w:sz w:val="21"/>
                      <w:szCs w:val="21"/>
                      <w:u w:val="none"/>
                      <w:lang w:val="en-US" w:eastAsia="zh-CN"/>
                    </w:rPr>
                    <w:t>）</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restart"/>
                  <w:tcBorders>
                    <w:left w:val="single" w:color="auto" w:sz="4" w:space="0"/>
                    <w:tl2br w:val="nil"/>
                    <w:tr2bl w:val="nil"/>
                  </w:tcBorders>
                  <w:vAlign w:val="center"/>
                </w:tcPr>
                <w:p>
                  <w:pPr>
                    <w:widowControl/>
                    <w:spacing w:line="24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项目西面</w:t>
                  </w:r>
                </w:p>
                <w:p>
                  <w:pPr>
                    <w:widowControl/>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T</w:t>
                  </w:r>
                  <w:r>
                    <w:rPr>
                      <w:rFonts w:hint="eastAsia" w:ascii="Times New Roman" w:hAnsi="Times New Roman" w:eastAsia="宋体" w:cs="Times New Roman"/>
                      <w:color w:val="auto"/>
                      <w:sz w:val="21"/>
                      <w:szCs w:val="21"/>
                      <w:lang w:val="en-US" w:eastAsia="zh-CN"/>
                    </w:rPr>
                    <w:t>3</w:t>
                  </w:r>
                </w:p>
              </w:tc>
              <w:tc>
                <w:tcPr>
                  <w:tcW w:w="1096" w:type="dxa"/>
                  <w:vMerge w:val="restart"/>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b w:val="0"/>
                      <w:bCs w:val="0"/>
                      <w:color w:val="auto"/>
                      <w:sz w:val="21"/>
                      <w:szCs w:val="21"/>
                      <w:highlight w:val="none"/>
                      <w:lang w:val="en-US" w:eastAsia="zh-CN"/>
                    </w:rPr>
                    <w:t>棕</w:t>
                  </w:r>
                  <w:r>
                    <w:rPr>
                      <w:rFonts w:hint="default" w:ascii="Times New Roman" w:hAnsi="Times New Roman" w:eastAsia="宋体" w:cs="Times New Roman"/>
                      <w:b w:val="0"/>
                      <w:bCs w:val="0"/>
                      <w:color w:val="auto"/>
                      <w:sz w:val="21"/>
                      <w:szCs w:val="21"/>
                      <w:highlight w:val="none"/>
                      <w:lang w:val="en-US" w:eastAsia="zh-CN"/>
                    </w:rPr>
                    <w:t>色</w:t>
                  </w: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bidi="ar-SA"/>
                    </w:rPr>
                    <w:t>pH</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b w:val="0"/>
                      <w:bCs w:val="0"/>
                      <w:color w:val="auto"/>
                      <w:kern w:val="2"/>
                      <w:sz w:val="21"/>
                      <w:szCs w:val="21"/>
                      <w:lang w:val="en-US" w:eastAsia="zh-CN"/>
                    </w:rPr>
                    <w:t>无量纲</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6.47</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镉</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0.23</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汞</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0.052</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砷</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铅</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000000" w:themeColor="text1"/>
                      <w:sz w:val="21"/>
                      <w:szCs w:val="21"/>
                      <w:lang w:eastAsia="zh-CN"/>
                      <w14:textFill>
                        <w14:solidFill>
                          <w14:schemeClr w14:val="tx1"/>
                        </w14:solidFill>
                      </w14:textFill>
                    </w:rPr>
                    <w:t>铬</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127</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铜</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镍</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33</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pStyle w:val="38"/>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锌</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75</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95" w:type="dxa"/>
                  <w:vMerge w:val="continue"/>
                  <w:tcBorders>
                    <w:left w:val="single" w:color="auto" w:sz="4" w:space="0"/>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lang w:eastAsia="zh-CN"/>
                    </w:rPr>
                  </w:pPr>
                </w:p>
              </w:tc>
              <w:tc>
                <w:tcPr>
                  <w:tcW w:w="1096" w:type="dxa"/>
                  <w:vMerge w:val="continue"/>
                  <w:tcBorders>
                    <w:tl2br w:val="nil"/>
                    <w:tr2bl w:val="nil"/>
                  </w:tcBorders>
                  <w:vAlign w:val="center"/>
                </w:tcPr>
                <w:p>
                  <w:pPr>
                    <w:spacing w:line="360" w:lineRule="auto"/>
                    <w:ind w:left="0" w:leftChars="0"/>
                    <w:jc w:val="center"/>
                    <w:rPr>
                      <w:rFonts w:hint="default" w:ascii="Times New Roman" w:hAnsi="Times New Roman" w:eastAsia="宋体" w:cs="Times New Roman"/>
                      <w:color w:val="auto"/>
                      <w:sz w:val="21"/>
                      <w:szCs w:val="21"/>
                      <w:lang w:eastAsia="zh-CN"/>
                    </w:rPr>
                  </w:pPr>
                </w:p>
              </w:tc>
              <w:tc>
                <w:tcPr>
                  <w:tcW w:w="2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Theme="minorEastAsia"/>
                      <w:color w:val="auto"/>
                      <w:sz w:val="21"/>
                      <w:szCs w:val="21"/>
                      <w:lang w:val="en-US" w:eastAsia="zh-CN"/>
                    </w:rPr>
                    <w:t>石油烃</w:t>
                  </w:r>
                  <w:r>
                    <w:rPr>
                      <w:rFonts w:hint="eastAsia"/>
                      <w:bCs/>
                      <w:sz w:val="21"/>
                      <w:szCs w:val="21"/>
                      <w:u w:val="none"/>
                      <w:lang w:val="en-US" w:eastAsia="zh-CN"/>
                    </w:rPr>
                    <w:t>（C</w:t>
                  </w:r>
                  <w:r>
                    <w:rPr>
                      <w:rFonts w:hint="eastAsia"/>
                      <w:bCs/>
                      <w:sz w:val="21"/>
                      <w:szCs w:val="21"/>
                      <w:u w:val="none"/>
                      <w:vertAlign w:val="subscript"/>
                      <w:lang w:val="en-US" w:eastAsia="zh-CN"/>
                    </w:rPr>
                    <w:t>10</w:t>
                  </w:r>
                  <w:r>
                    <w:rPr>
                      <w:rFonts w:hint="eastAsia"/>
                      <w:bCs/>
                      <w:sz w:val="21"/>
                      <w:szCs w:val="21"/>
                      <w:u w:val="none"/>
                      <w:lang w:val="en-US" w:eastAsia="zh-CN"/>
                    </w:rPr>
                    <w:t>~C</w:t>
                  </w:r>
                  <w:r>
                    <w:rPr>
                      <w:rFonts w:hint="eastAsia"/>
                      <w:bCs/>
                      <w:sz w:val="21"/>
                      <w:szCs w:val="21"/>
                      <w:u w:val="none"/>
                      <w:vertAlign w:val="subscript"/>
                      <w:lang w:val="en-US" w:eastAsia="zh-CN"/>
                    </w:rPr>
                    <w:t>40</w:t>
                  </w:r>
                  <w:r>
                    <w:rPr>
                      <w:rFonts w:hint="eastAsia"/>
                      <w:bCs/>
                      <w:sz w:val="21"/>
                      <w:szCs w:val="21"/>
                      <w:u w:val="none"/>
                      <w:lang w:val="en-US" w:eastAsia="zh-CN"/>
                    </w:rPr>
                    <w:t>）</w:t>
                  </w:r>
                </w:p>
              </w:tc>
              <w:tc>
                <w:tcPr>
                  <w:tcW w:w="1261" w:type="dxa"/>
                  <w:tcBorders>
                    <w:tl2br w:val="nil"/>
                    <w:tr2bl w:val="nil"/>
                  </w:tcBorders>
                  <w:vAlign w:val="center"/>
                </w:tcPr>
                <w:p>
                  <w:pPr>
                    <w:widowControl/>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mg/kg</w:t>
                  </w:r>
                </w:p>
              </w:tc>
              <w:tc>
                <w:tcPr>
                  <w:tcW w:w="1335" w:type="dxa"/>
                  <w:tcBorders>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1147" w:type="dxa"/>
                  <w:tcBorders>
                    <w:right w:val="single" w:color="auto" w:sz="4" w:space="0"/>
                    <w:tl2br w:val="nil"/>
                    <w:tr2bl w:val="nil"/>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8647" w:type="dxa"/>
                  <w:gridSpan w:val="6"/>
                  <w:tcBorders>
                    <w:left w:val="single" w:color="auto" w:sz="4" w:space="0"/>
                    <w:bottom w:val="single" w:color="auto" w:sz="4" w:space="0"/>
                    <w:right w:val="single" w:color="auto" w:sz="4" w:space="0"/>
                    <w:tl2br w:val="nil"/>
                    <w:tr2bl w:val="nil"/>
                  </w:tcBorders>
                  <w:vAlign w:val="center"/>
                </w:tcPr>
                <w:p>
                  <w:pPr>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备注：参考《土壤环境质量 建设用地土壤污染风险管控标准》（GB 36600-2018）表1中筛选值第二类用地标准限值</w:t>
                  </w:r>
                </w:p>
              </w:tc>
            </w:tr>
          </w:tbl>
          <w:p>
            <w:pPr>
              <w:spacing w:line="360" w:lineRule="auto"/>
              <w:ind w:firstLine="470" w:firstLineChars="196"/>
              <w:rPr>
                <w:bCs/>
                <w:sz w:val="24"/>
              </w:rPr>
            </w:pPr>
            <w:r>
              <w:rPr>
                <w:bCs/>
                <w:sz w:val="24"/>
              </w:rPr>
              <w:t>由</w:t>
            </w:r>
            <w:r>
              <w:rPr>
                <w:rFonts w:hint="eastAsia" w:ascii="Times New Roman" w:hAnsi="Times New Roman" w:eastAsia="宋体" w:cs="Times New Roman"/>
                <w:sz w:val="24"/>
                <w:szCs w:val="24"/>
              </w:rPr>
              <w:t>上表数据可见，项目所在区域</w:t>
            </w:r>
            <w:r>
              <w:rPr>
                <w:rFonts w:hint="eastAsia" w:ascii="Times New Roman" w:hAnsi="Times New Roman" w:eastAsia="宋体" w:cs="Times New Roman"/>
                <w:sz w:val="24"/>
                <w:szCs w:val="24"/>
                <w:lang w:eastAsia="zh-CN"/>
              </w:rPr>
              <w:t>土壤</w:t>
            </w:r>
            <w:r>
              <w:rPr>
                <w:rFonts w:hint="eastAsia" w:ascii="Times New Roman" w:hAnsi="Times New Roman" w:eastAsia="宋体" w:cs="Times New Roman"/>
                <w:sz w:val="24"/>
                <w:szCs w:val="24"/>
              </w:rPr>
              <w:t>环境质量现状良好，</w:t>
            </w:r>
            <w:r>
              <w:rPr>
                <w:rFonts w:hint="eastAsia" w:ascii="Times New Roman" w:hAnsi="Times New Roman" w:eastAsia="宋体" w:cs="Times New Roman"/>
                <w:sz w:val="24"/>
                <w:szCs w:val="24"/>
                <w:lang w:eastAsia="zh-CN"/>
              </w:rPr>
              <w:t>各监测因子</w:t>
            </w:r>
            <w:r>
              <w:rPr>
                <w:rFonts w:hint="eastAsia" w:ascii="Times New Roman" w:hAnsi="Times New Roman" w:eastAsia="宋体" w:cs="Times New Roman"/>
                <w:sz w:val="24"/>
                <w:szCs w:val="24"/>
              </w:rPr>
              <w:t>可</w:t>
            </w:r>
            <w:r>
              <w:rPr>
                <w:rFonts w:hint="eastAsia" w:ascii="Times New Roman" w:hAnsi="Times New Roman" w:eastAsia="宋体" w:cs="Times New Roman"/>
                <w:sz w:val="24"/>
                <w:szCs w:val="24"/>
                <w:lang w:eastAsia="zh-CN"/>
              </w:rPr>
              <w:t>满足</w:t>
            </w:r>
            <w:r>
              <w:rPr>
                <w:rFonts w:hint="default" w:ascii="Times New Roman" w:hAnsi="Times New Roman" w:eastAsia="宋体" w:cs="Times New Roman"/>
                <w:sz w:val="24"/>
                <w:szCs w:val="24"/>
                <w:lang w:val="en-US" w:eastAsia="zh-CN"/>
              </w:rPr>
              <w:t>《土壤环境质量 建设用地土壤污染风险管控标准》（GB 36600-2018）表1中筛选值第二类用地标准限值</w:t>
            </w:r>
            <w:r>
              <w:rPr>
                <w:rFonts w:hint="eastAsia" w:ascii="Times New Roman" w:hAnsi="Times New Roman" w:eastAsia="宋体" w:cs="Times New Roman"/>
                <w:sz w:val="24"/>
                <w:szCs w:val="24"/>
              </w:rPr>
              <w:t>要求。</w:t>
            </w:r>
          </w:p>
          <w:p>
            <w:pPr>
              <w:pStyle w:val="5"/>
            </w:pPr>
            <w:r>
              <w:t>环境噪声现状调查与评价</w:t>
            </w:r>
            <w:bookmarkEnd w:id="16"/>
            <w:bookmarkEnd w:id="17"/>
          </w:p>
          <w:p>
            <w:pPr>
              <w:pStyle w:val="4"/>
              <w:ind w:firstLine="480"/>
              <w:rPr>
                <w:szCs w:val="24"/>
              </w:rPr>
            </w:pPr>
            <w:r>
              <w:rPr>
                <w:szCs w:val="24"/>
              </w:rPr>
              <w:t>本项目于201</w:t>
            </w:r>
            <w:r>
              <w:rPr>
                <w:rFonts w:hint="eastAsia"/>
                <w:szCs w:val="24"/>
              </w:rPr>
              <w:t>9</w:t>
            </w:r>
            <w:r>
              <w:rPr>
                <w:szCs w:val="24"/>
              </w:rPr>
              <w:t>年</w:t>
            </w:r>
            <w:r>
              <w:rPr>
                <w:rFonts w:hint="eastAsia"/>
                <w:szCs w:val="24"/>
              </w:rPr>
              <w:t>9</w:t>
            </w:r>
            <w:r>
              <w:rPr>
                <w:szCs w:val="24"/>
              </w:rPr>
              <w:t>月</w:t>
            </w:r>
            <w:r>
              <w:rPr>
                <w:rFonts w:hint="eastAsia"/>
                <w:szCs w:val="24"/>
              </w:rPr>
              <w:t>27</w:t>
            </w:r>
            <w:r>
              <w:rPr>
                <w:szCs w:val="24"/>
              </w:rPr>
              <w:t>日-</w:t>
            </w:r>
            <w:r>
              <w:rPr>
                <w:rFonts w:hint="eastAsia"/>
                <w:szCs w:val="24"/>
              </w:rPr>
              <w:t>28</w:t>
            </w:r>
            <w:r>
              <w:rPr>
                <w:szCs w:val="24"/>
              </w:rPr>
              <w:t>日对项目用地区声环境质量进行了现状监测，具体如下：</w:t>
            </w:r>
          </w:p>
          <w:p>
            <w:pPr>
              <w:spacing w:line="360" w:lineRule="auto"/>
              <w:ind w:firstLine="480" w:firstLineChars="200"/>
              <w:rPr>
                <w:sz w:val="24"/>
                <w:szCs w:val="24"/>
              </w:rPr>
            </w:pPr>
            <w:r>
              <w:rPr>
                <w:sz w:val="24"/>
                <w:szCs w:val="24"/>
              </w:rPr>
              <w:t>（1）监测点位：本项目环境噪声现状监测点分别位于</w:t>
            </w:r>
            <w:r>
              <w:rPr>
                <w:rFonts w:hint="eastAsia"/>
                <w:sz w:val="24"/>
                <w:szCs w:val="24"/>
              </w:rPr>
              <w:t>项目周边</w:t>
            </w:r>
            <w:r>
              <w:rPr>
                <w:sz w:val="24"/>
                <w:szCs w:val="24"/>
              </w:rPr>
              <w:t>东、南、西、北4个边界处，共</w:t>
            </w:r>
            <w:r>
              <w:rPr>
                <w:rFonts w:hint="eastAsia"/>
                <w:sz w:val="24"/>
                <w:szCs w:val="24"/>
              </w:rPr>
              <w:t>4</w:t>
            </w:r>
            <w:r>
              <w:rPr>
                <w:sz w:val="24"/>
                <w:szCs w:val="24"/>
              </w:rPr>
              <w:t>个监测点。</w:t>
            </w:r>
          </w:p>
          <w:p>
            <w:pPr>
              <w:spacing w:line="360" w:lineRule="auto"/>
              <w:ind w:firstLine="480" w:firstLineChars="200"/>
              <w:rPr>
                <w:sz w:val="24"/>
                <w:szCs w:val="24"/>
              </w:rPr>
            </w:pPr>
            <w:r>
              <w:rPr>
                <w:sz w:val="24"/>
                <w:szCs w:val="24"/>
              </w:rPr>
              <w:t>（2）监测因子：等效连续A声级，201</w:t>
            </w:r>
            <w:r>
              <w:rPr>
                <w:rFonts w:hint="eastAsia"/>
                <w:sz w:val="24"/>
                <w:szCs w:val="24"/>
              </w:rPr>
              <w:t>9</w:t>
            </w:r>
            <w:r>
              <w:rPr>
                <w:sz w:val="24"/>
                <w:szCs w:val="24"/>
              </w:rPr>
              <w:t>年</w:t>
            </w:r>
            <w:r>
              <w:rPr>
                <w:rFonts w:hint="eastAsia"/>
                <w:sz w:val="24"/>
                <w:szCs w:val="24"/>
              </w:rPr>
              <w:t>9</w:t>
            </w:r>
            <w:r>
              <w:rPr>
                <w:sz w:val="24"/>
                <w:szCs w:val="24"/>
              </w:rPr>
              <w:t>月</w:t>
            </w:r>
            <w:r>
              <w:rPr>
                <w:rFonts w:hint="eastAsia"/>
                <w:sz w:val="24"/>
                <w:szCs w:val="24"/>
              </w:rPr>
              <w:t>27</w:t>
            </w:r>
            <w:r>
              <w:rPr>
                <w:sz w:val="24"/>
                <w:szCs w:val="24"/>
              </w:rPr>
              <w:t>日-</w:t>
            </w:r>
            <w:r>
              <w:rPr>
                <w:rFonts w:hint="eastAsia"/>
                <w:sz w:val="24"/>
                <w:szCs w:val="24"/>
              </w:rPr>
              <w:t>28</w:t>
            </w:r>
            <w:r>
              <w:rPr>
                <w:sz w:val="24"/>
                <w:szCs w:val="24"/>
              </w:rPr>
              <w:t>日连续监测2天，昼间和夜间各监测1次。</w:t>
            </w:r>
          </w:p>
          <w:p>
            <w:pPr>
              <w:spacing w:line="360" w:lineRule="auto"/>
              <w:ind w:firstLine="480" w:firstLineChars="200"/>
              <w:rPr>
                <w:sz w:val="24"/>
                <w:szCs w:val="24"/>
              </w:rPr>
            </w:pPr>
            <w:r>
              <w:rPr>
                <w:sz w:val="24"/>
                <w:szCs w:val="24"/>
              </w:rPr>
              <w:t>（3）评价标准：执行《声环境质量标准》（GB3096-2008）中的2类</w:t>
            </w:r>
            <w:r>
              <w:rPr>
                <w:rFonts w:hint="eastAsia"/>
                <w:sz w:val="24"/>
                <w:szCs w:val="24"/>
              </w:rPr>
              <w:t>、4a类</w:t>
            </w:r>
            <w:r>
              <w:rPr>
                <w:sz w:val="24"/>
                <w:szCs w:val="24"/>
              </w:rPr>
              <w:t>标准。</w:t>
            </w:r>
          </w:p>
          <w:p>
            <w:pPr>
              <w:spacing w:line="360" w:lineRule="auto"/>
              <w:ind w:firstLine="480" w:firstLineChars="2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）监测工况：站区正常运营状态下进行监测。</w:t>
            </w:r>
          </w:p>
          <w:p>
            <w:pPr>
              <w:pStyle w:val="4"/>
              <w:ind w:firstLine="480"/>
              <w:rPr>
                <w:szCs w:val="24"/>
              </w:rPr>
            </w:pPr>
            <w:r>
              <w:rPr>
                <w:szCs w:val="24"/>
              </w:rPr>
              <w:t>监测结果详见表3.</w:t>
            </w:r>
            <w:r>
              <w:rPr>
                <w:rFonts w:hint="eastAsia"/>
                <w:szCs w:val="24"/>
                <w:lang w:val="en-US" w:eastAsia="zh-CN"/>
              </w:rPr>
              <w:t>5</w:t>
            </w:r>
            <w:r>
              <w:rPr>
                <w:szCs w:val="24"/>
              </w:rPr>
              <w:t>-1。</w:t>
            </w:r>
          </w:p>
          <w:p>
            <w:pPr>
              <w:pStyle w:val="9"/>
              <w:spacing w:line="240" w:lineRule="auto"/>
              <w:jc w:val="center"/>
              <w:rPr>
                <w:szCs w:val="20"/>
              </w:rPr>
            </w:pPr>
            <w:r>
              <w:rPr>
                <w:szCs w:val="20"/>
              </w:rPr>
              <w:t>表3.</w:t>
            </w:r>
            <w:r>
              <w:rPr>
                <w:rFonts w:hint="eastAsia"/>
                <w:szCs w:val="20"/>
                <w:lang w:val="en-US" w:eastAsia="zh-CN"/>
              </w:rPr>
              <w:t>5</w:t>
            </w:r>
            <w:r>
              <w:rPr>
                <w:szCs w:val="20"/>
              </w:rPr>
              <w:t>-1   噪声现状监测数据统计表   单位：dB(A)</w:t>
            </w:r>
          </w:p>
          <w:tbl>
            <w:tblPr>
              <w:tblStyle w:val="2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5"/>
              <w:gridCol w:w="823"/>
              <w:gridCol w:w="823"/>
              <w:gridCol w:w="823"/>
              <w:gridCol w:w="825"/>
              <w:gridCol w:w="1733"/>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Merge w:val="restart"/>
                  <w:vAlign w:val="center"/>
                </w:tcPr>
                <w:p>
                  <w:pPr>
                    <w:jc w:val="center"/>
                  </w:pPr>
                  <w:r>
                    <w:t>序号</w:t>
                  </w:r>
                </w:p>
              </w:tc>
              <w:tc>
                <w:tcPr>
                  <w:tcW w:w="2255" w:type="dxa"/>
                  <w:vMerge w:val="restart"/>
                  <w:vAlign w:val="center"/>
                </w:tcPr>
                <w:p>
                  <w:pPr>
                    <w:jc w:val="center"/>
                  </w:pPr>
                  <w:r>
                    <w:t>监测点位</w:t>
                  </w:r>
                </w:p>
              </w:tc>
              <w:tc>
                <w:tcPr>
                  <w:tcW w:w="1646" w:type="dxa"/>
                  <w:gridSpan w:val="2"/>
                  <w:vAlign w:val="center"/>
                </w:tcPr>
                <w:p>
                  <w:pPr>
                    <w:jc w:val="center"/>
                  </w:pPr>
                  <w:r>
                    <w:rPr>
                      <w:rFonts w:hint="eastAsia"/>
                    </w:rPr>
                    <w:t>9</w:t>
                  </w:r>
                  <w:r>
                    <w:t>月</w:t>
                  </w:r>
                  <w:r>
                    <w:rPr>
                      <w:rFonts w:hint="eastAsia"/>
                    </w:rPr>
                    <w:t>27</w:t>
                  </w:r>
                  <w:r>
                    <w:t>日</w:t>
                  </w:r>
                </w:p>
              </w:tc>
              <w:tc>
                <w:tcPr>
                  <w:tcW w:w="1648" w:type="dxa"/>
                  <w:gridSpan w:val="2"/>
                  <w:vAlign w:val="center"/>
                </w:tcPr>
                <w:p>
                  <w:pPr>
                    <w:jc w:val="center"/>
                  </w:pPr>
                  <w:r>
                    <w:rPr>
                      <w:rFonts w:hint="eastAsia"/>
                    </w:rPr>
                    <w:t>9</w:t>
                  </w:r>
                  <w:r>
                    <w:t>月</w:t>
                  </w:r>
                  <w:r>
                    <w:rPr>
                      <w:rFonts w:hint="eastAsia"/>
                    </w:rPr>
                    <w:t>28</w:t>
                  </w:r>
                  <w:r>
                    <w:t>日</w:t>
                  </w:r>
                </w:p>
              </w:tc>
              <w:tc>
                <w:tcPr>
                  <w:tcW w:w="1733" w:type="dxa"/>
                  <w:vMerge w:val="restart"/>
                  <w:vAlign w:val="center"/>
                </w:tcPr>
                <w:p>
                  <w:pPr>
                    <w:jc w:val="center"/>
                  </w:pPr>
                  <w:r>
                    <w:t>评价标准</w:t>
                  </w:r>
                </w:p>
              </w:tc>
              <w:tc>
                <w:tcPr>
                  <w:tcW w:w="680" w:type="dxa"/>
                  <w:vMerge w:val="restart"/>
                  <w:vAlign w:val="center"/>
                </w:tcPr>
                <w:p>
                  <w:pPr>
                    <w:jc w:val="center"/>
                  </w:pPr>
                  <w: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Merge w:val="continue"/>
                  <w:vAlign w:val="center"/>
                </w:tcPr>
                <w:p>
                  <w:pPr>
                    <w:jc w:val="center"/>
                  </w:pPr>
                </w:p>
              </w:tc>
              <w:tc>
                <w:tcPr>
                  <w:tcW w:w="2255" w:type="dxa"/>
                  <w:vMerge w:val="continue"/>
                  <w:vAlign w:val="center"/>
                </w:tcPr>
                <w:p>
                  <w:pPr>
                    <w:jc w:val="center"/>
                  </w:pPr>
                </w:p>
              </w:tc>
              <w:tc>
                <w:tcPr>
                  <w:tcW w:w="823" w:type="dxa"/>
                  <w:vAlign w:val="center"/>
                </w:tcPr>
                <w:p>
                  <w:pPr>
                    <w:jc w:val="center"/>
                  </w:pPr>
                  <w:r>
                    <w:t>昼间</w:t>
                  </w:r>
                </w:p>
              </w:tc>
              <w:tc>
                <w:tcPr>
                  <w:tcW w:w="823" w:type="dxa"/>
                  <w:vAlign w:val="center"/>
                </w:tcPr>
                <w:p>
                  <w:pPr>
                    <w:jc w:val="center"/>
                  </w:pPr>
                  <w:r>
                    <w:t>夜间</w:t>
                  </w:r>
                </w:p>
              </w:tc>
              <w:tc>
                <w:tcPr>
                  <w:tcW w:w="823" w:type="dxa"/>
                  <w:vAlign w:val="center"/>
                </w:tcPr>
                <w:p>
                  <w:pPr>
                    <w:jc w:val="center"/>
                  </w:pPr>
                  <w:r>
                    <w:t>昼间</w:t>
                  </w:r>
                </w:p>
              </w:tc>
              <w:tc>
                <w:tcPr>
                  <w:tcW w:w="825" w:type="dxa"/>
                  <w:vAlign w:val="center"/>
                </w:tcPr>
                <w:p>
                  <w:pPr>
                    <w:jc w:val="center"/>
                  </w:pPr>
                  <w:r>
                    <w:t>夜间</w:t>
                  </w:r>
                </w:p>
              </w:tc>
              <w:tc>
                <w:tcPr>
                  <w:tcW w:w="1733" w:type="dxa"/>
                  <w:vMerge w:val="continue"/>
                  <w:vAlign w:val="center"/>
                </w:tcPr>
                <w:p>
                  <w:pPr>
                    <w:jc w:val="center"/>
                  </w:pPr>
                </w:p>
              </w:tc>
              <w:tc>
                <w:tcPr>
                  <w:tcW w:w="68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Align w:val="center"/>
                </w:tcPr>
                <w:p>
                  <w:pPr>
                    <w:jc w:val="center"/>
                  </w:pPr>
                  <w:r>
                    <w:t>1</w:t>
                  </w:r>
                </w:p>
              </w:tc>
              <w:tc>
                <w:tcPr>
                  <w:tcW w:w="2255" w:type="dxa"/>
                  <w:vAlign w:val="center"/>
                </w:tcPr>
                <w:p>
                  <w:pPr>
                    <w:jc w:val="center"/>
                  </w:pPr>
                  <w:r>
                    <w:rPr>
                      <w:rFonts w:hint="eastAsia"/>
                    </w:rPr>
                    <w:t>厂界</w:t>
                  </w:r>
                  <w:r>
                    <w:t>东面1#</w:t>
                  </w:r>
                </w:p>
              </w:tc>
              <w:tc>
                <w:tcPr>
                  <w:tcW w:w="823" w:type="dxa"/>
                  <w:vAlign w:val="center"/>
                </w:tcPr>
                <w:p>
                  <w:pPr>
                    <w:spacing w:line="240" w:lineRule="exact"/>
                    <w:jc w:val="center"/>
                  </w:pPr>
                  <w:r>
                    <w:rPr>
                      <w:rFonts w:hint="eastAsia"/>
                    </w:rPr>
                    <w:t>55</w:t>
                  </w:r>
                </w:p>
              </w:tc>
              <w:tc>
                <w:tcPr>
                  <w:tcW w:w="823" w:type="dxa"/>
                  <w:vAlign w:val="center"/>
                </w:tcPr>
                <w:p>
                  <w:pPr>
                    <w:spacing w:line="240" w:lineRule="exact"/>
                    <w:jc w:val="center"/>
                  </w:pPr>
                  <w:r>
                    <w:rPr>
                      <w:rFonts w:hint="eastAsia"/>
                    </w:rPr>
                    <w:t>44</w:t>
                  </w:r>
                </w:p>
              </w:tc>
              <w:tc>
                <w:tcPr>
                  <w:tcW w:w="823" w:type="dxa"/>
                  <w:vAlign w:val="center"/>
                </w:tcPr>
                <w:p>
                  <w:pPr>
                    <w:spacing w:line="240" w:lineRule="exact"/>
                    <w:jc w:val="center"/>
                  </w:pPr>
                  <w:r>
                    <w:rPr>
                      <w:rFonts w:hint="eastAsia"/>
                    </w:rPr>
                    <w:t>56</w:t>
                  </w:r>
                </w:p>
              </w:tc>
              <w:tc>
                <w:tcPr>
                  <w:tcW w:w="825" w:type="dxa"/>
                  <w:vAlign w:val="center"/>
                </w:tcPr>
                <w:p>
                  <w:pPr>
                    <w:spacing w:line="240" w:lineRule="exact"/>
                    <w:jc w:val="center"/>
                  </w:pPr>
                  <w:r>
                    <w:rPr>
                      <w:rFonts w:hint="eastAsia"/>
                    </w:rPr>
                    <w:t>47</w:t>
                  </w:r>
                </w:p>
              </w:tc>
              <w:tc>
                <w:tcPr>
                  <w:tcW w:w="1733" w:type="dxa"/>
                  <w:vAlign w:val="center"/>
                </w:tcPr>
                <w:p>
                  <w:pPr>
                    <w:jc w:val="center"/>
                  </w:pPr>
                  <w:r>
                    <w:t>昼间</w:t>
                  </w:r>
                  <w:r>
                    <w:rPr>
                      <w:rFonts w:hint="eastAsia"/>
                    </w:rPr>
                    <w:t>7</w:t>
                  </w:r>
                  <w:r>
                    <w:t>0、夜间</w:t>
                  </w:r>
                  <w:r>
                    <w:rPr>
                      <w:rFonts w:hint="eastAsia"/>
                    </w:rPr>
                    <w:t>55</w:t>
                  </w:r>
                </w:p>
              </w:tc>
              <w:tc>
                <w:tcPr>
                  <w:tcW w:w="680" w:type="dxa"/>
                  <w:vAlign w:val="center"/>
                </w:tcPr>
                <w:p>
                  <w:pPr>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Align w:val="center"/>
                </w:tcPr>
                <w:p>
                  <w:pPr>
                    <w:jc w:val="center"/>
                  </w:pPr>
                  <w:r>
                    <w:t>2</w:t>
                  </w:r>
                </w:p>
              </w:tc>
              <w:tc>
                <w:tcPr>
                  <w:tcW w:w="2255" w:type="dxa"/>
                  <w:vAlign w:val="center"/>
                </w:tcPr>
                <w:p>
                  <w:pPr>
                    <w:jc w:val="center"/>
                  </w:pPr>
                  <w:r>
                    <w:rPr>
                      <w:rFonts w:hint="eastAsia"/>
                    </w:rPr>
                    <w:t>厂界</w:t>
                  </w:r>
                  <w:r>
                    <w:t>南面2#</w:t>
                  </w:r>
                </w:p>
              </w:tc>
              <w:tc>
                <w:tcPr>
                  <w:tcW w:w="823" w:type="dxa"/>
                  <w:vAlign w:val="center"/>
                </w:tcPr>
                <w:p>
                  <w:pPr>
                    <w:spacing w:line="240" w:lineRule="exact"/>
                    <w:jc w:val="center"/>
                  </w:pPr>
                  <w:r>
                    <w:rPr>
                      <w:rFonts w:hint="eastAsia"/>
                    </w:rPr>
                    <w:t>55</w:t>
                  </w:r>
                </w:p>
              </w:tc>
              <w:tc>
                <w:tcPr>
                  <w:tcW w:w="823" w:type="dxa"/>
                  <w:vAlign w:val="center"/>
                </w:tcPr>
                <w:p>
                  <w:pPr>
                    <w:spacing w:line="240" w:lineRule="exact"/>
                    <w:jc w:val="center"/>
                  </w:pPr>
                  <w:r>
                    <w:rPr>
                      <w:rFonts w:hint="eastAsia"/>
                    </w:rPr>
                    <w:t>45</w:t>
                  </w:r>
                </w:p>
              </w:tc>
              <w:tc>
                <w:tcPr>
                  <w:tcW w:w="823" w:type="dxa"/>
                  <w:vAlign w:val="center"/>
                </w:tcPr>
                <w:p>
                  <w:pPr>
                    <w:spacing w:line="240" w:lineRule="exact"/>
                    <w:jc w:val="center"/>
                  </w:pPr>
                  <w:r>
                    <w:rPr>
                      <w:rFonts w:hint="eastAsia"/>
                    </w:rPr>
                    <w:t>56</w:t>
                  </w:r>
                </w:p>
              </w:tc>
              <w:tc>
                <w:tcPr>
                  <w:tcW w:w="825" w:type="dxa"/>
                  <w:vAlign w:val="center"/>
                </w:tcPr>
                <w:p>
                  <w:pPr>
                    <w:spacing w:line="240" w:lineRule="exact"/>
                    <w:jc w:val="center"/>
                  </w:pPr>
                  <w:r>
                    <w:rPr>
                      <w:rFonts w:hint="eastAsia"/>
                    </w:rPr>
                    <w:t>43</w:t>
                  </w:r>
                </w:p>
              </w:tc>
              <w:tc>
                <w:tcPr>
                  <w:tcW w:w="1733" w:type="dxa"/>
                  <w:vAlign w:val="center"/>
                </w:tcPr>
                <w:p>
                  <w:pPr>
                    <w:jc w:val="center"/>
                  </w:pPr>
                  <w:r>
                    <w:t>昼间60、夜间50</w:t>
                  </w:r>
                </w:p>
              </w:tc>
              <w:tc>
                <w:tcPr>
                  <w:tcW w:w="680" w:type="dxa"/>
                  <w:vAlign w:val="center"/>
                </w:tcPr>
                <w:p>
                  <w:pPr>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Align w:val="center"/>
                </w:tcPr>
                <w:p>
                  <w:pPr>
                    <w:jc w:val="center"/>
                  </w:pPr>
                  <w:r>
                    <w:t>3</w:t>
                  </w:r>
                </w:p>
              </w:tc>
              <w:tc>
                <w:tcPr>
                  <w:tcW w:w="2255" w:type="dxa"/>
                  <w:vAlign w:val="center"/>
                </w:tcPr>
                <w:p>
                  <w:pPr>
                    <w:jc w:val="center"/>
                  </w:pPr>
                  <w:r>
                    <w:rPr>
                      <w:rFonts w:hint="eastAsia"/>
                    </w:rPr>
                    <w:t>厂界</w:t>
                  </w:r>
                  <w:r>
                    <w:t>西面3#</w:t>
                  </w:r>
                </w:p>
              </w:tc>
              <w:tc>
                <w:tcPr>
                  <w:tcW w:w="823" w:type="dxa"/>
                  <w:vAlign w:val="center"/>
                </w:tcPr>
                <w:p>
                  <w:pPr>
                    <w:spacing w:line="240" w:lineRule="exact"/>
                    <w:jc w:val="center"/>
                  </w:pPr>
                  <w:r>
                    <w:rPr>
                      <w:rFonts w:hint="eastAsia"/>
                    </w:rPr>
                    <w:t>52</w:t>
                  </w:r>
                </w:p>
              </w:tc>
              <w:tc>
                <w:tcPr>
                  <w:tcW w:w="823" w:type="dxa"/>
                  <w:vAlign w:val="center"/>
                </w:tcPr>
                <w:p>
                  <w:pPr>
                    <w:spacing w:line="240" w:lineRule="exact"/>
                    <w:jc w:val="center"/>
                  </w:pPr>
                  <w:r>
                    <w:rPr>
                      <w:rFonts w:hint="eastAsia"/>
                    </w:rPr>
                    <w:t>46</w:t>
                  </w:r>
                </w:p>
              </w:tc>
              <w:tc>
                <w:tcPr>
                  <w:tcW w:w="823" w:type="dxa"/>
                  <w:vAlign w:val="center"/>
                </w:tcPr>
                <w:p>
                  <w:pPr>
                    <w:spacing w:line="240" w:lineRule="exact"/>
                    <w:jc w:val="center"/>
                  </w:pPr>
                  <w:r>
                    <w:rPr>
                      <w:rFonts w:hint="eastAsia"/>
                    </w:rPr>
                    <w:t>54</w:t>
                  </w:r>
                </w:p>
              </w:tc>
              <w:tc>
                <w:tcPr>
                  <w:tcW w:w="825" w:type="dxa"/>
                  <w:vAlign w:val="center"/>
                </w:tcPr>
                <w:p>
                  <w:pPr>
                    <w:spacing w:line="240" w:lineRule="exact"/>
                    <w:jc w:val="center"/>
                  </w:pPr>
                  <w:r>
                    <w:rPr>
                      <w:rFonts w:hint="eastAsia"/>
                    </w:rPr>
                    <w:t>42</w:t>
                  </w:r>
                </w:p>
              </w:tc>
              <w:tc>
                <w:tcPr>
                  <w:tcW w:w="1733" w:type="dxa"/>
                  <w:vAlign w:val="center"/>
                </w:tcPr>
                <w:p>
                  <w:pPr>
                    <w:jc w:val="center"/>
                  </w:pPr>
                  <w:r>
                    <w:t>昼间60、夜间50</w:t>
                  </w:r>
                </w:p>
              </w:tc>
              <w:tc>
                <w:tcPr>
                  <w:tcW w:w="680" w:type="dxa"/>
                  <w:vAlign w:val="center"/>
                </w:tcPr>
                <w:p>
                  <w:pPr>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08" w:type="dxa"/>
                  <w:vAlign w:val="center"/>
                </w:tcPr>
                <w:p>
                  <w:pPr>
                    <w:jc w:val="center"/>
                  </w:pPr>
                  <w:r>
                    <w:t>4</w:t>
                  </w:r>
                </w:p>
              </w:tc>
              <w:tc>
                <w:tcPr>
                  <w:tcW w:w="2255" w:type="dxa"/>
                  <w:vAlign w:val="center"/>
                </w:tcPr>
                <w:p>
                  <w:pPr>
                    <w:jc w:val="center"/>
                  </w:pPr>
                  <w:r>
                    <w:rPr>
                      <w:rFonts w:hint="eastAsia"/>
                    </w:rPr>
                    <w:t>厂界</w:t>
                  </w:r>
                  <w:r>
                    <w:t>北面4#</w:t>
                  </w:r>
                </w:p>
              </w:tc>
              <w:tc>
                <w:tcPr>
                  <w:tcW w:w="823" w:type="dxa"/>
                  <w:vAlign w:val="center"/>
                </w:tcPr>
                <w:p>
                  <w:pPr>
                    <w:spacing w:line="240" w:lineRule="exact"/>
                    <w:jc w:val="center"/>
                  </w:pPr>
                  <w:r>
                    <w:rPr>
                      <w:rFonts w:hint="eastAsia"/>
                    </w:rPr>
                    <w:t>53</w:t>
                  </w:r>
                </w:p>
              </w:tc>
              <w:tc>
                <w:tcPr>
                  <w:tcW w:w="823" w:type="dxa"/>
                  <w:vAlign w:val="center"/>
                </w:tcPr>
                <w:p>
                  <w:pPr>
                    <w:spacing w:line="240" w:lineRule="exact"/>
                    <w:jc w:val="center"/>
                  </w:pPr>
                  <w:r>
                    <w:rPr>
                      <w:rFonts w:hint="eastAsia"/>
                    </w:rPr>
                    <w:t>44</w:t>
                  </w:r>
                </w:p>
              </w:tc>
              <w:tc>
                <w:tcPr>
                  <w:tcW w:w="823" w:type="dxa"/>
                  <w:vAlign w:val="center"/>
                </w:tcPr>
                <w:p>
                  <w:pPr>
                    <w:spacing w:line="240" w:lineRule="exact"/>
                    <w:jc w:val="center"/>
                  </w:pPr>
                  <w:r>
                    <w:rPr>
                      <w:rFonts w:hint="eastAsia"/>
                    </w:rPr>
                    <w:t>55</w:t>
                  </w:r>
                </w:p>
              </w:tc>
              <w:tc>
                <w:tcPr>
                  <w:tcW w:w="825" w:type="dxa"/>
                  <w:vAlign w:val="center"/>
                </w:tcPr>
                <w:p>
                  <w:pPr>
                    <w:spacing w:line="240" w:lineRule="exact"/>
                    <w:jc w:val="center"/>
                  </w:pPr>
                  <w:r>
                    <w:rPr>
                      <w:rFonts w:hint="eastAsia"/>
                    </w:rPr>
                    <w:t>43</w:t>
                  </w:r>
                </w:p>
              </w:tc>
              <w:tc>
                <w:tcPr>
                  <w:tcW w:w="1733" w:type="dxa"/>
                  <w:vAlign w:val="center"/>
                </w:tcPr>
                <w:p>
                  <w:pPr>
                    <w:jc w:val="center"/>
                  </w:pPr>
                  <w:r>
                    <w:t>昼间60、夜间50</w:t>
                  </w:r>
                </w:p>
              </w:tc>
              <w:tc>
                <w:tcPr>
                  <w:tcW w:w="680" w:type="dxa"/>
                  <w:vAlign w:val="center"/>
                </w:tcPr>
                <w:p>
                  <w:pPr>
                    <w:jc w:val="center"/>
                  </w:pPr>
                  <w:r>
                    <w:t>达标</w:t>
                  </w:r>
                </w:p>
              </w:tc>
            </w:tr>
          </w:tbl>
          <w:p>
            <w:pPr>
              <w:pStyle w:val="4"/>
              <w:ind w:firstLine="480"/>
            </w:pPr>
            <w:r>
              <w:rPr>
                <w:szCs w:val="24"/>
              </w:rPr>
              <w:t>根据噪声监测结果显示：</w:t>
            </w:r>
            <w:r>
              <w:rPr>
                <w:rFonts w:hint="eastAsia"/>
                <w:szCs w:val="24"/>
              </w:rPr>
              <w:t>站区</w:t>
            </w:r>
            <w:r>
              <w:rPr>
                <w:szCs w:val="24"/>
              </w:rPr>
              <w:t>东面</w:t>
            </w:r>
            <w:r>
              <w:rPr>
                <w:rFonts w:hint="eastAsia"/>
                <w:szCs w:val="24"/>
              </w:rPr>
              <w:t>声环境</w:t>
            </w:r>
            <w:r>
              <w:rPr>
                <w:szCs w:val="24"/>
              </w:rPr>
              <w:t>监测点昼夜间声环境均能满足《声环境质量标准》（GB3096-2008）</w:t>
            </w:r>
            <w:r>
              <w:rPr>
                <w:rFonts w:hint="eastAsia"/>
                <w:szCs w:val="24"/>
              </w:rPr>
              <w:t>4a类</w:t>
            </w:r>
            <w:r>
              <w:rPr>
                <w:szCs w:val="24"/>
              </w:rPr>
              <w:t>标准要求</w:t>
            </w:r>
            <w:r>
              <w:rPr>
                <w:rFonts w:hint="eastAsia"/>
                <w:szCs w:val="24"/>
              </w:rPr>
              <w:t>，</w:t>
            </w:r>
            <w:r>
              <w:rPr>
                <w:szCs w:val="24"/>
              </w:rPr>
              <w:t>南面、西面、北面各声环境监测点昼夜间声环境均能满足《声环境质量标准》（GB3096-2008）2</w:t>
            </w:r>
            <w:r>
              <w:rPr>
                <w:rFonts w:hint="eastAsia"/>
                <w:szCs w:val="24"/>
              </w:rPr>
              <w:t>类</w:t>
            </w:r>
            <w:r>
              <w:rPr>
                <w:szCs w:val="24"/>
              </w:rPr>
              <w:t>标准要求</w:t>
            </w:r>
            <w:r>
              <w:t>。</w:t>
            </w:r>
          </w:p>
          <w:p>
            <w:pPr>
              <w:pStyle w:val="4"/>
              <w:spacing w:beforeLines="50"/>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9" w:hRule="atLeast"/>
        </w:trPr>
        <w:tc>
          <w:tcPr>
            <w:tcW w:w="8896" w:type="dxa"/>
          </w:tcPr>
          <w:p>
            <w:pPr>
              <w:pStyle w:val="4"/>
              <w:ind w:firstLine="0" w:firstLineChars="0"/>
              <w:jc w:val="left"/>
              <w:rPr>
                <w:rFonts w:eastAsia="黑体"/>
                <w:kern w:val="24"/>
              </w:rPr>
            </w:pPr>
            <w:r>
              <w:rPr>
                <w:rFonts w:eastAsia="黑体"/>
              </w:rPr>
              <w:t>3.</w:t>
            </w:r>
            <w:r>
              <w:rPr>
                <w:rFonts w:hint="eastAsia" w:eastAsia="黑体"/>
                <w:lang w:val="en-US" w:eastAsia="zh-CN"/>
              </w:rPr>
              <w:t>6</w:t>
            </w:r>
            <w:r>
              <w:rPr>
                <w:rFonts w:eastAsia="黑体"/>
              </w:rPr>
              <w:t>主要环境保护目标（列出名单及保护级别）：</w:t>
            </w:r>
          </w:p>
          <w:p>
            <w:pPr>
              <w:pStyle w:val="4"/>
              <w:ind w:firstLine="480"/>
            </w:pPr>
            <w:r>
              <w:rPr>
                <w:bCs/>
                <w:szCs w:val="24"/>
              </w:rPr>
              <w:t>本项目位于</w:t>
            </w:r>
            <w:r>
              <w:rPr>
                <w:color w:val="000000"/>
              </w:rPr>
              <w:t>湘阴县杨林寨乡东合港村3组</w:t>
            </w:r>
            <w:r>
              <w:rPr>
                <w:bCs/>
                <w:szCs w:val="24"/>
              </w:rPr>
              <w:t>。</w:t>
            </w:r>
            <w:r>
              <w:t>评价范围内无省重点文物保护单位，无珍稀动植物。根据现场勘查，确定本项目</w:t>
            </w:r>
            <w:r>
              <w:rPr>
                <w:spacing w:val="4"/>
              </w:rPr>
              <w:t>环境保护目标</w:t>
            </w:r>
            <w:r>
              <w:t>见表3.</w:t>
            </w:r>
            <w:r>
              <w:rPr>
                <w:rFonts w:hint="eastAsia"/>
                <w:lang w:val="en-US" w:eastAsia="zh-CN"/>
              </w:rPr>
              <w:t>6</w:t>
            </w:r>
            <w:r>
              <w:t>-1</w:t>
            </w:r>
            <w:r>
              <w:rPr>
                <w:rFonts w:hint="eastAsia"/>
              </w:rPr>
              <w:t>及3.</w:t>
            </w:r>
            <w:r>
              <w:rPr>
                <w:rFonts w:hint="eastAsia"/>
                <w:lang w:val="en-US" w:eastAsia="zh-CN"/>
              </w:rPr>
              <w:t>6</w:t>
            </w:r>
            <w:r>
              <w:rPr>
                <w:rFonts w:hint="eastAsia"/>
              </w:rPr>
              <w:t>-2</w:t>
            </w:r>
            <w:r>
              <w:t>。</w:t>
            </w:r>
          </w:p>
          <w:p>
            <w:pPr>
              <w:jc w:val="center"/>
              <w:rPr>
                <w:rFonts w:eastAsia="黑体"/>
                <w:bCs/>
                <w:sz w:val="24"/>
              </w:rPr>
            </w:pPr>
            <w:r>
              <w:rPr>
                <w:rFonts w:eastAsia="黑体"/>
                <w:bCs/>
                <w:sz w:val="24"/>
              </w:rPr>
              <w:t>表</w:t>
            </w:r>
            <w:r>
              <w:rPr>
                <w:rFonts w:hint="eastAsia" w:eastAsia="黑体"/>
                <w:bCs/>
                <w:sz w:val="24"/>
              </w:rPr>
              <w:t>3.</w:t>
            </w:r>
            <w:r>
              <w:rPr>
                <w:rFonts w:hint="eastAsia" w:eastAsia="黑体"/>
                <w:bCs/>
                <w:sz w:val="24"/>
                <w:lang w:val="en-US" w:eastAsia="zh-CN"/>
              </w:rPr>
              <w:t>6</w:t>
            </w:r>
            <w:r>
              <w:rPr>
                <w:rFonts w:hint="eastAsia" w:eastAsia="黑体"/>
                <w:bCs/>
                <w:sz w:val="24"/>
              </w:rPr>
              <w:t>-1</w:t>
            </w:r>
            <w:r>
              <w:rPr>
                <w:rFonts w:eastAsia="黑体"/>
                <w:bCs/>
                <w:sz w:val="24"/>
              </w:rPr>
              <w:t xml:space="preserve">   项目大气环境保护目标一览表</w:t>
            </w:r>
          </w:p>
          <w:tbl>
            <w:tblPr>
              <w:tblStyle w:val="2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267"/>
              <w:gridCol w:w="1127"/>
              <w:gridCol w:w="727"/>
              <w:gridCol w:w="1364"/>
              <w:gridCol w:w="1165"/>
              <w:gridCol w:w="81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保护对象</w:t>
                  </w:r>
                </w:p>
              </w:tc>
              <w:tc>
                <w:tcPr>
                  <w:tcW w:w="2394" w:type="dxa"/>
                  <w:gridSpan w:val="2"/>
                  <w:vAlign w:val="center"/>
                </w:tcPr>
                <w:p>
                  <w:pPr>
                    <w:pBdr>
                      <w:top w:val="none" w:color="auto" w:sz="0" w:space="1"/>
                      <w:left w:val="none" w:color="auto" w:sz="0" w:space="4"/>
                      <w:bottom w:val="none" w:color="auto" w:sz="0" w:space="1"/>
                      <w:right w:val="none" w:color="auto" w:sz="0" w:space="4"/>
                    </w:pBdr>
                    <w:adjustRightInd w:val="0"/>
                    <w:snapToGrid w:val="0"/>
                    <w:jc w:val="center"/>
                    <w:rPr>
                      <w:i/>
                      <w:iCs/>
                      <w:szCs w:val="21"/>
                    </w:rPr>
                  </w:pPr>
                  <w:r>
                    <w:rPr>
                      <w:rFonts w:hint="eastAsia"/>
                      <w:szCs w:val="21"/>
                    </w:rPr>
                    <w:t>坐标（经纬度）</w:t>
                  </w:r>
                </w:p>
              </w:tc>
              <w:tc>
                <w:tcPr>
                  <w:tcW w:w="727"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保护对象</w:t>
                  </w:r>
                </w:p>
              </w:tc>
              <w:tc>
                <w:tcPr>
                  <w:tcW w:w="1364"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保护内容</w:t>
                  </w:r>
                </w:p>
              </w:tc>
              <w:tc>
                <w:tcPr>
                  <w:tcW w:w="1165"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环境功能区</w:t>
                  </w:r>
                </w:p>
              </w:tc>
              <w:tc>
                <w:tcPr>
                  <w:tcW w:w="810"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相对项目方位</w:t>
                  </w:r>
                </w:p>
              </w:tc>
              <w:tc>
                <w:tcPr>
                  <w:tcW w:w="1046"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相对边界距离/m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经度</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纬度</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046"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r>
            <w:tr>
              <w:tblPrEx>
                <w:tblCellMar>
                  <w:top w:w="0" w:type="dxa"/>
                  <w:left w:w="108" w:type="dxa"/>
                  <w:bottom w:w="0" w:type="dxa"/>
                  <w:right w:w="108" w:type="dxa"/>
                </w:tblCellMar>
              </w:tblPrEx>
              <w:trPr>
                <w:cantSplit/>
                <w:trHeight w:val="519" w:hRule="atLeast"/>
                <w:jc w:val="center"/>
              </w:trPr>
              <w:tc>
                <w:tcPr>
                  <w:tcW w:w="1164" w:type="dxa"/>
                  <w:vAlign w:val="center"/>
                </w:tcPr>
                <w:p>
                  <w:pPr>
                    <w:pStyle w:val="42"/>
                    <w:rPr>
                      <w:rFonts w:hint="eastAsia" w:eastAsiaTheme="minorEastAsia"/>
                      <w:szCs w:val="21"/>
                      <w:lang w:val="en-US" w:eastAsia="zh-CN"/>
                    </w:rPr>
                  </w:pPr>
                  <w:r>
                    <w:rPr>
                      <w:rFonts w:hint="eastAsia" w:eastAsiaTheme="minorEastAsia"/>
                      <w:color w:val="000000"/>
                      <w:szCs w:val="21"/>
                    </w:rPr>
                    <w:t>杨林寨宗师潭村居民点</w:t>
                  </w:r>
                  <w:r>
                    <w:rPr>
                      <w:rFonts w:hint="eastAsia" w:eastAsiaTheme="minorEastAsia"/>
                      <w:color w:val="000000"/>
                      <w:szCs w:val="21"/>
                      <w:lang w:val="en-US" w:eastAsia="zh-CN"/>
                    </w:rPr>
                    <w:t>1</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112.741931</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宋体"/>
                      <w:szCs w:val="21"/>
                      <w:lang w:val="en-US" w:eastAsia="zh-CN"/>
                    </w:rPr>
                  </w:pPr>
                  <w:r>
                    <w:rPr>
                      <w:rFonts w:hint="eastAsia"/>
                      <w:szCs w:val="21"/>
                    </w:rPr>
                    <w:t>28.</w:t>
                  </w:r>
                  <w:r>
                    <w:rPr>
                      <w:rFonts w:hint="eastAsia"/>
                      <w:szCs w:val="21"/>
                      <w:lang w:val="en-US" w:eastAsia="zh-CN"/>
                    </w:rPr>
                    <w:t>434915</w:t>
                  </w:r>
                </w:p>
              </w:tc>
              <w:tc>
                <w:tcPr>
                  <w:tcW w:w="727"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居住区</w:t>
                  </w: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（约</w:t>
                  </w:r>
                  <w:r>
                    <w:rPr>
                      <w:rFonts w:hint="eastAsia"/>
                      <w:szCs w:val="21"/>
                      <w:lang w:val="en-US" w:eastAsia="zh-CN"/>
                    </w:rPr>
                    <w:t>4</w:t>
                  </w:r>
                  <w:r>
                    <w:rPr>
                      <w:rFonts w:hint="eastAsia"/>
                      <w:szCs w:val="21"/>
                    </w:rPr>
                    <w:t>户）</w:t>
                  </w:r>
                </w:p>
              </w:tc>
              <w:tc>
                <w:tcPr>
                  <w:tcW w:w="1165" w:type="dxa"/>
                  <w:vMerge w:val="restart"/>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执行《环境空气质量标准》（GB3095-2012）中的二类标准</w:t>
                  </w: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N</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eastAsiaTheme="minorEastAsia"/>
                      <w:color w:val="000000"/>
                      <w:szCs w:val="21"/>
                    </w:rPr>
                    <w:t>30-</w:t>
                  </w:r>
                  <w:r>
                    <w:rPr>
                      <w:rFonts w:hint="eastAsia" w:eastAsiaTheme="minorEastAsia"/>
                      <w:color w:val="000000"/>
                      <w:szCs w:val="21"/>
                      <w:lang w:val="en-US" w:eastAsia="zh-CN"/>
                    </w:rPr>
                    <w:t>100</w:t>
                  </w:r>
                  <w:r>
                    <w:rPr>
                      <w:rFonts w:eastAsiaTheme="minorEastAsia"/>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64" w:type="dxa"/>
                  <w:vAlign w:val="center"/>
                </w:tcPr>
                <w:p>
                  <w:pPr>
                    <w:pStyle w:val="42"/>
                    <w:rPr>
                      <w:rFonts w:hint="eastAsia" w:eastAsiaTheme="minorEastAsia"/>
                      <w:color w:val="000000"/>
                      <w:szCs w:val="21"/>
                    </w:rPr>
                  </w:pPr>
                  <w:r>
                    <w:rPr>
                      <w:rFonts w:hint="eastAsia" w:eastAsiaTheme="minorEastAsia"/>
                      <w:color w:val="000000"/>
                      <w:szCs w:val="21"/>
                    </w:rPr>
                    <w:t>杨林寨宗师潭村居民点</w:t>
                  </w:r>
                  <w:r>
                    <w:rPr>
                      <w:rFonts w:hint="eastAsia" w:eastAsiaTheme="minorEastAsia"/>
                      <w:color w:val="000000"/>
                      <w:szCs w:val="21"/>
                      <w:lang w:val="en-US" w:eastAsia="zh-CN"/>
                    </w:rPr>
                    <w:t>2</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宋体"/>
                      <w:szCs w:val="21"/>
                      <w:lang w:val="en-US" w:eastAsia="zh-CN"/>
                    </w:rPr>
                  </w:pPr>
                  <w:r>
                    <w:rPr>
                      <w:rFonts w:hint="eastAsia"/>
                      <w:szCs w:val="21"/>
                    </w:rPr>
                    <w:t>112.</w:t>
                  </w:r>
                  <w:r>
                    <w:rPr>
                      <w:rFonts w:hint="eastAsia"/>
                      <w:szCs w:val="21"/>
                      <w:lang w:val="en-US" w:eastAsia="zh-CN"/>
                    </w:rPr>
                    <w:t>443558</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28.732693</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（约100户）</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N</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Theme="minorEastAsia"/>
                      <w:color w:val="000000"/>
                      <w:szCs w:val="21"/>
                      <w:lang w:val="en-US" w:eastAsia="zh-CN"/>
                    </w:rPr>
                  </w:pPr>
                  <w:r>
                    <w:rPr>
                      <w:rFonts w:hint="eastAsia" w:eastAsiaTheme="minorEastAsia"/>
                      <w:color w:val="000000"/>
                      <w:szCs w:val="21"/>
                      <w:lang w:val="en-US" w:eastAsia="zh-CN"/>
                    </w:rPr>
                    <w:t>100-675m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Align w:val="center"/>
                </w:tcPr>
                <w:p>
                  <w:pPr>
                    <w:pStyle w:val="42"/>
                    <w:rPr>
                      <w:rFonts w:hint="eastAsia" w:eastAsia="宋体"/>
                      <w:szCs w:val="21"/>
                      <w:lang w:val="en-US" w:eastAsia="zh-CN"/>
                    </w:rPr>
                  </w:pPr>
                  <w:r>
                    <w:rPr>
                      <w:rFonts w:hint="eastAsia" w:eastAsiaTheme="minorEastAsia"/>
                      <w:color w:val="000000"/>
                      <w:szCs w:val="21"/>
                    </w:rPr>
                    <w:t>杨林寨</w:t>
                  </w:r>
                  <w:r>
                    <w:rPr>
                      <w:rFonts w:hint="eastAsia"/>
                      <w:szCs w:val="21"/>
                    </w:rPr>
                    <w:t>东合港村居民点</w:t>
                  </w:r>
                  <w:r>
                    <w:rPr>
                      <w:rFonts w:hint="eastAsia"/>
                      <w:szCs w:val="21"/>
                      <w:lang w:val="en-US" w:eastAsia="zh-CN"/>
                    </w:rPr>
                    <w:t>1</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宋体"/>
                      <w:szCs w:val="21"/>
                      <w:lang w:val="en-US" w:eastAsia="zh-CN"/>
                    </w:rPr>
                  </w:pPr>
                  <w:r>
                    <w:rPr>
                      <w:rFonts w:hint="eastAsia"/>
                      <w:szCs w:val="21"/>
                    </w:rPr>
                    <w:t>112.</w:t>
                  </w:r>
                  <w:r>
                    <w:rPr>
                      <w:rFonts w:hint="eastAsia"/>
                      <w:szCs w:val="21"/>
                      <w:lang w:val="en-US" w:eastAsia="zh-CN"/>
                    </w:rPr>
                    <w:t>443845</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宋体"/>
                      <w:szCs w:val="21"/>
                      <w:lang w:val="en-US" w:eastAsia="zh-CN"/>
                    </w:rPr>
                  </w:pPr>
                  <w:r>
                    <w:rPr>
                      <w:rFonts w:hint="eastAsia"/>
                      <w:szCs w:val="21"/>
                    </w:rPr>
                    <w:t>28.</w:t>
                  </w:r>
                  <w:r>
                    <w:rPr>
                      <w:rFonts w:hint="eastAsia"/>
                      <w:szCs w:val="21"/>
                      <w:lang w:val="en-US" w:eastAsia="zh-CN"/>
                    </w:rPr>
                    <w:t>434256</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（约</w:t>
                  </w:r>
                  <w:r>
                    <w:rPr>
                      <w:rFonts w:hint="eastAsia"/>
                      <w:szCs w:val="21"/>
                      <w:lang w:val="en-US" w:eastAsia="zh-CN"/>
                    </w:rPr>
                    <w:t>8</w:t>
                  </w:r>
                  <w:r>
                    <w:rPr>
                      <w:rFonts w:hint="eastAsia"/>
                      <w:szCs w:val="21"/>
                    </w:rPr>
                    <w:t>户）</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S</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eastAsiaTheme="minorEastAsia"/>
                      <w:color w:val="000000"/>
                      <w:szCs w:val="21"/>
                    </w:rPr>
                    <w:t>18-</w:t>
                  </w:r>
                  <w:r>
                    <w:rPr>
                      <w:rFonts w:hint="eastAsia" w:eastAsiaTheme="minorEastAsia"/>
                      <w:color w:val="000000"/>
                      <w:szCs w:val="21"/>
                      <w:lang w:val="en-US" w:eastAsia="zh-CN"/>
                    </w:rPr>
                    <w:t>100</w:t>
                  </w:r>
                  <w:r>
                    <w:rPr>
                      <w:rFonts w:eastAsiaTheme="minorEastAsia"/>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Align w:val="center"/>
                </w:tcPr>
                <w:p>
                  <w:pPr>
                    <w:pStyle w:val="42"/>
                    <w:rPr>
                      <w:rFonts w:hint="eastAsia" w:eastAsiaTheme="minorEastAsia"/>
                      <w:color w:val="000000"/>
                      <w:szCs w:val="21"/>
                    </w:rPr>
                  </w:pPr>
                  <w:r>
                    <w:rPr>
                      <w:rFonts w:hint="eastAsia" w:eastAsiaTheme="minorEastAsia"/>
                      <w:color w:val="000000"/>
                      <w:szCs w:val="21"/>
                    </w:rPr>
                    <w:t>杨林寨</w:t>
                  </w:r>
                  <w:r>
                    <w:rPr>
                      <w:rFonts w:hint="eastAsia"/>
                      <w:szCs w:val="21"/>
                    </w:rPr>
                    <w:t>东合港村居民点</w:t>
                  </w:r>
                  <w:r>
                    <w:rPr>
                      <w:rFonts w:hint="eastAsia"/>
                      <w:szCs w:val="21"/>
                      <w:lang w:val="en-US" w:eastAsia="zh-CN"/>
                    </w:rPr>
                    <w:t>2</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112.745107</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28.727994</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（约150户）</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eastAsia"/>
                      <w:szCs w:val="21"/>
                    </w:rPr>
                  </w:pPr>
                  <w:r>
                    <w:rPr>
                      <w:rFonts w:hint="eastAsia"/>
                      <w:szCs w:val="21"/>
                    </w:rPr>
                    <w:t>S</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hint="default" w:eastAsiaTheme="minorEastAsia"/>
                      <w:color w:val="000000"/>
                      <w:szCs w:val="21"/>
                      <w:lang w:val="en-US" w:eastAsia="zh-CN"/>
                    </w:rPr>
                  </w:pPr>
                  <w:r>
                    <w:rPr>
                      <w:rFonts w:hint="eastAsia" w:eastAsiaTheme="minorEastAsia"/>
                      <w:color w:val="000000"/>
                      <w:szCs w:val="21"/>
                      <w:lang w:val="en-US" w:eastAsia="zh-CN"/>
                    </w:rPr>
                    <w:t>100-484m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Align w:val="center"/>
                </w:tcPr>
                <w:p>
                  <w:pPr>
                    <w:pStyle w:val="42"/>
                    <w:rPr>
                      <w:szCs w:val="21"/>
                    </w:rPr>
                  </w:pPr>
                  <w:r>
                    <w:rPr>
                      <w:rFonts w:hint="eastAsia" w:eastAsiaTheme="minorEastAsia"/>
                      <w:color w:val="000000"/>
                      <w:szCs w:val="21"/>
                    </w:rPr>
                    <w:t>杨林寨</w:t>
                  </w:r>
                  <w:r>
                    <w:rPr>
                      <w:rFonts w:hint="eastAsia"/>
                      <w:szCs w:val="21"/>
                    </w:rPr>
                    <w:t>合湖村居民点</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112.749394</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28.731891</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（约30户）</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E</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eastAsiaTheme="minorEastAsia"/>
                      <w:color w:val="000000"/>
                      <w:szCs w:val="21"/>
                    </w:rPr>
                    <w:t>538-642</w:t>
                  </w:r>
                  <w:r>
                    <w:rPr>
                      <w:rFonts w:eastAsiaTheme="minorEastAsia"/>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Align w:val="center"/>
                </w:tcPr>
                <w:p>
                  <w:pPr>
                    <w:pStyle w:val="42"/>
                    <w:rPr>
                      <w:szCs w:val="21"/>
                    </w:rPr>
                  </w:pPr>
                  <w:r>
                    <w:rPr>
                      <w:rFonts w:hint="eastAsia"/>
                      <w:szCs w:val="21"/>
                    </w:rPr>
                    <w:t>小太阳幼儿园</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112.741615</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28.733675</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教育，约60人</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N</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eastAsiaTheme="minorEastAsia"/>
                      <w:color w:val="000000"/>
                      <w:szCs w:val="21"/>
                    </w:rPr>
                    <w:t>466</w:t>
                  </w:r>
                  <w:r>
                    <w:rPr>
                      <w:rFonts w:eastAsiaTheme="minorEastAsia"/>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4" w:type="dxa"/>
                  <w:vAlign w:val="center"/>
                </w:tcPr>
                <w:p>
                  <w:pPr>
                    <w:pStyle w:val="42"/>
                    <w:rPr>
                      <w:szCs w:val="21"/>
                    </w:rPr>
                  </w:pPr>
                  <w:r>
                    <w:rPr>
                      <w:rFonts w:hint="eastAsia"/>
                      <w:szCs w:val="21"/>
                    </w:rPr>
                    <w:t>合湖学校</w:t>
                  </w:r>
                </w:p>
              </w:tc>
              <w:tc>
                <w:tcPr>
                  <w:tcW w:w="12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112.749351</w:t>
                  </w:r>
                </w:p>
              </w:tc>
              <w:tc>
                <w:tcPr>
                  <w:tcW w:w="112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28.733779</w:t>
                  </w:r>
                </w:p>
              </w:tc>
              <w:tc>
                <w:tcPr>
                  <w:tcW w:w="727"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1364"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小学，约200人</w:t>
                  </w:r>
                </w:p>
              </w:tc>
              <w:tc>
                <w:tcPr>
                  <w:tcW w:w="1165" w:type="dxa"/>
                  <w:vMerge w:val="continue"/>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p>
              </w:tc>
              <w:tc>
                <w:tcPr>
                  <w:tcW w:w="810"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E</w:t>
                  </w:r>
                </w:p>
              </w:tc>
              <w:tc>
                <w:tcPr>
                  <w:tcW w:w="1046"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rPr>
                  </w:pPr>
                  <w:r>
                    <w:rPr>
                      <w:rFonts w:hint="eastAsia" w:eastAsiaTheme="minorEastAsia"/>
                      <w:color w:val="000000"/>
                      <w:szCs w:val="21"/>
                    </w:rPr>
                    <w:t>720m</w:t>
                  </w:r>
                </w:p>
              </w:tc>
            </w:tr>
          </w:tbl>
          <w:p>
            <w:pPr>
              <w:pStyle w:val="23"/>
            </w:pPr>
          </w:p>
          <w:p>
            <w:pPr>
              <w:jc w:val="center"/>
              <w:rPr>
                <w:rFonts w:eastAsia="黑体"/>
                <w:bCs/>
                <w:sz w:val="24"/>
              </w:rPr>
            </w:pPr>
            <w:r>
              <w:rPr>
                <w:rFonts w:eastAsia="黑体"/>
                <w:bCs/>
                <w:sz w:val="24"/>
              </w:rPr>
              <w:t>表3</w:t>
            </w:r>
            <w:r>
              <w:rPr>
                <w:rFonts w:hint="eastAsia" w:eastAsia="黑体"/>
                <w:bCs/>
                <w:sz w:val="24"/>
              </w:rPr>
              <w:t>.</w:t>
            </w:r>
            <w:r>
              <w:rPr>
                <w:rFonts w:hint="eastAsia" w:eastAsia="黑体"/>
                <w:bCs/>
                <w:sz w:val="24"/>
                <w:lang w:val="en-US" w:eastAsia="zh-CN"/>
              </w:rPr>
              <w:t>6</w:t>
            </w:r>
            <w:r>
              <w:rPr>
                <w:rFonts w:hint="eastAsia" w:eastAsia="黑体"/>
                <w:bCs/>
                <w:sz w:val="24"/>
              </w:rPr>
              <w:t xml:space="preserve">-2  </w:t>
            </w:r>
            <w:r>
              <w:rPr>
                <w:rFonts w:eastAsia="黑体"/>
                <w:sz w:val="24"/>
              </w:rPr>
              <w:t>项目声、水、生态环境</w:t>
            </w:r>
            <w:r>
              <w:rPr>
                <w:rFonts w:hint="eastAsia" w:eastAsia="黑体"/>
                <w:sz w:val="24"/>
                <w:lang w:eastAsia="zh-CN"/>
              </w:rPr>
              <w:t>、环境风险、土壤环境</w:t>
            </w:r>
            <w:r>
              <w:rPr>
                <w:rFonts w:eastAsia="黑体"/>
                <w:sz w:val="24"/>
              </w:rPr>
              <w:t>主要环境保护目标一览表</w:t>
            </w:r>
          </w:p>
          <w:tbl>
            <w:tblPr>
              <w:tblStyle w:val="24"/>
              <w:tblW w:w="86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1223"/>
              <w:gridCol w:w="1346"/>
              <w:gridCol w:w="1967"/>
              <w:gridCol w:w="105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Align w:val="center"/>
                </w:tcPr>
                <w:p>
                  <w:pPr>
                    <w:pStyle w:val="42"/>
                    <w:rPr>
                      <w:rFonts w:eastAsiaTheme="minorEastAsia"/>
                      <w:color w:val="000000"/>
                      <w:szCs w:val="21"/>
                    </w:rPr>
                  </w:pPr>
                  <w:r>
                    <w:rPr>
                      <w:rFonts w:eastAsiaTheme="minorEastAsia"/>
                      <w:color w:val="000000"/>
                      <w:szCs w:val="21"/>
                    </w:rPr>
                    <w:t>环境要素</w:t>
                  </w:r>
                </w:p>
              </w:tc>
              <w:tc>
                <w:tcPr>
                  <w:tcW w:w="1223" w:type="dxa"/>
                  <w:vAlign w:val="center"/>
                </w:tcPr>
                <w:p>
                  <w:pPr>
                    <w:pStyle w:val="42"/>
                    <w:rPr>
                      <w:rFonts w:eastAsiaTheme="minorEastAsia"/>
                      <w:color w:val="000000"/>
                      <w:szCs w:val="21"/>
                    </w:rPr>
                  </w:pPr>
                  <w:r>
                    <w:rPr>
                      <w:rFonts w:hint="eastAsia" w:eastAsiaTheme="minorEastAsia"/>
                      <w:color w:val="000000"/>
                      <w:szCs w:val="21"/>
                    </w:rPr>
                    <w:t>保护目标</w:t>
                  </w:r>
                </w:p>
              </w:tc>
              <w:tc>
                <w:tcPr>
                  <w:tcW w:w="1346" w:type="dxa"/>
                  <w:vAlign w:val="center"/>
                </w:tcPr>
                <w:p>
                  <w:pPr>
                    <w:pStyle w:val="42"/>
                    <w:rPr>
                      <w:rFonts w:eastAsiaTheme="minorEastAsia"/>
                      <w:color w:val="000000"/>
                      <w:szCs w:val="21"/>
                    </w:rPr>
                  </w:pPr>
                  <w:r>
                    <w:rPr>
                      <w:rFonts w:eastAsiaTheme="minorEastAsia"/>
                      <w:color w:val="000000"/>
                      <w:szCs w:val="21"/>
                    </w:rPr>
                    <w:t>方位、距离</w:t>
                  </w:r>
                </w:p>
              </w:tc>
              <w:tc>
                <w:tcPr>
                  <w:tcW w:w="1967" w:type="dxa"/>
                  <w:vAlign w:val="center"/>
                </w:tcPr>
                <w:p>
                  <w:pPr>
                    <w:pStyle w:val="42"/>
                    <w:rPr>
                      <w:rFonts w:eastAsiaTheme="minorEastAsia"/>
                      <w:color w:val="000000"/>
                      <w:szCs w:val="21"/>
                    </w:rPr>
                  </w:pPr>
                  <w:r>
                    <w:rPr>
                      <w:rFonts w:eastAsiaTheme="minorEastAsia"/>
                      <w:color w:val="000000"/>
                      <w:szCs w:val="21"/>
                    </w:rPr>
                    <w:t>功能/规模</w:t>
                  </w:r>
                </w:p>
              </w:tc>
              <w:tc>
                <w:tcPr>
                  <w:tcW w:w="1054" w:type="dxa"/>
                  <w:vAlign w:val="center"/>
                </w:tcPr>
                <w:p>
                  <w:pPr>
                    <w:pStyle w:val="42"/>
                    <w:rPr>
                      <w:rFonts w:eastAsiaTheme="minorEastAsia"/>
                      <w:color w:val="000000"/>
                      <w:szCs w:val="21"/>
                    </w:rPr>
                  </w:pPr>
                  <w:r>
                    <w:rPr>
                      <w:rFonts w:eastAsiaTheme="minorEastAsia"/>
                      <w:color w:val="000000"/>
                      <w:szCs w:val="21"/>
                    </w:rPr>
                    <w:t>影响因素</w:t>
                  </w:r>
                </w:p>
              </w:tc>
              <w:tc>
                <w:tcPr>
                  <w:tcW w:w="2131" w:type="dxa"/>
                  <w:vAlign w:val="center"/>
                </w:tcPr>
                <w:p>
                  <w:pPr>
                    <w:pStyle w:val="42"/>
                    <w:rPr>
                      <w:rFonts w:eastAsiaTheme="minorEastAsia"/>
                      <w:color w:val="000000"/>
                      <w:szCs w:val="21"/>
                    </w:rPr>
                  </w:pPr>
                  <w:r>
                    <w:rPr>
                      <w:rFonts w:hint="eastAsia"/>
                      <w:szCs w:val="21"/>
                    </w:rPr>
                    <w:t>环境功能区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restart"/>
                  <w:vAlign w:val="center"/>
                </w:tcPr>
                <w:p>
                  <w:pPr>
                    <w:pStyle w:val="42"/>
                    <w:rPr>
                      <w:rFonts w:eastAsiaTheme="minorEastAsia"/>
                      <w:color w:val="000000"/>
                      <w:szCs w:val="21"/>
                    </w:rPr>
                  </w:pPr>
                  <w:r>
                    <w:rPr>
                      <w:rFonts w:eastAsiaTheme="minorEastAsia"/>
                      <w:color w:val="000000"/>
                      <w:szCs w:val="21"/>
                    </w:rPr>
                    <w:t>地表水</w:t>
                  </w:r>
                </w:p>
                <w:p>
                  <w:pPr>
                    <w:pStyle w:val="42"/>
                    <w:rPr>
                      <w:rFonts w:eastAsiaTheme="minorEastAsia"/>
                      <w:color w:val="000000"/>
                      <w:szCs w:val="21"/>
                    </w:rPr>
                  </w:pPr>
                  <w:r>
                    <w:rPr>
                      <w:rFonts w:eastAsiaTheme="minorEastAsia"/>
                      <w:color w:val="000000"/>
                      <w:szCs w:val="21"/>
                    </w:rPr>
                    <w:t>环境</w:t>
                  </w:r>
                </w:p>
              </w:tc>
              <w:tc>
                <w:tcPr>
                  <w:tcW w:w="1223" w:type="dxa"/>
                  <w:vAlign w:val="center"/>
                </w:tcPr>
                <w:p>
                  <w:pPr>
                    <w:pStyle w:val="42"/>
                    <w:rPr>
                      <w:rFonts w:eastAsiaTheme="minorEastAsia"/>
                      <w:color w:val="000000"/>
                      <w:szCs w:val="21"/>
                    </w:rPr>
                  </w:pPr>
                  <w:r>
                    <w:rPr>
                      <w:rFonts w:hint="eastAsia" w:eastAsiaTheme="minorEastAsia"/>
                      <w:color w:val="000000"/>
                      <w:szCs w:val="21"/>
                    </w:rPr>
                    <w:t>农灌渠</w:t>
                  </w:r>
                </w:p>
              </w:tc>
              <w:tc>
                <w:tcPr>
                  <w:tcW w:w="1346" w:type="dxa"/>
                  <w:vAlign w:val="center"/>
                </w:tcPr>
                <w:p>
                  <w:pPr>
                    <w:pStyle w:val="42"/>
                    <w:rPr>
                      <w:rFonts w:eastAsiaTheme="minorEastAsia"/>
                      <w:color w:val="000000"/>
                      <w:szCs w:val="21"/>
                    </w:rPr>
                  </w:pPr>
                  <w:r>
                    <w:rPr>
                      <w:rFonts w:hint="eastAsia" w:eastAsiaTheme="minorEastAsia"/>
                      <w:color w:val="000000"/>
                      <w:szCs w:val="21"/>
                    </w:rPr>
                    <w:t>W</w:t>
                  </w:r>
                  <w:r>
                    <w:rPr>
                      <w:rFonts w:eastAsiaTheme="minorEastAsia"/>
                      <w:color w:val="000000"/>
                      <w:szCs w:val="21"/>
                    </w:rPr>
                    <w:t>，</w:t>
                  </w:r>
                  <w:r>
                    <w:rPr>
                      <w:rFonts w:hint="eastAsia" w:eastAsiaTheme="minorEastAsia"/>
                      <w:color w:val="000000"/>
                      <w:szCs w:val="21"/>
                    </w:rPr>
                    <w:t>550</w:t>
                  </w:r>
                  <w:r>
                    <w:rPr>
                      <w:rFonts w:eastAsiaTheme="minorEastAsia"/>
                      <w:color w:val="000000"/>
                      <w:szCs w:val="21"/>
                    </w:rPr>
                    <w:t>m</w:t>
                  </w:r>
                </w:p>
              </w:tc>
              <w:tc>
                <w:tcPr>
                  <w:tcW w:w="1967" w:type="dxa"/>
                  <w:vAlign w:val="center"/>
                </w:tcPr>
                <w:p>
                  <w:pPr>
                    <w:pStyle w:val="42"/>
                    <w:rPr>
                      <w:rFonts w:eastAsiaTheme="minorEastAsia"/>
                      <w:color w:val="000000"/>
                      <w:szCs w:val="21"/>
                    </w:rPr>
                  </w:pPr>
                  <w:r>
                    <w:rPr>
                      <w:rFonts w:eastAsiaTheme="minorEastAsia"/>
                      <w:color w:val="000000"/>
                      <w:szCs w:val="21"/>
                    </w:rPr>
                    <w:t>农灌</w:t>
                  </w:r>
                </w:p>
              </w:tc>
              <w:tc>
                <w:tcPr>
                  <w:tcW w:w="1054" w:type="dxa"/>
                  <w:vAlign w:val="center"/>
                </w:tcPr>
                <w:p>
                  <w:pPr>
                    <w:pStyle w:val="42"/>
                    <w:rPr>
                      <w:rFonts w:eastAsiaTheme="minorEastAsia"/>
                      <w:color w:val="000000"/>
                      <w:szCs w:val="21"/>
                    </w:rPr>
                  </w:pPr>
                  <w:r>
                    <w:rPr>
                      <w:rFonts w:eastAsiaTheme="minorEastAsia"/>
                      <w:color w:val="000000"/>
                      <w:szCs w:val="21"/>
                    </w:rPr>
                    <w:t>废水</w:t>
                  </w:r>
                </w:p>
              </w:tc>
              <w:tc>
                <w:tcPr>
                  <w:tcW w:w="2131" w:type="dxa"/>
                  <w:vMerge w:val="restart"/>
                  <w:vAlign w:val="center"/>
                </w:tcPr>
                <w:p>
                  <w:pPr>
                    <w:pStyle w:val="42"/>
                    <w:rPr>
                      <w:rFonts w:eastAsiaTheme="minorEastAsia"/>
                      <w:color w:val="000000"/>
                      <w:szCs w:val="21"/>
                    </w:rPr>
                  </w:pPr>
                  <w:r>
                    <w:rPr>
                      <w:rFonts w:eastAsiaTheme="minorEastAsia"/>
                      <w:color w:val="000000"/>
                      <w:szCs w:val="21"/>
                    </w:rPr>
                    <w:t>（GB3838-2002）Ⅲ类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continue"/>
                  <w:vAlign w:val="center"/>
                </w:tcPr>
                <w:p>
                  <w:pPr>
                    <w:pStyle w:val="42"/>
                    <w:rPr>
                      <w:rFonts w:eastAsiaTheme="minorEastAsia"/>
                      <w:color w:val="000000"/>
                      <w:szCs w:val="21"/>
                    </w:rPr>
                  </w:pPr>
                </w:p>
              </w:tc>
              <w:tc>
                <w:tcPr>
                  <w:tcW w:w="1223" w:type="dxa"/>
                  <w:vAlign w:val="center"/>
                </w:tcPr>
                <w:p>
                  <w:pPr>
                    <w:pStyle w:val="42"/>
                    <w:rPr>
                      <w:rFonts w:eastAsiaTheme="minorEastAsia"/>
                      <w:color w:val="000000"/>
                      <w:szCs w:val="21"/>
                    </w:rPr>
                  </w:pPr>
                  <w:r>
                    <w:rPr>
                      <w:rFonts w:hint="eastAsia" w:eastAsiaTheme="minorEastAsia"/>
                      <w:color w:val="000000"/>
                      <w:szCs w:val="21"/>
                    </w:rPr>
                    <w:t>湘江</w:t>
                  </w:r>
                </w:p>
              </w:tc>
              <w:tc>
                <w:tcPr>
                  <w:tcW w:w="1346" w:type="dxa"/>
                  <w:vAlign w:val="center"/>
                </w:tcPr>
                <w:p>
                  <w:pPr>
                    <w:pStyle w:val="42"/>
                    <w:rPr>
                      <w:rFonts w:eastAsiaTheme="minorEastAsia"/>
                      <w:color w:val="000000"/>
                      <w:szCs w:val="21"/>
                    </w:rPr>
                  </w:pPr>
                  <w:r>
                    <w:rPr>
                      <w:rFonts w:hint="eastAsia" w:eastAsiaTheme="minorEastAsia"/>
                      <w:color w:val="000000"/>
                      <w:szCs w:val="21"/>
                    </w:rPr>
                    <w:t>S，3.06km</w:t>
                  </w:r>
                </w:p>
              </w:tc>
              <w:tc>
                <w:tcPr>
                  <w:tcW w:w="1967" w:type="dxa"/>
                  <w:vAlign w:val="center"/>
                </w:tcPr>
                <w:p>
                  <w:pPr>
                    <w:pStyle w:val="42"/>
                    <w:rPr>
                      <w:rFonts w:eastAsiaTheme="minorEastAsia"/>
                      <w:color w:val="000000"/>
                      <w:szCs w:val="21"/>
                    </w:rPr>
                  </w:pPr>
                  <w:r>
                    <w:rPr>
                      <w:rFonts w:hint="eastAsia" w:eastAsiaTheme="minorEastAsia"/>
                      <w:color w:val="000000"/>
                      <w:szCs w:val="21"/>
                    </w:rPr>
                    <w:t>大河（</w:t>
                  </w:r>
                  <w:r>
                    <w:rPr>
                      <w:rFonts w:hint="eastAsia"/>
                    </w:rPr>
                    <w:t>洋沙湖下游</w:t>
                  </w:r>
                  <w:r>
                    <w:t>200米至磊石（东支)</w:t>
                  </w:r>
                  <w:r>
                    <w:rPr>
                      <w:rFonts w:hint="eastAsia"/>
                    </w:rPr>
                    <w:t>段</w:t>
                  </w:r>
                  <w:r>
                    <w:rPr>
                      <w:rFonts w:hint="eastAsia" w:eastAsiaTheme="minorEastAsia"/>
                      <w:color w:val="000000"/>
                      <w:szCs w:val="21"/>
                    </w:rPr>
                    <w:t>）/</w:t>
                  </w:r>
                  <w:r>
                    <w:rPr>
                      <w:rFonts w:hint="eastAsia" w:eastAsiaTheme="minorEastAsia"/>
                    </w:rPr>
                    <w:t>渔业用水区</w:t>
                  </w:r>
                </w:p>
              </w:tc>
              <w:tc>
                <w:tcPr>
                  <w:tcW w:w="1054" w:type="dxa"/>
                  <w:vAlign w:val="center"/>
                </w:tcPr>
                <w:p>
                  <w:pPr>
                    <w:pStyle w:val="42"/>
                    <w:rPr>
                      <w:rFonts w:eastAsiaTheme="minorEastAsia"/>
                      <w:color w:val="000000"/>
                      <w:szCs w:val="21"/>
                    </w:rPr>
                  </w:pPr>
                  <w:r>
                    <w:rPr>
                      <w:rFonts w:eastAsiaTheme="minorEastAsia"/>
                      <w:color w:val="000000"/>
                      <w:szCs w:val="21"/>
                    </w:rPr>
                    <w:t>废水</w:t>
                  </w:r>
                </w:p>
              </w:tc>
              <w:tc>
                <w:tcPr>
                  <w:tcW w:w="2131" w:type="dxa"/>
                  <w:vMerge w:val="continue"/>
                  <w:vAlign w:val="center"/>
                </w:tcPr>
                <w:p>
                  <w:pPr>
                    <w:pStyle w:val="42"/>
                    <w:rPr>
                      <w:rFonts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restart"/>
                  <w:vAlign w:val="center"/>
                </w:tcPr>
                <w:p>
                  <w:pPr>
                    <w:pStyle w:val="42"/>
                    <w:rPr>
                      <w:rFonts w:eastAsiaTheme="minorEastAsia"/>
                      <w:color w:val="000000"/>
                      <w:szCs w:val="21"/>
                    </w:rPr>
                  </w:pPr>
                  <w:r>
                    <w:rPr>
                      <w:rFonts w:hint="eastAsia" w:eastAsiaTheme="minorEastAsia"/>
                      <w:color w:val="000000"/>
                      <w:szCs w:val="21"/>
                    </w:rPr>
                    <w:t>地下水环境</w:t>
                  </w:r>
                </w:p>
              </w:tc>
              <w:tc>
                <w:tcPr>
                  <w:tcW w:w="1223" w:type="dxa"/>
                  <w:vAlign w:val="center"/>
                </w:tcPr>
                <w:p>
                  <w:pPr>
                    <w:pStyle w:val="42"/>
                    <w:rPr>
                      <w:rFonts w:eastAsiaTheme="minorEastAsia"/>
                      <w:color w:val="000000"/>
                      <w:szCs w:val="21"/>
                    </w:rPr>
                  </w:pPr>
                  <w:r>
                    <w:rPr>
                      <w:rFonts w:hint="eastAsia" w:eastAsiaTheme="minorEastAsia"/>
                      <w:color w:val="000000"/>
                      <w:szCs w:val="21"/>
                    </w:rPr>
                    <w:t>杨林寨宗师潭村居民点</w:t>
                  </w:r>
                </w:p>
              </w:tc>
              <w:tc>
                <w:tcPr>
                  <w:tcW w:w="1346" w:type="dxa"/>
                  <w:vAlign w:val="center"/>
                </w:tcPr>
                <w:p>
                  <w:pPr>
                    <w:pStyle w:val="42"/>
                    <w:rPr>
                      <w:rFonts w:eastAsiaTheme="minorEastAsia"/>
                      <w:color w:val="000000"/>
                      <w:szCs w:val="21"/>
                    </w:rPr>
                  </w:pPr>
                  <w:r>
                    <w:rPr>
                      <w:rFonts w:hint="eastAsia" w:eastAsiaTheme="minorEastAsia"/>
                      <w:color w:val="000000"/>
                      <w:szCs w:val="21"/>
                    </w:rPr>
                    <w:t>N，30-675m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rPr>
                  </w:pPr>
                  <w:r>
                    <w:rPr>
                      <w:rFonts w:hint="eastAsia"/>
                      <w:szCs w:val="21"/>
                    </w:rPr>
                    <w:t>（约100户）</w:t>
                  </w:r>
                </w:p>
              </w:tc>
              <w:tc>
                <w:tcPr>
                  <w:tcW w:w="1054" w:type="dxa"/>
                  <w:vAlign w:val="center"/>
                </w:tcPr>
                <w:p>
                  <w:pPr>
                    <w:jc w:val="center"/>
                    <w:rPr>
                      <w:rFonts w:eastAsiaTheme="minorEastAsia"/>
                      <w:color w:val="000000"/>
                      <w:szCs w:val="21"/>
                    </w:rPr>
                  </w:pPr>
                  <w:r>
                    <w:rPr>
                      <w:rFonts w:eastAsiaTheme="minorEastAsia"/>
                      <w:color w:val="000000"/>
                      <w:szCs w:val="21"/>
                    </w:rPr>
                    <w:t>废水</w:t>
                  </w:r>
                </w:p>
              </w:tc>
              <w:tc>
                <w:tcPr>
                  <w:tcW w:w="2131" w:type="dxa"/>
                  <w:vMerge w:val="restart"/>
                  <w:vAlign w:val="center"/>
                </w:tcPr>
                <w:p>
                  <w:pPr>
                    <w:pStyle w:val="42"/>
                    <w:rPr>
                      <w:rFonts w:eastAsiaTheme="minorEastAsia"/>
                      <w:color w:val="000000"/>
                      <w:szCs w:val="21"/>
                    </w:rPr>
                  </w:pPr>
                  <w:r>
                    <w:rPr>
                      <w:rFonts w:hint="eastAsia"/>
                    </w:rPr>
                    <w:t>（</w:t>
                  </w:r>
                  <w:r>
                    <w:t>GB/T14848-2017</w:t>
                  </w:r>
                  <w:r>
                    <w:rPr>
                      <w:rFonts w:hint="eastAsia"/>
                    </w:rPr>
                    <w:t>）中Ⅲ类标准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continue"/>
                  <w:vAlign w:val="center"/>
                </w:tcPr>
                <w:p>
                  <w:pPr>
                    <w:pStyle w:val="42"/>
                    <w:rPr>
                      <w:rFonts w:eastAsiaTheme="minorEastAsia"/>
                      <w:color w:val="000000"/>
                      <w:szCs w:val="21"/>
                    </w:rPr>
                  </w:pPr>
                </w:p>
              </w:tc>
              <w:tc>
                <w:tcPr>
                  <w:tcW w:w="1223" w:type="dxa"/>
                  <w:vAlign w:val="center"/>
                </w:tcPr>
                <w:p>
                  <w:pPr>
                    <w:pStyle w:val="42"/>
                    <w:rPr>
                      <w:bCs/>
                    </w:rPr>
                  </w:pPr>
                  <w:r>
                    <w:rPr>
                      <w:rFonts w:hint="eastAsia" w:eastAsiaTheme="minorEastAsia"/>
                      <w:color w:val="000000"/>
                      <w:szCs w:val="21"/>
                    </w:rPr>
                    <w:t>杨林寨</w:t>
                  </w:r>
                  <w:r>
                    <w:rPr>
                      <w:rFonts w:hint="eastAsia"/>
                      <w:szCs w:val="21"/>
                    </w:rPr>
                    <w:t>东合港村居民点</w:t>
                  </w:r>
                </w:p>
              </w:tc>
              <w:tc>
                <w:tcPr>
                  <w:tcW w:w="1346" w:type="dxa"/>
                  <w:vAlign w:val="center"/>
                </w:tcPr>
                <w:p>
                  <w:pPr>
                    <w:pStyle w:val="42"/>
                    <w:rPr>
                      <w:bCs/>
                    </w:rPr>
                  </w:pPr>
                  <w:r>
                    <w:rPr>
                      <w:rFonts w:hint="eastAsia"/>
                      <w:bCs/>
                    </w:rPr>
                    <w:t>S，18-484m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rPr>
                  </w:pPr>
                  <w:r>
                    <w:rPr>
                      <w:rFonts w:hint="eastAsia"/>
                      <w:szCs w:val="21"/>
                    </w:rPr>
                    <w:t>（约150户）</w:t>
                  </w:r>
                </w:p>
              </w:tc>
              <w:tc>
                <w:tcPr>
                  <w:tcW w:w="1054" w:type="dxa"/>
                  <w:vAlign w:val="center"/>
                </w:tcPr>
                <w:p>
                  <w:pPr>
                    <w:jc w:val="center"/>
                    <w:rPr>
                      <w:rFonts w:eastAsiaTheme="minorEastAsia"/>
                      <w:color w:val="000000"/>
                      <w:szCs w:val="21"/>
                    </w:rPr>
                  </w:pPr>
                  <w:r>
                    <w:rPr>
                      <w:rFonts w:eastAsiaTheme="minorEastAsia"/>
                      <w:color w:val="000000"/>
                      <w:szCs w:val="21"/>
                    </w:rPr>
                    <w:t>废水</w:t>
                  </w:r>
                </w:p>
              </w:tc>
              <w:tc>
                <w:tcPr>
                  <w:tcW w:w="2131" w:type="dxa"/>
                  <w:vMerge w:val="continue"/>
                  <w:vAlign w:val="center"/>
                </w:tcPr>
                <w:p>
                  <w:pPr>
                    <w:pStyle w:val="42"/>
                    <w:rPr>
                      <w:rFonts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continue"/>
                  <w:vAlign w:val="center"/>
                </w:tcPr>
                <w:p>
                  <w:pPr>
                    <w:pStyle w:val="42"/>
                    <w:rPr>
                      <w:rFonts w:eastAsiaTheme="minorEastAsia"/>
                      <w:color w:val="000000"/>
                      <w:szCs w:val="21"/>
                    </w:rPr>
                  </w:pPr>
                </w:p>
              </w:tc>
              <w:tc>
                <w:tcPr>
                  <w:tcW w:w="1223" w:type="dxa"/>
                  <w:vAlign w:val="center"/>
                </w:tcPr>
                <w:p>
                  <w:pPr>
                    <w:pStyle w:val="42"/>
                    <w:rPr>
                      <w:rFonts w:eastAsiaTheme="minorEastAsia"/>
                      <w:color w:val="000000"/>
                      <w:szCs w:val="21"/>
                    </w:rPr>
                  </w:pPr>
                  <w:r>
                    <w:rPr>
                      <w:rFonts w:hint="eastAsia" w:eastAsiaTheme="minorEastAsia"/>
                      <w:color w:val="000000"/>
                      <w:szCs w:val="21"/>
                    </w:rPr>
                    <w:t>杨林寨</w:t>
                  </w:r>
                  <w:r>
                    <w:rPr>
                      <w:rFonts w:hint="eastAsia"/>
                      <w:szCs w:val="21"/>
                    </w:rPr>
                    <w:t>合湖村居民点</w:t>
                  </w:r>
                </w:p>
              </w:tc>
              <w:tc>
                <w:tcPr>
                  <w:tcW w:w="1346" w:type="dxa"/>
                  <w:vAlign w:val="center"/>
                </w:tcPr>
                <w:p>
                  <w:pPr>
                    <w:pStyle w:val="42"/>
                    <w:rPr>
                      <w:rFonts w:eastAsiaTheme="minorEastAsia"/>
                      <w:color w:val="000000"/>
                      <w:szCs w:val="21"/>
                    </w:rPr>
                  </w:pPr>
                  <w:r>
                    <w:rPr>
                      <w:rFonts w:hint="eastAsia" w:eastAsiaTheme="minorEastAsia"/>
                      <w:bCs/>
                    </w:rPr>
                    <w:t>E，538-642m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rPr>
                  </w:pPr>
                  <w:r>
                    <w:rPr>
                      <w:rFonts w:hint="eastAsia"/>
                      <w:szCs w:val="21"/>
                    </w:rPr>
                    <w:t>（约30户）</w:t>
                  </w:r>
                </w:p>
              </w:tc>
              <w:tc>
                <w:tcPr>
                  <w:tcW w:w="1054" w:type="dxa"/>
                  <w:vAlign w:val="center"/>
                </w:tcPr>
                <w:p>
                  <w:pPr>
                    <w:jc w:val="center"/>
                    <w:rPr>
                      <w:rFonts w:eastAsiaTheme="minorEastAsia"/>
                      <w:color w:val="000000"/>
                      <w:szCs w:val="21"/>
                    </w:rPr>
                  </w:pPr>
                  <w:r>
                    <w:rPr>
                      <w:rFonts w:eastAsiaTheme="minorEastAsia"/>
                      <w:color w:val="000000"/>
                      <w:szCs w:val="21"/>
                    </w:rPr>
                    <w:t>废水</w:t>
                  </w:r>
                </w:p>
              </w:tc>
              <w:tc>
                <w:tcPr>
                  <w:tcW w:w="2131" w:type="dxa"/>
                  <w:vMerge w:val="continue"/>
                  <w:vAlign w:val="center"/>
                </w:tcPr>
                <w:p>
                  <w:pPr>
                    <w:pStyle w:val="42"/>
                    <w:rPr>
                      <w:rFonts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restart"/>
                  <w:vAlign w:val="center"/>
                </w:tcPr>
                <w:p>
                  <w:pPr>
                    <w:pStyle w:val="42"/>
                    <w:rPr>
                      <w:rFonts w:eastAsiaTheme="minorEastAsia"/>
                      <w:color w:val="000000"/>
                      <w:szCs w:val="21"/>
                    </w:rPr>
                  </w:pPr>
                  <w:r>
                    <w:rPr>
                      <w:rFonts w:eastAsiaTheme="minorEastAsia"/>
                      <w:color w:val="000000"/>
                      <w:szCs w:val="21"/>
                    </w:rPr>
                    <w:t>声环境</w:t>
                  </w:r>
                </w:p>
              </w:tc>
              <w:tc>
                <w:tcPr>
                  <w:tcW w:w="1223" w:type="dxa"/>
                  <w:vAlign w:val="center"/>
                </w:tcPr>
                <w:p>
                  <w:pPr>
                    <w:pStyle w:val="42"/>
                    <w:rPr>
                      <w:rFonts w:eastAsiaTheme="minorEastAsia"/>
                      <w:color w:val="000000"/>
                      <w:szCs w:val="21"/>
                    </w:rPr>
                  </w:pPr>
                  <w:r>
                    <w:rPr>
                      <w:rFonts w:hint="eastAsia" w:eastAsiaTheme="minorEastAsia"/>
                      <w:color w:val="000000"/>
                      <w:szCs w:val="21"/>
                    </w:rPr>
                    <w:t>宗师潭村居民点</w:t>
                  </w:r>
                </w:p>
              </w:tc>
              <w:tc>
                <w:tcPr>
                  <w:tcW w:w="1346" w:type="dxa"/>
                  <w:vAlign w:val="center"/>
                </w:tcPr>
                <w:p>
                  <w:pPr>
                    <w:pStyle w:val="42"/>
                    <w:rPr>
                      <w:rFonts w:eastAsiaTheme="minorEastAsia"/>
                      <w:color w:val="000000"/>
                      <w:szCs w:val="21"/>
                    </w:rPr>
                  </w:pPr>
                  <w:r>
                    <w:rPr>
                      <w:rFonts w:eastAsiaTheme="minorEastAsia"/>
                      <w:color w:val="000000"/>
                      <w:szCs w:val="21"/>
                    </w:rPr>
                    <w:t>N，</w:t>
                  </w:r>
                  <w:r>
                    <w:rPr>
                      <w:rFonts w:hint="eastAsia" w:eastAsiaTheme="minorEastAsia"/>
                      <w:color w:val="000000"/>
                      <w:szCs w:val="21"/>
                    </w:rPr>
                    <w:t>33</w:t>
                  </w:r>
                  <w:r>
                    <w:rPr>
                      <w:rFonts w:eastAsiaTheme="minorEastAsia"/>
                      <w:color w:val="000000"/>
                      <w:szCs w:val="21"/>
                    </w:rPr>
                    <w:t>-200m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lang w:val="zh-CN"/>
                    </w:rPr>
                  </w:pPr>
                  <w:r>
                    <w:rPr>
                      <w:rFonts w:hint="eastAsia"/>
                      <w:szCs w:val="21"/>
                    </w:rPr>
                    <w:t>居民（约10户）</w:t>
                  </w:r>
                </w:p>
              </w:tc>
              <w:tc>
                <w:tcPr>
                  <w:tcW w:w="1054" w:type="dxa"/>
                  <w:vMerge w:val="restart"/>
                  <w:vAlign w:val="center"/>
                </w:tcPr>
                <w:p>
                  <w:pPr>
                    <w:pStyle w:val="42"/>
                    <w:rPr>
                      <w:rFonts w:eastAsiaTheme="minorEastAsia"/>
                      <w:color w:val="000000"/>
                      <w:szCs w:val="21"/>
                    </w:rPr>
                  </w:pPr>
                  <w:r>
                    <w:rPr>
                      <w:rFonts w:eastAsiaTheme="minorEastAsia"/>
                      <w:color w:val="000000"/>
                      <w:szCs w:val="21"/>
                    </w:rPr>
                    <w:t>噪声</w:t>
                  </w:r>
                </w:p>
              </w:tc>
              <w:tc>
                <w:tcPr>
                  <w:tcW w:w="2131" w:type="dxa"/>
                  <w:vMerge w:val="restart"/>
                  <w:vAlign w:val="center"/>
                </w:tcPr>
                <w:p>
                  <w:pPr>
                    <w:pStyle w:val="42"/>
                    <w:rPr>
                      <w:rFonts w:eastAsiaTheme="minorEastAsia"/>
                      <w:color w:val="000000"/>
                      <w:szCs w:val="21"/>
                    </w:rPr>
                  </w:pPr>
                  <w:r>
                    <w:rPr>
                      <w:rFonts w:eastAsiaTheme="minorEastAsia"/>
                      <w:color w:val="000000"/>
                      <w:szCs w:val="21"/>
                    </w:rPr>
                    <w:t>（GB3096-2008）2类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949" w:type="dxa"/>
                  <w:vMerge w:val="continue"/>
                  <w:vAlign w:val="center"/>
                </w:tcPr>
                <w:p>
                  <w:pPr>
                    <w:pStyle w:val="42"/>
                    <w:ind w:firstLine="420"/>
                    <w:rPr>
                      <w:rFonts w:eastAsiaTheme="minorEastAsia"/>
                      <w:color w:val="000000"/>
                      <w:szCs w:val="21"/>
                    </w:rPr>
                  </w:pPr>
                </w:p>
              </w:tc>
              <w:tc>
                <w:tcPr>
                  <w:tcW w:w="1223" w:type="dxa"/>
                  <w:vAlign w:val="center"/>
                </w:tcPr>
                <w:p>
                  <w:pPr>
                    <w:pStyle w:val="42"/>
                    <w:rPr>
                      <w:rFonts w:eastAsiaTheme="minorEastAsia"/>
                      <w:color w:val="000000"/>
                      <w:szCs w:val="21"/>
                    </w:rPr>
                  </w:pPr>
                  <w:r>
                    <w:rPr>
                      <w:rFonts w:hint="eastAsia"/>
                      <w:szCs w:val="21"/>
                    </w:rPr>
                    <w:t>东合港村居民点</w:t>
                  </w:r>
                </w:p>
              </w:tc>
              <w:tc>
                <w:tcPr>
                  <w:tcW w:w="1346" w:type="dxa"/>
                  <w:vAlign w:val="center"/>
                </w:tcPr>
                <w:p>
                  <w:pPr>
                    <w:pStyle w:val="42"/>
                    <w:rPr>
                      <w:rFonts w:eastAsiaTheme="minorEastAsia"/>
                      <w:color w:val="000000"/>
                      <w:szCs w:val="21"/>
                    </w:rPr>
                  </w:pPr>
                  <w:r>
                    <w:rPr>
                      <w:rFonts w:hint="eastAsia" w:eastAsiaTheme="minorEastAsia"/>
                      <w:color w:val="000000"/>
                      <w:szCs w:val="21"/>
                    </w:rPr>
                    <w:t>S</w:t>
                  </w:r>
                  <w:r>
                    <w:rPr>
                      <w:rFonts w:eastAsiaTheme="minorEastAsia"/>
                      <w:color w:val="000000"/>
                      <w:szCs w:val="21"/>
                    </w:rPr>
                    <w:t>，</w:t>
                  </w:r>
                  <w:r>
                    <w:rPr>
                      <w:rFonts w:hint="eastAsia" w:eastAsiaTheme="minorEastAsia"/>
                      <w:color w:val="000000"/>
                      <w:szCs w:val="21"/>
                    </w:rPr>
                    <w:t>36</w:t>
                  </w:r>
                  <w:r>
                    <w:rPr>
                      <w:rFonts w:eastAsiaTheme="minorEastAsia"/>
                      <w:color w:val="000000"/>
                      <w:szCs w:val="21"/>
                    </w:rPr>
                    <w:t>-200m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rFonts w:eastAsiaTheme="minorEastAsia"/>
                      <w:color w:val="000000"/>
                      <w:szCs w:val="21"/>
                      <w:lang w:val="zh-CN"/>
                    </w:rPr>
                  </w:pPr>
                  <w:r>
                    <w:rPr>
                      <w:rFonts w:hint="eastAsia"/>
                      <w:szCs w:val="21"/>
                    </w:rPr>
                    <w:t>居民（约30户）</w:t>
                  </w:r>
                </w:p>
              </w:tc>
              <w:tc>
                <w:tcPr>
                  <w:tcW w:w="1054" w:type="dxa"/>
                  <w:vMerge w:val="continue"/>
                  <w:vAlign w:val="center"/>
                </w:tcPr>
                <w:p>
                  <w:pPr>
                    <w:pStyle w:val="42"/>
                    <w:ind w:firstLine="420"/>
                    <w:rPr>
                      <w:rFonts w:eastAsiaTheme="minorEastAsia"/>
                      <w:color w:val="000000"/>
                      <w:szCs w:val="21"/>
                    </w:rPr>
                  </w:pPr>
                </w:p>
              </w:tc>
              <w:tc>
                <w:tcPr>
                  <w:tcW w:w="2131" w:type="dxa"/>
                  <w:vMerge w:val="continue"/>
                  <w:vAlign w:val="center"/>
                </w:tcPr>
                <w:p>
                  <w:pPr>
                    <w:pStyle w:val="42"/>
                    <w:ind w:firstLine="420"/>
                    <w:rPr>
                      <w:rFonts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restart"/>
                  <w:vAlign w:val="center"/>
                </w:tcPr>
                <w:p>
                  <w:pPr>
                    <w:pStyle w:val="42"/>
                    <w:rPr>
                      <w:rFonts w:hint="eastAsia" w:ascii="Times New Roman" w:hAnsi="Times New Roman" w:cs="Times New Roman" w:eastAsiaTheme="minorEastAsia"/>
                      <w:color w:val="000000"/>
                      <w:szCs w:val="21"/>
                      <w:lang w:eastAsia="zh-CN"/>
                    </w:rPr>
                  </w:pPr>
                  <w:r>
                    <w:rPr>
                      <w:rFonts w:hint="eastAsia" w:ascii="Times New Roman" w:hAnsi="Times New Roman" w:cs="Times New Roman" w:eastAsiaTheme="minorEastAsia"/>
                      <w:color w:val="000000"/>
                      <w:szCs w:val="21"/>
                      <w:lang w:eastAsia="zh-CN"/>
                    </w:rPr>
                    <w:t>环境风险</w:t>
                  </w:r>
                </w:p>
              </w:tc>
              <w:tc>
                <w:tcPr>
                  <w:tcW w:w="1223"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eastAsiaTheme="minorEastAsia"/>
                      <w:color w:val="000000"/>
                      <w:szCs w:val="21"/>
                    </w:rPr>
                    <w:t>杨林寨宗师潭村居民点</w:t>
                  </w:r>
                </w:p>
              </w:tc>
              <w:tc>
                <w:tcPr>
                  <w:tcW w:w="1346"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eastAsiaTheme="minorEastAsia"/>
                      <w:color w:val="000000"/>
                      <w:szCs w:val="21"/>
                    </w:rPr>
                    <w:t>N，30-675m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hint="eastAsia" w:ascii="Times New Roman" w:hAnsi="Times New Roman" w:cs="Times New Roman" w:eastAsiaTheme="minorEastAsia"/>
                      <w:color w:val="000000"/>
                      <w:szCs w:val="21"/>
                    </w:rPr>
                  </w:pPr>
                  <w:r>
                    <w:rPr>
                      <w:rFonts w:hint="eastAsia"/>
                      <w:szCs w:val="21"/>
                    </w:rPr>
                    <w:t>（约100户）</w:t>
                  </w:r>
                </w:p>
              </w:tc>
              <w:tc>
                <w:tcPr>
                  <w:tcW w:w="1054" w:type="dxa"/>
                  <w:vMerge w:val="restart"/>
                  <w:vAlign w:val="center"/>
                </w:tcPr>
                <w:p>
                  <w:pPr>
                    <w:pStyle w:val="42"/>
                    <w:rPr>
                      <w:rFonts w:hint="eastAsia" w:ascii="Times New Roman" w:hAnsi="Times New Roman" w:cs="Times New Roman" w:eastAsiaTheme="minorEastAsia"/>
                      <w:color w:val="000000"/>
                      <w:szCs w:val="21"/>
                      <w:lang w:eastAsia="zh-CN"/>
                    </w:rPr>
                  </w:pPr>
                  <w:r>
                    <w:rPr>
                      <w:rFonts w:hint="eastAsia" w:ascii="Times New Roman" w:hAnsi="Times New Roman" w:cs="Times New Roman" w:eastAsiaTheme="minorEastAsia"/>
                      <w:color w:val="000000"/>
                      <w:szCs w:val="21"/>
                      <w:lang w:eastAsia="zh-CN"/>
                    </w:rPr>
                    <w:t>油品、消防废气、废水</w:t>
                  </w:r>
                </w:p>
              </w:tc>
              <w:tc>
                <w:tcPr>
                  <w:tcW w:w="2131" w:type="dxa"/>
                  <w:vMerge w:val="restart"/>
                  <w:vAlign w:val="center"/>
                </w:tcPr>
                <w:p>
                  <w:pPr>
                    <w:pStyle w:val="42"/>
                    <w:rPr>
                      <w:rFonts w:ascii="Times New Roman" w:hAnsi="Times New Roman" w:cs="Times New Roman" w:eastAsiaTheme="minorEastAsia"/>
                      <w:color w:val="000000"/>
                      <w:szCs w:val="21"/>
                    </w:rPr>
                  </w:pPr>
                  <w:r>
                    <w:rPr>
                      <w:rFonts w:eastAsiaTheme="minorEastAsia"/>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continue"/>
                  <w:vAlign w:val="center"/>
                </w:tcPr>
                <w:p>
                  <w:pPr>
                    <w:pStyle w:val="42"/>
                    <w:rPr>
                      <w:rFonts w:hint="eastAsia" w:ascii="Times New Roman" w:hAnsi="Times New Roman" w:cs="Times New Roman" w:eastAsiaTheme="minorEastAsia"/>
                      <w:color w:val="000000"/>
                      <w:szCs w:val="21"/>
                      <w:lang w:eastAsia="zh-CN"/>
                    </w:rPr>
                  </w:pPr>
                </w:p>
              </w:tc>
              <w:tc>
                <w:tcPr>
                  <w:tcW w:w="1223"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eastAsiaTheme="minorEastAsia"/>
                      <w:color w:val="000000"/>
                      <w:szCs w:val="21"/>
                    </w:rPr>
                    <w:t>杨林寨</w:t>
                  </w:r>
                  <w:r>
                    <w:rPr>
                      <w:rFonts w:hint="eastAsia"/>
                      <w:szCs w:val="21"/>
                    </w:rPr>
                    <w:t>东合港村居民点</w:t>
                  </w:r>
                </w:p>
              </w:tc>
              <w:tc>
                <w:tcPr>
                  <w:tcW w:w="1346"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bCs/>
                    </w:rPr>
                    <w:t>S，18-484m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hint="eastAsia" w:ascii="Times New Roman" w:hAnsi="Times New Roman" w:cs="Times New Roman" w:eastAsiaTheme="minorEastAsia"/>
                      <w:color w:val="000000"/>
                      <w:szCs w:val="21"/>
                    </w:rPr>
                  </w:pPr>
                  <w:r>
                    <w:rPr>
                      <w:rFonts w:hint="eastAsia"/>
                      <w:szCs w:val="21"/>
                    </w:rPr>
                    <w:t>（约150户）</w:t>
                  </w:r>
                </w:p>
              </w:tc>
              <w:tc>
                <w:tcPr>
                  <w:tcW w:w="1054" w:type="dxa"/>
                  <w:vMerge w:val="continue"/>
                  <w:vAlign w:val="center"/>
                </w:tcPr>
                <w:p>
                  <w:pPr>
                    <w:pStyle w:val="42"/>
                    <w:rPr>
                      <w:rFonts w:ascii="Times New Roman" w:hAnsi="Times New Roman" w:cs="Times New Roman" w:eastAsiaTheme="minorEastAsia"/>
                      <w:color w:val="000000"/>
                      <w:szCs w:val="21"/>
                    </w:rPr>
                  </w:pPr>
                </w:p>
              </w:tc>
              <w:tc>
                <w:tcPr>
                  <w:tcW w:w="2131" w:type="dxa"/>
                  <w:vMerge w:val="continue"/>
                  <w:vAlign w:val="center"/>
                </w:tcPr>
                <w:p>
                  <w:pPr>
                    <w:pStyle w:val="42"/>
                    <w:rPr>
                      <w:rFonts w:ascii="Times New Roman" w:hAnsi="Times New Roman" w:cs="Times New Roman"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Merge w:val="continue"/>
                  <w:vAlign w:val="center"/>
                </w:tcPr>
                <w:p>
                  <w:pPr>
                    <w:pStyle w:val="42"/>
                    <w:rPr>
                      <w:rFonts w:hint="eastAsia" w:ascii="Times New Roman" w:hAnsi="Times New Roman" w:cs="Times New Roman" w:eastAsiaTheme="minorEastAsia"/>
                      <w:color w:val="000000"/>
                      <w:szCs w:val="21"/>
                      <w:lang w:eastAsia="zh-CN"/>
                    </w:rPr>
                  </w:pPr>
                </w:p>
              </w:tc>
              <w:tc>
                <w:tcPr>
                  <w:tcW w:w="1223"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eastAsiaTheme="minorEastAsia"/>
                      <w:color w:val="000000"/>
                      <w:szCs w:val="21"/>
                    </w:rPr>
                    <w:t>杨林寨</w:t>
                  </w:r>
                  <w:r>
                    <w:rPr>
                      <w:rFonts w:hint="eastAsia"/>
                      <w:szCs w:val="21"/>
                    </w:rPr>
                    <w:t>合湖村居民点</w:t>
                  </w:r>
                </w:p>
              </w:tc>
              <w:tc>
                <w:tcPr>
                  <w:tcW w:w="1346" w:type="dxa"/>
                  <w:vAlign w:val="center"/>
                </w:tcPr>
                <w:p>
                  <w:pPr>
                    <w:pStyle w:val="42"/>
                    <w:ind w:firstLine="0" w:firstLineChars="0"/>
                    <w:rPr>
                      <w:rFonts w:hint="eastAsia" w:ascii="Times New Roman" w:hAnsi="Times New Roman" w:cs="Times New Roman" w:eastAsiaTheme="minorEastAsia"/>
                      <w:color w:val="000000"/>
                      <w:szCs w:val="21"/>
                    </w:rPr>
                  </w:pPr>
                  <w:r>
                    <w:rPr>
                      <w:rFonts w:hint="eastAsia" w:eastAsiaTheme="minorEastAsia"/>
                      <w:bCs/>
                    </w:rPr>
                    <w:t>E，538-642m</w:t>
                  </w:r>
                </w:p>
              </w:tc>
              <w:tc>
                <w:tcPr>
                  <w:tcW w:w="1967" w:type="dxa"/>
                  <w:vAlign w:val="center"/>
                </w:tcPr>
                <w:p>
                  <w:pPr>
                    <w:pBdr>
                      <w:top w:val="none" w:color="auto" w:sz="0" w:space="1"/>
                      <w:left w:val="none" w:color="auto" w:sz="0" w:space="4"/>
                      <w:bottom w:val="none" w:color="auto" w:sz="0" w:space="1"/>
                      <w:right w:val="none" w:color="auto" w:sz="0" w:space="4"/>
                    </w:pBdr>
                    <w:adjustRightInd w:val="0"/>
                    <w:snapToGrid w:val="0"/>
                    <w:jc w:val="center"/>
                    <w:rPr>
                      <w:szCs w:val="21"/>
                    </w:rPr>
                  </w:pPr>
                  <w:r>
                    <w:rPr>
                      <w:rFonts w:hint="eastAsia"/>
                      <w:szCs w:val="21"/>
                    </w:rPr>
                    <w:t>居民</w:t>
                  </w:r>
                </w:p>
                <w:p>
                  <w:pPr>
                    <w:pBdr>
                      <w:top w:val="none" w:color="auto" w:sz="0" w:space="1"/>
                      <w:left w:val="none" w:color="auto" w:sz="0" w:space="4"/>
                      <w:bottom w:val="none" w:color="auto" w:sz="0" w:space="1"/>
                      <w:right w:val="none" w:color="auto" w:sz="0" w:space="4"/>
                    </w:pBdr>
                    <w:adjustRightInd w:val="0"/>
                    <w:snapToGrid w:val="0"/>
                    <w:jc w:val="center"/>
                    <w:rPr>
                      <w:rFonts w:hint="eastAsia" w:ascii="Times New Roman" w:hAnsi="Times New Roman" w:cs="Times New Roman" w:eastAsiaTheme="minorEastAsia"/>
                      <w:color w:val="000000"/>
                      <w:szCs w:val="21"/>
                    </w:rPr>
                  </w:pPr>
                  <w:r>
                    <w:rPr>
                      <w:rFonts w:hint="eastAsia"/>
                      <w:szCs w:val="21"/>
                    </w:rPr>
                    <w:t>（约30户）</w:t>
                  </w:r>
                </w:p>
              </w:tc>
              <w:tc>
                <w:tcPr>
                  <w:tcW w:w="1054" w:type="dxa"/>
                  <w:vMerge w:val="continue"/>
                  <w:vAlign w:val="center"/>
                </w:tcPr>
                <w:p>
                  <w:pPr>
                    <w:pStyle w:val="42"/>
                    <w:rPr>
                      <w:rFonts w:ascii="Times New Roman" w:hAnsi="Times New Roman" w:cs="Times New Roman" w:eastAsiaTheme="minorEastAsia"/>
                      <w:color w:val="000000"/>
                      <w:szCs w:val="21"/>
                    </w:rPr>
                  </w:pPr>
                </w:p>
              </w:tc>
              <w:tc>
                <w:tcPr>
                  <w:tcW w:w="2131" w:type="dxa"/>
                  <w:vMerge w:val="continue"/>
                  <w:vAlign w:val="center"/>
                </w:tcPr>
                <w:p>
                  <w:pPr>
                    <w:pStyle w:val="42"/>
                    <w:rPr>
                      <w:rFonts w:ascii="Times New Roman" w:hAnsi="Times New Roman" w:cs="Times New Roman" w:eastAsia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Align w:val="center"/>
                </w:tcPr>
                <w:p>
                  <w:pPr>
                    <w:pStyle w:val="42"/>
                    <w:jc w:val="both"/>
                    <w:rPr>
                      <w:rFonts w:hint="eastAsia" w:eastAsiaTheme="minorEastAsia"/>
                      <w:color w:val="000000"/>
                      <w:szCs w:val="21"/>
                      <w:lang w:eastAsia="zh-CN"/>
                    </w:rPr>
                  </w:pPr>
                  <w:r>
                    <w:rPr>
                      <w:rFonts w:hint="eastAsia" w:eastAsiaTheme="minorEastAsia"/>
                      <w:color w:val="000000"/>
                      <w:szCs w:val="21"/>
                      <w:lang w:eastAsia="zh-CN"/>
                    </w:rPr>
                    <w:t>土壤环境</w:t>
                  </w:r>
                </w:p>
              </w:tc>
              <w:tc>
                <w:tcPr>
                  <w:tcW w:w="1223" w:type="dxa"/>
                  <w:vAlign w:val="center"/>
                </w:tcPr>
                <w:p>
                  <w:pPr>
                    <w:pStyle w:val="42"/>
                    <w:rPr>
                      <w:rFonts w:hint="eastAsia"/>
                      <w:szCs w:val="21"/>
                    </w:rPr>
                  </w:pPr>
                  <w:r>
                    <w:rPr>
                      <w:rFonts w:eastAsiaTheme="minorEastAsia"/>
                      <w:color w:val="000000"/>
                      <w:szCs w:val="21"/>
                    </w:rPr>
                    <w:t>植被</w:t>
                  </w:r>
                  <w:r>
                    <w:rPr>
                      <w:rFonts w:hint="eastAsia" w:eastAsiaTheme="minorEastAsia"/>
                      <w:color w:val="000000"/>
                      <w:szCs w:val="21"/>
                      <w:lang w:eastAsia="zh-CN"/>
                    </w:rPr>
                    <w:t>、农田</w:t>
                  </w:r>
                </w:p>
              </w:tc>
              <w:tc>
                <w:tcPr>
                  <w:tcW w:w="1346" w:type="dxa"/>
                  <w:vAlign w:val="center"/>
                </w:tcPr>
                <w:p>
                  <w:pPr>
                    <w:pStyle w:val="42"/>
                    <w:rPr>
                      <w:rFonts w:hint="default" w:eastAsiaTheme="minorEastAsia"/>
                      <w:color w:val="000000"/>
                      <w:szCs w:val="21"/>
                      <w:lang w:val="en-US" w:eastAsia="zh-CN"/>
                    </w:rPr>
                  </w:pPr>
                  <w:r>
                    <w:rPr>
                      <w:rFonts w:eastAsiaTheme="minorEastAsia"/>
                      <w:color w:val="000000"/>
                      <w:szCs w:val="21"/>
                    </w:rPr>
                    <w:t>项目区及周边</w:t>
                  </w:r>
                  <w:r>
                    <w:rPr>
                      <w:rFonts w:hint="eastAsia" w:eastAsiaTheme="minorEastAsia"/>
                      <w:color w:val="000000"/>
                      <w:szCs w:val="21"/>
                      <w:lang w:val="en-US" w:eastAsia="zh-CN"/>
                    </w:rPr>
                    <w:t>500m范围内</w:t>
                  </w:r>
                </w:p>
              </w:tc>
              <w:tc>
                <w:tcPr>
                  <w:tcW w:w="1967" w:type="dxa"/>
                  <w:vAlign w:val="center"/>
                </w:tcPr>
                <w:p>
                  <w:pPr>
                    <w:pStyle w:val="42"/>
                    <w:ind w:firstLine="840" w:firstLineChars="400"/>
                    <w:jc w:val="both"/>
                    <w:rPr>
                      <w:rFonts w:hint="eastAsia"/>
                      <w:szCs w:val="21"/>
                    </w:rPr>
                  </w:pPr>
                  <w:r>
                    <w:rPr>
                      <w:rFonts w:eastAsiaTheme="minorEastAsia"/>
                      <w:color w:val="000000"/>
                      <w:szCs w:val="21"/>
                    </w:rPr>
                    <w:t>/</w:t>
                  </w:r>
                </w:p>
              </w:tc>
              <w:tc>
                <w:tcPr>
                  <w:tcW w:w="1054" w:type="dxa"/>
                  <w:vAlign w:val="center"/>
                </w:tcPr>
                <w:p>
                  <w:pPr>
                    <w:pStyle w:val="42"/>
                    <w:ind w:firstLine="420" w:firstLineChars="0"/>
                    <w:jc w:val="both"/>
                    <w:rPr>
                      <w:rFonts w:eastAsiaTheme="minorEastAsia"/>
                      <w:color w:val="000000"/>
                      <w:szCs w:val="21"/>
                    </w:rPr>
                  </w:pPr>
                  <w:r>
                    <w:rPr>
                      <w:rFonts w:eastAsiaTheme="minorEastAsia"/>
                      <w:color w:val="000000"/>
                      <w:szCs w:val="21"/>
                    </w:rPr>
                    <w:t>/</w:t>
                  </w:r>
                </w:p>
              </w:tc>
              <w:tc>
                <w:tcPr>
                  <w:tcW w:w="2131" w:type="dxa"/>
                  <w:vAlign w:val="center"/>
                </w:tcPr>
                <w:p>
                  <w:pPr>
                    <w:pStyle w:val="42"/>
                    <w:ind w:firstLine="0" w:firstLineChars="0"/>
                    <w:rPr>
                      <w:rFonts w:eastAsiaTheme="minorEastAsia"/>
                      <w:color w:val="000000"/>
                      <w:szCs w:val="21"/>
                    </w:rPr>
                  </w:pPr>
                  <w:r>
                    <w:rPr>
                      <w:rFonts w:eastAsiaTheme="minorEastAsia"/>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9" w:type="dxa"/>
                  <w:vAlign w:val="center"/>
                </w:tcPr>
                <w:p>
                  <w:pPr>
                    <w:pStyle w:val="42"/>
                    <w:rPr>
                      <w:rFonts w:eastAsiaTheme="minorEastAsia"/>
                      <w:color w:val="000000"/>
                      <w:szCs w:val="21"/>
                    </w:rPr>
                  </w:pPr>
                  <w:r>
                    <w:rPr>
                      <w:rFonts w:eastAsiaTheme="minorEastAsia"/>
                      <w:color w:val="000000"/>
                      <w:szCs w:val="21"/>
                    </w:rPr>
                    <w:t>生态环境</w:t>
                  </w:r>
                </w:p>
              </w:tc>
              <w:tc>
                <w:tcPr>
                  <w:tcW w:w="1223" w:type="dxa"/>
                  <w:vAlign w:val="center"/>
                </w:tcPr>
                <w:p>
                  <w:pPr>
                    <w:pStyle w:val="42"/>
                    <w:rPr>
                      <w:rFonts w:hint="eastAsia" w:eastAsiaTheme="minorEastAsia"/>
                      <w:color w:val="000000"/>
                      <w:szCs w:val="21"/>
                      <w:lang w:eastAsia="zh-CN"/>
                    </w:rPr>
                  </w:pPr>
                  <w:r>
                    <w:rPr>
                      <w:rFonts w:eastAsiaTheme="minorEastAsia"/>
                      <w:color w:val="000000"/>
                      <w:szCs w:val="21"/>
                    </w:rPr>
                    <w:t>植被</w:t>
                  </w:r>
                  <w:r>
                    <w:rPr>
                      <w:rFonts w:hint="eastAsia" w:eastAsiaTheme="minorEastAsia"/>
                      <w:color w:val="000000"/>
                      <w:szCs w:val="21"/>
                      <w:lang w:eastAsia="zh-CN"/>
                    </w:rPr>
                    <w:t>、农田</w:t>
                  </w:r>
                </w:p>
              </w:tc>
              <w:tc>
                <w:tcPr>
                  <w:tcW w:w="1346" w:type="dxa"/>
                  <w:vAlign w:val="center"/>
                </w:tcPr>
                <w:p>
                  <w:pPr>
                    <w:pStyle w:val="42"/>
                    <w:rPr>
                      <w:rFonts w:eastAsiaTheme="minorEastAsia"/>
                      <w:color w:val="000000"/>
                      <w:szCs w:val="21"/>
                    </w:rPr>
                  </w:pPr>
                  <w:r>
                    <w:rPr>
                      <w:rFonts w:eastAsiaTheme="minorEastAsia"/>
                      <w:color w:val="000000"/>
                      <w:szCs w:val="21"/>
                    </w:rPr>
                    <w:t>项目区及周边</w:t>
                  </w:r>
                </w:p>
              </w:tc>
              <w:tc>
                <w:tcPr>
                  <w:tcW w:w="1967" w:type="dxa"/>
                  <w:vAlign w:val="center"/>
                </w:tcPr>
                <w:p>
                  <w:pPr>
                    <w:pStyle w:val="42"/>
                    <w:ind w:firstLine="840" w:firstLineChars="400"/>
                    <w:jc w:val="both"/>
                    <w:rPr>
                      <w:rFonts w:eastAsiaTheme="minorEastAsia"/>
                      <w:color w:val="000000"/>
                      <w:szCs w:val="21"/>
                    </w:rPr>
                  </w:pPr>
                  <w:r>
                    <w:rPr>
                      <w:rFonts w:eastAsiaTheme="minorEastAsia"/>
                      <w:color w:val="000000"/>
                      <w:szCs w:val="21"/>
                    </w:rPr>
                    <w:t>/</w:t>
                  </w:r>
                </w:p>
              </w:tc>
              <w:tc>
                <w:tcPr>
                  <w:tcW w:w="1054" w:type="dxa"/>
                  <w:vAlign w:val="center"/>
                </w:tcPr>
                <w:p>
                  <w:pPr>
                    <w:pStyle w:val="42"/>
                    <w:ind w:firstLine="420"/>
                    <w:jc w:val="both"/>
                    <w:rPr>
                      <w:rFonts w:eastAsiaTheme="minorEastAsia"/>
                      <w:color w:val="000000"/>
                      <w:szCs w:val="21"/>
                    </w:rPr>
                  </w:pPr>
                  <w:r>
                    <w:rPr>
                      <w:rFonts w:eastAsiaTheme="minorEastAsia"/>
                      <w:color w:val="000000"/>
                      <w:szCs w:val="21"/>
                    </w:rPr>
                    <w:t>/</w:t>
                  </w:r>
                </w:p>
              </w:tc>
              <w:tc>
                <w:tcPr>
                  <w:tcW w:w="2131" w:type="dxa"/>
                  <w:vAlign w:val="center"/>
                </w:tcPr>
                <w:p>
                  <w:pPr>
                    <w:pStyle w:val="42"/>
                    <w:rPr>
                      <w:rFonts w:eastAsiaTheme="minorEastAsia"/>
                      <w:color w:val="000000"/>
                      <w:szCs w:val="21"/>
                    </w:rPr>
                  </w:pPr>
                  <w:r>
                    <w:rPr>
                      <w:rFonts w:eastAsiaTheme="minorEastAsia"/>
                      <w:color w:val="000000"/>
                      <w:szCs w:val="21"/>
                    </w:rPr>
                    <w:t>/</w:t>
                  </w:r>
                </w:p>
              </w:tc>
            </w:tr>
          </w:tbl>
          <w:p>
            <w:pPr>
              <w:pStyle w:val="4"/>
              <w:ind w:firstLine="0" w:firstLineChars="0"/>
            </w:pPr>
          </w:p>
          <w:p>
            <w:pPr>
              <w:pStyle w:val="4"/>
              <w:ind w:firstLine="0" w:firstLineChars="0"/>
            </w:pPr>
          </w:p>
          <w:p>
            <w:pPr>
              <w:pStyle w:val="4"/>
              <w:ind w:firstLine="0" w:firstLineChars="0"/>
            </w:pPr>
          </w:p>
          <w:p>
            <w:pPr>
              <w:pStyle w:val="4"/>
              <w:ind w:firstLine="0" w:firstLineChars="0"/>
            </w:pPr>
          </w:p>
          <w:p>
            <w:pPr>
              <w:pStyle w:val="4"/>
              <w:ind w:firstLine="0" w:firstLineChars="0"/>
            </w:pPr>
          </w:p>
          <w:p>
            <w:pPr>
              <w:pStyle w:val="4"/>
              <w:ind w:firstLine="0" w:firstLineChars="0"/>
            </w:pPr>
          </w:p>
        </w:tc>
      </w:tr>
    </w:tbl>
    <w:p>
      <w:pPr>
        <w:pStyle w:val="3"/>
        <w:sectPr>
          <w:pgSz w:w="11907" w:h="16840"/>
          <w:pgMar w:top="1418" w:right="1418" w:bottom="1418" w:left="1701" w:header="851" w:footer="851" w:gutter="0"/>
          <w:cols w:space="720" w:num="1"/>
          <w:docGrid w:linePitch="285" w:charSpace="0"/>
        </w:sectPr>
      </w:pPr>
    </w:p>
    <w:p>
      <w:pPr>
        <w:pStyle w:val="3"/>
        <w:rPr>
          <w:kern w:val="24"/>
          <w:szCs w:val="20"/>
        </w:rPr>
      </w:pPr>
      <w:bookmarkStart w:id="18" w:name="_Toc5062"/>
      <w:r>
        <w:t>评价适用标准</w:t>
      </w:r>
      <w:bookmarkEnd w:id="18"/>
    </w:p>
    <w:tbl>
      <w:tblPr>
        <w:tblStyle w:val="24"/>
        <w:tblW w:w="892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541" w:type="dxa"/>
            <w:vAlign w:val="center"/>
          </w:tcPr>
          <w:p>
            <w:pPr>
              <w:spacing w:line="360" w:lineRule="auto"/>
              <w:rPr>
                <w:sz w:val="24"/>
                <w:szCs w:val="24"/>
              </w:rPr>
            </w:pPr>
            <w:r>
              <w:rPr>
                <w:sz w:val="24"/>
                <w:szCs w:val="24"/>
              </w:rPr>
              <w:t>环境质量标准</w:t>
            </w:r>
          </w:p>
        </w:tc>
        <w:tc>
          <w:tcPr>
            <w:tcW w:w="8384" w:type="dxa"/>
            <w:vAlign w:val="center"/>
          </w:tcPr>
          <w:p>
            <w:pPr>
              <w:pStyle w:val="4"/>
              <w:ind w:firstLine="480"/>
            </w:pPr>
            <w:r>
              <w:t>（1）环境空气质量评价：执行《环境空气质量标准》（GB3095-2012）中的二级标准</w:t>
            </w:r>
            <w:r>
              <w:rPr>
                <w:rFonts w:hint="eastAsia"/>
              </w:rPr>
              <w:t>，非甲烷总烃参考执行</w:t>
            </w:r>
            <w:r>
              <w:t>《大气污染物综合排放标准详解》。</w:t>
            </w:r>
          </w:p>
          <w:p>
            <w:pPr>
              <w:pStyle w:val="4"/>
              <w:ind w:firstLine="480"/>
            </w:pPr>
            <w:r>
              <w:t>（2）地表水环境质量评价：执行《地表水环境质量标准》（GB3838-2002）中Ⅲ类标准。</w:t>
            </w:r>
          </w:p>
          <w:p>
            <w:pPr>
              <w:pStyle w:val="4"/>
              <w:ind w:firstLine="480"/>
            </w:pPr>
            <w:r>
              <w:rPr>
                <w:rFonts w:hint="eastAsia"/>
              </w:rPr>
              <w:t>（3）地下水质量评价：执行《地下水质量标准》（</w:t>
            </w:r>
            <w:r>
              <w:t>GB/T14848-2017</w:t>
            </w:r>
            <w:r>
              <w:rPr>
                <w:rFonts w:hint="eastAsia"/>
              </w:rPr>
              <w:t>）中Ⅲ类标准。</w:t>
            </w:r>
          </w:p>
          <w:p>
            <w:pPr>
              <w:pStyle w:val="4"/>
              <w:ind w:firstLine="480"/>
              <w:rPr>
                <w:rFonts w:ascii="Times New Roman" w:hAnsi="Times New Roman" w:eastAsia="宋体" w:cs="Times New Roman"/>
              </w:rPr>
            </w:pPr>
            <w:r>
              <w:t>（</w:t>
            </w:r>
            <w:r>
              <w:rPr>
                <w:rFonts w:hint="eastAsia"/>
              </w:rPr>
              <w:t>4</w:t>
            </w:r>
            <w:r>
              <w:rPr>
                <w:rFonts w:ascii="Times New Roman" w:hAnsi="Times New Roman" w:eastAsia="宋体" w:cs="Times New Roman"/>
              </w:rPr>
              <w:t>）声环境评价：执行《声环境质量标准》(GB3096-2008)中的2类</w:t>
            </w:r>
            <w:r>
              <w:rPr>
                <w:rFonts w:hint="eastAsia" w:ascii="Times New Roman" w:hAnsi="Times New Roman" w:eastAsia="宋体" w:cs="Times New Roman"/>
              </w:rPr>
              <w:t>、4a</w:t>
            </w:r>
            <w:r>
              <w:rPr>
                <w:rFonts w:ascii="Times New Roman" w:hAnsi="Times New Roman" w:eastAsia="宋体" w:cs="Times New Roman"/>
              </w:rPr>
              <w:t>标准。</w:t>
            </w:r>
          </w:p>
          <w:p>
            <w:pPr>
              <w:pStyle w:val="4"/>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（5）土壤环境评价：</w:t>
            </w:r>
            <w:r>
              <w:rPr>
                <w:rFonts w:hint="default" w:ascii="Times New Roman" w:hAnsi="Times New Roman" w:eastAsia="宋体" w:cs="Times New Roman"/>
                <w:lang w:val="en-US" w:eastAsia="zh-CN"/>
              </w:rPr>
              <w:t>参考《土壤环境质量 建设用地土壤污染风险管控标准》（GB 36600-2018）表1中筛选值第二类用地标准限值</w:t>
            </w:r>
          </w:p>
          <w:p>
            <w:pPr>
              <w:pStyle w:val="4"/>
              <w:ind w:firstLine="480"/>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）评价相关依据：《储油库和加油站大气污染治理验收监测技术规范》（ HJT-431-2008）；《危险化</w:t>
            </w:r>
            <w:r>
              <w:rPr>
                <w:rFonts w:hint="eastAsia"/>
              </w:rPr>
              <w:t>学品重大危险源辨识》（ GB18218-2009）。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541" w:type="dxa"/>
            <w:vAlign w:val="center"/>
          </w:tcPr>
          <w:p>
            <w:pPr>
              <w:spacing w:line="360" w:lineRule="auto"/>
              <w:jc w:val="center"/>
              <w:rPr>
                <w:sz w:val="24"/>
                <w:szCs w:val="24"/>
              </w:rPr>
            </w:pPr>
            <w:r>
              <w:rPr>
                <w:sz w:val="24"/>
                <w:szCs w:val="24"/>
              </w:rPr>
              <w:t>污染物排放标准</w:t>
            </w:r>
          </w:p>
        </w:tc>
        <w:tc>
          <w:tcPr>
            <w:tcW w:w="8384" w:type="dxa"/>
            <w:vAlign w:val="center"/>
          </w:tcPr>
          <w:p>
            <w:pPr>
              <w:numPr>
                <w:ilvl w:val="0"/>
                <w:numId w:val="4"/>
              </w:numPr>
              <w:spacing w:line="360" w:lineRule="auto"/>
              <w:ind w:firstLine="480" w:firstLineChars="200"/>
              <w:rPr>
                <w:kern w:val="0"/>
                <w:sz w:val="24"/>
              </w:rPr>
            </w:pPr>
            <w:r>
              <w:rPr>
                <w:sz w:val="24"/>
              </w:rPr>
              <w:t>大气污染物：</w:t>
            </w:r>
            <w:r>
              <w:rPr>
                <w:sz w:val="24"/>
                <w:szCs w:val="24"/>
              </w:rPr>
              <w:t>项目废气排放执行《大气污染物综合排放标准》（GB16297-1996）二级标准，非甲烷总烃无组织排放限值为4.0mg/m</w:t>
            </w:r>
            <w:r>
              <w:rPr>
                <w:sz w:val="24"/>
                <w:szCs w:val="24"/>
                <w:vertAlign w:val="superscript"/>
              </w:rPr>
              <w:t>3</w:t>
            </w:r>
            <w:r>
              <w:rPr>
                <w:sz w:val="24"/>
                <w:szCs w:val="24"/>
              </w:rPr>
              <w:t>；执行《加油站大气污染物排放标准》（GB20952-2007），回收装置油气非甲烷总烃排放浓度应小于25g/m</w:t>
            </w:r>
            <w:r>
              <w:rPr>
                <w:sz w:val="24"/>
                <w:szCs w:val="24"/>
                <w:vertAlign w:val="superscript"/>
              </w:rPr>
              <w:t>3</w:t>
            </w:r>
            <w:r>
              <w:rPr>
                <w:kern w:val="0"/>
                <w:sz w:val="24"/>
                <w:szCs w:val="24"/>
              </w:rPr>
              <w:t>；《</w:t>
            </w:r>
            <w:r>
              <w:rPr>
                <w:sz w:val="24"/>
                <w:szCs w:val="24"/>
              </w:rPr>
              <w:t>储油库、加油站大气污染治理项目验收检测技术规范》（HJ/431-2008）。</w:t>
            </w:r>
          </w:p>
          <w:p>
            <w:pPr>
              <w:spacing w:line="360" w:lineRule="auto"/>
              <w:ind w:firstLine="480" w:firstLineChars="200"/>
              <w:rPr>
                <w:sz w:val="24"/>
                <w:szCs w:val="24"/>
              </w:rPr>
            </w:pPr>
            <w:r>
              <w:rPr>
                <w:sz w:val="24"/>
              </w:rPr>
              <w:t>（2）噪声污染：执行《工业企业厂界环境噪声排放标准》（GB 12348-2008）中</w:t>
            </w:r>
            <w:r>
              <w:rPr>
                <w:sz w:val="24"/>
                <w:szCs w:val="24"/>
              </w:rPr>
              <w:t>2类标准。</w:t>
            </w:r>
          </w:p>
          <w:p>
            <w:pPr>
              <w:spacing w:line="360" w:lineRule="auto"/>
              <w:ind w:firstLine="480" w:firstLineChars="200"/>
              <w:rPr>
                <w:szCs w:val="24"/>
              </w:rPr>
            </w:pPr>
            <w:r>
              <w:rPr>
                <w:sz w:val="24"/>
                <w:szCs w:val="24"/>
              </w:rPr>
              <w:t>（3）固体废物：执行《生活垃圾填埋场污染控制标准》（GB16889-2008）；危险</w:t>
            </w:r>
            <w:r>
              <w:rPr>
                <w:rFonts w:hint="eastAsia"/>
                <w:sz w:val="24"/>
                <w:szCs w:val="24"/>
              </w:rPr>
              <w:t>废物</w:t>
            </w:r>
            <w:r>
              <w:rPr>
                <w:sz w:val="24"/>
                <w:szCs w:val="24"/>
              </w:rPr>
              <w:t>执行《危险废物贮存污染控制标准》（GB18597-2001）及其2013年修改清单。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541" w:type="dxa"/>
            <w:vAlign w:val="center"/>
          </w:tcPr>
          <w:p>
            <w:pPr>
              <w:spacing w:line="360" w:lineRule="auto"/>
              <w:jc w:val="center"/>
              <w:rPr>
                <w:sz w:val="24"/>
                <w:szCs w:val="24"/>
              </w:rPr>
            </w:pPr>
            <w:r>
              <w:rPr>
                <w:sz w:val="24"/>
                <w:szCs w:val="24"/>
              </w:rPr>
              <w:t>总量控制指标</w:t>
            </w:r>
          </w:p>
        </w:tc>
        <w:tc>
          <w:tcPr>
            <w:tcW w:w="8384" w:type="dxa"/>
            <w:vAlign w:val="center"/>
          </w:tcPr>
          <w:p>
            <w:pPr>
              <w:spacing w:line="360" w:lineRule="auto"/>
              <w:ind w:firstLine="480" w:firstLineChars="200"/>
              <w:rPr>
                <w:sz w:val="24"/>
              </w:rPr>
            </w:pPr>
            <w:r>
              <w:rPr>
                <w:sz w:val="24"/>
              </w:rPr>
              <w:t>结合本项目工程特征，确定本项目的</w:t>
            </w:r>
            <w:r>
              <w:rPr>
                <w:rFonts w:hint="eastAsia"/>
                <w:sz w:val="24"/>
              </w:rPr>
              <w:t>污染物总量控制指标如下：</w:t>
            </w:r>
          </w:p>
          <w:p>
            <w:pPr>
              <w:spacing w:line="360" w:lineRule="auto"/>
              <w:ind w:firstLine="480" w:firstLineChars="200"/>
              <w:rPr>
                <w:sz w:val="24"/>
              </w:rPr>
            </w:pPr>
            <w:r>
              <w:rPr>
                <w:rFonts w:hint="eastAsia"/>
                <w:sz w:val="24"/>
              </w:rPr>
              <w:t>气型污染物控制标准：VOCs（以非甲烷总烃表征）：0.036t/a。</w:t>
            </w:r>
          </w:p>
          <w:p>
            <w:pPr>
              <w:spacing w:line="360" w:lineRule="auto"/>
              <w:ind w:firstLine="480" w:firstLineChars="200"/>
              <w:rPr>
                <w:sz w:val="24"/>
                <w:szCs w:val="24"/>
              </w:rPr>
            </w:pPr>
            <w:r>
              <w:rPr>
                <w:rFonts w:hint="eastAsia"/>
                <w:sz w:val="24"/>
              </w:rPr>
              <w:t>本项目无</w:t>
            </w:r>
            <w:r>
              <w:rPr>
                <w:sz w:val="24"/>
              </w:rPr>
              <w:t>水污染物控制指标。</w:t>
            </w:r>
          </w:p>
        </w:tc>
      </w:tr>
    </w:tbl>
    <w:p>
      <w:pPr>
        <w:sectPr>
          <w:pgSz w:w="11907" w:h="16840"/>
          <w:pgMar w:top="1418" w:right="1418" w:bottom="1418" w:left="1701" w:header="851" w:footer="851" w:gutter="0"/>
          <w:cols w:space="720" w:num="1"/>
          <w:docGrid w:linePitch="285" w:charSpace="0"/>
        </w:sectPr>
      </w:pPr>
    </w:p>
    <w:p>
      <w:pPr>
        <w:pStyle w:val="3"/>
      </w:pPr>
      <w:bookmarkStart w:id="19" w:name="_Toc3212"/>
      <w:r>
        <w:t>工程分析</w:t>
      </w:r>
      <w:bookmarkEnd w:id="19"/>
    </w:p>
    <w:tbl>
      <w:tblPr>
        <w:tblStyle w:val="24"/>
        <w:tblW w:w="900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4" w:type="dxa"/>
            <w:vAlign w:val="center"/>
          </w:tcPr>
          <w:p>
            <w:pPr>
              <w:pStyle w:val="5"/>
            </w:pPr>
            <w:r>
              <w:t>工艺流程</w:t>
            </w:r>
          </w:p>
          <w:p>
            <w:pPr>
              <w:spacing w:line="360" w:lineRule="auto"/>
              <w:rPr>
                <w:sz w:val="24"/>
              </w:rPr>
            </w:pPr>
            <w:r>
              <w:rPr>
                <w:sz w:val="24"/>
              </w:rPr>
              <w:t>项目</w:t>
            </w:r>
            <w:r>
              <w:rPr>
                <w:rFonts w:hint="eastAsia"/>
                <w:sz w:val="24"/>
              </w:rPr>
              <w:t>加油</w:t>
            </w:r>
            <w:r>
              <w:rPr>
                <w:sz w:val="24"/>
              </w:rPr>
              <w:t>的工艺流程及产排污环节图</w:t>
            </w:r>
          </w:p>
          <w:p>
            <w:pPr>
              <w:spacing w:line="360" w:lineRule="auto"/>
              <w:jc w:val="center"/>
              <w:rPr>
                <w:b/>
                <w:sz w:val="24"/>
              </w:rPr>
            </w:pPr>
            <w:r>
              <w:rPr>
                <w:b/>
                <w:sz w:val="24"/>
              </w:rPr>
              <w:drawing>
                <wp:inline distT="0" distB="0" distL="114300" distR="114300">
                  <wp:extent cx="5269230" cy="1498600"/>
                  <wp:effectExtent l="0" t="0" r="762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print"/>
                          <a:stretch>
                            <a:fillRect/>
                          </a:stretch>
                        </pic:blipFill>
                        <pic:spPr>
                          <a:xfrm>
                            <a:off x="0" y="0"/>
                            <a:ext cx="5269230" cy="1498600"/>
                          </a:xfrm>
                          <a:prstGeom prst="rect">
                            <a:avLst/>
                          </a:prstGeom>
                          <a:noFill/>
                          <a:ln w="9525">
                            <a:noFill/>
                          </a:ln>
                        </pic:spPr>
                      </pic:pic>
                    </a:graphicData>
                  </a:graphic>
                </wp:inline>
              </w:drawing>
            </w:r>
          </w:p>
          <w:p>
            <w:pPr>
              <w:pStyle w:val="41"/>
              <w:rPr>
                <w:szCs w:val="24"/>
              </w:rPr>
            </w:pPr>
            <w:r>
              <w:rPr>
                <w:szCs w:val="24"/>
              </w:rPr>
              <w:t>图5.1-</w:t>
            </w:r>
            <w:r>
              <w:rPr>
                <w:rFonts w:hint="eastAsia"/>
                <w:szCs w:val="24"/>
              </w:rPr>
              <w:t>1</w:t>
            </w:r>
            <w:r>
              <w:rPr>
                <w:szCs w:val="24"/>
              </w:rPr>
              <w:t xml:space="preserve">   加油工艺流程及产排污环节图</w:t>
            </w:r>
          </w:p>
          <w:p>
            <w:pPr>
              <w:pStyle w:val="6"/>
              <w:numPr>
                <w:ilvl w:val="0"/>
                <w:numId w:val="0"/>
              </w:numPr>
              <w:rPr>
                <w:b/>
                <w:sz w:val="28"/>
                <w:szCs w:val="28"/>
              </w:rPr>
            </w:pPr>
            <w:r>
              <w:t>5.1.1加油工艺流程</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卸油：湘阴县杨林寨加油站的油品由社会中专业运输公司承担负责运送至本加油站。该站采用油罐车经连通导电耐油软管与油罐卸油孔连通卸油的方式卸油。装满汽油、柴油的油槽车到达加油站罐区后，在油罐附近停稳熄火，先接好静电接地装置，待油罐车熄火并静止</w:t>
            </w:r>
            <w:r>
              <w:rPr>
                <w:sz w:val="24"/>
              </w:rPr>
              <w:t>15min</w:t>
            </w:r>
            <w:r>
              <w:rPr>
                <w:rFonts w:hint="eastAsia"/>
                <w:sz w:val="24"/>
              </w:rPr>
              <w:t>后，将连通软管与油罐车的卸油口、储罐的进油口利用密闭快速接头连接好，经计量后准备接卸。卸油前，核对罐车与油罐中油品的品名、牌号是否一致，各项准备工作检查无误后，开始自流卸油，卸油时流速控制在</w:t>
            </w:r>
            <w:r>
              <w:rPr>
                <w:sz w:val="24"/>
              </w:rPr>
              <w:t>3m/s</w:t>
            </w:r>
            <w:r>
              <w:rPr>
                <w:rFonts w:hint="eastAsia"/>
                <w:sz w:val="24"/>
              </w:rPr>
              <w:t>以内。油品卸完后，拆卸油罐车连接端头，并将卸油管抬高使管内油料流入罐内并防止溅出，盖严罐口处的卸油帽，拆除静电接地装置，卸油完毕罐车静止</w:t>
            </w:r>
            <w:r>
              <w:rPr>
                <w:sz w:val="24"/>
              </w:rPr>
              <w:t>15min</w:t>
            </w:r>
            <w:r>
              <w:rPr>
                <w:rFonts w:hint="eastAsia"/>
                <w:sz w:val="24"/>
              </w:rPr>
              <w:t>后，发动油品罐车缓慢驶离罐区。</w:t>
            </w:r>
          </w:p>
          <w:p>
            <w:pPr>
              <w:adjustRightInd w:val="0"/>
              <w:snapToGrid w:val="0"/>
              <w:spacing w:line="360" w:lineRule="auto"/>
              <w:ind w:firstLine="480" w:firstLineChars="200"/>
              <w:rPr>
                <w:sz w:val="24"/>
              </w:rPr>
            </w:pPr>
            <w:r>
              <w:rPr>
                <w:rFonts w:hint="eastAsia"/>
                <w:sz w:val="24"/>
              </w:rPr>
              <w:t>（</w:t>
            </w:r>
            <w:r>
              <w:rPr>
                <w:sz w:val="24"/>
              </w:rPr>
              <w:t>2</w:t>
            </w:r>
            <w:r>
              <w:rPr>
                <w:rFonts w:hint="eastAsia"/>
                <w:sz w:val="24"/>
              </w:rPr>
              <w:t>）储油：对油罐车送来的油品在相应的油罐内进行储存，储存时间为</w:t>
            </w:r>
            <w:r>
              <w:rPr>
                <w:sz w:val="24"/>
              </w:rPr>
              <w:t>2</w:t>
            </w:r>
            <w:r>
              <w:rPr>
                <w:rFonts w:hint="eastAsia"/>
                <w:sz w:val="24"/>
              </w:rPr>
              <w:t>至</w:t>
            </w:r>
            <w:r>
              <w:rPr>
                <w:sz w:val="24"/>
              </w:rPr>
              <w:t>3</w:t>
            </w:r>
            <w:r>
              <w:rPr>
                <w:rFonts w:hint="eastAsia"/>
                <w:sz w:val="24"/>
              </w:rPr>
              <w:t>天，从而保证加油站不会出现脱销现象。</w:t>
            </w:r>
          </w:p>
          <w:p>
            <w:pPr>
              <w:adjustRightInd w:val="0"/>
              <w:snapToGrid w:val="0"/>
              <w:spacing w:line="360" w:lineRule="auto"/>
              <w:ind w:firstLine="480" w:firstLineChars="200"/>
              <w:rPr>
                <w:b/>
                <w:sz w:val="24"/>
              </w:rPr>
            </w:pPr>
            <w:r>
              <w:rPr>
                <w:rFonts w:hint="eastAsia"/>
                <w:sz w:val="24"/>
              </w:rPr>
              <w:t>（</w:t>
            </w:r>
            <w:r>
              <w:rPr>
                <w:sz w:val="24"/>
              </w:rPr>
              <w:t>3</w:t>
            </w:r>
            <w:r>
              <w:rPr>
                <w:rFonts w:hint="eastAsia"/>
                <w:sz w:val="24"/>
              </w:rPr>
              <w:t>）加油：加油采用潜油泵加油工艺，将油品从储油罐打出，经过加油机的计量器，再经加油枪加到汽车油箱中。</w:t>
            </w:r>
          </w:p>
          <w:p>
            <w:pPr>
              <w:pStyle w:val="6"/>
              <w:numPr>
                <w:ilvl w:val="0"/>
                <w:numId w:val="0"/>
              </w:numPr>
            </w:pPr>
            <w:r>
              <w:t>5.1.2油气回收系统</w:t>
            </w:r>
          </w:p>
          <w:p>
            <w:pPr>
              <w:pStyle w:val="4"/>
              <w:ind w:firstLine="480"/>
            </w:pPr>
            <w:r>
              <w:rPr>
                <w:rFonts w:hint="eastAsia"/>
              </w:rPr>
              <w:t>本项目已采用油气二次回收系统，油气回收系统原理如下：</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卸油油气回收：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w:t>
            </w:r>
          </w:p>
          <w:p>
            <w:pPr>
              <w:spacing w:line="360" w:lineRule="auto"/>
              <w:jc w:val="center"/>
            </w:pPr>
            <w:r>
              <w:drawing>
                <wp:inline distT="0" distB="0" distL="114300" distR="114300">
                  <wp:extent cx="3667760" cy="1363345"/>
                  <wp:effectExtent l="0" t="0" r="889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srcRect t="11728"/>
                          <a:stretch>
                            <a:fillRect/>
                          </a:stretch>
                        </pic:blipFill>
                        <pic:spPr>
                          <a:xfrm>
                            <a:off x="0" y="0"/>
                            <a:ext cx="3667760" cy="1363345"/>
                          </a:xfrm>
                          <a:prstGeom prst="rect">
                            <a:avLst/>
                          </a:prstGeom>
                          <a:noFill/>
                          <a:ln w="9525">
                            <a:noFill/>
                          </a:ln>
                        </pic:spPr>
                      </pic:pic>
                    </a:graphicData>
                  </a:graphic>
                </wp:inline>
              </w:drawing>
            </w:r>
          </w:p>
          <w:p>
            <w:pPr>
              <w:adjustRightInd w:val="0"/>
              <w:snapToGrid w:val="0"/>
              <w:jc w:val="center"/>
              <w:rPr>
                <w:rFonts w:eastAsia="黑体"/>
                <w:sz w:val="24"/>
                <w:szCs w:val="24"/>
              </w:rPr>
            </w:pPr>
            <w:r>
              <w:rPr>
                <w:rFonts w:hAnsi="黑体" w:eastAsia="黑体"/>
                <w:sz w:val="24"/>
                <w:szCs w:val="24"/>
              </w:rPr>
              <w:t>图</w:t>
            </w:r>
            <w:r>
              <w:rPr>
                <w:rFonts w:eastAsia="黑体"/>
                <w:sz w:val="24"/>
                <w:szCs w:val="24"/>
              </w:rPr>
              <w:t>5.1-</w:t>
            </w:r>
            <w:r>
              <w:rPr>
                <w:rFonts w:hint="eastAsia" w:eastAsia="黑体"/>
                <w:sz w:val="24"/>
                <w:szCs w:val="24"/>
              </w:rPr>
              <w:t>2</w:t>
            </w:r>
            <w:r>
              <w:rPr>
                <w:rFonts w:eastAsia="黑体"/>
                <w:sz w:val="24"/>
                <w:szCs w:val="24"/>
              </w:rPr>
              <w:t xml:space="preserve">   </w:t>
            </w:r>
            <w:r>
              <w:rPr>
                <w:rFonts w:hAnsi="黑体" w:eastAsia="黑体"/>
                <w:sz w:val="24"/>
                <w:szCs w:val="24"/>
              </w:rPr>
              <w:t>一次油气回收系统基本原理图</w:t>
            </w:r>
          </w:p>
          <w:p>
            <w:pPr>
              <w:adjustRightInd w:val="0"/>
              <w:snapToGrid w:val="0"/>
              <w:spacing w:line="360" w:lineRule="auto"/>
              <w:ind w:firstLine="480" w:firstLineChars="200"/>
              <w:rPr>
                <w:b/>
                <w:sz w:val="24"/>
              </w:rPr>
            </w:pPr>
            <w:r>
              <w:rPr>
                <w:rFonts w:hint="eastAsia"/>
                <w:sz w:val="24"/>
              </w:rPr>
              <w:t>（</w:t>
            </w:r>
            <w:r>
              <w:rPr>
                <w:sz w:val="24"/>
              </w:rPr>
              <w:t>2</w:t>
            </w:r>
            <w:r>
              <w:rPr>
                <w:rFonts w:hint="eastAsia"/>
                <w:sz w:val="24"/>
              </w:rPr>
              <w:t>）加油油气回收：汽车加油过程中，利用加油枪上特殊装置，将原本由汽车油箱逸散于空气中的油气经加油枪、抽气泵、油气回收管线输送至地下储油罐，实现加油与油气等体积置换。将回收的油气储存在地下油罐内饱压，不做外排。加油及油气回收工艺如下：</w:t>
            </w:r>
          </w:p>
          <w:p>
            <w:pPr>
              <w:spacing w:line="360" w:lineRule="auto"/>
              <w:jc w:val="center"/>
              <w:rPr>
                <w:kern w:val="0"/>
                <w:sz w:val="24"/>
              </w:rPr>
            </w:pPr>
            <w:r>
              <w:rPr>
                <w:kern w:val="0"/>
                <w:sz w:val="24"/>
              </w:rPr>
              <w:fldChar w:fldCharType="begin"/>
            </w:r>
            <w:r>
              <w:rPr>
                <w:kern w:val="0"/>
                <w:sz w:val="24"/>
              </w:rPr>
              <w:instrText xml:space="preserve"> INCLUDEPICTURE  "H:\\Application Data\\Tencent\\Users\\471427862\\QQ\\WinTemp\\RichOle\\4_3G9YGC(GK~V)VWUE11OAP.jpg" \* MERGEFORMATINET </w:instrText>
            </w:r>
            <w:r>
              <w:rPr>
                <w:kern w:val="0"/>
                <w:sz w:val="24"/>
              </w:rPr>
              <w:fldChar w:fldCharType="separate"/>
            </w:r>
            <w:r>
              <w:rPr>
                <w:kern w:val="0"/>
                <w:sz w:val="24"/>
              </w:rPr>
              <w:drawing>
                <wp:inline distT="0" distB="0" distL="114300" distR="114300">
                  <wp:extent cx="3780155" cy="1999615"/>
                  <wp:effectExtent l="0" t="0" r="1079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r:link="rId16" cstate="print"/>
                          <a:srcRect t="18288"/>
                          <a:stretch>
                            <a:fillRect/>
                          </a:stretch>
                        </pic:blipFill>
                        <pic:spPr>
                          <a:xfrm>
                            <a:off x="0" y="0"/>
                            <a:ext cx="3780155" cy="1999615"/>
                          </a:xfrm>
                          <a:prstGeom prst="rect">
                            <a:avLst/>
                          </a:prstGeom>
                          <a:noFill/>
                          <a:ln w="9525">
                            <a:noFill/>
                          </a:ln>
                        </pic:spPr>
                      </pic:pic>
                    </a:graphicData>
                  </a:graphic>
                </wp:inline>
              </w:drawing>
            </w:r>
            <w:r>
              <w:rPr>
                <w:kern w:val="0"/>
                <w:sz w:val="24"/>
              </w:rPr>
              <w:fldChar w:fldCharType="end"/>
            </w:r>
          </w:p>
          <w:p>
            <w:pPr>
              <w:adjustRightInd w:val="0"/>
              <w:snapToGrid w:val="0"/>
              <w:jc w:val="center"/>
              <w:rPr>
                <w:rFonts w:hAnsi="黑体" w:eastAsia="黑体"/>
                <w:sz w:val="24"/>
                <w:szCs w:val="24"/>
              </w:rPr>
            </w:pPr>
            <w:r>
              <w:rPr>
                <w:rFonts w:hAnsi="黑体" w:eastAsia="黑体"/>
                <w:sz w:val="24"/>
                <w:szCs w:val="24"/>
              </w:rPr>
              <w:t>图</w:t>
            </w:r>
            <w:r>
              <w:rPr>
                <w:rFonts w:eastAsia="黑体"/>
                <w:sz w:val="24"/>
                <w:szCs w:val="24"/>
              </w:rPr>
              <w:t>5.1-</w:t>
            </w:r>
            <w:r>
              <w:rPr>
                <w:rFonts w:hint="eastAsia" w:eastAsia="黑体"/>
                <w:sz w:val="24"/>
                <w:szCs w:val="24"/>
              </w:rPr>
              <w:t xml:space="preserve">3   </w:t>
            </w:r>
            <w:r>
              <w:rPr>
                <w:rFonts w:hint="eastAsia" w:hAnsi="黑体" w:eastAsia="黑体"/>
                <w:sz w:val="24"/>
                <w:szCs w:val="24"/>
              </w:rPr>
              <w:t>二</w:t>
            </w:r>
            <w:r>
              <w:rPr>
                <w:rFonts w:hAnsi="黑体" w:eastAsia="黑体"/>
                <w:sz w:val="24"/>
                <w:szCs w:val="24"/>
              </w:rPr>
              <w:t>次油气回收系统基本原理图</w:t>
            </w:r>
          </w:p>
          <w:p>
            <w:pPr>
              <w:pStyle w:val="5"/>
            </w:pPr>
            <w:r>
              <w:t>污染源分析</w:t>
            </w:r>
          </w:p>
          <w:p>
            <w:pPr>
              <w:pStyle w:val="6"/>
            </w:pPr>
            <w:r>
              <w:t>施工期污染源分析</w:t>
            </w:r>
          </w:p>
          <w:p>
            <w:pPr>
              <w:adjustRightInd w:val="0"/>
              <w:snapToGrid w:val="0"/>
              <w:spacing w:line="360" w:lineRule="auto"/>
              <w:ind w:firstLine="480" w:firstLineChars="200"/>
            </w:pPr>
            <w:r>
              <w:rPr>
                <w:rFonts w:hint="eastAsia"/>
                <w:sz w:val="24"/>
              </w:rPr>
              <w:t>项目建设已完成，故不对施工期污染影响进行分析。</w:t>
            </w:r>
          </w:p>
          <w:p>
            <w:pPr>
              <w:pStyle w:val="6"/>
            </w:pPr>
            <w:r>
              <w:t>营运期污染分析</w:t>
            </w:r>
          </w:p>
          <w:p>
            <w:pPr>
              <w:pStyle w:val="7"/>
              <w:ind w:left="862" w:hanging="862"/>
              <w:rPr>
                <w:u w:val="single"/>
              </w:rPr>
            </w:pPr>
            <w:r>
              <w:rPr>
                <w:u w:val="single"/>
              </w:rPr>
              <w:t>废气</w:t>
            </w:r>
          </w:p>
          <w:p>
            <w:pPr>
              <w:adjustRightInd w:val="0"/>
              <w:snapToGrid w:val="0"/>
              <w:spacing w:line="360" w:lineRule="auto"/>
              <w:ind w:firstLine="480" w:firstLineChars="200"/>
              <w:rPr>
                <w:u w:val="single"/>
              </w:rPr>
            </w:pPr>
            <w:r>
              <w:rPr>
                <w:rFonts w:hint="eastAsia"/>
                <w:sz w:val="24"/>
                <w:szCs w:val="24"/>
                <w:u w:val="single"/>
              </w:rPr>
              <w:t>本项目营运期间主要的废气污染源为汽、柴油储油罐大小呼吸、油罐车卸油、加油机加油过程中产生的非甲烷总烃类废气，进站加油车辆产生的机动车尾气，柴油发电机燃烧废气。</w:t>
            </w:r>
          </w:p>
          <w:p>
            <w:pPr>
              <w:adjustRightInd w:val="0"/>
              <w:snapToGrid w:val="0"/>
              <w:spacing w:line="360" w:lineRule="auto"/>
              <w:ind w:firstLine="480" w:firstLineChars="200"/>
              <w:rPr>
                <w:sz w:val="24"/>
                <w:u w:val="single"/>
              </w:rPr>
            </w:pPr>
            <w:r>
              <w:rPr>
                <w:rFonts w:hint="eastAsia"/>
                <w:sz w:val="24"/>
                <w:u w:val="single"/>
              </w:rPr>
              <w:t>（</w:t>
            </w:r>
            <w:r>
              <w:rPr>
                <w:sz w:val="24"/>
                <w:u w:val="single"/>
              </w:rPr>
              <w:t>1</w:t>
            </w:r>
            <w:r>
              <w:rPr>
                <w:rFonts w:hint="eastAsia"/>
                <w:sz w:val="24"/>
                <w:u w:val="single"/>
              </w:rPr>
              <w:t>）非甲烷总烃类废气</w:t>
            </w:r>
          </w:p>
          <w:p>
            <w:pPr>
              <w:adjustRightInd w:val="0"/>
              <w:snapToGrid w:val="0"/>
              <w:spacing w:line="360" w:lineRule="auto"/>
              <w:ind w:firstLine="480" w:firstLineChars="200"/>
              <w:rPr>
                <w:sz w:val="24"/>
                <w:u w:val="single"/>
              </w:rPr>
            </w:pPr>
            <w:r>
              <w:rPr>
                <w:rFonts w:hint="eastAsia" w:ascii="宋体" w:hAnsi="宋体" w:cs="宋体"/>
                <w:sz w:val="24"/>
                <w:u w:val="single"/>
              </w:rPr>
              <w:t>①</w:t>
            </w:r>
            <w:r>
              <w:rPr>
                <w:rFonts w:hint="eastAsia"/>
                <w:sz w:val="24"/>
                <w:u w:val="single"/>
              </w:rPr>
              <w:t>储油罐大呼吸损失是指油罐进发油时所呼出的油蒸气而造成的油品蒸发损失。油罐进油时，由于油面逐渐升高，气体空间逐渐减小，罐内压力增大，当压力超过呼吸阀控制压力时，一定浓度的油蒸气开始从呼吸阀呼出，直到油罐停止收油。查阅《工业源产排污系数手册</w:t>
            </w:r>
            <w:r>
              <w:rPr>
                <w:sz w:val="24"/>
                <w:u w:val="single"/>
              </w:rPr>
              <w:t>2010</w:t>
            </w:r>
            <w:r>
              <w:rPr>
                <w:rFonts w:hint="eastAsia"/>
                <w:sz w:val="24"/>
                <w:u w:val="single"/>
              </w:rPr>
              <w:t>版》及同类工程调查，储油罐大呼吸烃类有机物平均排放率为</w:t>
            </w:r>
            <w:r>
              <w:rPr>
                <w:sz w:val="24"/>
                <w:u w:val="single"/>
              </w:rPr>
              <w:t>0.18kg/m</w:t>
            </w:r>
            <w:r>
              <w:rPr>
                <w:sz w:val="24"/>
                <w:u w:val="single"/>
                <w:vertAlign w:val="superscript"/>
              </w:rPr>
              <w:t>3</w:t>
            </w:r>
            <w:r>
              <w:rPr>
                <w:rFonts w:hint="eastAsia"/>
                <w:sz w:val="24"/>
                <w:u w:val="single"/>
              </w:rPr>
              <w:t>·通过量。</w:t>
            </w:r>
          </w:p>
          <w:p>
            <w:pPr>
              <w:adjustRightInd w:val="0"/>
              <w:snapToGrid w:val="0"/>
              <w:spacing w:line="360" w:lineRule="auto"/>
              <w:ind w:firstLine="480" w:firstLineChars="200"/>
              <w:rPr>
                <w:sz w:val="24"/>
                <w:u w:val="single"/>
              </w:rPr>
            </w:pPr>
            <w:r>
              <w:rPr>
                <w:rFonts w:hint="eastAsia" w:ascii="宋体" w:hAnsi="宋体" w:cs="宋体"/>
                <w:sz w:val="24"/>
                <w:u w:val="single"/>
              </w:rPr>
              <w:t>②</w:t>
            </w:r>
            <w:r>
              <w:rPr>
                <w:rFonts w:hint="eastAsia"/>
                <w:sz w:val="24"/>
                <w:u w:val="single"/>
              </w:rPr>
              <w:t>储油罐小呼吸损失是指油罐在没有收发油作业的情况下，随着外界气温、压力在一天内的升降周期变化，罐内气体空间温度、油品蒸发速度、油气浓度和蒸汽压力也随之变化。这种排出油蒸气和吸入空气的过程造成的油气损失，叫小呼吸损失。查阅《工业源产排污系数手册</w:t>
            </w:r>
            <w:r>
              <w:rPr>
                <w:sz w:val="24"/>
                <w:u w:val="single"/>
              </w:rPr>
              <w:t>2010</w:t>
            </w:r>
            <w:r>
              <w:rPr>
                <w:rFonts w:hint="eastAsia"/>
                <w:sz w:val="24"/>
                <w:u w:val="single"/>
              </w:rPr>
              <w:t>版》及同类工程调查，储油罐小呼吸造成的烃类有机物平均排放率为</w:t>
            </w:r>
            <w:r>
              <w:rPr>
                <w:sz w:val="24"/>
                <w:u w:val="single"/>
              </w:rPr>
              <w:t>0.07 kg/m</w:t>
            </w:r>
            <w:r>
              <w:rPr>
                <w:sz w:val="24"/>
                <w:u w:val="single"/>
                <w:vertAlign w:val="superscript"/>
              </w:rPr>
              <w:t>3</w:t>
            </w:r>
            <w:r>
              <w:rPr>
                <w:rFonts w:hint="eastAsia"/>
                <w:sz w:val="24"/>
                <w:u w:val="single"/>
              </w:rPr>
              <w:t>·通过量。</w:t>
            </w:r>
          </w:p>
          <w:p>
            <w:pPr>
              <w:adjustRightInd w:val="0"/>
              <w:snapToGrid w:val="0"/>
              <w:spacing w:line="360" w:lineRule="auto"/>
              <w:ind w:firstLine="480" w:firstLineChars="200"/>
              <w:rPr>
                <w:sz w:val="24"/>
                <w:u w:val="single"/>
              </w:rPr>
            </w:pPr>
            <w:r>
              <w:rPr>
                <w:rFonts w:hint="eastAsia" w:ascii="宋体" w:hAnsi="宋体" w:cs="宋体"/>
                <w:sz w:val="24"/>
                <w:u w:val="single"/>
              </w:rPr>
              <w:t>③</w:t>
            </w:r>
            <w:r>
              <w:rPr>
                <w:rFonts w:hint="eastAsia"/>
                <w:sz w:val="24"/>
                <w:u w:val="single"/>
              </w:rPr>
              <w:t>油罐车卸油时，由于油罐车与地下油罐的液位不断变化，气体的吸入与呼出会对油品造成的一定挠动蒸发，另外随着油罐车油罐的液面下降，罐壁蒸发面积扩大，外部的高气温也会对其罐壁和空间造成一定的蒸发。查阅《工业源产排污系数手册</w:t>
            </w:r>
            <w:r>
              <w:rPr>
                <w:sz w:val="24"/>
                <w:u w:val="single"/>
              </w:rPr>
              <w:t>2010</w:t>
            </w:r>
            <w:r>
              <w:rPr>
                <w:rFonts w:hint="eastAsia"/>
                <w:sz w:val="24"/>
                <w:u w:val="single"/>
              </w:rPr>
              <w:t>版》及同类工程调查，油罐车卸油时烃类有机物平均排放率为</w:t>
            </w:r>
            <w:r>
              <w:rPr>
                <w:sz w:val="24"/>
                <w:u w:val="single"/>
              </w:rPr>
              <w:t>0.10kg/m</w:t>
            </w:r>
            <w:r>
              <w:rPr>
                <w:sz w:val="24"/>
                <w:u w:val="single"/>
                <w:vertAlign w:val="superscript"/>
              </w:rPr>
              <w:t>3</w:t>
            </w:r>
            <w:r>
              <w:rPr>
                <w:rFonts w:hint="eastAsia"/>
                <w:sz w:val="24"/>
                <w:u w:val="single"/>
              </w:rPr>
              <w:t>·通过量。</w:t>
            </w:r>
          </w:p>
          <w:p>
            <w:pPr>
              <w:adjustRightInd w:val="0"/>
              <w:snapToGrid w:val="0"/>
              <w:spacing w:line="360" w:lineRule="auto"/>
              <w:ind w:firstLine="480" w:firstLineChars="200"/>
              <w:rPr>
                <w:sz w:val="24"/>
                <w:u w:val="single"/>
              </w:rPr>
            </w:pPr>
            <w:r>
              <w:rPr>
                <w:rFonts w:hint="eastAsia" w:ascii="宋体" w:hAnsi="宋体" w:cs="宋体"/>
                <w:sz w:val="24"/>
                <w:u w:val="single"/>
              </w:rPr>
              <w:t>④</w:t>
            </w:r>
            <w:r>
              <w:rPr>
                <w:rFonts w:hint="eastAsia"/>
                <w:sz w:val="24"/>
                <w:u w:val="single"/>
              </w:rPr>
              <w:t>加油作业损失主要指为车辆加油时，油品进入汽车油箱，油箱内的烃类气体被油品置换排入大气。车辆加油时造成的烃类气体排放率分别为：置换损失未加控制时是</w:t>
            </w:r>
            <w:r>
              <w:rPr>
                <w:sz w:val="24"/>
                <w:u w:val="single"/>
              </w:rPr>
              <w:t>0.11kg/m</w:t>
            </w:r>
            <w:r>
              <w:rPr>
                <w:sz w:val="24"/>
                <w:u w:val="single"/>
                <w:vertAlign w:val="superscript"/>
              </w:rPr>
              <w:t>3</w:t>
            </w:r>
            <w:r>
              <w:rPr>
                <w:rFonts w:hint="eastAsia"/>
                <w:sz w:val="24"/>
                <w:u w:val="single"/>
              </w:rPr>
              <w:t>·通过量、置换损失控制时</w:t>
            </w:r>
            <w:r>
              <w:rPr>
                <w:sz w:val="24"/>
                <w:u w:val="single"/>
              </w:rPr>
              <w:t>0.065kg/m</w:t>
            </w:r>
            <w:r>
              <w:rPr>
                <w:sz w:val="24"/>
                <w:u w:val="single"/>
                <w:vertAlign w:val="superscript"/>
              </w:rPr>
              <w:t>3</w:t>
            </w:r>
            <w:r>
              <w:rPr>
                <w:rFonts w:hint="eastAsia"/>
                <w:sz w:val="24"/>
                <w:u w:val="single"/>
              </w:rPr>
              <w:t>·通过量。本项目加油枪都具有一定的自封功能，因此加油机作业时烃类气体排放率取</w:t>
            </w:r>
            <w:r>
              <w:rPr>
                <w:sz w:val="24"/>
                <w:u w:val="single"/>
              </w:rPr>
              <w:t>0.065kg/m</w:t>
            </w:r>
            <w:r>
              <w:rPr>
                <w:sz w:val="24"/>
                <w:u w:val="single"/>
                <w:vertAlign w:val="superscript"/>
              </w:rPr>
              <w:t>3</w:t>
            </w:r>
            <w:r>
              <w:rPr>
                <w:rFonts w:hint="eastAsia"/>
                <w:sz w:val="24"/>
                <w:u w:val="single"/>
              </w:rPr>
              <w:t>·通过量。</w:t>
            </w:r>
          </w:p>
          <w:p>
            <w:pPr>
              <w:adjustRightInd w:val="0"/>
              <w:snapToGrid w:val="0"/>
              <w:spacing w:line="360" w:lineRule="auto"/>
              <w:ind w:firstLine="480" w:firstLineChars="200"/>
              <w:rPr>
                <w:sz w:val="24"/>
                <w:u w:val="single"/>
              </w:rPr>
            </w:pPr>
            <w:r>
              <w:rPr>
                <w:rFonts w:hint="eastAsia" w:ascii="宋体" w:hAnsi="宋体" w:cs="宋体"/>
                <w:sz w:val="24"/>
                <w:u w:val="single"/>
              </w:rPr>
              <w:t>⑤</w:t>
            </w:r>
            <w:r>
              <w:rPr>
                <w:rFonts w:hint="eastAsia"/>
                <w:sz w:val="24"/>
                <w:u w:val="single"/>
              </w:rPr>
              <w:t>在加油机作业过程中，不可避免地有一些成品油跑、冒、滴、漏现象的发生。跑冒滴漏量与加油站的管理、加油工人的操作水平等诸多因素有关，成品油的跑、冒、滴、漏一般平均损失量为0.036kg/m</w:t>
            </w:r>
            <w:r>
              <w:rPr>
                <w:rFonts w:hint="eastAsia"/>
                <w:sz w:val="24"/>
                <w:u w:val="single"/>
                <w:vertAlign w:val="superscript"/>
              </w:rPr>
              <w:t>3</w:t>
            </w:r>
            <w:r>
              <w:rPr>
                <w:rFonts w:hint="eastAsia"/>
                <w:sz w:val="24"/>
                <w:u w:val="single"/>
              </w:rPr>
              <w:t>·通过量。</w:t>
            </w:r>
          </w:p>
          <w:p>
            <w:pPr>
              <w:adjustRightInd w:val="0"/>
              <w:snapToGrid w:val="0"/>
              <w:spacing w:line="360" w:lineRule="auto"/>
              <w:ind w:firstLine="480" w:firstLineChars="200"/>
              <w:rPr>
                <w:u w:val="single"/>
              </w:rPr>
            </w:pPr>
            <w:r>
              <w:rPr>
                <w:rFonts w:hint="eastAsia"/>
                <w:sz w:val="24"/>
                <w:u w:val="single"/>
              </w:rPr>
              <w:t>本项目运营时预计油品年销售量为330t，其中92#汽油年销售量为200t，95#年销售量为30t，0#柴油年销售量为100t，则通过量的92#汽油约为200/0.725m</w:t>
            </w:r>
            <w:r>
              <w:rPr>
                <w:rFonts w:hint="eastAsia"/>
                <w:sz w:val="24"/>
                <w:u w:val="single"/>
                <w:vertAlign w:val="superscript"/>
              </w:rPr>
              <w:t>3</w:t>
            </w:r>
            <w:r>
              <w:rPr>
                <w:rFonts w:hint="eastAsia"/>
                <w:sz w:val="24"/>
                <w:u w:val="single"/>
              </w:rPr>
              <w:t>=275.86m</w:t>
            </w:r>
            <w:r>
              <w:rPr>
                <w:rFonts w:hint="eastAsia"/>
                <w:sz w:val="24"/>
                <w:u w:val="single"/>
                <w:vertAlign w:val="superscript"/>
              </w:rPr>
              <w:t>3</w:t>
            </w:r>
            <w:r>
              <w:rPr>
                <w:rFonts w:hint="eastAsia"/>
                <w:sz w:val="24"/>
                <w:u w:val="single"/>
              </w:rPr>
              <w:t>、通过量的95#汽油约为30/0.737m</w:t>
            </w:r>
            <w:r>
              <w:rPr>
                <w:rFonts w:hint="eastAsia"/>
                <w:sz w:val="24"/>
                <w:u w:val="single"/>
                <w:vertAlign w:val="superscript"/>
              </w:rPr>
              <w:t>3</w:t>
            </w:r>
            <w:r>
              <w:rPr>
                <w:rFonts w:hint="eastAsia"/>
                <w:sz w:val="24"/>
                <w:u w:val="single"/>
              </w:rPr>
              <w:t>=40.71m</w:t>
            </w:r>
            <w:r>
              <w:rPr>
                <w:rFonts w:hint="eastAsia"/>
                <w:sz w:val="24"/>
                <w:u w:val="single"/>
                <w:vertAlign w:val="superscript"/>
              </w:rPr>
              <w:t>3</w:t>
            </w:r>
            <w:r>
              <w:rPr>
                <w:rFonts w:hint="eastAsia"/>
                <w:sz w:val="24"/>
                <w:u w:val="single"/>
              </w:rPr>
              <w:t>，通过量的0#柴油约为100/0.835m</w:t>
            </w:r>
            <w:r>
              <w:rPr>
                <w:rFonts w:hint="eastAsia"/>
                <w:sz w:val="24"/>
                <w:u w:val="single"/>
                <w:vertAlign w:val="superscript"/>
              </w:rPr>
              <w:t>3</w:t>
            </w:r>
            <w:r>
              <w:rPr>
                <w:rFonts w:hint="eastAsia"/>
                <w:sz w:val="24"/>
                <w:u w:val="single"/>
              </w:rPr>
              <w:t>=119.76m</w:t>
            </w:r>
            <w:r>
              <w:rPr>
                <w:rFonts w:hint="eastAsia"/>
                <w:sz w:val="24"/>
                <w:u w:val="single"/>
                <w:vertAlign w:val="superscript"/>
              </w:rPr>
              <w:t>3</w:t>
            </w:r>
            <w:r>
              <w:rPr>
                <w:rFonts w:hint="eastAsia"/>
                <w:sz w:val="24"/>
                <w:u w:val="single"/>
              </w:rPr>
              <w:t>。则通过量油品共计436.33m</w:t>
            </w:r>
            <w:r>
              <w:rPr>
                <w:rFonts w:hint="eastAsia"/>
                <w:sz w:val="24"/>
                <w:u w:val="single"/>
                <w:vertAlign w:val="superscript"/>
              </w:rPr>
              <w:t>3</w:t>
            </w:r>
            <w:r>
              <w:rPr>
                <w:rFonts w:hint="eastAsia"/>
                <w:sz w:val="24"/>
                <w:u w:val="single"/>
              </w:rPr>
              <w:t>，经过油气回收处理装置处理后可降低非甲烷总烃的排放量。则可以计算出该加油站非甲烷总烃排放量如表5.2-2所示</w:t>
            </w:r>
            <w:r>
              <w:rPr>
                <w:rFonts w:hint="eastAsia"/>
                <w:sz w:val="24"/>
                <w:u w:val="single"/>
                <w:lang w:eastAsia="zh-CN"/>
              </w:rPr>
              <w:t>。由下表可知，非甲烷总烃产生量为</w:t>
            </w:r>
            <w:r>
              <w:rPr>
                <w:rFonts w:hint="eastAsia"/>
                <w:sz w:val="24"/>
                <w:u w:val="single"/>
                <w:lang w:val="en-US" w:eastAsia="zh-CN"/>
              </w:rPr>
              <w:t>216.41968kg/a，排放量为35.77906kg/a</w:t>
            </w:r>
            <w:r>
              <w:rPr>
                <w:rFonts w:hint="eastAsia"/>
                <w:sz w:val="24"/>
                <w:u w:val="single"/>
              </w:rPr>
              <w:t>。</w:t>
            </w:r>
          </w:p>
          <w:p>
            <w:pPr>
              <w:pStyle w:val="2"/>
              <w:jc w:val="center"/>
              <w:rPr>
                <w:rFonts w:eastAsia="黑体"/>
                <w:sz w:val="24"/>
                <w:u w:val="single"/>
              </w:rPr>
            </w:pPr>
          </w:p>
          <w:p>
            <w:pPr>
              <w:pStyle w:val="2"/>
              <w:jc w:val="center"/>
              <w:rPr>
                <w:rFonts w:eastAsia="黑体"/>
                <w:sz w:val="24"/>
                <w:u w:val="single"/>
              </w:rPr>
            </w:pPr>
          </w:p>
          <w:p>
            <w:pPr>
              <w:pStyle w:val="2"/>
              <w:jc w:val="center"/>
              <w:rPr>
                <w:rFonts w:eastAsia="黑体"/>
                <w:sz w:val="24"/>
                <w:u w:val="single"/>
              </w:rPr>
            </w:pPr>
          </w:p>
          <w:p>
            <w:pPr>
              <w:pStyle w:val="2"/>
              <w:jc w:val="center"/>
              <w:rPr>
                <w:rFonts w:eastAsia="黑体"/>
                <w:sz w:val="24"/>
                <w:u w:val="single"/>
              </w:rPr>
            </w:pPr>
            <w:r>
              <w:rPr>
                <w:rFonts w:hint="eastAsia" w:eastAsia="黑体"/>
                <w:sz w:val="24"/>
                <w:u w:val="single"/>
              </w:rPr>
              <w:t>表5.2-2   非甲烷总烃排放量</w:t>
            </w:r>
          </w:p>
          <w:tbl>
            <w:tblPr>
              <w:tblStyle w:val="24"/>
              <w:tblW w:w="8768" w:type="dxa"/>
              <w:tblInd w:w="0" w:type="dxa"/>
              <w:tblLayout w:type="fixed"/>
              <w:tblCellMar>
                <w:top w:w="0" w:type="dxa"/>
                <w:left w:w="108" w:type="dxa"/>
                <w:bottom w:w="0" w:type="dxa"/>
                <w:right w:w="108" w:type="dxa"/>
              </w:tblCellMar>
            </w:tblPr>
            <w:tblGrid>
              <w:gridCol w:w="954"/>
              <w:gridCol w:w="1291"/>
              <w:gridCol w:w="972"/>
              <w:gridCol w:w="1549"/>
              <w:gridCol w:w="1199"/>
              <w:gridCol w:w="1595"/>
              <w:gridCol w:w="1208"/>
            </w:tblGrid>
            <w:tr>
              <w:tblPrEx>
                <w:tblCellMar>
                  <w:top w:w="0" w:type="dxa"/>
                  <w:left w:w="108" w:type="dxa"/>
                  <w:bottom w:w="0" w:type="dxa"/>
                  <w:right w:w="108" w:type="dxa"/>
                </w:tblCellMar>
              </w:tblPrEx>
              <w:trPr>
                <w:trHeight w:val="753" w:hRule="atLeast"/>
              </w:trPr>
              <w:tc>
                <w:tcPr>
                  <w:tcW w:w="2245" w:type="dxa"/>
                  <w:gridSpan w:val="2"/>
                  <w:tcBorders>
                    <w:top w:val="single" w:color="000000" w:sz="8" w:space="0"/>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项目</w:t>
                  </w:r>
                </w:p>
              </w:tc>
              <w:tc>
                <w:tcPr>
                  <w:tcW w:w="972"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通过量</w:t>
                  </w:r>
                </w:p>
                <w:p>
                  <w:pPr>
                    <w:ind w:left="-82" w:leftChars="-39" w:right="-111" w:rightChars="-53"/>
                    <w:jc w:val="center"/>
                    <w:rPr>
                      <w:snapToGrid w:val="0"/>
                      <w:kern w:val="0"/>
                      <w:szCs w:val="21"/>
                      <w:u w:val="single"/>
                    </w:rPr>
                  </w:pPr>
                  <w:r>
                    <w:rPr>
                      <w:snapToGrid w:val="0"/>
                      <w:kern w:val="0"/>
                      <w:szCs w:val="21"/>
                      <w:u w:val="single"/>
                    </w:rPr>
                    <w:t>（m³/a）</w:t>
                  </w:r>
                </w:p>
              </w:tc>
              <w:tc>
                <w:tcPr>
                  <w:tcW w:w="1549"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产生系数（kg/m³·通过量）</w:t>
                  </w:r>
                </w:p>
              </w:tc>
              <w:tc>
                <w:tcPr>
                  <w:tcW w:w="1199"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产生量</w:t>
                  </w:r>
                </w:p>
                <w:p>
                  <w:pPr>
                    <w:ind w:left="-82" w:leftChars="-39" w:right="-111" w:rightChars="-53"/>
                    <w:jc w:val="center"/>
                    <w:rPr>
                      <w:snapToGrid w:val="0"/>
                      <w:kern w:val="0"/>
                      <w:szCs w:val="21"/>
                      <w:u w:val="single"/>
                    </w:rPr>
                  </w:pPr>
                  <w:r>
                    <w:rPr>
                      <w:snapToGrid w:val="0"/>
                      <w:kern w:val="0"/>
                      <w:szCs w:val="21"/>
                      <w:u w:val="single"/>
                    </w:rPr>
                    <w:t>（kg/a）</w:t>
                  </w:r>
                </w:p>
              </w:tc>
              <w:tc>
                <w:tcPr>
                  <w:tcW w:w="1595"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排放系数（kg/m³·通过量）</w:t>
                  </w:r>
                </w:p>
              </w:tc>
              <w:tc>
                <w:tcPr>
                  <w:tcW w:w="1208"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排放量</w:t>
                  </w:r>
                </w:p>
                <w:p>
                  <w:pPr>
                    <w:ind w:left="-82" w:leftChars="-39" w:right="-111" w:rightChars="-53"/>
                    <w:jc w:val="center"/>
                    <w:rPr>
                      <w:snapToGrid w:val="0"/>
                      <w:kern w:val="0"/>
                      <w:szCs w:val="21"/>
                      <w:u w:val="single"/>
                    </w:rPr>
                  </w:pPr>
                  <w:r>
                    <w:rPr>
                      <w:snapToGrid w:val="0"/>
                      <w:kern w:val="0"/>
                      <w:szCs w:val="21"/>
                      <w:u w:val="single"/>
                    </w:rPr>
                    <w:t>（kg/a）</w:t>
                  </w:r>
                </w:p>
              </w:tc>
            </w:tr>
            <w:tr>
              <w:tblPrEx>
                <w:tblCellMar>
                  <w:top w:w="0" w:type="dxa"/>
                  <w:left w:w="108" w:type="dxa"/>
                  <w:bottom w:w="0" w:type="dxa"/>
                  <w:right w:w="108" w:type="dxa"/>
                </w:tblCellMar>
              </w:tblPrEx>
              <w:trPr>
                <w:trHeight w:val="333" w:hRule="atLeast"/>
              </w:trPr>
              <w:tc>
                <w:tcPr>
                  <w:tcW w:w="954" w:type="dxa"/>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油罐车</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卸料损失</w:t>
                  </w:r>
                </w:p>
              </w:tc>
              <w:tc>
                <w:tcPr>
                  <w:tcW w:w="972"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zCs w:val="21"/>
                      <w:u w:val="single"/>
                    </w:rPr>
                    <w:t>436.33</w:t>
                  </w: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0.1</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43.633</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0.01</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4.3633</w:t>
                  </w:r>
                </w:p>
              </w:tc>
            </w:tr>
            <w:tr>
              <w:tblPrEx>
                <w:tblCellMar>
                  <w:top w:w="0" w:type="dxa"/>
                  <w:left w:w="108" w:type="dxa"/>
                  <w:bottom w:w="0" w:type="dxa"/>
                  <w:right w:w="108" w:type="dxa"/>
                </w:tblCellMar>
              </w:tblPrEx>
              <w:trPr>
                <w:trHeight w:val="333" w:hRule="atLeast"/>
              </w:trPr>
              <w:tc>
                <w:tcPr>
                  <w:tcW w:w="954"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储油罐</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大呼吸损失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0.18</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78.5394</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0.018</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7.85394</w:t>
                  </w:r>
                </w:p>
              </w:tc>
            </w:tr>
            <w:tr>
              <w:tblPrEx>
                <w:tblCellMar>
                  <w:top w:w="0" w:type="dxa"/>
                  <w:left w:w="108" w:type="dxa"/>
                  <w:bottom w:w="0" w:type="dxa"/>
                  <w:right w:w="108" w:type="dxa"/>
                </w:tblCellMar>
              </w:tblPrEx>
              <w:trPr>
                <w:trHeight w:val="333" w:hRule="atLeast"/>
              </w:trPr>
              <w:tc>
                <w:tcPr>
                  <w:tcW w:w="954"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小呼吸损失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0.07</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30.5431</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0.007</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3.05431</w:t>
                  </w:r>
                </w:p>
              </w:tc>
            </w:tr>
            <w:tr>
              <w:tblPrEx>
                <w:tblCellMar>
                  <w:top w:w="0" w:type="dxa"/>
                  <w:left w:w="108" w:type="dxa"/>
                  <w:bottom w:w="0" w:type="dxa"/>
                  <w:right w:w="108" w:type="dxa"/>
                </w:tblCellMar>
              </w:tblPrEx>
              <w:trPr>
                <w:trHeight w:val="333" w:hRule="atLeast"/>
              </w:trPr>
              <w:tc>
                <w:tcPr>
                  <w:tcW w:w="954"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加油站</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油品置换损失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0.11</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47.9963</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0.011</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4.79963</w:t>
                  </w:r>
                </w:p>
              </w:tc>
            </w:tr>
            <w:tr>
              <w:tblPrEx>
                <w:tblCellMar>
                  <w:top w:w="0" w:type="dxa"/>
                  <w:left w:w="108" w:type="dxa"/>
                  <w:bottom w:w="0" w:type="dxa"/>
                  <w:right w:w="108" w:type="dxa"/>
                </w:tblCellMar>
              </w:tblPrEx>
              <w:trPr>
                <w:trHeight w:val="324" w:hRule="atLeast"/>
              </w:trPr>
              <w:tc>
                <w:tcPr>
                  <w:tcW w:w="954"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跑冒滴漏损失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0.036</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15.70788</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0.036</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15.70788</w:t>
                  </w:r>
                </w:p>
              </w:tc>
            </w:tr>
            <w:tr>
              <w:tblPrEx>
                <w:tblCellMar>
                  <w:top w:w="0" w:type="dxa"/>
                  <w:left w:w="108" w:type="dxa"/>
                  <w:bottom w:w="0" w:type="dxa"/>
                  <w:right w:w="108" w:type="dxa"/>
                </w:tblCellMar>
              </w:tblPrEx>
              <w:trPr>
                <w:trHeight w:val="343" w:hRule="atLeast"/>
              </w:trPr>
              <w:tc>
                <w:tcPr>
                  <w:tcW w:w="2245" w:type="dxa"/>
                  <w:gridSpan w:val="2"/>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合计</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u w:val="single"/>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rFonts w:hint="eastAsia"/>
                      <w:snapToGrid w:val="0"/>
                      <w:kern w:val="0"/>
                      <w:szCs w:val="21"/>
                      <w:u w:val="single"/>
                    </w:rPr>
                    <w:t>216.41968</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u w:val="single"/>
                    </w:rPr>
                  </w:pPr>
                  <w:r>
                    <w:rPr>
                      <w:snapToGrid w:val="0"/>
                      <w:kern w:val="0"/>
                      <w:szCs w:val="21"/>
                      <w:u w:val="single"/>
                    </w:rPr>
                    <w:t>/</w:t>
                  </w:r>
                </w:p>
              </w:tc>
              <w:tc>
                <w:tcPr>
                  <w:tcW w:w="1208" w:type="dxa"/>
                  <w:tcBorders>
                    <w:top w:val="nil"/>
                    <w:left w:val="nil"/>
                    <w:bottom w:val="single" w:color="000000" w:sz="8" w:space="0"/>
                    <w:right w:val="single" w:color="000000" w:sz="8" w:space="0"/>
                  </w:tcBorders>
                  <w:vAlign w:val="bottom"/>
                </w:tcPr>
                <w:p>
                  <w:pPr>
                    <w:ind w:left="-82" w:leftChars="-39" w:right="-111" w:rightChars="-53"/>
                    <w:jc w:val="center"/>
                    <w:rPr>
                      <w:snapToGrid w:val="0"/>
                      <w:kern w:val="0"/>
                      <w:szCs w:val="21"/>
                      <w:u w:val="single"/>
                    </w:rPr>
                  </w:pPr>
                  <w:r>
                    <w:rPr>
                      <w:rFonts w:hint="eastAsia"/>
                      <w:snapToGrid w:val="0"/>
                      <w:kern w:val="0"/>
                      <w:szCs w:val="21"/>
                      <w:u w:val="single"/>
                    </w:rPr>
                    <w:t>35.77906</w:t>
                  </w:r>
                </w:p>
              </w:tc>
            </w:tr>
          </w:tbl>
          <w:p>
            <w:pPr>
              <w:adjustRightInd w:val="0"/>
              <w:snapToGrid w:val="0"/>
              <w:spacing w:line="360" w:lineRule="auto"/>
              <w:ind w:firstLine="480" w:firstLineChars="200"/>
              <w:rPr>
                <w:sz w:val="24"/>
                <w:u w:val="single"/>
              </w:rPr>
            </w:pPr>
            <w:r>
              <w:rPr>
                <w:rFonts w:hint="eastAsia"/>
                <w:sz w:val="24"/>
                <w:u w:val="single"/>
              </w:rPr>
              <w:t>（</w:t>
            </w:r>
            <w:r>
              <w:rPr>
                <w:sz w:val="24"/>
                <w:u w:val="single"/>
              </w:rPr>
              <w:t>2</w:t>
            </w:r>
            <w:r>
              <w:rPr>
                <w:rFonts w:hint="eastAsia"/>
                <w:sz w:val="24"/>
                <w:u w:val="single"/>
              </w:rPr>
              <w:t>）机动车尾气</w:t>
            </w:r>
          </w:p>
          <w:p>
            <w:pPr>
              <w:adjustRightInd w:val="0"/>
              <w:snapToGrid w:val="0"/>
              <w:spacing w:line="360" w:lineRule="auto"/>
              <w:ind w:firstLine="480" w:firstLineChars="200"/>
              <w:rPr>
                <w:sz w:val="24"/>
                <w:u w:val="single"/>
              </w:rPr>
            </w:pPr>
            <w:r>
              <w:rPr>
                <w:rFonts w:hint="eastAsia"/>
                <w:sz w:val="24"/>
                <w:u w:val="single"/>
              </w:rPr>
              <w:t>本项目按每天20辆机动车进入加油站内加油计，根据类比同类加油站，大、中、小型车进入加油站加油的比例为</w:t>
            </w:r>
            <w:r>
              <w:rPr>
                <w:sz w:val="24"/>
                <w:u w:val="single"/>
              </w:rPr>
              <w:t>8%</w:t>
            </w:r>
            <w:r>
              <w:rPr>
                <w:rFonts w:hint="eastAsia"/>
                <w:sz w:val="24"/>
                <w:u w:val="single"/>
              </w:rPr>
              <w:t>：</w:t>
            </w:r>
            <w:r>
              <w:rPr>
                <w:sz w:val="24"/>
                <w:u w:val="single"/>
              </w:rPr>
              <w:t>12%</w:t>
            </w:r>
            <w:r>
              <w:rPr>
                <w:rFonts w:hint="eastAsia"/>
                <w:sz w:val="24"/>
                <w:u w:val="single"/>
              </w:rPr>
              <w:t>：</w:t>
            </w:r>
            <w:r>
              <w:rPr>
                <w:sz w:val="24"/>
                <w:u w:val="single"/>
              </w:rPr>
              <w:t>80%</w:t>
            </w:r>
            <w:r>
              <w:rPr>
                <w:rFonts w:hint="eastAsia"/>
                <w:sz w:val="24"/>
                <w:u w:val="single"/>
              </w:rPr>
              <w:t>，车辆由进站到出站约行驶</w:t>
            </w:r>
            <w:r>
              <w:rPr>
                <w:sz w:val="24"/>
                <w:u w:val="single"/>
              </w:rPr>
              <w:t>30m</w:t>
            </w:r>
            <w:r>
              <w:rPr>
                <w:rFonts w:hint="eastAsia"/>
                <w:sz w:val="24"/>
                <w:u w:val="single"/>
              </w:rPr>
              <w:t>，加油平均时间约为</w:t>
            </w:r>
            <w:r>
              <w:rPr>
                <w:sz w:val="24"/>
                <w:u w:val="single"/>
              </w:rPr>
              <w:t>45s</w:t>
            </w:r>
            <w:r>
              <w:rPr>
                <w:rFonts w:hint="eastAsia"/>
                <w:sz w:val="24"/>
                <w:u w:val="single"/>
              </w:rPr>
              <w:t>，加油时间较短，类比广州市机动车尾气排放特征研究的有关研究结果，机动车运行时的排放系数见下表。</w:t>
            </w:r>
          </w:p>
          <w:p>
            <w:pPr>
              <w:pStyle w:val="41"/>
              <w:rPr>
                <w:b/>
                <w:sz w:val="24"/>
                <w:szCs w:val="24"/>
                <w:u w:val="single"/>
              </w:rPr>
            </w:pPr>
            <w:r>
              <w:rPr>
                <w:rFonts w:hint="eastAsia"/>
                <w:sz w:val="24"/>
                <w:szCs w:val="24"/>
                <w:u w:val="single"/>
              </w:rPr>
              <w:t>表</w:t>
            </w:r>
            <w:r>
              <w:rPr>
                <w:sz w:val="24"/>
                <w:szCs w:val="24"/>
                <w:u w:val="single"/>
              </w:rPr>
              <w:t>5.2-</w:t>
            </w:r>
            <w:r>
              <w:rPr>
                <w:rFonts w:hint="eastAsia"/>
                <w:sz w:val="24"/>
                <w:szCs w:val="24"/>
                <w:u w:val="single"/>
              </w:rPr>
              <w:t>3  机动车运行时污染物排放系数表（单位：克</w:t>
            </w:r>
            <w:r>
              <w:rPr>
                <w:sz w:val="24"/>
                <w:szCs w:val="24"/>
                <w:u w:val="single"/>
              </w:rPr>
              <w:t>/</w:t>
            </w:r>
            <w:r>
              <w:rPr>
                <w:rFonts w:hint="eastAsia"/>
                <w:sz w:val="24"/>
                <w:szCs w:val="24"/>
                <w:u w:val="single"/>
              </w:rPr>
              <w:t>辆</w:t>
            </w:r>
            <w:r>
              <w:rPr>
                <w:rFonts w:hint="eastAsia" w:ascii="宋体" w:hAnsi="宋体" w:eastAsia="宋体"/>
                <w:sz w:val="24"/>
                <w:szCs w:val="24"/>
                <w:u w:val="single"/>
              </w:rPr>
              <w:t>•</w:t>
            </w:r>
            <w:r>
              <w:rPr>
                <w:rFonts w:hint="eastAsia"/>
                <w:sz w:val="24"/>
                <w:szCs w:val="24"/>
                <w:u w:val="single"/>
              </w:rPr>
              <w:t>公里）</w:t>
            </w:r>
          </w:p>
          <w:tbl>
            <w:tblPr>
              <w:tblStyle w:val="24"/>
              <w:tblW w:w="875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1574"/>
              <w:gridCol w:w="174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2" w:type="dxa"/>
                  <w:vAlign w:val="center"/>
                </w:tcPr>
                <w:p>
                  <w:pPr>
                    <w:jc w:val="center"/>
                    <w:rPr>
                      <w:szCs w:val="21"/>
                      <w:u w:val="single"/>
                    </w:rPr>
                  </w:pPr>
                  <w:r>
                    <w:rPr>
                      <w:rFonts w:hint="eastAsia"/>
                      <w:szCs w:val="21"/>
                      <w:u w:val="single"/>
                    </w:rPr>
                    <w:t>车型</w:t>
                  </w:r>
                </w:p>
              </w:tc>
              <w:tc>
                <w:tcPr>
                  <w:tcW w:w="1574" w:type="dxa"/>
                  <w:vAlign w:val="center"/>
                </w:tcPr>
                <w:p>
                  <w:pPr>
                    <w:jc w:val="center"/>
                    <w:rPr>
                      <w:szCs w:val="21"/>
                      <w:u w:val="single"/>
                      <w:vertAlign w:val="subscript"/>
                    </w:rPr>
                  </w:pPr>
                  <w:r>
                    <w:rPr>
                      <w:szCs w:val="21"/>
                      <w:u w:val="single"/>
                    </w:rPr>
                    <w:t>NO</w:t>
                  </w:r>
                  <w:r>
                    <w:rPr>
                      <w:szCs w:val="21"/>
                      <w:u w:val="single"/>
                      <w:vertAlign w:val="subscript"/>
                    </w:rPr>
                    <w:t>X</w:t>
                  </w:r>
                </w:p>
              </w:tc>
              <w:tc>
                <w:tcPr>
                  <w:tcW w:w="1744" w:type="dxa"/>
                  <w:vAlign w:val="center"/>
                </w:tcPr>
                <w:p>
                  <w:pPr>
                    <w:jc w:val="center"/>
                    <w:rPr>
                      <w:szCs w:val="21"/>
                      <w:u w:val="single"/>
                    </w:rPr>
                  </w:pPr>
                  <w:r>
                    <w:rPr>
                      <w:szCs w:val="21"/>
                      <w:u w:val="single"/>
                    </w:rPr>
                    <w:t>CO</w:t>
                  </w:r>
                </w:p>
              </w:tc>
              <w:tc>
                <w:tcPr>
                  <w:tcW w:w="1638" w:type="dxa"/>
                  <w:vAlign w:val="center"/>
                </w:tcPr>
                <w:p>
                  <w:pPr>
                    <w:jc w:val="center"/>
                    <w:rPr>
                      <w:szCs w:val="21"/>
                      <w:u w:val="single"/>
                    </w:rPr>
                  </w:pPr>
                  <w:r>
                    <w:rPr>
                      <w:szCs w:val="21"/>
                      <w:u w:val="single"/>
                    </w:rPr>
                    <w:t>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2" w:type="dxa"/>
                  <w:vAlign w:val="center"/>
                </w:tcPr>
                <w:p>
                  <w:pPr>
                    <w:jc w:val="center"/>
                    <w:rPr>
                      <w:szCs w:val="21"/>
                      <w:u w:val="single"/>
                    </w:rPr>
                  </w:pPr>
                  <w:r>
                    <w:rPr>
                      <w:rFonts w:hint="eastAsia"/>
                      <w:szCs w:val="21"/>
                      <w:u w:val="single"/>
                    </w:rPr>
                    <w:t>小型车（包括轿车出租车等）</w:t>
                  </w:r>
                </w:p>
              </w:tc>
              <w:tc>
                <w:tcPr>
                  <w:tcW w:w="1574" w:type="dxa"/>
                  <w:vAlign w:val="center"/>
                </w:tcPr>
                <w:p>
                  <w:pPr>
                    <w:jc w:val="center"/>
                    <w:rPr>
                      <w:szCs w:val="21"/>
                      <w:u w:val="single"/>
                    </w:rPr>
                  </w:pPr>
                  <w:r>
                    <w:rPr>
                      <w:szCs w:val="21"/>
                      <w:u w:val="single"/>
                    </w:rPr>
                    <w:t>2.2</w:t>
                  </w:r>
                </w:p>
              </w:tc>
              <w:tc>
                <w:tcPr>
                  <w:tcW w:w="1744" w:type="dxa"/>
                  <w:vAlign w:val="center"/>
                </w:tcPr>
                <w:p>
                  <w:pPr>
                    <w:jc w:val="center"/>
                    <w:rPr>
                      <w:szCs w:val="21"/>
                      <w:u w:val="single"/>
                    </w:rPr>
                  </w:pPr>
                  <w:r>
                    <w:rPr>
                      <w:szCs w:val="21"/>
                      <w:u w:val="single"/>
                    </w:rPr>
                    <w:t>17.8</w:t>
                  </w:r>
                </w:p>
              </w:tc>
              <w:tc>
                <w:tcPr>
                  <w:tcW w:w="1638" w:type="dxa"/>
                  <w:vAlign w:val="center"/>
                </w:tcPr>
                <w:p>
                  <w:pPr>
                    <w:jc w:val="center"/>
                    <w:rPr>
                      <w:szCs w:val="21"/>
                      <w:u w:val="single"/>
                    </w:rPr>
                  </w:pPr>
                  <w:r>
                    <w:rPr>
                      <w:szCs w:val="21"/>
                      <w:u w:val="singl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2" w:type="dxa"/>
                  <w:vAlign w:val="center"/>
                </w:tcPr>
                <w:p>
                  <w:pPr>
                    <w:jc w:val="center"/>
                    <w:rPr>
                      <w:szCs w:val="21"/>
                      <w:u w:val="single"/>
                    </w:rPr>
                  </w:pPr>
                  <w:r>
                    <w:rPr>
                      <w:rFonts w:hint="eastAsia"/>
                      <w:szCs w:val="21"/>
                      <w:u w:val="single"/>
                    </w:rPr>
                    <w:t>中型车（包括小货车、面包车等）</w:t>
                  </w:r>
                </w:p>
              </w:tc>
              <w:tc>
                <w:tcPr>
                  <w:tcW w:w="1574" w:type="dxa"/>
                  <w:vAlign w:val="center"/>
                </w:tcPr>
                <w:p>
                  <w:pPr>
                    <w:jc w:val="center"/>
                    <w:rPr>
                      <w:szCs w:val="21"/>
                      <w:u w:val="single"/>
                    </w:rPr>
                  </w:pPr>
                  <w:r>
                    <w:rPr>
                      <w:szCs w:val="21"/>
                      <w:u w:val="single"/>
                    </w:rPr>
                    <w:t>2.4</w:t>
                  </w:r>
                </w:p>
              </w:tc>
              <w:tc>
                <w:tcPr>
                  <w:tcW w:w="1744" w:type="dxa"/>
                  <w:vAlign w:val="center"/>
                </w:tcPr>
                <w:p>
                  <w:pPr>
                    <w:jc w:val="center"/>
                    <w:rPr>
                      <w:szCs w:val="21"/>
                      <w:u w:val="single"/>
                    </w:rPr>
                  </w:pPr>
                  <w:r>
                    <w:rPr>
                      <w:szCs w:val="21"/>
                      <w:u w:val="single"/>
                    </w:rPr>
                    <w:t>19.6</w:t>
                  </w:r>
                </w:p>
              </w:tc>
              <w:tc>
                <w:tcPr>
                  <w:tcW w:w="1638" w:type="dxa"/>
                  <w:vAlign w:val="center"/>
                </w:tcPr>
                <w:p>
                  <w:pPr>
                    <w:jc w:val="center"/>
                    <w:rPr>
                      <w:szCs w:val="21"/>
                      <w:u w:val="single"/>
                    </w:rPr>
                  </w:pPr>
                  <w:r>
                    <w:rPr>
                      <w:szCs w:val="21"/>
                      <w:u w:val="singl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2" w:type="dxa"/>
                  <w:vAlign w:val="center"/>
                </w:tcPr>
                <w:p>
                  <w:pPr>
                    <w:jc w:val="center"/>
                    <w:rPr>
                      <w:szCs w:val="21"/>
                      <w:u w:val="single"/>
                    </w:rPr>
                  </w:pPr>
                  <w:r>
                    <w:rPr>
                      <w:rFonts w:hint="eastAsia"/>
                      <w:szCs w:val="21"/>
                      <w:u w:val="single"/>
                    </w:rPr>
                    <w:t>大型车（客车、旅游车等）</w:t>
                  </w:r>
                </w:p>
              </w:tc>
              <w:tc>
                <w:tcPr>
                  <w:tcW w:w="1574" w:type="dxa"/>
                  <w:vAlign w:val="center"/>
                </w:tcPr>
                <w:p>
                  <w:pPr>
                    <w:jc w:val="center"/>
                    <w:rPr>
                      <w:szCs w:val="21"/>
                      <w:u w:val="single"/>
                    </w:rPr>
                  </w:pPr>
                  <w:r>
                    <w:rPr>
                      <w:szCs w:val="21"/>
                      <w:u w:val="single"/>
                    </w:rPr>
                    <w:t>3.9</w:t>
                  </w:r>
                </w:p>
              </w:tc>
              <w:tc>
                <w:tcPr>
                  <w:tcW w:w="1744" w:type="dxa"/>
                  <w:vAlign w:val="center"/>
                </w:tcPr>
                <w:p>
                  <w:pPr>
                    <w:jc w:val="center"/>
                    <w:rPr>
                      <w:szCs w:val="21"/>
                      <w:u w:val="single"/>
                    </w:rPr>
                  </w:pPr>
                  <w:r>
                    <w:rPr>
                      <w:szCs w:val="21"/>
                      <w:u w:val="single"/>
                    </w:rPr>
                    <w:t>1.2</w:t>
                  </w:r>
                </w:p>
              </w:tc>
              <w:tc>
                <w:tcPr>
                  <w:tcW w:w="1638" w:type="dxa"/>
                  <w:vAlign w:val="center"/>
                </w:tcPr>
                <w:p>
                  <w:pPr>
                    <w:jc w:val="center"/>
                    <w:rPr>
                      <w:szCs w:val="21"/>
                      <w:u w:val="single"/>
                    </w:rPr>
                  </w:pPr>
                  <w:r>
                    <w:rPr>
                      <w:szCs w:val="21"/>
                      <w:u w:val="single"/>
                    </w:rPr>
                    <w:t>6.1</w:t>
                  </w:r>
                </w:p>
              </w:tc>
            </w:tr>
          </w:tbl>
          <w:p>
            <w:pPr>
              <w:spacing w:line="360" w:lineRule="auto"/>
              <w:ind w:firstLine="480" w:firstLineChars="200"/>
              <w:rPr>
                <w:sz w:val="24"/>
                <w:u w:val="single"/>
              </w:rPr>
            </w:pPr>
            <w:r>
              <w:rPr>
                <w:rFonts w:hint="eastAsia"/>
                <w:sz w:val="24"/>
                <w:u w:val="single"/>
              </w:rPr>
              <w:t>由上述资料，可计算出进入本项目加油机动车的尾气污染物排放情况如下：</w:t>
            </w:r>
          </w:p>
          <w:p>
            <w:pPr>
              <w:pStyle w:val="41"/>
              <w:rPr>
                <w:sz w:val="24"/>
                <w:szCs w:val="24"/>
                <w:u w:val="single"/>
              </w:rPr>
            </w:pPr>
            <w:r>
              <w:rPr>
                <w:rFonts w:hint="eastAsia"/>
                <w:sz w:val="24"/>
                <w:szCs w:val="24"/>
                <w:u w:val="single"/>
              </w:rPr>
              <w:t>表5.2-4  项目机动车尾气污染排放情况</w:t>
            </w:r>
          </w:p>
          <w:tbl>
            <w:tblPr>
              <w:tblStyle w:val="24"/>
              <w:tblW w:w="875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186"/>
              <w:gridCol w:w="2186"/>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0" w:type="dxa"/>
                  <w:vAlign w:val="center"/>
                </w:tcPr>
                <w:p>
                  <w:pPr>
                    <w:jc w:val="center"/>
                    <w:rPr>
                      <w:szCs w:val="21"/>
                      <w:u w:val="single"/>
                    </w:rPr>
                  </w:pPr>
                  <w:r>
                    <w:rPr>
                      <w:rFonts w:hint="eastAsia"/>
                      <w:szCs w:val="21"/>
                      <w:u w:val="single"/>
                    </w:rPr>
                    <w:t>车型</w:t>
                  </w:r>
                </w:p>
              </w:tc>
              <w:tc>
                <w:tcPr>
                  <w:tcW w:w="2186" w:type="dxa"/>
                  <w:vAlign w:val="center"/>
                </w:tcPr>
                <w:p>
                  <w:pPr>
                    <w:jc w:val="center"/>
                    <w:rPr>
                      <w:szCs w:val="21"/>
                      <w:u w:val="single"/>
                      <w:vertAlign w:val="subscript"/>
                    </w:rPr>
                  </w:pPr>
                  <w:r>
                    <w:rPr>
                      <w:szCs w:val="21"/>
                      <w:u w:val="single"/>
                    </w:rPr>
                    <w:t>NO</w:t>
                  </w:r>
                  <w:r>
                    <w:rPr>
                      <w:szCs w:val="21"/>
                      <w:u w:val="single"/>
                      <w:vertAlign w:val="subscript"/>
                    </w:rPr>
                    <w:t>X</w:t>
                  </w:r>
                </w:p>
              </w:tc>
              <w:tc>
                <w:tcPr>
                  <w:tcW w:w="2186" w:type="dxa"/>
                  <w:vAlign w:val="center"/>
                </w:tcPr>
                <w:p>
                  <w:pPr>
                    <w:jc w:val="center"/>
                    <w:rPr>
                      <w:szCs w:val="21"/>
                      <w:u w:val="single"/>
                    </w:rPr>
                  </w:pPr>
                  <w:r>
                    <w:rPr>
                      <w:szCs w:val="21"/>
                      <w:u w:val="single"/>
                    </w:rPr>
                    <w:t>CO</w:t>
                  </w:r>
                </w:p>
              </w:tc>
              <w:tc>
                <w:tcPr>
                  <w:tcW w:w="2186" w:type="dxa"/>
                  <w:vAlign w:val="center"/>
                </w:tcPr>
                <w:p>
                  <w:pPr>
                    <w:jc w:val="center"/>
                    <w:rPr>
                      <w:szCs w:val="21"/>
                      <w:u w:val="single"/>
                    </w:rPr>
                  </w:pPr>
                  <w:r>
                    <w:rPr>
                      <w:szCs w:val="21"/>
                      <w:u w:val="single"/>
                    </w:rPr>
                    <w:t>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0" w:type="dxa"/>
                  <w:vAlign w:val="center"/>
                </w:tcPr>
                <w:p>
                  <w:pPr>
                    <w:jc w:val="center"/>
                    <w:rPr>
                      <w:szCs w:val="21"/>
                      <w:u w:val="single"/>
                    </w:rPr>
                  </w:pPr>
                  <w:r>
                    <w:rPr>
                      <w:rFonts w:hint="eastAsia"/>
                      <w:szCs w:val="21"/>
                      <w:u w:val="single"/>
                    </w:rPr>
                    <w:t>日排放量（</w:t>
                  </w:r>
                  <w:r>
                    <w:rPr>
                      <w:szCs w:val="21"/>
                      <w:u w:val="single"/>
                    </w:rPr>
                    <w:t>kg/d</w:t>
                  </w:r>
                  <w:r>
                    <w:rPr>
                      <w:rFonts w:hint="eastAsia"/>
                      <w:szCs w:val="21"/>
                      <w:u w:val="single"/>
                    </w:rPr>
                    <w:t>）</w:t>
                  </w:r>
                </w:p>
              </w:tc>
              <w:tc>
                <w:tcPr>
                  <w:tcW w:w="2186" w:type="dxa"/>
                  <w:vAlign w:val="center"/>
                </w:tcPr>
                <w:p>
                  <w:pPr>
                    <w:jc w:val="center"/>
                    <w:rPr>
                      <w:szCs w:val="21"/>
                      <w:u w:val="single"/>
                    </w:rPr>
                  </w:pPr>
                  <w:r>
                    <w:rPr>
                      <w:rFonts w:hint="eastAsia"/>
                      <w:szCs w:val="21"/>
                      <w:u w:val="single"/>
                    </w:rPr>
                    <w:t>0.064</w:t>
                  </w:r>
                </w:p>
              </w:tc>
              <w:tc>
                <w:tcPr>
                  <w:tcW w:w="2186" w:type="dxa"/>
                  <w:vAlign w:val="center"/>
                </w:tcPr>
                <w:p>
                  <w:pPr>
                    <w:jc w:val="center"/>
                    <w:rPr>
                      <w:szCs w:val="21"/>
                      <w:u w:val="single"/>
                    </w:rPr>
                  </w:pPr>
                  <w:r>
                    <w:rPr>
                      <w:szCs w:val="21"/>
                      <w:u w:val="single"/>
                    </w:rPr>
                    <w:t>0.</w:t>
                  </w:r>
                  <w:r>
                    <w:rPr>
                      <w:rFonts w:hint="eastAsia"/>
                      <w:szCs w:val="21"/>
                      <w:u w:val="single"/>
                    </w:rPr>
                    <w:t>45</w:t>
                  </w:r>
                </w:p>
              </w:tc>
              <w:tc>
                <w:tcPr>
                  <w:tcW w:w="2186" w:type="dxa"/>
                  <w:vAlign w:val="center"/>
                </w:tcPr>
                <w:p>
                  <w:pPr>
                    <w:jc w:val="center"/>
                    <w:rPr>
                      <w:szCs w:val="21"/>
                      <w:u w:val="single"/>
                    </w:rPr>
                  </w:pPr>
                  <w:r>
                    <w:rPr>
                      <w:szCs w:val="21"/>
                      <w:u w:val="single"/>
                    </w:rPr>
                    <w:t>0.</w:t>
                  </w:r>
                  <w:r>
                    <w:rPr>
                      <w:rFonts w:hint="eastAsia"/>
                      <w:szCs w:val="21"/>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0" w:type="dxa"/>
                  <w:vAlign w:val="center"/>
                </w:tcPr>
                <w:p>
                  <w:pPr>
                    <w:jc w:val="center"/>
                    <w:rPr>
                      <w:szCs w:val="21"/>
                      <w:u w:val="single"/>
                    </w:rPr>
                  </w:pPr>
                  <w:r>
                    <w:rPr>
                      <w:rFonts w:hint="eastAsia"/>
                      <w:szCs w:val="21"/>
                      <w:u w:val="single"/>
                    </w:rPr>
                    <w:t>年排放量</w:t>
                  </w:r>
                  <w:r>
                    <w:rPr>
                      <w:szCs w:val="21"/>
                      <w:u w:val="single"/>
                    </w:rPr>
                    <w:t>(t/a)</w:t>
                  </w:r>
                </w:p>
              </w:tc>
              <w:tc>
                <w:tcPr>
                  <w:tcW w:w="2186" w:type="dxa"/>
                  <w:vAlign w:val="center"/>
                </w:tcPr>
                <w:p>
                  <w:pPr>
                    <w:jc w:val="center"/>
                    <w:rPr>
                      <w:szCs w:val="21"/>
                      <w:u w:val="single"/>
                    </w:rPr>
                  </w:pPr>
                  <w:r>
                    <w:rPr>
                      <w:szCs w:val="21"/>
                      <w:u w:val="single"/>
                    </w:rPr>
                    <w:t>0.0</w:t>
                  </w:r>
                  <w:r>
                    <w:rPr>
                      <w:rFonts w:hint="eastAsia"/>
                      <w:szCs w:val="21"/>
                      <w:u w:val="single"/>
                    </w:rPr>
                    <w:t>23</w:t>
                  </w:r>
                </w:p>
              </w:tc>
              <w:tc>
                <w:tcPr>
                  <w:tcW w:w="2186" w:type="dxa"/>
                  <w:vAlign w:val="center"/>
                </w:tcPr>
                <w:p>
                  <w:pPr>
                    <w:jc w:val="center"/>
                    <w:rPr>
                      <w:szCs w:val="21"/>
                      <w:u w:val="single"/>
                    </w:rPr>
                  </w:pPr>
                  <w:r>
                    <w:rPr>
                      <w:szCs w:val="21"/>
                      <w:u w:val="single"/>
                    </w:rPr>
                    <w:t>0.</w:t>
                  </w:r>
                  <w:r>
                    <w:rPr>
                      <w:rFonts w:hint="eastAsia"/>
                      <w:szCs w:val="21"/>
                      <w:u w:val="single"/>
                    </w:rPr>
                    <w:t>16</w:t>
                  </w:r>
                </w:p>
              </w:tc>
              <w:tc>
                <w:tcPr>
                  <w:tcW w:w="2186" w:type="dxa"/>
                  <w:vAlign w:val="center"/>
                </w:tcPr>
                <w:p>
                  <w:pPr>
                    <w:jc w:val="center"/>
                    <w:rPr>
                      <w:szCs w:val="21"/>
                      <w:u w:val="single"/>
                    </w:rPr>
                  </w:pPr>
                  <w:r>
                    <w:rPr>
                      <w:szCs w:val="21"/>
                      <w:u w:val="single"/>
                    </w:rPr>
                    <w:t>0.0</w:t>
                  </w:r>
                  <w:r>
                    <w:rPr>
                      <w:rFonts w:hint="eastAsia"/>
                      <w:szCs w:val="21"/>
                      <w:u w:val="singl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58" w:type="dxa"/>
                  <w:gridSpan w:val="4"/>
                  <w:vAlign w:val="center"/>
                </w:tcPr>
                <w:p>
                  <w:pPr>
                    <w:rPr>
                      <w:szCs w:val="21"/>
                      <w:u w:val="single"/>
                    </w:rPr>
                  </w:pPr>
                  <w:r>
                    <w:rPr>
                      <w:rFonts w:hint="eastAsia"/>
                      <w:szCs w:val="21"/>
                      <w:u w:val="single"/>
                    </w:rPr>
                    <w:t>注：按年运行</w:t>
                  </w:r>
                  <w:r>
                    <w:rPr>
                      <w:szCs w:val="21"/>
                      <w:u w:val="single"/>
                    </w:rPr>
                    <w:t>365</w:t>
                  </w:r>
                  <w:r>
                    <w:rPr>
                      <w:rFonts w:hint="eastAsia"/>
                      <w:szCs w:val="21"/>
                      <w:u w:val="single"/>
                    </w:rPr>
                    <w:t>天，日运行24小时计</w:t>
                  </w:r>
                </w:p>
              </w:tc>
            </w:tr>
          </w:tbl>
          <w:p>
            <w:pPr>
              <w:pStyle w:val="7"/>
              <w:numPr>
                <w:ilvl w:val="0"/>
                <w:numId w:val="5"/>
              </w:numPr>
              <w:ind w:left="0" w:firstLine="480" w:firstLineChars="200"/>
              <w:rPr>
                <w:u w:val="single"/>
              </w:rPr>
            </w:pPr>
            <w:r>
              <w:rPr>
                <w:rFonts w:hint="eastAsia"/>
                <w:u w:val="single"/>
              </w:rPr>
              <w:t>柴油发电机燃烧废气</w:t>
            </w:r>
          </w:p>
          <w:p>
            <w:pPr>
              <w:pStyle w:val="4"/>
              <w:ind w:firstLine="480"/>
              <w:rPr>
                <w:u w:val="single"/>
              </w:rPr>
            </w:pPr>
            <w:r>
              <w:rPr>
                <w:rFonts w:hint="eastAsia"/>
                <w:u w:val="single"/>
              </w:rPr>
              <w:t>本项目在辅助用房的发电房内设一台备用的柴油发电机，备用柴油发电机组运行时会产生燃料燃烧尾气，其污染物主要为NO</w:t>
            </w:r>
            <w:r>
              <w:rPr>
                <w:rFonts w:hint="eastAsia"/>
                <w:u w:val="single"/>
                <w:vertAlign w:val="subscript"/>
              </w:rPr>
              <w:t>x</w:t>
            </w:r>
            <w:r>
              <w:rPr>
                <w:rFonts w:hint="eastAsia"/>
                <w:u w:val="single"/>
              </w:rPr>
              <w:t>、CO。备用柴油发电机组仅在停电时使用，间断作业，且工作时间短，因此产生污染物排放量少。</w:t>
            </w:r>
          </w:p>
          <w:p>
            <w:pPr>
              <w:pStyle w:val="7"/>
              <w:ind w:left="862" w:hanging="862"/>
            </w:pPr>
            <w:r>
              <w:t>废水</w:t>
            </w:r>
          </w:p>
          <w:p>
            <w:pPr>
              <w:adjustRightInd w:val="0"/>
              <w:snapToGrid w:val="0"/>
              <w:spacing w:line="360" w:lineRule="auto"/>
              <w:ind w:firstLine="480" w:firstLineChars="200"/>
              <w:jc w:val="left"/>
              <w:rPr>
                <w:rFonts w:hint="default" w:eastAsia="宋体"/>
                <w:sz w:val="24"/>
                <w:lang w:val="en-US" w:eastAsia="zh-CN"/>
              </w:rPr>
            </w:pPr>
            <w:r>
              <w:rPr>
                <w:rFonts w:hint="eastAsia"/>
                <w:sz w:val="24"/>
              </w:rPr>
              <w:t>本项目建设完成后，主要废水为生活污水（员工生活废水、洗手间废水）以及站内设备、地面清洗废水。排水量按总用水</w:t>
            </w:r>
            <w:r>
              <w:rPr>
                <w:rFonts w:hint="eastAsia"/>
                <w:sz w:val="24"/>
                <w:lang w:eastAsia="zh-CN"/>
              </w:rPr>
              <w:t>量即生活用水量</w:t>
            </w:r>
            <w:r>
              <w:rPr>
                <w:rFonts w:hint="eastAsia"/>
                <w:sz w:val="24"/>
              </w:rPr>
              <w:t>0.78</w:t>
            </w:r>
            <w:r>
              <w:rPr>
                <w:sz w:val="24"/>
              </w:rPr>
              <w:t>m</w:t>
            </w:r>
            <w:r>
              <w:rPr>
                <w:sz w:val="24"/>
                <w:vertAlign w:val="superscript"/>
              </w:rPr>
              <w:t>3</w:t>
            </w:r>
            <w:r>
              <w:rPr>
                <w:sz w:val="24"/>
              </w:rPr>
              <w:t>/d</w:t>
            </w:r>
            <w:r>
              <w:rPr>
                <w:rFonts w:hint="eastAsia"/>
                <w:sz w:val="24"/>
              </w:rPr>
              <w:t>（绿化用水及清洗用水除外）的</w:t>
            </w:r>
            <w:r>
              <w:rPr>
                <w:sz w:val="24"/>
              </w:rPr>
              <w:t>80%</w:t>
            </w:r>
            <w:r>
              <w:rPr>
                <w:rFonts w:hint="eastAsia"/>
                <w:sz w:val="24"/>
              </w:rPr>
              <w:t>计算，项目</w:t>
            </w:r>
            <w:r>
              <w:rPr>
                <w:rFonts w:hint="eastAsia"/>
                <w:sz w:val="24"/>
                <w:lang w:eastAsia="zh-CN"/>
              </w:rPr>
              <w:t>生活废水产生量</w:t>
            </w:r>
            <w:r>
              <w:rPr>
                <w:rFonts w:hint="eastAsia"/>
                <w:sz w:val="24"/>
              </w:rPr>
              <w:t>约为0.624</w:t>
            </w:r>
            <w:r>
              <w:rPr>
                <w:sz w:val="24"/>
              </w:rPr>
              <w:t>m</w:t>
            </w:r>
            <w:r>
              <w:rPr>
                <w:sz w:val="24"/>
                <w:vertAlign w:val="superscript"/>
              </w:rPr>
              <w:t>3</w:t>
            </w:r>
            <w:r>
              <w:rPr>
                <w:sz w:val="24"/>
              </w:rPr>
              <w:t>/d</w:t>
            </w:r>
            <w:r>
              <w:rPr>
                <w:rFonts w:hint="eastAsia"/>
                <w:sz w:val="24"/>
              </w:rPr>
              <w:t>。项目给排水</w:t>
            </w:r>
            <w:r>
              <w:rPr>
                <w:sz w:val="24"/>
              </w:rPr>
              <w:t>情况详见表</w:t>
            </w:r>
            <w:r>
              <w:rPr>
                <w:rFonts w:hint="eastAsia"/>
                <w:sz w:val="24"/>
                <w:lang w:val="en-US" w:eastAsia="zh-CN"/>
              </w:rPr>
              <w:t>5.2-5</w:t>
            </w:r>
            <w:r>
              <w:rPr>
                <w:rFonts w:hint="eastAsia"/>
                <w:sz w:val="24"/>
              </w:rPr>
              <w:t>。</w:t>
            </w:r>
            <w:r>
              <w:rPr>
                <w:rFonts w:hint="eastAsia"/>
                <w:sz w:val="24"/>
                <w:lang w:eastAsia="zh-CN"/>
              </w:rPr>
              <w:t>项目水平衡图见图</w:t>
            </w:r>
            <w:r>
              <w:rPr>
                <w:rFonts w:hint="eastAsia"/>
                <w:sz w:val="24"/>
                <w:lang w:val="en-US" w:eastAsia="zh-CN"/>
              </w:rPr>
              <w:t>5.2-1。</w:t>
            </w:r>
          </w:p>
          <w:p>
            <w:pPr>
              <w:pStyle w:val="41"/>
              <w:rPr>
                <w:b/>
                <w:spacing w:val="4"/>
                <w:sz w:val="24"/>
                <w:szCs w:val="24"/>
              </w:rPr>
            </w:pPr>
            <w:r>
              <w:rPr>
                <w:sz w:val="24"/>
                <w:szCs w:val="24"/>
              </w:rPr>
              <w:t>表</w:t>
            </w:r>
            <w:r>
              <w:rPr>
                <w:rFonts w:hint="eastAsia"/>
                <w:sz w:val="24"/>
                <w:szCs w:val="24"/>
                <w:lang w:val="en-US" w:eastAsia="zh-CN"/>
              </w:rPr>
              <w:t>5.2</w:t>
            </w:r>
            <w:r>
              <w:rPr>
                <w:sz w:val="24"/>
                <w:szCs w:val="24"/>
              </w:rPr>
              <w:t>-</w:t>
            </w:r>
            <w:r>
              <w:rPr>
                <w:rFonts w:hint="eastAsia"/>
                <w:sz w:val="24"/>
                <w:szCs w:val="24"/>
                <w:lang w:val="en-US" w:eastAsia="zh-CN"/>
              </w:rPr>
              <w:t>5</w:t>
            </w:r>
            <w:r>
              <w:rPr>
                <w:sz w:val="24"/>
                <w:szCs w:val="24"/>
              </w:rPr>
              <w:t xml:space="preserve">   项目给排水一览表</w:t>
            </w:r>
          </w:p>
          <w:tbl>
            <w:tblPr>
              <w:tblStyle w:val="2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685"/>
              <w:gridCol w:w="1134"/>
              <w:gridCol w:w="1641"/>
              <w:gridCol w:w="992"/>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34" w:type="dxa"/>
                  <w:vAlign w:val="center"/>
                </w:tcPr>
                <w:p>
                  <w:pPr>
                    <w:jc w:val="center"/>
                    <w:rPr>
                      <w:szCs w:val="21"/>
                    </w:rPr>
                  </w:pPr>
                  <w:r>
                    <w:rPr>
                      <w:szCs w:val="21"/>
                    </w:rPr>
                    <w:t>项目</w:t>
                  </w:r>
                </w:p>
              </w:tc>
              <w:tc>
                <w:tcPr>
                  <w:tcW w:w="1685" w:type="dxa"/>
                  <w:vAlign w:val="center"/>
                </w:tcPr>
                <w:p>
                  <w:pPr>
                    <w:jc w:val="center"/>
                    <w:rPr>
                      <w:szCs w:val="21"/>
                    </w:rPr>
                  </w:pPr>
                  <w:r>
                    <w:rPr>
                      <w:szCs w:val="21"/>
                    </w:rPr>
                    <w:t>用水量标准</w:t>
                  </w:r>
                </w:p>
              </w:tc>
              <w:tc>
                <w:tcPr>
                  <w:tcW w:w="1134" w:type="dxa"/>
                  <w:vAlign w:val="center"/>
                </w:tcPr>
                <w:p>
                  <w:pPr>
                    <w:jc w:val="center"/>
                    <w:rPr>
                      <w:szCs w:val="21"/>
                    </w:rPr>
                  </w:pPr>
                  <w:r>
                    <w:rPr>
                      <w:szCs w:val="21"/>
                    </w:rPr>
                    <w:t>用水单位数</w:t>
                  </w:r>
                </w:p>
              </w:tc>
              <w:tc>
                <w:tcPr>
                  <w:tcW w:w="1641" w:type="dxa"/>
                  <w:vAlign w:val="center"/>
                </w:tcPr>
                <w:p>
                  <w:pPr>
                    <w:jc w:val="center"/>
                    <w:rPr>
                      <w:szCs w:val="21"/>
                    </w:rPr>
                  </w:pPr>
                  <w:r>
                    <w:rPr>
                      <w:szCs w:val="21"/>
                    </w:rPr>
                    <w:t>用水量（m</w:t>
                  </w:r>
                  <w:r>
                    <w:rPr>
                      <w:szCs w:val="21"/>
                      <w:vertAlign w:val="superscript"/>
                    </w:rPr>
                    <w:t>3</w:t>
                  </w:r>
                  <w:r>
                    <w:rPr>
                      <w:szCs w:val="21"/>
                    </w:rPr>
                    <w:t>/</w:t>
                  </w:r>
                  <w:r>
                    <w:rPr>
                      <w:rFonts w:hint="eastAsia"/>
                      <w:szCs w:val="21"/>
                      <w:lang w:val="en-US" w:eastAsia="zh-CN"/>
                    </w:rPr>
                    <w:t>a</w:t>
                  </w:r>
                  <w:r>
                    <w:rPr>
                      <w:szCs w:val="21"/>
                    </w:rPr>
                    <w:t>）</w:t>
                  </w:r>
                </w:p>
              </w:tc>
              <w:tc>
                <w:tcPr>
                  <w:tcW w:w="992" w:type="dxa"/>
                  <w:vAlign w:val="center"/>
                </w:tcPr>
                <w:p>
                  <w:pPr>
                    <w:jc w:val="center"/>
                    <w:rPr>
                      <w:szCs w:val="21"/>
                    </w:rPr>
                  </w:pPr>
                  <w:r>
                    <w:rPr>
                      <w:rFonts w:hint="eastAsia"/>
                      <w:szCs w:val="21"/>
                      <w:lang w:eastAsia="zh-CN"/>
                    </w:rPr>
                    <w:t>废水</w:t>
                  </w:r>
                  <w:r>
                    <w:rPr>
                      <w:szCs w:val="21"/>
                    </w:rPr>
                    <w:t>量（m</w:t>
                  </w:r>
                  <w:r>
                    <w:rPr>
                      <w:szCs w:val="21"/>
                      <w:vertAlign w:val="superscript"/>
                    </w:rPr>
                    <w:t>3</w:t>
                  </w:r>
                  <w:r>
                    <w:rPr>
                      <w:szCs w:val="21"/>
                    </w:rPr>
                    <w:t>/</w:t>
                  </w:r>
                  <w:r>
                    <w:rPr>
                      <w:rFonts w:hint="eastAsia"/>
                      <w:szCs w:val="21"/>
                      <w:lang w:val="en-US" w:eastAsia="zh-CN"/>
                    </w:rPr>
                    <w:t>a</w:t>
                  </w:r>
                  <w:r>
                    <w:rPr>
                      <w:szCs w:val="21"/>
                    </w:rPr>
                    <w:t>）</w:t>
                  </w:r>
                </w:p>
              </w:tc>
              <w:tc>
                <w:tcPr>
                  <w:tcW w:w="1687" w:type="dxa"/>
                  <w:vAlign w:val="center"/>
                </w:tcPr>
                <w:p>
                  <w:pPr>
                    <w:jc w:val="center"/>
                    <w:rPr>
                      <w:rFonts w:hint="eastAsia"/>
                      <w:szCs w:val="21"/>
                      <w:lang w:eastAsia="zh-CN"/>
                    </w:rPr>
                  </w:pPr>
                  <w:r>
                    <w:rPr>
                      <w:rFonts w:hint="eastAsia"/>
                      <w:szCs w:val="21"/>
                      <w:lang w:eastAsia="zh-CN"/>
                    </w:rPr>
                    <w:t>排水去向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rPr>
                  </w:pPr>
                  <w:r>
                    <w:rPr>
                      <w:szCs w:val="21"/>
                    </w:rPr>
                    <w:t>员工生活用水</w:t>
                  </w:r>
                </w:p>
              </w:tc>
              <w:tc>
                <w:tcPr>
                  <w:tcW w:w="1685" w:type="dxa"/>
                  <w:vAlign w:val="center"/>
                </w:tcPr>
                <w:p>
                  <w:pPr>
                    <w:jc w:val="center"/>
                    <w:rPr>
                      <w:szCs w:val="21"/>
                    </w:rPr>
                  </w:pPr>
                  <w:r>
                    <w:rPr>
                      <w:szCs w:val="21"/>
                    </w:rPr>
                    <w:t>45L/人</w:t>
                  </w:r>
                  <w:r>
                    <w:rPr>
                      <w:rFonts w:hint="eastAsia"/>
                      <w:szCs w:val="21"/>
                    </w:rPr>
                    <w:t>·</w:t>
                  </w:r>
                  <w:r>
                    <w:rPr>
                      <w:szCs w:val="21"/>
                    </w:rPr>
                    <w:t>d</w:t>
                  </w:r>
                </w:p>
              </w:tc>
              <w:tc>
                <w:tcPr>
                  <w:tcW w:w="1134" w:type="dxa"/>
                  <w:vAlign w:val="center"/>
                </w:tcPr>
                <w:p>
                  <w:pPr>
                    <w:jc w:val="center"/>
                    <w:rPr>
                      <w:szCs w:val="21"/>
                    </w:rPr>
                  </w:pPr>
                  <w:r>
                    <w:rPr>
                      <w:rFonts w:hint="eastAsia"/>
                      <w:szCs w:val="21"/>
                    </w:rPr>
                    <w:t>4</w:t>
                  </w:r>
                  <w:r>
                    <w:rPr>
                      <w:szCs w:val="21"/>
                    </w:rPr>
                    <w:t>人</w:t>
                  </w:r>
                </w:p>
              </w:tc>
              <w:tc>
                <w:tcPr>
                  <w:tcW w:w="1641" w:type="dxa"/>
                  <w:vAlign w:val="center"/>
                </w:tcPr>
                <w:p>
                  <w:pPr>
                    <w:jc w:val="center"/>
                    <w:rPr>
                      <w:rFonts w:hint="default" w:eastAsia="宋体"/>
                      <w:szCs w:val="21"/>
                      <w:lang w:val="en-US" w:eastAsia="zh-CN"/>
                    </w:rPr>
                  </w:pPr>
                  <w:r>
                    <w:rPr>
                      <w:rFonts w:hint="eastAsia"/>
                      <w:szCs w:val="21"/>
                      <w:lang w:val="en-US" w:eastAsia="zh-CN"/>
                    </w:rPr>
                    <w:t>65.7</w:t>
                  </w:r>
                </w:p>
              </w:tc>
              <w:tc>
                <w:tcPr>
                  <w:tcW w:w="992" w:type="dxa"/>
                  <w:vAlign w:val="center"/>
                </w:tcPr>
                <w:p>
                  <w:pPr>
                    <w:jc w:val="center"/>
                    <w:rPr>
                      <w:rFonts w:hint="default" w:eastAsia="宋体"/>
                      <w:szCs w:val="21"/>
                      <w:lang w:val="en-US" w:eastAsia="zh-CN"/>
                    </w:rPr>
                  </w:pPr>
                  <w:r>
                    <w:rPr>
                      <w:rFonts w:hint="eastAsia"/>
                      <w:szCs w:val="21"/>
                      <w:lang w:val="en-US" w:eastAsia="zh-CN"/>
                    </w:rPr>
                    <w:t>52.56</w:t>
                  </w:r>
                </w:p>
              </w:tc>
              <w:tc>
                <w:tcPr>
                  <w:tcW w:w="1687" w:type="dxa"/>
                  <w:vAlign w:val="center"/>
                </w:tcPr>
                <w:p>
                  <w:pPr>
                    <w:jc w:val="center"/>
                    <w:rPr>
                      <w:rFonts w:hint="eastAsia" w:eastAsia="宋体"/>
                      <w:szCs w:val="21"/>
                      <w:lang w:val="en-US" w:eastAsia="zh-CN"/>
                    </w:rPr>
                  </w:pPr>
                  <w:r>
                    <w:rPr>
                      <w:rFonts w:hint="eastAsia"/>
                      <w:szCs w:val="21"/>
                      <w:lang w:val="en-US" w:eastAsia="zh-CN"/>
                    </w:rPr>
                    <w:t>经化粪池处理后用作农肥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pacing w:val="-4"/>
                      <w:szCs w:val="21"/>
                    </w:rPr>
                  </w:pPr>
                  <w:r>
                    <w:rPr>
                      <w:spacing w:val="-4"/>
                      <w:szCs w:val="21"/>
                    </w:rPr>
                    <w:t>地面</w:t>
                  </w:r>
                  <w:r>
                    <w:rPr>
                      <w:rFonts w:hint="eastAsia"/>
                      <w:spacing w:val="-4"/>
                      <w:szCs w:val="21"/>
                    </w:rPr>
                    <w:t>清洗</w:t>
                  </w:r>
                  <w:r>
                    <w:rPr>
                      <w:spacing w:val="-4"/>
                      <w:szCs w:val="21"/>
                    </w:rPr>
                    <w:t>用水</w:t>
                  </w:r>
                </w:p>
              </w:tc>
              <w:tc>
                <w:tcPr>
                  <w:tcW w:w="1685" w:type="dxa"/>
                  <w:vAlign w:val="center"/>
                </w:tcPr>
                <w:p>
                  <w:pPr>
                    <w:jc w:val="center"/>
                    <w:rPr>
                      <w:szCs w:val="21"/>
                    </w:rPr>
                  </w:pPr>
                  <w:r>
                    <w:rPr>
                      <w:rFonts w:hint="eastAsia"/>
                      <w:szCs w:val="21"/>
                    </w:rPr>
                    <w:t>2</w:t>
                  </w:r>
                  <w:r>
                    <w:rPr>
                      <w:szCs w:val="21"/>
                    </w:rPr>
                    <w:t>L/m</w:t>
                  </w:r>
                  <w:r>
                    <w:rPr>
                      <w:szCs w:val="21"/>
                      <w:vertAlign w:val="superscript"/>
                    </w:rPr>
                    <w:t>2</w:t>
                  </w:r>
                  <w:r>
                    <w:rPr>
                      <w:szCs w:val="21"/>
                    </w:rPr>
                    <w:t>.次</w:t>
                  </w:r>
                </w:p>
                <w:p>
                  <w:pPr>
                    <w:jc w:val="center"/>
                    <w:rPr>
                      <w:szCs w:val="21"/>
                    </w:rPr>
                  </w:pPr>
                  <w:r>
                    <w:rPr>
                      <w:szCs w:val="21"/>
                    </w:rPr>
                    <w:t>（每周一次）</w:t>
                  </w:r>
                </w:p>
              </w:tc>
              <w:tc>
                <w:tcPr>
                  <w:tcW w:w="1134" w:type="dxa"/>
                  <w:vAlign w:val="center"/>
                </w:tcPr>
                <w:p>
                  <w:pPr>
                    <w:jc w:val="center"/>
                    <w:rPr>
                      <w:szCs w:val="21"/>
                    </w:rPr>
                  </w:pPr>
                  <w:r>
                    <w:rPr>
                      <w:rFonts w:hint="eastAsia"/>
                    </w:rPr>
                    <w:t>156</w:t>
                  </w:r>
                  <w:r>
                    <w:rPr>
                      <w:color w:val="000000"/>
                    </w:rPr>
                    <w:t>m</w:t>
                  </w:r>
                  <w:r>
                    <w:rPr>
                      <w:rFonts w:hint="eastAsia"/>
                      <w:color w:val="000000"/>
                      <w:vertAlign w:val="superscript"/>
                    </w:rPr>
                    <w:t>2</w:t>
                  </w:r>
                </w:p>
              </w:tc>
              <w:tc>
                <w:tcPr>
                  <w:tcW w:w="1641" w:type="dxa"/>
                  <w:vAlign w:val="center"/>
                </w:tcPr>
                <w:p>
                  <w:pPr>
                    <w:pStyle w:val="2"/>
                    <w:rPr>
                      <w:rFonts w:hint="eastAsia"/>
                      <w:szCs w:val="21"/>
                      <w:lang w:val="en-US" w:eastAsia="zh-CN"/>
                    </w:rPr>
                  </w:pPr>
                  <w:r>
                    <w:rPr>
                      <w:rFonts w:hint="eastAsia"/>
                      <w:szCs w:val="21"/>
                      <w:lang w:val="en-US" w:eastAsia="zh-CN"/>
                    </w:rPr>
                    <w:t>2.92（新鲜水）</w:t>
                  </w:r>
                </w:p>
                <w:p>
                  <w:pPr>
                    <w:pStyle w:val="2"/>
                    <w:rPr>
                      <w:rFonts w:hint="default"/>
                      <w:lang w:val="en-US" w:eastAsia="zh-CN"/>
                    </w:rPr>
                  </w:pPr>
                  <w:r>
                    <w:rPr>
                      <w:rFonts w:hint="eastAsia"/>
                      <w:lang w:val="en-US" w:eastAsia="zh-CN"/>
                    </w:rPr>
                    <w:t>11.68（回用水）</w:t>
                  </w:r>
                </w:p>
              </w:tc>
              <w:tc>
                <w:tcPr>
                  <w:tcW w:w="992" w:type="dxa"/>
                  <w:vAlign w:val="center"/>
                </w:tcPr>
                <w:p>
                  <w:pPr>
                    <w:jc w:val="center"/>
                    <w:rPr>
                      <w:szCs w:val="21"/>
                    </w:rPr>
                  </w:pPr>
                  <w:r>
                    <w:rPr>
                      <w:rFonts w:hint="eastAsia"/>
                      <w:szCs w:val="21"/>
                    </w:rPr>
                    <w:t>0</w:t>
                  </w:r>
                </w:p>
              </w:tc>
              <w:tc>
                <w:tcPr>
                  <w:tcW w:w="1687" w:type="dxa"/>
                  <w:vMerge w:val="restart"/>
                  <w:vAlign w:val="center"/>
                </w:tcPr>
                <w:p>
                  <w:pPr>
                    <w:jc w:val="center"/>
                    <w:rPr>
                      <w:rFonts w:hint="eastAsia" w:eastAsia="宋体"/>
                      <w:szCs w:val="21"/>
                      <w:lang w:eastAsia="zh-CN"/>
                    </w:rPr>
                  </w:pPr>
                  <w:r>
                    <w:rPr>
                      <w:rFonts w:hint="eastAsia"/>
                      <w:szCs w:val="21"/>
                      <w:lang w:eastAsia="zh-CN"/>
                    </w:rPr>
                    <w:t>经隔油池及沉淀池处理后回用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pacing w:val="-4"/>
                      <w:szCs w:val="21"/>
                    </w:rPr>
                  </w:pPr>
                  <w:r>
                    <w:rPr>
                      <w:rFonts w:hint="eastAsia"/>
                      <w:spacing w:val="-4"/>
                      <w:szCs w:val="21"/>
                    </w:rPr>
                    <w:t>洗车用水</w:t>
                  </w:r>
                </w:p>
              </w:tc>
              <w:tc>
                <w:tcPr>
                  <w:tcW w:w="1685" w:type="dxa"/>
                  <w:vAlign w:val="center"/>
                </w:tcPr>
                <w:p>
                  <w:pPr>
                    <w:jc w:val="center"/>
                    <w:rPr>
                      <w:szCs w:val="21"/>
                    </w:rPr>
                  </w:pPr>
                  <w:r>
                    <w:rPr>
                      <w:rFonts w:hint="eastAsia"/>
                      <w:szCs w:val="21"/>
                    </w:rPr>
                    <w:t>100</w:t>
                  </w:r>
                  <w:r>
                    <w:rPr>
                      <w:szCs w:val="21"/>
                    </w:rPr>
                    <w:t>L/</w:t>
                  </w:r>
                  <w:r>
                    <w:rPr>
                      <w:rFonts w:hint="eastAsia"/>
                      <w:szCs w:val="21"/>
                    </w:rPr>
                    <w:t>辆</w:t>
                  </w:r>
                </w:p>
              </w:tc>
              <w:tc>
                <w:tcPr>
                  <w:tcW w:w="1134" w:type="dxa"/>
                  <w:vAlign w:val="center"/>
                </w:tcPr>
                <w:p>
                  <w:pPr>
                    <w:jc w:val="center"/>
                    <w:rPr>
                      <w:szCs w:val="21"/>
                    </w:rPr>
                  </w:pPr>
                  <w:r>
                    <w:rPr>
                      <w:rFonts w:hint="eastAsia"/>
                      <w:szCs w:val="21"/>
                    </w:rPr>
                    <w:t>20辆</w:t>
                  </w:r>
                </w:p>
              </w:tc>
              <w:tc>
                <w:tcPr>
                  <w:tcW w:w="1641" w:type="dxa"/>
                  <w:vAlign w:val="center"/>
                </w:tcPr>
                <w:p>
                  <w:pPr>
                    <w:jc w:val="center"/>
                    <w:rPr>
                      <w:rFonts w:hint="default"/>
                      <w:szCs w:val="21"/>
                      <w:lang w:val="en-US" w:eastAsia="zh-CN"/>
                    </w:rPr>
                  </w:pPr>
                  <w:r>
                    <w:rPr>
                      <w:rFonts w:hint="eastAsia"/>
                      <w:szCs w:val="21"/>
                      <w:lang w:val="en-US" w:eastAsia="zh-CN"/>
                    </w:rPr>
                    <w:t>146（新鲜水）</w:t>
                  </w:r>
                </w:p>
                <w:p>
                  <w:pPr>
                    <w:jc w:val="center"/>
                    <w:rPr>
                      <w:rFonts w:hint="default" w:eastAsia="宋体"/>
                      <w:szCs w:val="21"/>
                      <w:lang w:val="en-US" w:eastAsia="zh-CN"/>
                    </w:rPr>
                  </w:pPr>
                  <w:r>
                    <w:rPr>
                      <w:rFonts w:hint="eastAsia"/>
                      <w:szCs w:val="21"/>
                      <w:lang w:val="en-US" w:eastAsia="zh-CN"/>
                    </w:rPr>
                    <w:t>584（回用水）</w:t>
                  </w:r>
                </w:p>
              </w:tc>
              <w:tc>
                <w:tcPr>
                  <w:tcW w:w="992" w:type="dxa"/>
                  <w:vAlign w:val="center"/>
                </w:tcPr>
                <w:p>
                  <w:pPr>
                    <w:jc w:val="center"/>
                    <w:rPr>
                      <w:szCs w:val="21"/>
                    </w:rPr>
                  </w:pPr>
                  <w:r>
                    <w:rPr>
                      <w:rFonts w:hint="eastAsia"/>
                      <w:szCs w:val="21"/>
                    </w:rPr>
                    <w:t>0</w:t>
                  </w:r>
                </w:p>
              </w:tc>
              <w:tc>
                <w:tcPr>
                  <w:tcW w:w="1687"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rPr>
                  </w:pPr>
                  <w:r>
                    <w:rPr>
                      <w:szCs w:val="21"/>
                    </w:rPr>
                    <w:t>卫生间用水</w:t>
                  </w:r>
                </w:p>
              </w:tc>
              <w:tc>
                <w:tcPr>
                  <w:tcW w:w="1685" w:type="dxa"/>
                  <w:vAlign w:val="center"/>
                </w:tcPr>
                <w:p>
                  <w:pPr>
                    <w:jc w:val="center"/>
                    <w:rPr>
                      <w:szCs w:val="21"/>
                    </w:rPr>
                  </w:pPr>
                  <w:r>
                    <w:rPr>
                      <w:szCs w:val="21"/>
                    </w:rPr>
                    <w:t>20L/人</w:t>
                  </w:r>
                  <w:r>
                    <w:rPr>
                      <w:rFonts w:hint="eastAsia"/>
                      <w:szCs w:val="21"/>
                    </w:rPr>
                    <w:t>·</w:t>
                  </w:r>
                  <w:r>
                    <w:rPr>
                      <w:szCs w:val="21"/>
                    </w:rPr>
                    <w:t>d</w:t>
                  </w:r>
                </w:p>
              </w:tc>
              <w:tc>
                <w:tcPr>
                  <w:tcW w:w="1134" w:type="dxa"/>
                  <w:vAlign w:val="center"/>
                </w:tcPr>
                <w:p>
                  <w:pPr>
                    <w:jc w:val="center"/>
                    <w:rPr>
                      <w:szCs w:val="21"/>
                    </w:rPr>
                  </w:pPr>
                  <w:r>
                    <w:rPr>
                      <w:rFonts w:hint="eastAsia"/>
                      <w:szCs w:val="21"/>
                    </w:rPr>
                    <w:t>30人</w:t>
                  </w:r>
                </w:p>
              </w:tc>
              <w:tc>
                <w:tcPr>
                  <w:tcW w:w="1641" w:type="dxa"/>
                  <w:vAlign w:val="center"/>
                </w:tcPr>
                <w:p>
                  <w:pPr>
                    <w:jc w:val="center"/>
                    <w:rPr>
                      <w:rFonts w:hint="default" w:eastAsia="宋体"/>
                      <w:szCs w:val="21"/>
                      <w:lang w:val="en-US" w:eastAsia="zh-CN"/>
                    </w:rPr>
                  </w:pPr>
                  <w:r>
                    <w:rPr>
                      <w:rFonts w:hint="eastAsia"/>
                      <w:szCs w:val="21"/>
                      <w:lang w:val="en-US" w:eastAsia="zh-CN"/>
                    </w:rPr>
                    <w:t>219</w:t>
                  </w:r>
                </w:p>
              </w:tc>
              <w:tc>
                <w:tcPr>
                  <w:tcW w:w="992" w:type="dxa"/>
                  <w:vAlign w:val="center"/>
                </w:tcPr>
                <w:p>
                  <w:pPr>
                    <w:jc w:val="center"/>
                    <w:rPr>
                      <w:rFonts w:hint="default" w:eastAsia="宋体"/>
                      <w:szCs w:val="21"/>
                      <w:lang w:val="en-US" w:eastAsia="zh-CN"/>
                    </w:rPr>
                  </w:pPr>
                  <w:r>
                    <w:rPr>
                      <w:rFonts w:hint="eastAsia"/>
                      <w:szCs w:val="21"/>
                      <w:lang w:val="en-US" w:eastAsia="zh-CN"/>
                    </w:rPr>
                    <w:t>175.2</w:t>
                  </w:r>
                </w:p>
              </w:tc>
              <w:tc>
                <w:tcPr>
                  <w:tcW w:w="1687" w:type="dxa"/>
                  <w:vAlign w:val="center"/>
                </w:tcPr>
                <w:p>
                  <w:pPr>
                    <w:jc w:val="center"/>
                    <w:rPr>
                      <w:rFonts w:hint="eastAsia"/>
                      <w:szCs w:val="21"/>
                    </w:rPr>
                  </w:pPr>
                  <w:r>
                    <w:rPr>
                      <w:rFonts w:hint="eastAsia"/>
                      <w:szCs w:val="21"/>
                      <w:lang w:val="en-US" w:eastAsia="zh-CN"/>
                    </w:rPr>
                    <w:t>经化粪池处理后用作农肥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4" w:type="dxa"/>
                  <w:vAlign w:val="center"/>
                </w:tcPr>
                <w:p>
                  <w:pPr>
                    <w:jc w:val="center"/>
                    <w:rPr>
                      <w:szCs w:val="21"/>
                    </w:rPr>
                  </w:pPr>
                  <w:r>
                    <w:rPr>
                      <w:szCs w:val="21"/>
                    </w:rPr>
                    <w:t>小计</w:t>
                  </w:r>
                </w:p>
              </w:tc>
              <w:tc>
                <w:tcPr>
                  <w:tcW w:w="1685" w:type="dxa"/>
                  <w:vAlign w:val="center"/>
                </w:tcPr>
                <w:p>
                  <w:pPr>
                    <w:jc w:val="center"/>
                    <w:rPr>
                      <w:szCs w:val="21"/>
                    </w:rPr>
                  </w:pPr>
                  <w:r>
                    <w:rPr>
                      <w:rFonts w:hint="eastAsia"/>
                      <w:szCs w:val="21"/>
                    </w:rPr>
                    <w:t>/</w:t>
                  </w:r>
                </w:p>
              </w:tc>
              <w:tc>
                <w:tcPr>
                  <w:tcW w:w="1134" w:type="dxa"/>
                  <w:vAlign w:val="center"/>
                </w:tcPr>
                <w:p>
                  <w:pPr>
                    <w:jc w:val="center"/>
                    <w:rPr>
                      <w:szCs w:val="21"/>
                    </w:rPr>
                  </w:pPr>
                  <w:r>
                    <w:rPr>
                      <w:rFonts w:hint="eastAsia"/>
                      <w:szCs w:val="21"/>
                    </w:rPr>
                    <w:t>/</w:t>
                  </w:r>
                </w:p>
              </w:tc>
              <w:tc>
                <w:tcPr>
                  <w:tcW w:w="1641" w:type="dxa"/>
                  <w:vAlign w:val="center"/>
                </w:tcPr>
                <w:p>
                  <w:pPr>
                    <w:jc w:val="center"/>
                    <w:rPr>
                      <w:rFonts w:hint="eastAsia"/>
                      <w:lang w:val="en-US" w:eastAsia="zh-CN"/>
                    </w:rPr>
                  </w:pPr>
                  <w:r>
                    <w:rPr>
                      <w:rFonts w:hint="eastAsia"/>
                      <w:lang w:val="en-US" w:eastAsia="zh-CN"/>
                    </w:rPr>
                    <w:t>433.62（新鲜水）</w:t>
                  </w:r>
                </w:p>
                <w:p>
                  <w:pPr>
                    <w:pStyle w:val="2"/>
                    <w:rPr>
                      <w:rFonts w:hint="default"/>
                      <w:lang w:val="en-US" w:eastAsia="zh-CN"/>
                    </w:rPr>
                  </w:pPr>
                  <w:r>
                    <w:rPr>
                      <w:rFonts w:hint="eastAsia"/>
                      <w:szCs w:val="21"/>
                      <w:lang w:val="en-US" w:eastAsia="zh-CN"/>
                    </w:rPr>
                    <w:t>595.68（回用水）</w:t>
                  </w:r>
                </w:p>
              </w:tc>
              <w:tc>
                <w:tcPr>
                  <w:tcW w:w="992" w:type="dxa"/>
                  <w:vAlign w:val="center"/>
                </w:tcPr>
                <w:p>
                  <w:pPr>
                    <w:jc w:val="center"/>
                    <w:rPr>
                      <w:rFonts w:hint="default" w:eastAsia="宋体"/>
                      <w:szCs w:val="21"/>
                      <w:lang w:val="en-US" w:eastAsia="zh-CN"/>
                    </w:rPr>
                  </w:pPr>
                  <w:r>
                    <w:rPr>
                      <w:rFonts w:hint="eastAsia"/>
                      <w:szCs w:val="21"/>
                      <w:lang w:val="en-US" w:eastAsia="zh-CN"/>
                    </w:rPr>
                    <w:t>0.624</w:t>
                  </w:r>
                </w:p>
              </w:tc>
              <w:tc>
                <w:tcPr>
                  <w:tcW w:w="1687" w:type="dxa"/>
                  <w:vAlign w:val="center"/>
                </w:tcPr>
                <w:p>
                  <w:pPr>
                    <w:jc w:val="center"/>
                    <w:rPr>
                      <w:rFonts w:hint="eastAsia" w:eastAsia="宋体"/>
                      <w:szCs w:val="21"/>
                      <w:lang w:val="en-US" w:eastAsia="zh-CN"/>
                    </w:rPr>
                  </w:pPr>
                  <w:r>
                    <w:rPr>
                      <w:rFonts w:hint="eastAsia"/>
                      <w:szCs w:val="21"/>
                      <w:lang w:val="en-US" w:eastAsia="zh-CN"/>
                    </w:rPr>
                    <w:t>/</w:t>
                  </w:r>
                </w:p>
              </w:tc>
            </w:tr>
          </w:tbl>
          <w:p>
            <w:pPr>
              <w:adjustRightInd w:val="0"/>
              <w:snapToGrid w:val="0"/>
              <w:spacing w:line="360" w:lineRule="auto"/>
              <w:rPr>
                <w:rFonts w:hint="eastAsia" w:eastAsia="黑体"/>
                <w:sz w:val="24"/>
                <w:lang w:eastAsia="zh-CN"/>
              </w:rPr>
            </w:pPr>
            <w:r>
              <w:rPr>
                <w:rFonts w:hint="eastAsia" w:eastAsia="黑体"/>
                <w:sz w:val="24"/>
              </w:rPr>
              <w:t xml:space="preserve"> </w:t>
            </w:r>
            <w:r>
              <w:rPr>
                <w:rFonts w:hint="eastAsia" w:eastAsia="黑体"/>
                <w:sz w:val="24"/>
                <w:lang w:eastAsia="zh-CN"/>
              </w:rPr>
              <w:drawing>
                <wp:inline distT="0" distB="0" distL="114300" distR="114300">
                  <wp:extent cx="5553075" cy="3562350"/>
                  <wp:effectExtent l="0" t="0" r="9525" b="0"/>
                  <wp:docPr id="1" name="图片 1" descr="1574058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4058983(1)"/>
                          <pic:cNvPicPr>
                            <a:picLocks noChangeAspect="1"/>
                          </pic:cNvPicPr>
                        </pic:nvPicPr>
                        <pic:blipFill>
                          <a:blip r:embed="rId17"/>
                          <a:stretch>
                            <a:fillRect/>
                          </a:stretch>
                        </pic:blipFill>
                        <pic:spPr>
                          <a:xfrm>
                            <a:off x="0" y="0"/>
                            <a:ext cx="5553075" cy="3562350"/>
                          </a:xfrm>
                          <a:prstGeom prst="rect">
                            <a:avLst/>
                          </a:prstGeom>
                        </pic:spPr>
                      </pic:pic>
                    </a:graphicData>
                  </a:graphic>
                </wp:inline>
              </w:drawing>
            </w:r>
          </w:p>
          <w:p>
            <w:pPr>
              <w:adjustRightInd w:val="0"/>
              <w:snapToGrid w:val="0"/>
              <w:spacing w:line="360" w:lineRule="auto"/>
              <w:jc w:val="center"/>
              <w:rPr>
                <w:sz w:val="24"/>
              </w:rPr>
            </w:pPr>
            <w:r>
              <w:rPr>
                <w:rFonts w:eastAsia="黑体"/>
                <w:sz w:val="24"/>
              </w:rPr>
              <w:t>图</w:t>
            </w:r>
            <w:r>
              <w:rPr>
                <w:rFonts w:hint="eastAsia" w:eastAsia="黑体"/>
                <w:sz w:val="24"/>
                <w:lang w:val="en-US" w:eastAsia="zh-CN"/>
              </w:rPr>
              <w:t>5.2-1</w:t>
            </w:r>
            <w:r>
              <w:rPr>
                <w:rFonts w:hint="eastAsia" w:eastAsia="黑体"/>
                <w:sz w:val="24"/>
              </w:rPr>
              <w:t xml:space="preserve">   </w:t>
            </w:r>
            <w:r>
              <w:rPr>
                <w:rFonts w:eastAsia="黑体"/>
                <w:sz w:val="24"/>
              </w:rPr>
              <w:t>项目水平衡图（单位：m</w:t>
            </w:r>
            <w:r>
              <w:rPr>
                <w:rFonts w:eastAsia="黑体"/>
                <w:sz w:val="24"/>
                <w:vertAlign w:val="superscript"/>
              </w:rPr>
              <w:t>3</w:t>
            </w:r>
            <w:r>
              <w:rPr>
                <w:rFonts w:eastAsia="黑体"/>
                <w:sz w:val="24"/>
              </w:rPr>
              <w:t>/d）</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）生活污水</w:t>
            </w:r>
          </w:p>
          <w:p>
            <w:pPr>
              <w:adjustRightInd w:val="0"/>
              <w:snapToGrid w:val="0"/>
              <w:spacing w:line="360" w:lineRule="auto"/>
              <w:ind w:firstLine="480" w:firstLineChars="200"/>
              <w:rPr>
                <w:sz w:val="24"/>
                <w:szCs w:val="24"/>
              </w:rPr>
            </w:pPr>
            <w:r>
              <w:rPr>
                <w:rFonts w:hint="eastAsia"/>
                <w:sz w:val="24"/>
              </w:rPr>
              <w:t>生活污水（员工生活废水、公共卫生间废水）排放量</w:t>
            </w:r>
            <w:r>
              <w:rPr>
                <w:rFonts w:hint="eastAsia"/>
                <w:sz w:val="24"/>
                <w:szCs w:val="24"/>
              </w:rPr>
              <w:t>约0.624</w:t>
            </w:r>
            <w:r>
              <w:rPr>
                <w:sz w:val="24"/>
                <w:szCs w:val="24"/>
              </w:rPr>
              <w:t>m</w:t>
            </w:r>
            <w:r>
              <w:rPr>
                <w:sz w:val="24"/>
                <w:szCs w:val="24"/>
                <w:vertAlign w:val="superscript"/>
              </w:rPr>
              <w:t>3</w:t>
            </w:r>
            <w:r>
              <w:rPr>
                <w:sz w:val="24"/>
                <w:szCs w:val="24"/>
              </w:rPr>
              <w:t>/d</w:t>
            </w:r>
            <w:r>
              <w:rPr>
                <w:rFonts w:hint="eastAsia"/>
                <w:sz w:val="24"/>
                <w:szCs w:val="24"/>
              </w:rPr>
              <w:t>，主要污染物为SS、BOD</w:t>
            </w:r>
            <w:r>
              <w:rPr>
                <w:rFonts w:hint="eastAsia"/>
                <w:sz w:val="24"/>
                <w:szCs w:val="24"/>
                <w:vertAlign w:val="subscript"/>
              </w:rPr>
              <w:t>5</w:t>
            </w:r>
            <w:r>
              <w:rPr>
                <w:rFonts w:hint="eastAsia"/>
                <w:sz w:val="24"/>
                <w:szCs w:val="24"/>
              </w:rPr>
              <w:t>、NH</w:t>
            </w:r>
            <w:r>
              <w:rPr>
                <w:rFonts w:hint="eastAsia"/>
                <w:sz w:val="24"/>
                <w:szCs w:val="24"/>
                <w:vertAlign w:val="subscript"/>
              </w:rPr>
              <w:t>3</w:t>
            </w:r>
            <w:r>
              <w:rPr>
                <w:rFonts w:hint="eastAsia"/>
                <w:sz w:val="24"/>
                <w:szCs w:val="24"/>
              </w:rPr>
              <w:t>-N、COD，项目生活污水经化粪池处理后定期清掏用做农肥。</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）站内地面清洗废水、洗车废水</w:t>
            </w:r>
          </w:p>
          <w:p>
            <w:pPr>
              <w:adjustRightInd w:val="0"/>
              <w:snapToGrid w:val="0"/>
              <w:spacing w:line="360" w:lineRule="auto"/>
              <w:ind w:firstLine="480" w:firstLineChars="200"/>
              <w:rPr>
                <w:sz w:val="24"/>
              </w:rPr>
            </w:pPr>
            <w:r>
              <w:rPr>
                <w:rFonts w:hint="eastAsia"/>
                <w:sz w:val="24"/>
                <w:szCs w:val="24"/>
              </w:rPr>
              <w:t>加油站每周对地面进行清洗，加油站为进站车辆提供简易洗车服务，产生的含油及泥砂的污水是该项目主要水污染源，清洗废水及洗车废水产生量为</w:t>
            </w:r>
            <w:r>
              <w:rPr>
                <w:rFonts w:hint="eastAsia"/>
                <w:sz w:val="24"/>
                <w:szCs w:val="24"/>
                <w:lang w:eastAsia="zh-CN"/>
              </w:rPr>
              <w:t>用水量的</w:t>
            </w:r>
            <w:r>
              <w:rPr>
                <w:rFonts w:hint="eastAsia"/>
                <w:sz w:val="24"/>
                <w:szCs w:val="24"/>
                <w:lang w:val="en-US" w:eastAsia="zh-CN"/>
              </w:rPr>
              <w:t>80%，用水量为2.04</w:t>
            </w:r>
            <w:r>
              <w:rPr>
                <w:sz w:val="24"/>
                <w:szCs w:val="24"/>
              </w:rPr>
              <w:t>m</w:t>
            </w:r>
            <w:r>
              <w:rPr>
                <w:sz w:val="24"/>
                <w:szCs w:val="24"/>
                <w:vertAlign w:val="superscript"/>
              </w:rPr>
              <w:t>3</w:t>
            </w:r>
            <w:r>
              <w:rPr>
                <w:sz w:val="24"/>
                <w:szCs w:val="24"/>
              </w:rPr>
              <w:t>/d</w:t>
            </w:r>
            <w:r>
              <w:rPr>
                <w:rStyle w:val="36"/>
                <w:rFonts w:hint="eastAsia"/>
                <w:sz w:val="24"/>
                <w:szCs w:val="24"/>
                <w:lang w:eastAsia="zh-CN"/>
              </w:rPr>
              <w:t>，则废水量为</w:t>
            </w:r>
            <w:r>
              <w:rPr>
                <w:rFonts w:hint="eastAsia"/>
                <w:sz w:val="24"/>
                <w:szCs w:val="24"/>
              </w:rPr>
              <w:t>1.632</w:t>
            </w:r>
            <w:r>
              <w:rPr>
                <w:sz w:val="24"/>
                <w:szCs w:val="24"/>
              </w:rPr>
              <w:t>m</w:t>
            </w:r>
            <w:r>
              <w:rPr>
                <w:sz w:val="24"/>
                <w:szCs w:val="24"/>
                <w:vertAlign w:val="superscript"/>
              </w:rPr>
              <w:t>3</w:t>
            </w:r>
            <w:r>
              <w:rPr>
                <w:sz w:val="24"/>
                <w:szCs w:val="24"/>
              </w:rPr>
              <w:t>/d</w:t>
            </w:r>
            <w:r>
              <w:rPr>
                <w:rFonts w:hint="eastAsia"/>
                <w:sz w:val="24"/>
                <w:szCs w:val="24"/>
              </w:rPr>
              <w:t>，其所含主要污染物石油类约为</w:t>
            </w:r>
            <w:r>
              <w:rPr>
                <w:sz w:val="24"/>
                <w:szCs w:val="24"/>
              </w:rPr>
              <w:t>10</w:t>
            </w:r>
            <w:r>
              <w:rPr>
                <w:rFonts w:hint="eastAsia"/>
                <w:sz w:val="24"/>
                <w:szCs w:val="24"/>
              </w:rPr>
              <w:t>～</w:t>
            </w:r>
            <w:r>
              <w:rPr>
                <w:sz w:val="24"/>
                <w:szCs w:val="24"/>
              </w:rPr>
              <w:t>50mg/L</w:t>
            </w:r>
            <w:r>
              <w:rPr>
                <w:rFonts w:hint="eastAsia"/>
                <w:sz w:val="24"/>
                <w:szCs w:val="24"/>
              </w:rPr>
              <w:t>，悬浮物约为</w:t>
            </w:r>
            <w:r>
              <w:rPr>
                <w:sz w:val="24"/>
                <w:szCs w:val="24"/>
              </w:rPr>
              <w:t>200</w:t>
            </w:r>
            <w:r>
              <w:rPr>
                <w:rFonts w:hint="eastAsia"/>
                <w:sz w:val="24"/>
                <w:szCs w:val="24"/>
              </w:rPr>
              <w:t>～</w:t>
            </w:r>
            <w:r>
              <w:rPr>
                <w:sz w:val="24"/>
                <w:szCs w:val="24"/>
              </w:rPr>
              <w:t>500mg/L</w:t>
            </w:r>
            <w:r>
              <w:rPr>
                <w:rFonts w:hint="eastAsia"/>
                <w:sz w:val="24"/>
                <w:szCs w:val="24"/>
              </w:rPr>
              <w:t>。该部分废水经隔油池及沉淀池处理</w:t>
            </w:r>
            <w:r>
              <w:rPr>
                <w:rFonts w:hint="eastAsia"/>
                <w:sz w:val="24"/>
              </w:rPr>
              <w:t>后回用</w:t>
            </w:r>
            <w:r>
              <w:rPr>
                <w:sz w:val="24"/>
              </w:rPr>
              <w:t>，不排出站外</w:t>
            </w:r>
            <w:r>
              <w:rPr>
                <w:rFonts w:hint="eastAsia"/>
                <w:sz w:val="24"/>
              </w:rPr>
              <w:t>。</w:t>
            </w:r>
          </w:p>
          <w:p>
            <w:pPr>
              <w:adjustRightInd w:val="0"/>
              <w:snapToGrid w:val="0"/>
              <w:spacing w:line="360" w:lineRule="auto"/>
              <w:ind w:firstLine="480" w:firstLineChars="200"/>
              <w:rPr>
                <w:sz w:val="24"/>
                <w:szCs w:val="24"/>
              </w:rPr>
            </w:pPr>
            <w:r>
              <w:rPr>
                <w:rFonts w:hint="eastAsia"/>
                <w:sz w:val="24"/>
                <w:szCs w:val="24"/>
              </w:rPr>
              <w:t>对于雨水问题，加油站在加油岛位置已设有罩棚，并在罩棚内设有环形地沟，可防止雨水被油污染，故不考虑雨水冲刷漏洒于地面的油类而产生的含油污水。雨水经过雨水收集沟收集进入隔油池及沉淀池处理后回用于站区地面清洗用水，不排出站外。</w:t>
            </w:r>
          </w:p>
          <w:p>
            <w:pPr>
              <w:pStyle w:val="7"/>
              <w:ind w:left="862" w:hanging="862"/>
            </w:pPr>
            <w:r>
              <w:t>噪声</w:t>
            </w:r>
          </w:p>
          <w:p>
            <w:pPr>
              <w:adjustRightInd w:val="0"/>
              <w:snapToGrid w:val="0"/>
              <w:spacing w:line="360" w:lineRule="auto"/>
              <w:ind w:firstLine="480" w:firstLineChars="200"/>
              <w:rPr>
                <w:spacing w:val="4"/>
                <w:sz w:val="24"/>
              </w:rPr>
            </w:pPr>
            <w:r>
              <w:rPr>
                <w:rFonts w:hint="eastAsia"/>
                <w:sz w:val="24"/>
              </w:rPr>
              <w:t>从加油站的主要运行设备来分析，产生噪声的主要设备为加油机油泵、加油车辆以及备用柴油发电机等。其源强在</w:t>
            </w:r>
            <w:r>
              <w:rPr>
                <w:sz w:val="24"/>
              </w:rPr>
              <w:t>65-</w:t>
            </w:r>
            <w:r>
              <w:rPr>
                <w:rFonts w:hint="eastAsia"/>
                <w:sz w:val="24"/>
              </w:rPr>
              <w:t>105</w:t>
            </w:r>
            <w:r>
              <w:rPr>
                <w:sz w:val="24"/>
              </w:rPr>
              <w:t>dB</w:t>
            </w:r>
            <w:r>
              <w:rPr>
                <w:rFonts w:hint="eastAsia"/>
                <w:sz w:val="24"/>
              </w:rPr>
              <w:t>（</w:t>
            </w:r>
            <w:r>
              <w:rPr>
                <w:sz w:val="24"/>
              </w:rPr>
              <w:t>A</w:t>
            </w:r>
            <w:r>
              <w:rPr>
                <w:rFonts w:hint="eastAsia"/>
                <w:sz w:val="24"/>
              </w:rPr>
              <w:t>）之间，详见下表。</w:t>
            </w:r>
          </w:p>
          <w:p>
            <w:pPr>
              <w:pStyle w:val="41"/>
              <w:spacing w:line="240" w:lineRule="auto"/>
              <w:rPr>
                <w:sz w:val="24"/>
                <w:szCs w:val="24"/>
              </w:rPr>
            </w:pPr>
            <w:r>
              <w:rPr>
                <w:rFonts w:hint="eastAsia"/>
                <w:sz w:val="24"/>
                <w:szCs w:val="24"/>
              </w:rPr>
              <w:t>表5.2-</w:t>
            </w:r>
            <w:r>
              <w:rPr>
                <w:rFonts w:hint="eastAsia"/>
                <w:sz w:val="24"/>
                <w:szCs w:val="24"/>
                <w:lang w:val="en-US" w:eastAsia="zh-CN"/>
              </w:rPr>
              <w:t>6</w:t>
            </w:r>
            <w:r>
              <w:rPr>
                <w:rFonts w:hint="eastAsia"/>
                <w:sz w:val="24"/>
                <w:szCs w:val="24"/>
              </w:rPr>
              <w:t xml:space="preserve">  项目噪声源一览表单位：dB（A）</w:t>
            </w:r>
          </w:p>
          <w:tbl>
            <w:tblPr>
              <w:tblStyle w:val="24"/>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1103"/>
              <w:gridCol w:w="273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7" w:type="dxa"/>
                  <w:vAlign w:val="center"/>
                </w:tcPr>
                <w:p>
                  <w:pPr>
                    <w:jc w:val="center"/>
                    <w:rPr>
                      <w:spacing w:val="4"/>
                      <w:szCs w:val="21"/>
                    </w:rPr>
                  </w:pPr>
                  <w:r>
                    <w:rPr>
                      <w:rFonts w:hint="eastAsia"/>
                      <w:spacing w:val="4"/>
                      <w:szCs w:val="21"/>
                    </w:rPr>
                    <w:t>设备名称</w:t>
                  </w:r>
                </w:p>
              </w:tc>
              <w:tc>
                <w:tcPr>
                  <w:tcW w:w="1103" w:type="dxa"/>
                  <w:vAlign w:val="center"/>
                </w:tcPr>
                <w:p>
                  <w:pPr>
                    <w:jc w:val="center"/>
                    <w:rPr>
                      <w:spacing w:val="4"/>
                      <w:szCs w:val="21"/>
                    </w:rPr>
                  </w:pPr>
                  <w:r>
                    <w:rPr>
                      <w:rFonts w:hint="eastAsia"/>
                      <w:spacing w:val="4"/>
                      <w:szCs w:val="21"/>
                    </w:rPr>
                    <w:t>噪声级</w:t>
                  </w:r>
                </w:p>
              </w:tc>
              <w:tc>
                <w:tcPr>
                  <w:tcW w:w="2730" w:type="dxa"/>
                  <w:vAlign w:val="center"/>
                </w:tcPr>
                <w:p>
                  <w:pPr>
                    <w:snapToGrid w:val="0"/>
                    <w:jc w:val="center"/>
                    <w:rPr>
                      <w:spacing w:val="4"/>
                      <w:szCs w:val="21"/>
                    </w:rPr>
                  </w:pPr>
                  <w:r>
                    <w:rPr>
                      <w:iCs/>
                      <w:szCs w:val="21"/>
                    </w:rPr>
                    <w:t>治理措施</w:t>
                  </w:r>
                </w:p>
              </w:tc>
              <w:tc>
                <w:tcPr>
                  <w:tcW w:w="2748" w:type="dxa"/>
                  <w:vAlign w:val="center"/>
                </w:tcPr>
                <w:p>
                  <w:pPr>
                    <w:snapToGrid w:val="0"/>
                    <w:jc w:val="center"/>
                    <w:rPr>
                      <w:spacing w:val="4"/>
                      <w:szCs w:val="21"/>
                    </w:rPr>
                  </w:pPr>
                  <w:r>
                    <w:rPr>
                      <w:iCs/>
                      <w:szCs w:val="21"/>
                    </w:rPr>
                    <w:t>采取措施后噪声级</w:t>
                  </w:r>
                  <w:r>
                    <w:rPr>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7" w:type="dxa"/>
                  <w:vAlign w:val="center"/>
                </w:tcPr>
                <w:p>
                  <w:pPr>
                    <w:jc w:val="center"/>
                    <w:rPr>
                      <w:spacing w:val="4"/>
                      <w:szCs w:val="21"/>
                    </w:rPr>
                  </w:pPr>
                  <w:r>
                    <w:rPr>
                      <w:rFonts w:hint="eastAsia"/>
                      <w:spacing w:val="4"/>
                      <w:szCs w:val="21"/>
                    </w:rPr>
                    <w:t>加油机油泵</w:t>
                  </w:r>
                </w:p>
              </w:tc>
              <w:tc>
                <w:tcPr>
                  <w:tcW w:w="1103" w:type="dxa"/>
                  <w:vAlign w:val="center"/>
                </w:tcPr>
                <w:p>
                  <w:pPr>
                    <w:jc w:val="center"/>
                    <w:rPr>
                      <w:spacing w:val="4"/>
                      <w:szCs w:val="21"/>
                    </w:rPr>
                  </w:pPr>
                  <w:r>
                    <w:rPr>
                      <w:spacing w:val="4"/>
                      <w:szCs w:val="21"/>
                    </w:rPr>
                    <w:t>80-85</w:t>
                  </w:r>
                </w:p>
              </w:tc>
              <w:tc>
                <w:tcPr>
                  <w:tcW w:w="2730" w:type="dxa"/>
                  <w:vAlign w:val="center"/>
                </w:tcPr>
                <w:p>
                  <w:pPr>
                    <w:snapToGrid w:val="0"/>
                    <w:jc w:val="center"/>
                    <w:rPr>
                      <w:spacing w:val="4"/>
                      <w:szCs w:val="21"/>
                    </w:rPr>
                  </w:pPr>
                  <w:r>
                    <w:rPr>
                      <w:iCs/>
                      <w:szCs w:val="21"/>
                    </w:rPr>
                    <w:t>减振、距离衰减</w:t>
                  </w:r>
                </w:p>
              </w:tc>
              <w:tc>
                <w:tcPr>
                  <w:tcW w:w="2748" w:type="dxa"/>
                  <w:vAlign w:val="center"/>
                </w:tcPr>
                <w:p>
                  <w:pPr>
                    <w:snapToGrid w:val="0"/>
                    <w:jc w:val="center"/>
                    <w:rPr>
                      <w:spacing w:val="4"/>
                      <w:szCs w:val="21"/>
                    </w:rPr>
                  </w:pPr>
                  <w:r>
                    <w:rPr>
                      <w:iCs/>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7" w:type="dxa"/>
                  <w:vAlign w:val="center"/>
                </w:tcPr>
                <w:p>
                  <w:pPr>
                    <w:jc w:val="center"/>
                    <w:rPr>
                      <w:spacing w:val="4"/>
                      <w:szCs w:val="21"/>
                    </w:rPr>
                  </w:pPr>
                  <w:r>
                    <w:rPr>
                      <w:rFonts w:hint="eastAsia"/>
                      <w:szCs w:val="21"/>
                    </w:rPr>
                    <w:t>加油车辆</w:t>
                  </w:r>
                </w:p>
              </w:tc>
              <w:tc>
                <w:tcPr>
                  <w:tcW w:w="1103" w:type="dxa"/>
                  <w:vAlign w:val="center"/>
                </w:tcPr>
                <w:p>
                  <w:pPr>
                    <w:jc w:val="center"/>
                    <w:rPr>
                      <w:spacing w:val="4"/>
                      <w:szCs w:val="21"/>
                    </w:rPr>
                  </w:pPr>
                  <w:r>
                    <w:rPr>
                      <w:spacing w:val="4"/>
                      <w:szCs w:val="21"/>
                    </w:rPr>
                    <w:t>65-80</w:t>
                  </w:r>
                </w:p>
              </w:tc>
              <w:tc>
                <w:tcPr>
                  <w:tcW w:w="2730" w:type="dxa"/>
                  <w:vAlign w:val="center"/>
                </w:tcPr>
                <w:p>
                  <w:pPr>
                    <w:snapToGrid w:val="0"/>
                    <w:jc w:val="center"/>
                    <w:rPr>
                      <w:spacing w:val="4"/>
                      <w:szCs w:val="21"/>
                    </w:rPr>
                  </w:pPr>
                  <w:r>
                    <w:rPr>
                      <w:iCs/>
                      <w:szCs w:val="21"/>
                    </w:rPr>
                    <w:t>减速、禁止鸣笛、加强管理</w:t>
                  </w:r>
                </w:p>
              </w:tc>
              <w:tc>
                <w:tcPr>
                  <w:tcW w:w="2748" w:type="dxa"/>
                  <w:vAlign w:val="center"/>
                </w:tcPr>
                <w:p>
                  <w:pPr>
                    <w:snapToGrid w:val="0"/>
                    <w:jc w:val="center"/>
                    <w:rPr>
                      <w:spacing w:val="4"/>
                      <w:szCs w:val="21"/>
                    </w:rPr>
                  </w:pPr>
                  <w:r>
                    <w:rPr>
                      <w:i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7" w:type="dxa"/>
                  <w:vAlign w:val="center"/>
                </w:tcPr>
                <w:p>
                  <w:pPr>
                    <w:adjustRightInd w:val="0"/>
                    <w:snapToGrid w:val="0"/>
                    <w:ind w:firstLine="210" w:firstLineChars="100"/>
                    <w:rPr>
                      <w:szCs w:val="21"/>
                    </w:rPr>
                  </w:pPr>
                  <w:r>
                    <w:rPr>
                      <w:rFonts w:hint="eastAsia"/>
                      <w:szCs w:val="21"/>
                    </w:rPr>
                    <w:t>备用柴油发电机</w:t>
                  </w:r>
                </w:p>
              </w:tc>
              <w:tc>
                <w:tcPr>
                  <w:tcW w:w="1103" w:type="dxa"/>
                  <w:vAlign w:val="center"/>
                </w:tcPr>
                <w:p>
                  <w:pPr>
                    <w:adjustRightInd w:val="0"/>
                    <w:snapToGrid w:val="0"/>
                    <w:jc w:val="center"/>
                    <w:rPr>
                      <w:szCs w:val="21"/>
                    </w:rPr>
                  </w:pPr>
                  <w:r>
                    <w:rPr>
                      <w:rFonts w:hint="eastAsia"/>
                      <w:szCs w:val="21"/>
                    </w:rPr>
                    <w:t>75-90</w:t>
                  </w:r>
                </w:p>
              </w:tc>
              <w:tc>
                <w:tcPr>
                  <w:tcW w:w="2730" w:type="dxa"/>
                  <w:vAlign w:val="center"/>
                </w:tcPr>
                <w:p>
                  <w:pPr>
                    <w:snapToGrid w:val="0"/>
                    <w:jc w:val="center"/>
                    <w:rPr>
                      <w:szCs w:val="21"/>
                    </w:rPr>
                  </w:pPr>
                  <w:r>
                    <w:rPr>
                      <w:iCs/>
                      <w:szCs w:val="21"/>
                    </w:rPr>
                    <w:t>隔声、减振、距离衰减</w:t>
                  </w:r>
                </w:p>
              </w:tc>
              <w:tc>
                <w:tcPr>
                  <w:tcW w:w="2748" w:type="dxa"/>
                  <w:vAlign w:val="center"/>
                </w:tcPr>
                <w:p>
                  <w:pPr>
                    <w:snapToGrid w:val="0"/>
                    <w:jc w:val="center"/>
                    <w:rPr>
                      <w:szCs w:val="21"/>
                    </w:rPr>
                  </w:pPr>
                  <w:r>
                    <w:rPr>
                      <w:iCs/>
                      <w:szCs w:val="21"/>
                    </w:rPr>
                    <w:t>80</w:t>
                  </w:r>
                </w:p>
              </w:tc>
            </w:tr>
          </w:tbl>
          <w:p>
            <w:pPr>
              <w:pStyle w:val="7"/>
              <w:ind w:left="862" w:hanging="862"/>
            </w:pPr>
            <w:bookmarkStart w:id="20" w:name="_Toc206845466"/>
            <w:bookmarkStart w:id="21" w:name="_Toc232712741"/>
            <w:r>
              <w:t>固体废弃物</w:t>
            </w:r>
            <w:bookmarkEnd w:id="20"/>
            <w:bookmarkEnd w:id="21"/>
          </w:p>
          <w:p>
            <w:pPr>
              <w:adjustRightInd w:val="0"/>
              <w:snapToGrid w:val="0"/>
              <w:spacing w:line="360" w:lineRule="auto"/>
              <w:ind w:firstLine="496" w:firstLineChars="200"/>
              <w:rPr>
                <w:spacing w:val="4"/>
                <w:sz w:val="24"/>
              </w:rPr>
            </w:pPr>
            <w:r>
              <w:rPr>
                <w:rFonts w:hint="eastAsia"/>
                <w:spacing w:val="4"/>
                <w:sz w:val="24"/>
              </w:rPr>
              <w:t>本项目在运营过程中，产生的固体废物主要为工作人员产生的少量生活垃圾、油罐废油渣和废油以及隔油池油泥。</w:t>
            </w:r>
          </w:p>
          <w:p>
            <w:pPr>
              <w:adjustRightInd w:val="0"/>
              <w:snapToGrid w:val="0"/>
              <w:spacing w:line="360" w:lineRule="auto"/>
              <w:ind w:firstLine="496" w:firstLineChars="200"/>
              <w:rPr>
                <w:spacing w:val="4"/>
                <w:sz w:val="24"/>
              </w:rPr>
            </w:pPr>
            <w:r>
              <w:rPr>
                <w:rFonts w:hint="eastAsia"/>
                <w:spacing w:val="4"/>
                <w:sz w:val="24"/>
              </w:rPr>
              <w:t>（</w:t>
            </w:r>
            <w:r>
              <w:rPr>
                <w:spacing w:val="4"/>
                <w:sz w:val="24"/>
              </w:rPr>
              <w:t>1</w:t>
            </w:r>
            <w:r>
              <w:rPr>
                <w:rFonts w:hint="eastAsia"/>
                <w:spacing w:val="4"/>
                <w:sz w:val="24"/>
              </w:rPr>
              <w:t>）生活垃圾</w:t>
            </w:r>
          </w:p>
          <w:p>
            <w:pPr>
              <w:adjustRightInd w:val="0"/>
              <w:snapToGrid w:val="0"/>
              <w:spacing w:line="360" w:lineRule="auto"/>
              <w:ind w:firstLine="496" w:firstLineChars="200"/>
              <w:rPr>
                <w:spacing w:val="4"/>
                <w:sz w:val="24"/>
              </w:rPr>
            </w:pPr>
            <w:r>
              <w:rPr>
                <w:rFonts w:hint="eastAsia"/>
                <w:spacing w:val="4"/>
                <w:sz w:val="24"/>
              </w:rPr>
              <w:t>本项目有员工4人，按工作人员人均产生生活垃圾量为0.5</w:t>
            </w:r>
            <w:r>
              <w:rPr>
                <w:spacing w:val="4"/>
                <w:sz w:val="24"/>
              </w:rPr>
              <w:t>kg/d</w:t>
            </w:r>
            <w:r>
              <w:rPr>
                <w:rFonts w:hint="eastAsia"/>
                <w:spacing w:val="4"/>
                <w:sz w:val="24"/>
              </w:rPr>
              <w:t>·人，工作人员产生生活垃圾量为0.002</w:t>
            </w:r>
            <w:r>
              <w:rPr>
                <w:spacing w:val="4"/>
                <w:sz w:val="24"/>
              </w:rPr>
              <w:t>t/d</w:t>
            </w:r>
            <w:r>
              <w:rPr>
                <w:rFonts w:hint="eastAsia"/>
                <w:spacing w:val="4"/>
                <w:sz w:val="24"/>
              </w:rPr>
              <w:t>（0.73t</w:t>
            </w:r>
            <w:r>
              <w:rPr>
                <w:spacing w:val="4"/>
                <w:sz w:val="24"/>
              </w:rPr>
              <w:t>/a</w:t>
            </w:r>
            <w:r>
              <w:rPr>
                <w:rFonts w:hint="eastAsia"/>
                <w:spacing w:val="4"/>
                <w:sz w:val="24"/>
              </w:rPr>
              <w:t>）。生活垃圾统一收集到站内垃圾收集点，定期由环卫部门统一清运。</w:t>
            </w:r>
          </w:p>
          <w:p>
            <w:pPr>
              <w:adjustRightInd w:val="0"/>
              <w:snapToGrid w:val="0"/>
              <w:spacing w:line="360" w:lineRule="auto"/>
              <w:ind w:firstLine="496" w:firstLineChars="200"/>
              <w:rPr>
                <w:spacing w:val="4"/>
                <w:sz w:val="24"/>
              </w:rPr>
            </w:pPr>
            <w:r>
              <w:rPr>
                <w:rFonts w:hint="eastAsia"/>
                <w:spacing w:val="4"/>
                <w:sz w:val="24"/>
              </w:rPr>
              <w:t>（</w:t>
            </w:r>
            <w:r>
              <w:rPr>
                <w:spacing w:val="4"/>
                <w:sz w:val="24"/>
              </w:rPr>
              <w:t>2</w:t>
            </w:r>
            <w:r>
              <w:rPr>
                <w:rFonts w:hint="eastAsia"/>
                <w:spacing w:val="4"/>
                <w:sz w:val="24"/>
              </w:rPr>
              <w:t>）油罐废油渣和废油</w:t>
            </w:r>
          </w:p>
          <w:p>
            <w:pPr>
              <w:adjustRightInd w:val="0"/>
              <w:snapToGrid w:val="0"/>
              <w:spacing w:line="360" w:lineRule="auto"/>
              <w:ind w:firstLine="496" w:firstLineChars="200"/>
              <w:rPr>
                <w:spacing w:val="4"/>
                <w:sz w:val="24"/>
              </w:rPr>
            </w:pPr>
            <w:r>
              <w:rPr>
                <w:rFonts w:hint="eastAsia"/>
                <w:spacing w:val="4"/>
                <w:sz w:val="24"/>
              </w:rPr>
              <w:t>加油站在下述情况下要进行油罐清洗：新建油罐装油之前；换装不同种类的油料、原储油料对新换装的油料有影响时；需要对油罐进行明火烧焊或清除油漆时；在装油时间较长，罐内较脏时要清洗。加油站每隔</w:t>
            </w:r>
            <w:r>
              <w:rPr>
                <w:spacing w:val="4"/>
                <w:sz w:val="24"/>
              </w:rPr>
              <w:t>3</w:t>
            </w:r>
            <w:r>
              <w:rPr>
                <w:rFonts w:hint="eastAsia"/>
                <w:spacing w:val="4"/>
                <w:sz w:val="24"/>
              </w:rPr>
              <w:t>～</w:t>
            </w:r>
            <w:r>
              <w:rPr>
                <w:spacing w:val="4"/>
                <w:sz w:val="24"/>
              </w:rPr>
              <w:t>5</w:t>
            </w:r>
            <w:r>
              <w:rPr>
                <w:rFonts w:hint="eastAsia"/>
                <w:spacing w:val="4"/>
                <w:sz w:val="24"/>
              </w:rPr>
              <w:t>年，应对油罐进行一次清洗，油罐区清洗油罐采用干洗法。油罐底渣和废油产生量最约</w:t>
            </w:r>
            <w:r>
              <w:rPr>
                <w:spacing w:val="4"/>
                <w:sz w:val="24"/>
              </w:rPr>
              <w:t>0.75t/</w:t>
            </w:r>
            <w:r>
              <w:rPr>
                <w:rFonts w:hint="eastAsia"/>
                <w:spacing w:val="4"/>
                <w:sz w:val="24"/>
              </w:rPr>
              <w:t>次，油罐底渣和废油属于危险废物，危险废物类别为HW08。本站区于2018年更换SF双层罐，目前暂未对油罐进行过清洗。本站区暂未建设危废暂存间，目前暂未与有资质单位签订危废处置协议。</w:t>
            </w:r>
          </w:p>
          <w:p>
            <w:pPr>
              <w:adjustRightInd w:val="0"/>
              <w:snapToGrid w:val="0"/>
              <w:spacing w:line="360" w:lineRule="auto"/>
              <w:ind w:firstLine="496" w:firstLineChars="200"/>
              <w:rPr>
                <w:spacing w:val="4"/>
                <w:sz w:val="24"/>
              </w:rPr>
            </w:pPr>
            <w:r>
              <w:rPr>
                <w:rFonts w:hint="eastAsia"/>
                <w:spacing w:val="4"/>
                <w:sz w:val="24"/>
              </w:rPr>
              <w:t>（3）隔油池油泥</w:t>
            </w:r>
          </w:p>
          <w:p>
            <w:pPr>
              <w:adjustRightInd w:val="0"/>
              <w:snapToGrid w:val="0"/>
              <w:spacing w:line="360" w:lineRule="auto"/>
              <w:ind w:firstLine="496" w:firstLineChars="200"/>
              <w:rPr>
                <w:spacing w:val="4"/>
                <w:sz w:val="24"/>
              </w:rPr>
            </w:pPr>
            <w:r>
              <w:rPr>
                <w:rFonts w:hint="eastAsia"/>
                <w:spacing w:val="4"/>
                <w:sz w:val="24"/>
              </w:rPr>
              <w:t>站区的隔油池会产生一定的油泥，危险废物类别为HW08，产生量约0.8kg/d（292kg/a），需暂存后委托有资质单位处理。</w:t>
            </w:r>
          </w:p>
          <w:p>
            <w:pPr>
              <w:adjustRightInd w:val="0"/>
              <w:snapToGrid w:val="0"/>
              <w:spacing w:line="360" w:lineRule="auto"/>
              <w:ind w:firstLine="496" w:firstLineChars="200"/>
              <w:rPr>
                <w:spacing w:val="4"/>
                <w:sz w:val="24"/>
              </w:rPr>
            </w:pPr>
            <w:r>
              <w:rPr>
                <w:rFonts w:hint="eastAsia"/>
                <w:spacing w:val="4"/>
                <w:sz w:val="24"/>
              </w:rPr>
              <w:t>（4）含油抹布和手套：职工产生的含油抹布和手套属危险固废豁免名单之内，产生量约10kg/a（即0.01t/a）。根据有关规定，非生活源产生的含油抹布及手套仍按照危险废物进行管理和处置。建设单位需专门收集含油抹布和手套，交给有资质的单位处置。</w:t>
            </w:r>
          </w:p>
          <w:p>
            <w:pPr>
              <w:adjustRightInd w:val="0"/>
              <w:snapToGrid w:val="0"/>
              <w:spacing w:line="360" w:lineRule="auto"/>
              <w:ind w:firstLine="496" w:firstLineChars="200"/>
              <w:rPr>
                <w:spacing w:val="4"/>
                <w:sz w:val="24"/>
              </w:rPr>
            </w:pPr>
            <w:r>
              <w:rPr>
                <w:rFonts w:hint="eastAsia"/>
                <w:spacing w:val="4"/>
                <w:sz w:val="24"/>
              </w:rPr>
              <w:t>本环评建议加油站</w:t>
            </w:r>
            <w:r>
              <w:rPr>
                <w:rFonts w:hint="eastAsia"/>
                <w:spacing w:val="4"/>
                <w:sz w:val="24"/>
                <w:lang w:eastAsia="zh-CN"/>
              </w:rPr>
              <w:t>在辅助用房内</w:t>
            </w:r>
            <w:r>
              <w:rPr>
                <w:rFonts w:hint="eastAsia"/>
                <w:spacing w:val="4"/>
                <w:sz w:val="24"/>
              </w:rPr>
              <w:t>增设1处危险固废暂存间</w:t>
            </w:r>
            <w:r>
              <w:rPr>
                <w:rFonts w:hint="eastAsia"/>
                <w:spacing w:val="4"/>
                <w:sz w:val="24"/>
                <w:lang w:eastAsia="zh-CN"/>
              </w:rPr>
              <w:t>（面积为</w:t>
            </w:r>
            <w:r>
              <w:rPr>
                <w:rFonts w:hint="eastAsia"/>
                <w:spacing w:val="4"/>
                <w:sz w:val="24"/>
                <w:lang w:val="en-US" w:eastAsia="zh-CN"/>
              </w:rPr>
              <w:t>5m</w:t>
            </w:r>
            <w:r>
              <w:rPr>
                <w:rFonts w:hint="eastAsia"/>
                <w:spacing w:val="4"/>
                <w:sz w:val="24"/>
                <w:vertAlign w:val="superscript"/>
                <w:lang w:val="en-US" w:eastAsia="zh-CN"/>
              </w:rPr>
              <w:t>2</w:t>
            </w:r>
            <w:r>
              <w:rPr>
                <w:rFonts w:hint="eastAsia"/>
                <w:spacing w:val="4"/>
                <w:sz w:val="24"/>
                <w:lang w:eastAsia="zh-CN"/>
              </w:rPr>
              <w:t>）</w:t>
            </w:r>
            <w:r>
              <w:rPr>
                <w:rFonts w:hint="eastAsia"/>
                <w:spacing w:val="4"/>
                <w:sz w:val="24"/>
              </w:rPr>
              <w:t>。配备专人进行危废的收集和管理，危废实行分类收集、采用符合标准的容器分类放置。危废暂存间应按规定设置警示标志，储存场地必须做好防渗漏，同时危废储存场地必须符合《危险废物贮存污染控制标准》（GB18597-2001）及其2013年修改清单的各项要求。运营期间产生的危废收集暂存后应委托有资质的资质的单位进行处理。危险废物的运输中应执行《危险废物转移联单管理办法》中有关的规定和要求。</w:t>
            </w:r>
          </w:p>
          <w:p>
            <w:pPr>
              <w:adjustRightInd w:val="0"/>
              <w:snapToGrid w:val="0"/>
              <w:jc w:val="center"/>
              <w:rPr>
                <w:rFonts w:hAnsi="黑体" w:eastAsia="黑体"/>
                <w:spacing w:val="4"/>
                <w:sz w:val="24"/>
              </w:rPr>
            </w:pPr>
            <w:r>
              <w:rPr>
                <w:rFonts w:hAnsi="黑体" w:eastAsia="黑体"/>
                <w:spacing w:val="4"/>
                <w:sz w:val="24"/>
              </w:rPr>
              <w:t>表</w:t>
            </w:r>
            <w:r>
              <w:rPr>
                <w:rFonts w:eastAsia="黑体"/>
                <w:spacing w:val="4"/>
                <w:sz w:val="24"/>
              </w:rPr>
              <w:t>5.2-</w:t>
            </w:r>
            <w:r>
              <w:rPr>
                <w:rFonts w:hint="eastAsia" w:eastAsia="黑体"/>
                <w:spacing w:val="4"/>
                <w:sz w:val="24"/>
              </w:rPr>
              <w:t>6</w:t>
            </w:r>
            <w:r>
              <w:rPr>
                <w:rFonts w:eastAsia="黑体"/>
                <w:spacing w:val="4"/>
                <w:sz w:val="24"/>
              </w:rPr>
              <w:t xml:space="preserve">   </w:t>
            </w:r>
            <w:r>
              <w:rPr>
                <w:rFonts w:hAnsi="黑体" w:eastAsia="黑体"/>
                <w:spacing w:val="4"/>
                <w:sz w:val="24"/>
              </w:rPr>
              <w:t>本项目</w:t>
            </w:r>
            <w:r>
              <w:rPr>
                <w:rFonts w:hint="eastAsia" w:hAnsi="黑体" w:eastAsia="黑体"/>
                <w:spacing w:val="4"/>
                <w:sz w:val="24"/>
              </w:rPr>
              <w:t>固体</w:t>
            </w:r>
            <w:r>
              <w:rPr>
                <w:rFonts w:hAnsi="黑体" w:eastAsia="黑体"/>
                <w:spacing w:val="4"/>
                <w:sz w:val="24"/>
              </w:rPr>
              <w:t>废物一览表</w:t>
            </w:r>
          </w:p>
          <w:tbl>
            <w:tblPr>
              <w:tblStyle w:val="2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722"/>
              <w:gridCol w:w="1169"/>
              <w:gridCol w:w="948"/>
              <w:gridCol w:w="1057"/>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7" w:type="dxa"/>
                  <w:vAlign w:val="center"/>
                </w:tcPr>
                <w:p>
                  <w:pPr>
                    <w:adjustRightInd w:val="0"/>
                    <w:snapToGrid w:val="0"/>
                    <w:jc w:val="center"/>
                  </w:pPr>
                  <w:r>
                    <w:rPr>
                      <w:rFonts w:hint="eastAsia" w:hAnsi="宋体"/>
                    </w:rPr>
                    <w:t>类别</w:t>
                  </w:r>
                </w:p>
              </w:tc>
              <w:tc>
                <w:tcPr>
                  <w:tcW w:w="1722" w:type="dxa"/>
                  <w:vAlign w:val="center"/>
                </w:tcPr>
                <w:p>
                  <w:pPr>
                    <w:adjustRightInd w:val="0"/>
                    <w:snapToGrid w:val="0"/>
                    <w:jc w:val="center"/>
                  </w:pPr>
                  <w:r>
                    <w:rPr>
                      <w:rFonts w:hint="eastAsia"/>
                    </w:rPr>
                    <w:t>废物名称</w:t>
                  </w:r>
                </w:p>
              </w:tc>
              <w:tc>
                <w:tcPr>
                  <w:tcW w:w="1169" w:type="dxa"/>
                  <w:vAlign w:val="center"/>
                </w:tcPr>
                <w:p>
                  <w:pPr>
                    <w:adjustRightInd w:val="0"/>
                    <w:snapToGrid w:val="0"/>
                    <w:jc w:val="center"/>
                  </w:pPr>
                  <w:r>
                    <w:rPr>
                      <w:rFonts w:hint="eastAsia"/>
                    </w:rPr>
                    <w:t>危险特性</w:t>
                  </w:r>
                </w:p>
              </w:tc>
              <w:tc>
                <w:tcPr>
                  <w:tcW w:w="948" w:type="dxa"/>
                  <w:vAlign w:val="center"/>
                </w:tcPr>
                <w:p>
                  <w:pPr>
                    <w:adjustRightInd w:val="0"/>
                    <w:snapToGrid w:val="0"/>
                    <w:jc w:val="center"/>
                  </w:pPr>
                  <w:r>
                    <w:rPr>
                      <w:rFonts w:hint="eastAsia"/>
                    </w:rPr>
                    <w:t>危险废物类别</w:t>
                  </w:r>
                </w:p>
              </w:tc>
              <w:tc>
                <w:tcPr>
                  <w:tcW w:w="1057" w:type="dxa"/>
                  <w:vAlign w:val="center"/>
                </w:tcPr>
                <w:p>
                  <w:pPr>
                    <w:adjustRightInd w:val="0"/>
                    <w:snapToGrid w:val="0"/>
                    <w:jc w:val="center"/>
                  </w:pPr>
                  <w:r>
                    <w:rPr>
                      <w:rFonts w:hint="eastAsia"/>
                    </w:rPr>
                    <w:t>产生量</w:t>
                  </w:r>
                </w:p>
              </w:tc>
              <w:tc>
                <w:tcPr>
                  <w:tcW w:w="2770" w:type="dxa"/>
                  <w:vAlign w:val="center"/>
                </w:tcPr>
                <w:p>
                  <w:pPr>
                    <w:adjustRightInd w:val="0"/>
                    <w:snapToGrid w:val="0"/>
                    <w:jc w:val="center"/>
                  </w:pPr>
                  <w:r>
                    <w:rPr>
                      <w:rFonts w:hint="eastAsia"/>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7" w:type="dxa"/>
                  <w:vMerge w:val="restart"/>
                  <w:vAlign w:val="center"/>
                </w:tcPr>
                <w:p>
                  <w:pPr>
                    <w:adjustRightInd w:val="0"/>
                    <w:snapToGrid w:val="0"/>
                    <w:jc w:val="center"/>
                  </w:pPr>
                  <w:r>
                    <w:rPr>
                      <w:rFonts w:hint="eastAsia"/>
                    </w:rPr>
                    <w:t>一般固体废物</w:t>
                  </w:r>
                </w:p>
              </w:tc>
              <w:tc>
                <w:tcPr>
                  <w:tcW w:w="1722" w:type="dxa"/>
                  <w:vAlign w:val="center"/>
                </w:tcPr>
                <w:p>
                  <w:pPr>
                    <w:adjustRightInd w:val="0"/>
                    <w:snapToGrid w:val="0"/>
                    <w:jc w:val="center"/>
                  </w:pPr>
                  <w:r>
                    <w:rPr>
                      <w:rFonts w:hint="eastAsia"/>
                    </w:rPr>
                    <w:t>生活垃圾</w:t>
                  </w:r>
                </w:p>
              </w:tc>
              <w:tc>
                <w:tcPr>
                  <w:tcW w:w="1169" w:type="dxa"/>
                  <w:vAlign w:val="center"/>
                </w:tcPr>
                <w:p>
                  <w:pPr>
                    <w:adjustRightInd w:val="0"/>
                    <w:snapToGrid w:val="0"/>
                    <w:jc w:val="center"/>
                  </w:pPr>
                  <w:r>
                    <w:rPr>
                      <w:rFonts w:hint="eastAsia"/>
                    </w:rPr>
                    <w:t>/</w:t>
                  </w:r>
                </w:p>
              </w:tc>
              <w:tc>
                <w:tcPr>
                  <w:tcW w:w="948" w:type="dxa"/>
                  <w:vAlign w:val="center"/>
                </w:tcPr>
                <w:p>
                  <w:pPr>
                    <w:adjustRightInd w:val="0"/>
                    <w:snapToGrid w:val="0"/>
                    <w:jc w:val="center"/>
                  </w:pPr>
                  <w:r>
                    <w:rPr>
                      <w:rFonts w:hint="eastAsia"/>
                    </w:rPr>
                    <w:t>/</w:t>
                  </w:r>
                </w:p>
              </w:tc>
              <w:tc>
                <w:tcPr>
                  <w:tcW w:w="1057" w:type="dxa"/>
                  <w:vAlign w:val="center"/>
                </w:tcPr>
                <w:p>
                  <w:pPr>
                    <w:adjustRightInd w:val="0"/>
                    <w:snapToGrid w:val="0"/>
                    <w:jc w:val="center"/>
                  </w:pPr>
                  <w:r>
                    <w:rPr>
                      <w:rFonts w:hint="eastAsia"/>
                    </w:rPr>
                    <w:t>0.73t/a</w:t>
                  </w:r>
                </w:p>
              </w:tc>
              <w:tc>
                <w:tcPr>
                  <w:tcW w:w="2770" w:type="dxa"/>
                  <w:vAlign w:val="center"/>
                </w:tcPr>
                <w:p>
                  <w:pPr>
                    <w:adjustRightInd w:val="0"/>
                    <w:snapToGrid w:val="0"/>
                    <w:jc w:val="center"/>
                  </w:pPr>
                  <w:r>
                    <w:rPr>
                      <w:rFonts w:hint="eastAsia"/>
                    </w:rPr>
                    <w:t>生活垃圾统一收集到站内垃圾收集点，定期运至垃圾填埋场处理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7" w:type="dxa"/>
                  <w:vMerge w:val="continue"/>
                  <w:vAlign w:val="center"/>
                </w:tcPr>
                <w:p>
                  <w:pPr>
                    <w:adjustRightInd w:val="0"/>
                    <w:snapToGrid w:val="0"/>
                    <w:jc w:val="center"/>
                  </w:pPr>
                </w:p>
              </w:tc>
              <w:tc>
                <w:tcPr>
                  <w:tcW w:w="1722" w:type="dxa"/>
                  <w:vAlign w:val="center"/>
                </w:tcPr>
                <w:p>
                  <w:pPr>
                    <w:adjustRightInd w:val="0"/>
                    <w:snapToGrid w:val="0"/>
                    <w:jc w:val="center"/>
                  </w:pPr>
                  <w:r>
                    <w:rPr>
                      <w:rFonts w:hint="eastAsia" w:cs="宋体"/>
                    </w:rPr>
                    <w:t>含油抹布、手套</w:t>
                  </w:r>
                </w:p>
              </w:tc>
              <w:tc>
                <w:tcPr>
                  <w:tcW w:w="1169" w:type="dxa"/>
                  <w:vAlign w:val="center"/>
                </w:tcPr>
                <w:p>
                  <w:pPr>
                    <w:adjustRightInd w:val="0"/>
                    <w:snapToGrid w:val="0"/>
                    <w:jc w:val="center"/>
                  </w:pPr>
                  <w:r>
                    <w:rPr>
                      <w:rFonts w:hint="eastAsia"/>
                    </w:rPr>
                    <w:t>/</w:t>
                  </w:r>
                </w:p>
              </w:tc>
              <w:tc>
                <w:tcPr>
                  <w:tcW w:w="948" w:type="dxa"/>
                  <w:vAlign w:val="center"/>
                </w:tcPr>
                <w:p>
                  <w:pPr>
                    <w:adjustRightInd w:val="0"/>
                    <w:snapToGrid w:val="0"/>
                    <w:jc w:val="center"/>
                  </w:pPr>
                  <w:r>
                    <w:rPr>
                      <w:rFonts w:hint="eastAsia"/>
                    </w:rPr>
                    <w:t>/</w:t>
                  </w:r>
                </w:p>
              </w:tc>
              <w:tc>
                <w:tcPr>
                  <w:tcW w:w="1057" w:type="dxa"/>
                  <w:vAlign w:val="center"/>
                </w:tcPr>
                <w:p>
                  <w:pPr>
                    <w:adjustRightInd w:val="0"/>
                    <w:snapToGrid w:val="0"/>
                    <w:jc w:val="center"/>
                  </w:pPr>
                  <w:r>
                    <w:rPr>
                      <w:rFonts w:hint="eastAsia"/>
                    </w:rPr>
                    <w:t>0.01t/a</w:t>
                  </w:r>
                </w:p>
              </w:tc>
              <w:tc>
                <w:tcPr>
                  <w:tcW w:w="2770" w:type="dxa"/>
                  <w:vAlign w:val="center"/>
                </w:tcPr>
                <w:p>
                  <w:pPr>
                    <w:adjustRightInd w:val="0"/>
                    <w:snapToGrid w:val="0"/>
                    <w:jc w:val="center"/>
                  </w:pPr>
                  <w:r>
                    <w:rPr>
                      <w:rFonts w:hint="eastAsia" w:cs="宋体"/>
                    </w:rPr>
                    <w:t>收集交给有资质的单位处置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7" w:type="dxa"/>
                  <w:vMerge w:val="restart"/>
                  <w:vAlign w:val="center"/>
                </w:tcPr>
                <w:p>
                  <w:pPr>
                    <w:adjustRightInd w:val="0"/>
                    <w:snapToGrid w:val="0"/>
                    <w:jc w:val="center"/>
                  </w:pPr>
                  <w:r>
                    <w:rPr>
                      <w:rFonts w:hint="eastAsia"/>
                    </w:rPr>
                    <w:t>危险固体废物</w:t>
                  </w:r>
                </w:p>
              </w:tc>
              <w:tc>
                <w:tcPr>
                  <w:tcW w:w="1722" w:type="dxa"/>
                  <w:vAlign w:val="center"/>
                </w:tcPr>
                <w:p>
                  <w:pPr>
                    <w:adjustRightInd w:val="0"/>
                    <w:snapToGrid w:val="0"/>
                    <w:jc w:val="center"/>
                  </w:pPr>
                  <w:r>
                    <w:rPr>
                      <w:rFonts w:hint="eastAsia"/>
                    </w:rPr>
                    <w:t>油罐废油渣</w:t>
                  </w:r>
                </w:p>
              </w:tc>
              <w:tc>
                <w:tcPr>
                  <w:tcW w:w="1169" w:type="dxa"/>
                  <w:vAlign w:val="center"/>
                </w:tcPr>
                <w:p>
                  <w:pPr>
                    <w:adjustRightInd w:val="0"/>
                    <w:snapToGrid w:val="0"/>
                    <w:jc w:val="center"/>
                  </w:pPr>
                  <w:r>
                    <w:rPr>
                      <w:rFonts w:hint="eastAsia"/>
                    </w:rPr>
                    <w:t>易燃</w:t>
                  </w:r>
                </w:p>
              </w:tc>
              <w:tc>
                <w:tcPr>
                  <w:tcW w:w="948" w:type="dxa"/>
                  <w:vAlign w:val="center"/>
                </w:tcPr>
                <w:p>
                  <w:pPr>
                    <w:adjustRightInd w:val="0"/>
                    <w:snapToGrid w:val="0"/>
                    <w:jc w:val="center"/>
                  </w:pPr>
                  <w:r>
                    <w:rPr>
                      <w:rFonts w:hint="eastAsia"/>
                    </w:rPr>
                    <w:t>HW08</w:t>
                  </w:r>
                </w:p>
              </w:tc>
              <w:tc>
                <w:tcPr>
                  <w:tcW w:w="1057" w:type="dxa"/>
                  <w:vAlign w:val="center"/>
                </w:tcPr>
                <w:p>
                  <w:pPr>
                    <w:adjustRightInd w:val="0"/>
                    <w:snapToGrid w:val="0"/>
                    <w:jc w:val="center"/>
                  </w:pPr>
                  <w:r>
                    <w:t>0.75t/</w:t>
                  </w:r>
                  <w:r>
                    <w:rPr>
                      <w:rFonts w:hint="eastAsia"/>
                    </w:rPr>
                    <w:t>次</w:t>
                  </w:r>
                </w:p>
              </w:tc>
              <w:tc>
                <w:tcPr>
                  <w:tcW w:w="2770" w:type="dxa"/>
                  <w:vAlign w:val="center"/>
                </w:tcPr>
                <w:p>
                  <w:pPr>
                    <w:adjustRightInd w:val="0"/>
                    <w:snapToGrid w:val="0"/>
                    <w:jc w:val="center"/>
                  </w:pPr>
                  <w:r>
                    <w:rPr>
                      <w:spacing w:val="4"/>
                      <w:szCs w:val="21"/>
                    </w:rPr>
                    <w:t>清罐产生的废油渣和</w:t>
                  </w:r>
                  <w:r>
                    <w:rPr>
                      <w:rFonts w:hint="eastAsia"/>
                      <w:spacing w:val="4"/>
                      <w:szCs w:val="21"/>
                    </w:rPr>
                    <w:t>废油</w:t>
                  </w:r>
                  <w:r>
                    <w:rPr>
                      <w:spacing w:val="4"/>
                      <w:szCs w:val="21"/>
                    </w:rPr>
                    <w:t>由</w:t>
                  </w:r>
                  <w:r>
                    <w:rPr>
                      <w:rFonts w:hint="eastAsia"/>
                      <w:spacing w:val="4"/>
                      <w:szCs w:val="21"/>
                    </w:rPr>
                    <w:t>加油站</w:t>
                  </w:r>
                  <w:r>
                    <w:rPr>
                      <w:spacing w:val="4"/>
                      <w:szCs w:val="21"/>
                    </w:rPr>
                    <w:t>负责外委有资质单位进行处置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7" w:type="dxa"/>
                  <w:vMerge w:val="continue"/>
                  <w:vAlign w:val="center"/>
                </w:tcPr>
                <w:p>
                  <w:pPr>
                    <w:adjustRightInd w:val="0"/>
                    <w:snapToGrid w:val="0"/>
                    <w:jc w:val="center"/>
                  </w:pPr>
                </w:p>
              </w:tc>
              <w:tc>
                <w:tcPr>
                  <w:tcW w:w="1722" w:type="dxa"/>
                  <w:vAlign w:val="center"/>
                </w:tcPr>
                <w:p>
                  <w:pPr>
                    <w:adjustRightInd w:val="0"/>
                    <w:snapToGrid w:val="0"/>
                    <w:jc w:val="center"/>
                  </w:pPr>
                  <w:r>
                    <w:rPr>
                      <w:rFonts w:hint="eastAsia"/>
                    </w:rPr>
                    <w:t>隔油池油泥</w:t>
                  </w:r>
                </w:p>
              </w:tc>
              <w:tc>
                <w:tcPr>
                  <w:tcW w:w="1169" w:type="dxa"/>
                  <w:vAlign w:val="center"/>
                </w:tcPr>
                <w:p>
                  <w:pPr>
                    <w:adjustRightInd w:val="0"/>
                    <w:snapToGrid w:val="0"/>
                    <w:jc w:val="center"/>
                  </w:pPr>
                  <w:r>
                    <w:rPr>
                      <w:rFonts w:hint="eastAsia"/>
                    </w:rPr>
                    <w:t>易燃</w:t>
                  </w:r>
                </w:p>
              </w:tc>
              <w:tc>
                <w:tcPr>
                  <w:tcW w:w="948" w:type="dxa"/>
                  <w:vAlign w:val="center"/>
                </w:tcPr>
                <w:p>
                  <w:pPr>
                    <w:adjustRightInd w:val="0"/>
                    <w:snapToGrid w:val="0"/>
                    <w:jc w:val="center"/>
                  </w:pPr>
                  <w:r>
                    <w:rPr>
                      <w:rFonts w:hint="eastAsia"/>
                    </w:rPr>
                    <w:t>HW08</w:t>
                  </w:r>
                </w:p>
              </w:tc>
              <w:tc>
                <w:tcPr>
                  <w:tcW w:w="1057" w:type="dxa"/>
                  <w:vAlign w:val="center"/>
                </w:tcPr>
                <w:p>
                  <w:pPr>
                    <w:adjustRightInd w:val="0"/>
                    <w:snapToGrid w:val="0"/>
                    <w:jc w:val="center"/>
                  </w:pPr>
                  <w:r>
                    <w:rPr>
                      <w:rFonts w:hint="eastAsia"/>
                    </w:rPr>
                    <w:t>0.29t</w:t>
                  </w:r>
                  <w:r>
                    <w:t>/a</w:t>
                  </w:r>
                </w:p>
              </w:tc>
              <w:tc>
                <w:tcPr>
                  <w:tcW w:w="2770" w:type="dxa"/>
                  <w:vAlign w:val="center"/>
                </w:tcPr>
                <w:p>
                  <w:pPr>
                    <w:adjustRightInd w:val="0"/>
                    <w:snapToGrid w:val="0"/>
                    <w:jc w:val="center"/>
                  </w:pPr>
                  <w:r>
                    <w:rPr>
                      <w:rFonts w:hint="eastAsia"/>
                    </w:rPr>
                    <w:t>暂存后委托有资质单位处理</w:t>
                  </w:r>
                </w:p>
              </w:tc>
            </w:tr>
          </w:tbl>
          <w:p>
            <w:pPr>
              <w:adjustRightInd w:val="0"/>
              <w:snapToGrid w:val="0"/>
              <w:jc w:val="center"/>
              <w:rPr>
                <w:rFonts w:eastAsia="黑体"/>
                <w:u w:val="single"/>
              </w:rPr>
            </w:pPr>
          </w:p>
          <w:p>
            <w:pPr>
              <w:adjustRightInd w:val="0"/>
              <w:snapToGrid w:val="0"/>
              <w:rPr>
                <w:rFonts w:eastAsia="黑体"/>
                <w:u w:val="single"/>
              </w:rPr>
            </w:pPr>
          </w:p>
          <w:p>
            <w:pPr>
              <w:adjustRightInd w:val="0"/>
              <w:snapToGrid w:val="0"/>
              <w:jc w:val="center"/>
              <w:rPr>
                <w:rFonts w:eastAsia="黑体"/>
                <w:u w:val="single"/>
              </w:rPr>
            </w:pPr>
          </w:p>
          <w:p>
            <w:pPr>
              <w:adjustRightInd w:val="0"/>
              <w:snapToGrid w:val="0"/>
              <w:jc w:val="center"/>
              <w:rPr>
                <w:rFonts w:eastAsia="黑体"/>
                <w:u w:val="single"/>
              </w:rPr>
            </w:pPr>
          </w:p>
          <w:p>
            <w:pPr>
              <w:adjustRightInd w:val="0"/>
              <w:snapToGrid w:val="0"/>
              <w:rPr>
                <w:rFonts w:eastAsia="黑体"/>
                <w:u w:val="single"/>
              </w:rPr>
            </w:pPr>
          </w:p>
        </w:tc>
      </w:tr>
    </w:tbl>
    <w:p>
      <w:pPr>
        <w:pStyle w:val="3"/>
        <w:sectPr>
          <w:pgSz w:w="11907" w:h="16840"/>
          <w:pgMar w:top="1418" w:right="1418" w:bottom="1418" w:left="1701" w:header="851" w:footer="851" w:gutter="0"/>
          <w:cols w:space="720" w:num="1"/>
          <w:docGrid w:type="lines" w:linePitch="285" w:charSpace="0"/>
        </w:sectPr>
      </w:pPr>
    </w:p>
    <w:p>
      <w:pPr>
        <w:pStyle w:val="3"/>
      </w:pPr>
      <w:bookmarkStart w:id="22" w:name="_Toc10335"/>
      <w:r>
        <w:t>项目主要污染物产生及预计排放情况</w:t>
      </w:r>
      <w:bookmarkEnd w:id="22"/>
    </w:p>
    <w:tbl>
      <w:tblPr>
        <w:tblStyle w:val="24"/>
        <w:tblW w:w="93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4"/>
        <w:gridCol w:w="559"/>
        <w:gridCol w:w="1672"/>
        <w:gridCol w:w="1409"/>
        <w:gridCol w:w="2309"/>
        <w:gridCol w:w="25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tcBorders>
              <w:top w:val="single" w:color="auto" w:sz="12" w:space="0"/>
              <w:left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内容</w:t>
            </w:r>
          </w:p>
          <w:p>
            <w:pPr>
              <w:adjustRightInd w:val="0"/>
              <w:snapToGrid w:val="0"/>
              <w:spacing w:line="360" w:lineRule="exact"/>
              <w:jc w:val="center"/>
              <w:rPr>
                <w:spacing w:val="4"/>
                <w:sz w:val="24"/>
                <w:szCs w:val="24"/>
              </w:rPr>
            </w:pPr>
            <w:r>
              <w:rPr>
                <w:spacing w:val="4"/>
                <w:sz w:val="24"/>
                <w:szCs w:val="24"/>
              </w:rPr>
              <w:t>类型</w:t>
            </w:r>
          </w:p>
        </w:tc>
        <w:tc>
          <w:tcPr>
            <w:tcW w:w="2231" w:type="dxa"/>
            <w:gridSpan w:val="2"/>
            <w:tcBorders>
              <w:top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排放源</w:t>
            </w:r>
          </w:p>
        </w:tc>
        <w:tc>
          <w:tcPr>
            <w:tcW w:w="1409" w:type="dxa"/>
            <w:tcBorders>
              <w:top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污染物名称</w:t>
            </w:r>
          </w:p>
        </w:tc>
        <w:tc>
          <w:tcPr>
            <w:tcW w:w="2309" w:type="dxa"/>
            <w:tcBorders>
              <w:top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处理前产生浓度及产生量（单位）</w:t>
            </w:r>
          </w:p>
        </w:tc>
        <w:tc>
          <w:tcPr>
            <w:tcW w:w="2559" w:type="dxa"/>
            <w:tcBorders>
              <w:top w:val="single" w:color="auto" w:sz="12" w:space="0"/>
              <w:right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排放浓度及排放量</w:t>
            </w:r>
          </w:p>
          <w:p>
            <w:pPr>
              <w:adjustRightInd w:val="0"/>
              <w:snapToGrid w:val="0"/>
              <w:spacing w:line="360" w:lineRule="exact"/>
              <w:jc w:val="center"/>
              <w:rPr>
                <w:spacing w:val="4"/>
                <w:sz w:val="24"/>
                <w:szCs w:val="24"/>
              </w:rPr>
            </w:pPr>
            <w:r>
              <w:rPr>
                <w:spacing w:val="4"/>
                <w:sz w:val="24"/>
                <w:szCs w:val="24"/>
              </w:rPr>
              <w:t>（单位）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restart"/>
            <w:tcBorders>
              <w:lef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大气污染物</w:t>
            </w:r>
          </w:p>
        </w:tc>
        <w:tc>
          <w:tcPr>
            <w:tcW w:w="559" w:type="dxa"/>
            <w:vMerge w:val="restart"/>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营运期</w:t>
            </w:r>
          </w:p>
        </w:tc>
        <w:tc>
          <w:tcPr>
            <w:tcW w:w="1672" w:type="dxa"/>
            <w:shd w:val="clear" w:color="auto" w:fill="auto"/>
            <w:vAlign w:val="center"/>
          </w:tcPr>
          <w:p>
            <w:pPr>
              <w:adjustRightInd w:val="0"/>
              <w:snapToGrid w:val="0"/>
              <w:spacing w:line="360" w:lineRule="exact"/>
              <w:jc w:val="center"/>
              <w:rPr>
                <w:spacing w:val="4"/>
                <w:sz w:val="24"/>
                <w:szCs w:val="24"/>
              </w:rPr>
            </w:pPr>
            <w:r>
              <w:rPr>
                <w:spacing w:val="4"/>
                <w:sz w:val="24"/>
                <w:szCs w:val="24"/>
              </w:rPr>
              <w:t>卸油</w:t>
            </w:r>
            <w:r>
              <w:rPr>
                <w:rFonts w:hint="eastAsia"/>
                <w:spacing w:val="4"/>
                <w:sz w:val="24"/>
                <w:szCs w:val="24"/>
              </w:rPr>
              <w:t>、</w:t>
            </w:r>
            <w:r>
              <w:rPr>
                <w:spacing w:val="4"/>
                <w:sz w:val="24"/>
                <w:szCs w:val="24"/>
              </w:rPr>
              <w:t>储油</w:t>
            </w:r>
            <w:r>
              <w:rPr>
                <w:rFonts w:hint="eastAsia"/>
                <w:spacing w:val="4"/>
                <w:sz w:val="24"/>
                <w:szCs w:val="24"/>
              </w:rPr>
              <w:t>、</w:t>
            </w:r>
          </w:p>
          <w:p>
            <w:pPr>
              <w:adjustRightInd w:val="0"/>
              <w:snapToGrid w:val="0"/>
              <w:spacing w:line="360" w:lineRule="exact"/>
              <w:jc w:val="center"/>
              <w:rPr>
                <w:spacing w:val="4"/>
                <w:sz w:val="24"/>
                <w:szCs w:val="24"/>
              </w:rPr>
            </w:pPr>
            <w:r>
              <w:rPr>
                <w:spacing w:val="4"/>
                <w:sz w:val="24"/>
                <w:szCs w:val="24"/>
              </w:rPr>
              <w:t>加油</w:t>
            </w: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非甲烷总烃废气</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0.216t</w:t>
            </w:r>
            <w:r>
              <w:rPr>
                <w:spacing w:val="4"/>
                <w:sz w:val="24"/>
                <w:szCs w:val="24"/>
              </w:rPr>
              <w:t>/a</w:t>
            </w:r>
            <w:r>
              <w:rPr>
                <w:rFonts w:hint="eastAsia"/>
                <w:spacing w:val="4"/>
                <w:sz w:val="24"/>
                <w:szCs w:val="24"/>
              </w:rPr>
              <w:t>，≤4.0mg/m</w:t>
            </w:r>
            <w:r>
              <w:rPr>
                <w:rFonts w:hint="eastAsia"/>
                <w:spacing w:val="4"/>
                <w:sz w:val="24"/>
                <w:szCs w:val="24"/>
                <w:vertAlign w:val="superscript"/>
              </w:rPr>
              <w:t>3</w:t>
            </w:r>
          </w:p>
        </w:tc>
        <w:tc>
          <w:tcPr>
            <w:tcW w:w="2559" w:type="dxa"/>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0.036</w:t>
            </w:r>
            <w:r>
              <w:rPr>
                <w:spacing w:val="4"/>
                <w:sz w:val="24"/>
                <w:szCs w:val="24"/>
              </w:rPr>
              <w:t>t/a</w:t>
            </w:r>
            <w:r>
              <w:rPr>
                <w:rFonts w:hint="eastAsia"/>
                <w:spacing w:val="4"/>
                <w:sz w:val="24"/>
                <w:szCs w:val="24"/>
              </w:rPr>
              <w:t>，≤4.0mg/m</w:t>
            </w:r>
            <w:r>
              <w:rPr>
                <w:rFonts w:hint="eastAsia"/>
                <w:spacing w:val="4"/>
                <w:sz w:val="24"/>
                <w:szCs w:val="24"/>
                <w:vertAlign w:val="superscript"/>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shd w:val="clear" w:color="auto" w:fill="auto"/>
            <w:vAlign w:val="center"/>
          </w:tcPr>
          <w:p>
            <w:pPr>
              <w:adjustRightInd w:val="0"/>
              <w:snapToGrid w:val="0"/>
              <w:spacing w:line="360" w:lineRule="exact"/>
              <w:jc w:val="center"/>
              <w:rPr>
                <w:spacing w:val="4"/>
                <w:sz w:val="24"/>
                <w:szCs w:val="24"/>
              </w:rPr>
            </w:pPr>
            <w:r>
              <w:rPr>
                <w:spacing w:val="4"/>
                <w:sz w:val="24"/>
                <w:szCs w:val="24"/>
              </w:rPr>
              <w:t>进站加油机动车</w:t>
            </w: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加油机动车尾气</w:t>
            </w: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NO</w:t>
            </w:r>
            <w:r>
              <w:rPr>
                <w:spacing w:val="4"/>
                <w:sz w:val="24"/>
                <w:szCs w:val="24"/>
                <w:vertAlign w:val="subscript"/>
              </w:rPr>
              <w:t>X</w:t>
            </w:r>
            <w:r>
              <w:rPr>
                <w:spacing w:val="4"/>
                <w:sz w:val="24"/>
                <w:szCs w:val="24"/>
              </w:rPr>
              <w:t>：0.</w:t>
            </w:r>
            <w:r>
              <w:rPr>
                <w:rFonts w:hint="eastAsia"/>
                <w:spacing w:val="4"/>
                <w:sz w:val="24"/>
                <w:szCs w:val="24"/>
              </w:rPr>
              <w:t>023</w:t>
            </w:r>
            <w:r>
              <w:rPr>
                <w:spacing w:val="4"/>
                <w:sz w:val="24"/>
                <w:szCs w:val="24"/>
              </w:rPr>
              <w:t>t/a；CO：0.</w:t>
            </w:r>
            <w:r>
              <w:rPr>
                <w:rFonts w:hint="eastAsia"/>
                <w:spacing w:val="4"/>
                <w:sz w:val="24"/>
                <w:szCs w:val="24"/>
              </w:rPr>
              <w:t>16</w:t>
            </w:r>
            <w:r>
              <w:rPr>
                <w:spacing w:val="4"/>
                <w:sz w:val="24"/>
                <w:szCs w:val="24"/>
              </w:rPr>
              <w:t>t/a；HC：0.0</w:t>
            </w:r>
            <w:r>
              <w:rPr>
                <w:rFonts w:hint="eastAsia"/>
                <w:spacing w:val="4"/>
                <w:sz w:val="24"/>
                <w:szCs w:val="24"/>
              </w:rPr>
              <w:t>35</w:t>
            </w:r>
            <w:r>
              <w:rPr>
                <w:spacing w:val="4"/>
                <w:sz w:val="24"/>
                <w:szCs w:val="24"/>
              </w:rPr>
              <w:t>t/a</w:t>
            </w:r>
          </w:p>
        </w:tc>
        <w:tc>
          <w:tcPr>
            <w:tcW w:w="2559" w:type="dxa"/>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NO</w:t>
            </w:r>
            <w:r>
              <w:rPr>
                <w:spacing w:val="4"/>
                <w:sz w:val="24"/>
                <w:szCs w:val="24"/>
                <w:vertAlign w:val="subscript"/>
              </w:rPr>
              <w:t>X</w:t>
            </w:r>
            <w:r>
              <w:rPr>
                <w:spacing w:val="4"/>
                <w:sz w:val="24"/>
                <w:szCs w:val="24"/>
              </w:rPr>
              <w:t>：0.</w:t>
            </w:r>
            <w:r>
              <w:rPr>
                <w:rFonts w:hint="eastAsia"/>
                <w:spacing w:val="4"/>
                <w:sz w:val="24"/>
                <w:szCs w:val="24"/>
              </w:rPr>
              <w:t>023</w:t>
            </w:r>
            <w:r>
              <w:rPr>
                <w:spacing w:val="4"/>
                <w:sz w:val="24"/>
                <w:szCs w:val="24"/>
              </w:rPr>
              <w:t>t/a；CO：0.</w:t>
            </w:r>
            <w:r>
              <w:rPr>
                <w:rFonts w:hint="eastAsia"/>
                <w:spacing w:val="4"/>
                <w:sz w:val="24"/>
                <w:szCs w:val="24"/>
              </w:rPr>
              <w:t>16</w:t>
            </w:r>
            <w:r>
              <w:rPr>
                <w:spacing w:val="4"/>
                <w:sz w:val="24"/>
                <w:szCs w:val="24"/>
              </w:rPr>
              <w:t>t/a；HC：0.0</w:t>
            </w:r>
            <w:r>
              <w:rPr>
                <w:rFonts w:hint="eastAsia"/>
                <w:spacing w:val="4"/>
                <w:sz w:val="24"/>
                <w:szCs w:val="24"/>
              </w:rPr>
              <w:t>35</w:t>
            </w:r>
            <w:r>
              <w:rPr>
                <w:spacing w:val="4"/>
                <w:sz w:val="24"/>
                <w:szCs w:val="24"/>
              </w:rPr>
              <w:t>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柴油发电机</w:t>
            </w:r>
          </w:p>
        </w:tc>
        <w:tc>
          <w:tcPr>
            <w:tcW w:w="1409" w:type="dxa"/>
            <w:shd w:val="clear" w:color="auto" w:fill="auto"/>
            <w:vAlign w:val="center"/>
          </w:tcPr>
          <w:p>
            <w:pPr>
              <w:adjustRightInd w:val="0"/>
              <w:snapToGrid w:val="0"/>
              <w:spacing w:line="360" w:lineRule="exact"/>
              <w:jc w:val="center"/>
              <w:rPr>
                <w:spacing w:val="4"/>
                <w:sz w:val="24"/>
                <w:szCs w:val="24"/>
              </w:rPr>
            </w:pPr>
            <w:r>
              <w:rPr>
                <w:rFonts w:hint="eastAsia"/>
                <w:sz w:val="24"/>
                <w:szCs w:val="24"/>
              </w:rPr>
              <w:t>NO</w:t>
            </w:r>
            <w:r>
              <w:rPr>
                <w:rFonts w:hint="eastAsia"/>
                <w:sz w:val="24"/>
                <w:szCs w:val="24"/>
                <w:vertAlign w:val="subscript"/>
              </w:rPr>
              <w:t>x</w:t>
            </w:r>
            <w:r>
              <w:rPr>
                <w:rFonts w:hint="eastAsia"/>
                <w:sz w:val="24"/>
                <w:szCs w:val="24"/>
              </w:rPr>
              <w:t>、CO</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少量</w:t>
            </w:r>
          </w:p>
        </w:tc>
        <w:tc>
          <w:tcPr>
            <w:tcW w:w="2559" w:type="dxa"/>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少量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restart"/>
            <w:tcBorders>
              <w:lef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水污染物</w:t>
            </w:r>
          </w:p>
        </w:tc>
        <w:tc>
          <w:tcPr>
            <w:tcW w:w="559" w:type="dxa"/>
            <w:vMerge w:val="restart"/>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营运期</w:t>
            </w:r>
          </w:p>
        </w:tc>
        <w:tc>
          <w:tcPr>
            <w:tcW w:w="1672" w:type="dxa"/>
            <w:vMerge w:val="restart"/>
            <w:shd w:val="clear" w:color="auto" w:fill="auto"/>
            <w:vAlign w:val="center"/>
          </w:tcPr>
          <w:p>
            <w:pPr>
              <w:adjustRightInd w:val="0"/>
              <w:snapToGrid w:val="0"/>
              <w:spacing w:line="360" w:lineRule="exact"/>
              <w:jc w:val="center"/>
              <w:rPr>
                <w:spacing w:val="4"/>
                <w:sz w:val="24"/>
                <w:szCs w:val="24"/>
              </w:rPr>
            </w:pPr>
            <w:r>
              <w:rPr>
                <w:spacing w:val="4"/>
                <w:sz w:val="24"/>
                <w:szCs w:val="24"/>
              </w:rPr>
              <w:t>生活污水</w:t>
            </w:r>
          </w:p>
        </w:tc>
        <w:tc>
          <w:tcPr>
            <w:tcW w:w="14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污水</w:t>
            </w:r>
            <w:r>
              <w:rPr>
                <w:spacing w:val="4"/>
                <w:sz w:val="24"/>
                <w:szCs w:val="24"/>
              </w:rPr>
              <w:t>量</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w:t>
            </w:r>
            <w:r>
              <w:rPr>
                <w:rFonts w:hint="eastAsia"/>
                <w:spacing w:val="4"/>
                <w:sz w:val="24"/>
                <w:szCs w:val="24"/>
                <w:lang w:val="en-US" w:eastAsia="zh-CN"/>
              </w:rPr>
              <w:t>624</w:t>
            </w:r>
            <w:r>
              <w:rPr>
                <w:spacing w:val="4"/>
                <w:sz w:val="24"/>
                <w:szCs w:val="24"/>
              </w:rPr>
              <w:t>m</w:t>
            </w:r>
            <w:r>
              <w:rPr>
                <w:spacing w:val="4"/>
                <w:sz w:val="24"/>
                <w:szCs w:val="24"/>
                <w:vertAlign w:val="superscript"/>
              </w:rPr>
              <w:t>3</w:t>
            </w:r>
            <w:r>
              <w:rPr>
                <w:spacing w:val="4"/>
                <w:sz w:val="24"/>
                <w:szCs w:val="24"/>
              </w:rPr>
              <w:t>/d</w:t>
            </w:r>
            <w:r>
              <w:rPr>
                <w:rFonts w:hint="eastAsia"/>
                <w:spacing w:val="4"/>
                <w:sz w:val="24"/>
                <w:szCs w:val="24"/>
              </w:rPr>
              <w:t>，</w:t>
            </w:r>
            <w:r>
              <w:rPr>
                <w:rFonts w:hint="eastAsia"/>
                <w:spacing w:val="4"/>
                <w:sz w:val="24"/>
                <w:szCs w:val="24"/>
                <w:lang w:val="en-US" w:eastAsia="zh-CN"/>
              </w:rPr>
              <w:t>227.76</w:t>
            </w:r>
            <w:r>
              <w:rPr>
                <w:spacing w:val="4"/>
                <w:sz w:val="24"/>
                <w:szCs w:val="24"/>
              </w:rPr>
              <w:t>m</w:t>
            </w:r>
            <w:r>
              <w:rPr>
                <w:spacing w:val="4"/>
                <w:sz w:val="24"/>
                <w:szCs w:val="24"/>
                <w:vertAlign w:val="superscript"/>
              </w:rPr>
              <w:t>3</w:t>
            </w:r>
            <w:r>
              <w:rPr>
                <w:spacing w:val="4"/>
                <w:sz w:val="24"/>
                <w:szCs w:val="24"/>
              </w:rPr>
              <w:t>/a</w:t>
            </w:r>
          </w:p>
        </w:tc>
        <w:tc>
          <w:tcPr>
            <w:tcW w:w="2559" w:type="dxa"/>
            <w:vMerge w:val="restart"/>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经化粪池处理后用作农肥，不外排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CODcr</w:t>
            </w: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320mg/L</w:t>
            </w:r>
            <w:r>
              <w:rPr>
                <w:rFonts w:hint="eastAsia"/>
                <w:spacing w:val="4"/>
                <w:sz w:val="24"/>
                <w:szCs w:val="24"/>
              </w:rPr>
              <w:t>，0.0</w:t>
            </w:r>
            <w:r>
              <w:rPr>
                <w:rFonts w:hint="eastAsia"/>
                <w:spacing w:val="4"/>
                <w:sz w:val="24"/>
                <w:szCs w:val="24"/>
                <w:lang w:val="en-US" w:eastAsia="zh-CN"/>
              </w:rPr>
              <w:t>73</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BOD</w:t>
            </w:r>
            <w:r>
              <w:rPr>
                <w:spacing w:val="4"/>
                <w:sz w:val="24"/>
                <w:szCs w:val="24"/>
                <w:vertAlign w:val="subscript"/>
              </w:rPr>
              <w:t>5</w:t>
            </w: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180mg/L</w:t>
            </w:r>
            <w:r>
              <w:rPr>
                <w:rFonts w:hint="eastAsia"/>
                <w:spacing w:val="4"/>
                <w:sz w:val="24"/>
                <w:szCs w:val="24"/>
              </w:rPr>
              <w:t>，0.0</w:t>
            </w:r>
            <w:r>
              <w:rPr>
                <w:rFonts w:hint="eastAsia"/>
                <w:spacing w:val="4"/>
                <w:sz w:val="24"/>
                <w:szCs w:val="24"/>
                <w:lang w:val="en-US" w:eastAsia="zh-CN"/>
              </w:rPr>
              <w:t>41</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NH</w:t>
            </w:r>
            <w:r>
              <w:rPr>
                <w:spacing w:val="4"/>
                <w:sz w:val="24"/>
                <w:szCs w:val="24"/>
                <w:vertAlign w:val="subscript"/>
              </w:rPr>
              <w:t>3</w:t>
            </w:r>
            <w:r>
              <w:rPr>
                <w:spacing w:val="4"/>
                <w:sz w:val="24"/>
                <w:szCs w:val="24"/>
              </w:rPr>
              <w:t>-N</w:t>
            </w: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30mg/L</w:t>
            </w:r>
            <w:r>
              <w:rPr>
                <w:rFonts w:hint="eastAsia"/>
                <w:spacing w:val="4"/>
                <w:sz w:val="24"/>
                <w:szCs w:val="24"/>
              </w:rPr>
              <w:t>，0.00</w:t>
            </w:r>
            <w:r>
              <w:rPr>
                <w:rFonts w:hint="eastAsia"/>
                <w:spacing w:val="4"/>
                <w:sz w:val="24"/>
                <w:szCs w:val="24"/>
                <w:lang w:val="en-US" w:eastAsia="zh-CN"/>
              </w:rPr>
              <w:t>7</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SS</w:t>
            </w: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300mg/L</w:t>
            </w:r>
            <w:r>
              <w:rPr>
                <w:rFonts w:hint="eastAsia"/>
                <w:spacing w:val="4"/>
                <w:sz w:val="24"/>
                <w:szCs w:val="24"/>
              </w:rPr>
              <w:t>，0.0</w:t>
            </w:r>
            <w:r>
              <w:rPr>
                <w:rFonts w:hint="eastAsia"/>
                <w:spacing w:val="4"/>
                <w:sz w:val="24"/>
                <w:szCs w:val="24"/>
                <w:lang w:val="en-US" w:eastAsia="zh-CN"/>
              </w:rPr>
              <w:t>68</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vMerge w:val="restart"/>
            <w:shd w:val="clear" w:color="auto" w:fill="auto"/>
            <w:vAlign w:val="center"/>
          </w:tcPr>
          <w:p>
            <w:pPr>
              <w:adjustRightInd w:val="0"/>
              <w:snapToGrid w:val="0"/>
              <w:spacing w:line="360" w:lineRule="exact"/>
              <w:jc w:val="center"/>
              <w:rPr>
                <w:spacing w:val="4"/>
                <w:sz w:val="24"/>
                <w:szCs w:val="24"/>
              </w:rPr>
            </w:pPr>
            <w:r>
              <w:rPr>
                <w:spacing w:val="4"/>
                <w:sz w:val="24"/>
                <w:szCs w:val="24"/>
              </w:rPr>
              <w:t>站区内设备地面清洗废水</w:t>
            </w:r>
            <w:r>
              <w:rPr>
                <w:rFonts w:hint="eastAsia"/>
                <w:spacing w:val="4"/>
                <w:sz w:val="24"/>
                <w:szCs w:val="24"/>
              </w:rPr>
              <w:t>、洗车废水</w:t>
            </w:r>
          </w:p>
        </w:tc>
        <w:tc>
          <w:tcPr>
            <w:tcW w:w="14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污水</w:t>
            </w:r>
            <w:r>
              <w:rPr>
                <w:spacing w:val="4"/>
                <w:sz w:val="24"/>
                <w:szCs w:val="24"/>
              </w:rPr>
              <w:t>量</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1.632</w:t>
            </w:r>
            <w:r>
              <w:rPr>
                <w:spacing w:val="4"/>
                <w:sz w:val="24"/>
                <w:szCs w:val="24"/>
              </w:rPr>
              <w:t>m</w:t>
            </w:r>
            <w:r>
              <w:rPr>
                <w:spacing w:val="4"/>
                <w:sz w:val="24"/>
                <w:szCs w:val="24"/>
                <w:vertAlign w:val="superscript"/>
              </w:rPr>
              <w:t>3</w:t>
            </w:r>
            <w:r>
              <w:rPr>
                <w:spacing w:val="4"/>
                <w:sz w:val="24"/>
                <w:szCs w:val="24"/>
              </w:rPr>
              <w:t>/d</w:t>
            </w:r>
            <w:r>
              <w:rPr>
                <w:rFonts w:hint="eastAsia"/>
                <w:spacing w:val="4"/>
                <w:sz w:val="24"/>
                <w:szCs w:val="24"/>
              </w:rPr>
              <w:t>，595.68</w:t>
            </w:r>
            <w:r>
              <w:rPr>
                <w:spacing w:val="4"/>
                <w:sz w:val="24"/>
                <w:szCs w:val="24"/>
              </w:rPr>
              <w:t>m</w:t>
            </w:r>
            <w:r>
              <w:rPr>
                <w:spacing w:val="4"/>
                <w:sz w:val="24"/>
                <w:szCs w:val="24"/>
                <w:vertAlign w:val="superscript"/>
              </w:rPr>
              <w:t>3</w:t>
            </w:r>
            <w:r>
              <w:rPr>
                <w:spacing w:val="4"/>
                <w:sz w:val="24"/>
                <w:szCs w:val="24"/>
              </w:rPr>
              <w:t>/a</w:t>
            </w:r>
          </w:p>
        </w:tc>
        <w:tc>
          <w:tcPr>
            <w:tcW w:w="2559" w:type="dxa"/>
            <w:vMerge w:val="restart"/>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kern w:val="0"/>
                <w:sz w:val="24"/>
                <w:szCs w:val="24"/>
              </w:rPr>
              <w:t>经集水沟收集后</w:t>
            </w:r>
            <w:r>
              <w:rPr>
                <w:rFonts w:hint="eastAsia"/>
                <w:kern w:val="0"/>
                <w:sz w:val="24"/>
                <w:szCs w:val="24"/>
              </w:rPr>
              <w:t>由</w:t>
            </w:r>
            <w:r>
              <w:rPr>
                <w:kern w:val="0"/>
                <w:sz w:val="24"/>
                <w:szCs w:val="24"/>
              </w:rPr>
              <w:t>隔油</w:t>
            </w:r>
            <w:r>
              <w:rPr>
                <w:rFonts w:hint="eastAsia"/>
                <w:kern w:val="0"/>
                <w:sz w:val="24"/>
                <w:szCs w:val="24"/>
              </w:rPr>
              <w:t>池及沉淀</w:t>
            </w:r>
            <w:r>
              <w:rPr>
                <w:kern w:val="0"/>
                <w:sz w:val="24"/>
                <w:szCs w:val="24"/>
              </w:rPr>
              <w:t>池处理后</w:t>
            </w:r>
            <w:r>
              <w:rPr>
                <w:rFonts w:hint="eastAsia"/>
                <w:kern w:val="0"/>
                <w:sz w:val="24"/>
                <w:szCs w:val="24"/>
              </w:rPr>
              <w:t>回用</w:t>
            </w:r>
            <w:r>
              <w:rPr>
                <w:kern w:val="0"/>
                <w:sz w:val="24"/>
                <w:szCs w:val="24"/>
              </w:rPr>
              <w:t>，不外排</w:t>
            </w:r>
            <w:r>
              <w:rPr>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石油类</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50</w:t>
            </w:r>
            <w:r>
              <w:rPr>
                <w:spacing w:val="4"/>
                <w:sz w:val="24"/>
                <w:szCs w:val="24"/>
              </w:rPr>
              <w:t>mg/L</w:t>
            </w:r>
            <w:r>
              <w:rPr>
                <w:rFonts w:hint="eastAsia"/>
                <w:spacing w:val="4"/>
                <w:sz w:val="24"/>
                <w:szCs w:val="24"/>
              </w:rPr>
              <w:t>，0.03</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672" w:type="dxa"/>
            <w:vMerge w:val="continue"/>
            <w:shd w:val="clear" w:color="auto" w:fill="auto"/>
            <w:vAlign w:val="center"/>
          </w:tcPr>
          <w:p>
            <w:pPr>
              <w:adjustRightInd w:val="0"/>
              <w:snapToGrid w:val="0"/>
              <w:spacing w:line="360" w:lineRule="exact"/>
              <w:ind w:firstLine="496" w:firstLineChars="200"/>
              <w:jc w:val="center"/>
              <w:rPr>
                <w:spacing w:val="4"/>
                <w:sz w:val="24"/>
                <w:szCs w:val="24"/>
              </w:rPr>
            </w:pPr>
          </w:p>
        </w:tc>
        <w:tc>
          <w:tcPr>
            <w:tcW w:w="1409" w:type="dxa"/>
            <w:shd w:val="clear" w:color="auto" w:fill="auto"/>
            <w:vAlign w:val="center"/>
          </w:tcPr>
          <w:p>
            <w:pPr>
              <w:adjustRightInd w:val="0"/>
              <w:snapToGrid w:val="0"/>
              <w:spacing w:line="360" w:lineRule="exact"/>
              <w:jc w:val="center"/>
              <w:rPr>
                <w:spacing w:val="4"/>
                <w:sz w:val="24"/>
                <w:szCs w:val="24"/>
              </w:rPr>
            </w:pPr>
            <w:r>
              <w:rPr>
                <w:spacing w:val="4"/>
                <w:sz w:val="24"/>
                <w:szCs w:val="24"/>
              </w:rPr>
              <w:t>悬浮物</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500</w:t>
            </w:r>
            <w:r>
              <w:rPr>
                <w:spacing w:val="4"/>
                <w:sz w:val="24"/>
                <w:szCs w:val="24"/>
              </w:rPr>
              <w:t>mg/L</w:t>
            </w:r>
            <w:r>
              <w:rPr>
                <w:rFonts w:hint="eastAsia"/>
                <w:spacing w:val="4"/>
                <w:sz w:val="24"/>
                <w:szCs w:val="24"/>
              </w:rPr>
              <w:t>，0.3</w:t>
            </w:r>
            <w:r>
              <w:rPr>
                <w:spacing w:val="4"/>
                <w:sz w:val="24"/>
                <w:szCs w:val="24"/>
              </w:rPr>
              <w:t>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2" w:hRule="atLeast"/>
        </w:trPr>
        <w:tc>
          <w:tcPr>
            <w:tcW w:w="814" w:type="dxa"/>
            <w:vMerge w:val="restart"/>
            <w:tcBorders>
              <w:lef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固体废物</w:t>
            </w:r>
          </w:p>
        </w:tc>
        <w:tc>
          <w:tcPr>
            <w:tcW w:w="559" w:type="dxa"/>
            <w:vMerge w:val="restart"/>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营运期</w:t>
            </w:r>
          </w:p>
        </w:tc>
        <w:tc>
          <w:tcPr>
            <w:tcW w:w="1672"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生活垃圾</w:t>
            </w:r>
          </w:p>
        </w:tc>
        <w:tc>
          <w:tcPr>
            <w:tcW w:w="1409" w:type="dxa"/>
            <w:vMerge w:val="restart"/>
            <w:shd w:val="clear" w:color="auto" w:fill="auto"/>
            <w:vAlign w:val="center"/>
          </w:tcPr>
          <w:p>
            <w:pPr>
              <w:adjustRightInd w:val="0"/>
              <w:snapToGrid w:val="0"/>
              <w:spacing w:line="360" w:lineRule="exact"/>
              <w:jc w:val="center"/>
              <w:rPr>
                <w:spacing w:val="4"/>
                <w:sz w:val="24"/>
                <w:szCs w:val="24"/>
              </w:rPr>
            </w:pPr>
            <w:r>
              <w:rPr>
                <w:spacing w:val="4"/>
                <w:sz w:val="24"/>
                <w:szCs w:val="24"/>
              </w:rPr>
              <w:t>一般固废</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0.73</w:t>
            </w:r>
            <w:r>
              <w:rPr>
                <w:spacing w:val="4"/>
                <w:sz w:val="24"/>
                <w:szCs w:val="24"/>
              </w:rPr>
              <w:t>t/a</w:t>
            </w:r>
          </w:p>
        </w:tc>
        <w:tc>
          <w:tcPr>
            <w:tcW w:w="2559" w:type="dxa"/>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收集后统一交由环卫部门清运处理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814" w:type="dxa"/>
            <w:vMerge w:val="continue"/>
            <w:tcBorders>
              <w:left w:val="single" w:color="auto" w:sz="12" w:space="0"/>
            </w:tcBorders>
            <w:shd w:val="clear" w:color="auto" w:fill="auto"/>
            <w:vAlign w:val="center"/>
          </w:tcPr>
          <w:p>
            <w:pPr>
              <w:adjustRightInd w:val="0"/>
              <w:snapToGrid w:val="0"/>
              <w:spacing w:line="360" w:lineRule="exact"/>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shd w:val="clear" w:color="auto" w:fill="auto"/>
            <w:vAlign w:val="center"/>
          </w:tcPr>
          <w:p>
            <w:pPr>
              <w:adjustRightInd w:val="0"/>
              <w:snapToGrid w:val="0"/>
              <w:spacing w:line="360" w:lineRule="exact"/>
              <w:jc w:val="center"/>
              <w:rPr>
                <w:spacing w:val="4"/>
                <w:sz w:val="24"/>
                <w:szCs w:val="24"/>
              </w:rPr>
            </w:pPr>
            <w:r>
              <w:rPr>
                <w:rFonts w:hint="eastAsia" w:cs="宋体"/>
                <w:sz w:val="24"/>
                <w:szCs w:val="24"/>
              </w:rPr>
              <w:t>含油抹布、手套</w:t>
            </w:r>
          </w:p>
        </w:tc>
        <w:tc>
          <w:tcPr>
            <w:tcW w:w="1409" w:type="dxa"/>
            <w:vMerge w:val="continue"/>
            <w:shd w:val="clear" w:color="auto" w:fill="auto"/>
            <w:vAlign w:val="center"/>
          </w:tcPr>
          <w:p>
            <w:pPr>
              <w:adjustRightInd w:val="0"/>
              <w:snapToGrid w:val="0"/>
              <w:spacing w:line="360" w:lineRule="exact"/>
              <w:jc w:val="center"/>
              <w:rPr>
                <w:spacing w:val="4"/>
                <w:sz w:val="24"/>
                <w:szCs w:val="24"/>
              </w:rPr>
            </w:pP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0.01t/a</w:t>
            </w:r>
          </w:p>
        </w:tc>
        <w:tc>
          <w:tcPr>
            <w:tcW w:w="2559" w:type="dxa"/>
            <w:vMerge w:val="restart"/>
            <w:tcBorders>
              <w:right w:val="single" w:color="auto" w:sz="12" w:space="0"/>
            </w:tcBorders>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暂存于危废暂存间后交由有资质单位进行处理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shd w:val="clear" w:color="auto" w:fill="auto"/>
            <w:vAlign w:val="center"/>
          </w:tcPr>
          <w:p>
            <w:pPr>
              <w:adjustRightInd w:val="0"/>
              <w:snapToGrid w:val="0"/>
              <w:spacing w:line="360" w:lineRule="exact"/>
              <w:jc w:val="center"/>
              <w:rPr>
                <w:spacing w:val="4"/>
                <w:sz w:val="24"/>
                <w:szCs w:val="24"/>
              </w:rPr>
            </w:pPr>
            <w:r>
              <w:rPr>
                <w:spacing w:val="4"/>
                <w:sz w:val="24"/>
                <w:szCs w:val="24"/>
              </w:rPr>
              <w:t>隔油池油泥</w:t>
            </w:r>
          </w:p>
        </w:tc>
        <w:tc>
          <w:tcPr>
            <w:tcW w:w="1409" w:type="dxa"/>
            <w:vMerge w:val="restart"/>
            <w:tcBorders>
              <w:top w:val="single" w:color="auto" w:sz="4"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危险固废</w:t>
            </w:r>
          </w:p>
        </w:tc>
        <w:tc>
          <w:tcPr>
            <w:tcW w:w="2309" w:type="dxa"/>
            <w:shd w:val="clear" w:color="auto" w:fill="auto"/>
            <w:vAlign w:val="center"/>
          </w:tcPr>
          <w:p>
            <w:pPr>
              <w:adjustRightInd w:val="0"/>
              <w:snapToGrid w:val="0"/>
              <w:spacing w:line="360" w:lineRule="exact"/>
              <w:jc w:val="center"/>
              <w:rPr>
                <w:spacing w:val="4"/>
                <w:sz w:val="24"/>
                <w:szCs w:val="24"/>
              </w:rPr>
            </w:pPr>
            <w:r>
              <w:rPr>
                <w:rFonts w:hint="eastAsia"/>
                <w:spacing w:val="4"/>
                <w:sz w:val="24"/>
                <w:szCs w:val="24"/>
              </w:rPr>
              <w:t>0.29t</w:t>
            </w:r>
            <w:r>
              <w:rPr>
                <w:spacing w:val="4"/>
                <w:sz w:val="24"/>
                <w:szCs w:val="24"/>
              </w:rPr>
              <w:t>/a</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vMerge w:val="continue"/>
            <w:tcBorders>
              <w:left w:val="single" w:color="auto" w:sz="12" w:space="0"/>
            </w:tcBorders>
            <w:shd w:val="clear" w:color="auto" w:fill="auto"/>
            <w:vAlign w:val="center"/>
          </w:tcPr>
          <w:p>
            <w:pPr>
              <w:adjustRightInd w:val="0"/>
              <w:snapToGrid w:val="0"/>
              <w:spacing w:line="360" w:lineRule="exact"/>
              <w:ind w:firstLine="496" w:firstLineChars="200"/>
              <w:jc w:val="center"/>
              <w:rPr>
                <w:spacing w:val="4"/>
                <w:sz w:val="24"/>
                <w:szCs w:val="24"/>
              </w:rPr>
            </w:pPr>
          </w:p>
        </w:tc>
        <w:tc>
          <w:tcPr>
            <w:tcW w:w="559" w:type="dxa"/>
            <w:vMerge w:val="continue"/>
            <w:shd w:val="clear" w:color="auto" w:fill="auto"/>
            <w:vAlign w:val="center"/>
          </w:tcPr>
          <w:p>
            <w:pPr>
              <w:adjustRightInd w:val="0"/>
              <w:snapToGrid w:val="0"/>
              <w:spacing w:line="360" w:lineRule="exact"/>
              <w:jc w:val="center"/>
              <w:rPr>
                <w:spacing w:val="4"/>
                <w:sz w:val="24"/>
                <w:szCs w:val="24"/>
              </w:rPr>
            </w:pPr>
          </w:p>
        </w:tc>
        <w:tc>
          <w:tcPr>
            <w:tcW w:w="1672" w:type="dxa"/>
            <w:shd w:val="clear" w:color="auto" w:fill="auto"/>
            <w:vAlign w:val="center"/>
          </w:tcPr>
          <w:p>
            <w:pPr>
              <w:adjustRightInd w:val="0"/>
              <w:snapToGrid w:val="0"/>
              <w:spacing w:line="360" w:lineRule="exact"/>
              <w:jc w:val="center"/>
              <w:rPr>
                <w:spacing w:val="4"/>
                <w:sz w:val="24"/>
                <w:szCs w:val="24"/>
              </w:rPr>
            </w:pPr>
            <w:r>
              <w:rPr>
                <w:spacing w:val="4"/>
                <w:sz w:val="24"/>
                <w:szCs w:val="24"/>
              </w:rPr>
              <w:t>油罐油渣</w:t>
            </w:r>
            <w:r>
              <w:rPr>
                <w:rFonts w:hint="eastAsia"/>
                <w:spacing w:val="4"/>
                <w:sz w:val="24"/>
                <w:szCs w:val="24"/>
              </w:rPr>
              <w:t>、废油</w:t>
            </w:r>
          </w:p>
        </w:tc>
        <w:tc>
          <w:tcPr>
            <w:tcW w:w="1409" w:type="dxa"/>
            <w:vMerge w:val="continue"/>
            <w:shd w:val="clear" w:color="auto" w:fill="auto"/>
            <w:vAlign w:val="center"/>
          </w:tcPr>
          <w:p>
            <w:pPr>
              <w:adjustRightInd w:val="0"/>
              <w:snapToGrid w:val="0"/>
              <w:spacing w:line="360" w:lineRule="exact"/>
              <w:jc w:val="center"/>
              <w:rPr>
                <w:spacing w:val="4"/>
                <w:sz w:val="24"/>
                <w:szCs w:val="24"/>
              </w:rPr>
            </w:pPr>
          </w:p>
        </w:tc>
        <w:tc>
          <w:tcPr>
            <w:tcW w:w="2309" w:type="dxa"/>
            <w:shd w:val="clear" w:color="auto" w:fill="auto"/>
            <w:vAlign w:val="center"/>
          </w:tcPr>
          <w:p>
            <w:pPr>
              <w:adjustRightInd w:val="0"/>
              <w:snapToGrid w:val="0"/>
              <w:spacing w:line="360" w:lineRule="exact"/>
              <w:jc w:val="center"/>
              <w:rPr>
                <w:spacing w:val="4"/>
                <w:sz w:val="24"/>
                <w:szCs w:val="24"/>
              </w:rPr>
            </w:pPr>
            <w:r>
              <w:rPr>
                <w:spacing w:val="4"/>
                <w:sz w:val="24"/>
                <w:szCs w:val="24"/>
              </w:rPr>
              <w:t>0.75t/次，3-5年一次</w:t>
            </w:r>
          </w:p>
        </w:tc>
        <w:tc>
          <w:tcPr>
            <w:tcW w:w="2559" w:type="dxa"/>
            <w:vMerge w:val="continue"/>
            <w:tcBorders>
              <w:right w:val="single" w:color="auto" w:sz="12" w:space="0"/>
            </w:tcBorders>
            <w:shd w:val="clear" w:color="auto" w:fill="auto"/>
            <w:vAlign w:val="center"/>
          </w:tcPr>
          <w:p>
            <w:pPr>
              <w:adjustRightInd w:val="0"/>
              <w:snapToGrid w:val="0"/>
              <w:spacing w:line="360" w:lineRule="exact"/>
              <w:jc w:val="center"/>
              <w:rPr>
                <w:spacing w:val="4"/>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tcBorders>
              <w:left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噪声</w:t>
            </w:r>
          </w:p>
        </w:tc>
        <w:tc>
          <w:tcPr>
            <w:tcW w:w="8508" w:type="dxa"/>
            <w:gridSpan w:val="5"/>
            <w:tcBorders>
              <w:right w:val="single" w:color="auto" w:sz="12" w:space="0"/>
            </w:tcBorders>
            <w:shd w:val="clear" w:color="auto" w:fill="auto"/>
            <w:vAlign w:val="center"/>
          </w:tcPr>
          <w:p>
            <w:pPr>
              <w:adjustRightInd w:val="0"/>
              <w:snapToGrid w:val="0"/>
              <w:spacing w:line="360" w:lineRule="exact"/>
              <w:ind w:firstLine="496" w:firstLineChars="200"/>
              <w:rPr>
                <w:spacing w:val="4"/>
                <w:sz w:val="24"/>
                <w:szCs w:val="24"/>
              </w:rPr>
            </w:pPr>
            <w:r>
              <w:rPr>
                <w:spacing w:val="4"/>
                <w:sz w:val="24"/>
                <w:szCs w:val="24"/>
              </w:rPr>
              <w:t>加油汽车的运行噪声，卸油、加油时油泵噪声</w:t>
            </w:r>
            <w:r>
              <w:rPr>
                <w:rFonts w:hint="eastAsia"/>
                <w:spacing w:val="4"/>
                <w:sz w:val="24"/>
                <w:szCs w:val="24"/>
              </w:rPr>
              <w:t>以及柴油发电机发电噪声</w:t>
            </w:r>
            <w:r>
              <w:rPr>
                <w:spacing w:val="4"/>
                <w:sz w:val="24"/>
                <w:szCs w:val="24"/>
              </w:rPr>
              <w:t>，</w:t>
            </w:r>
            <w:r>
              <w:rPr>
                <w:rFonts w:hint="eastAsia"/>
                <w:spacing w:val="4"/>
                <w:sz w:val="24"/>
                <w:szCs w:val="24"/>
              </w:rPr>
              <w:t>采取降噪措施后噪声降低至50-80</w:t>
            </w:r>
            <w:r>
              <w:rPr>
                <w:spacing w:val="4"/>
                <w:sz w:val="24"/>
                <w:szCs w:val="24"/>
              </w:rPr>
              <w:t>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14" w:type="dxa"/>
            <w:tcBorders>
              <w:left w:val="single" w:color="auto" w:sz="12" w:space="0"/>
            </w:tcBorders>
            <w:shd w:val="clear" w:color="auto" w:fill="auto"/>
            <w:vAlign w:val="center"/>
          </w:tcPr>
          <w:p>
            <w:pPr>
              <w:adjustRightInd w:val="0"/>
              <w:snapToGrid w:val="0"/>
              <w:spacing w:line="360" w:lineRule="exact"/>
              <w:jc w:val="center"/>
              <w:rPr>
                <w:spacing w:val="4"/>
                <w:sz w:val="24"/>
                <w:szCs w:val="24"/>
              </w:rPr>
            </w:pPr>
            <w:r>
              <w:rPr>
                <w:spacing w:val="4"/>
                <w:sz w:val="24"/>
                <w:szCs w:val="24"/>
              </w:rPr>
              <w:t>其他</w:t>
            </w:r>
          </w:p>
        </w:tc>
        <w:tc>
          <w:tcPr>
            <w:tcW w:w="8508" w:type="dxa"/>
            <w:gridSpan w:val="5"/>
            <w:tcBorders>
              <w:right w:val="single" w:color="auto" w:sz="12" w:space="0"/>
            </w:tcBorders>
            <w:shd w:val="clear" w:color="auto" w:fill="auto"/>
            <w:vAlign w:val="center"/>
          </w:tcPr>
          <w:p>
            <w:pPr>
              <w:adjustRightInd w:val="0"/>
              <w:snapToGrid w:val="0"/>
              <w:spacing w:line="360" w:lineRule="exact"/>
              <w:ind w:firstLine="496" w:firstLineChars="200"/>
              <w:jc w:val="left"/>
              <w:rPr>
                <w:spacing w:val="4"/>
                <w:sz w:val="24"/>
                <w:szCs w:val="24"/>
              </w:rPr>
            </w:pPr>
            <w:r>
              <w:rPr>
                <w:spacing w:val="4"/>
                <w:sz w:val="24"/>
                <w:szCs w:val="24"/>
              </w:rPr>
              <w:t>本项目为加油站，油品属于易燃易爆物品，存在一定的火灾、爆炸等风险。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322" w:type="dxa"/>
            <w:gridSpan w:val="6"/>
            <w:tcBorders>
              <w:left w:val="single" w:color="auto" w:sz="12" w:space="0"/>
              <w:bottom w:val="single" w:color="auto" w:sz="12" w:space="0"/>
              <w:right w:val="single" w:color="auto" w:sz="12" w:space="0"/>
            </w:tcBorders>
            <w:shd w:val="clear" w:color="auto" w:fill="auto"/>
            <w:vAlign w:val="center"/>
          </w:tcPr>
          <w:p>
            <w:pPr>
              <w:adjustRightInd w:val="0"/>
              <w:snapToGrid w:val="0"/>
              <w:spacing w:line="360" w:lineRule="auto"/>
              <w:rPr>
                <w:spacing w:val="4"/>
                <w:sz w:val="24"/>
                <w:szCs w:val="24"/>
              </w:rPr>
            </w:pPr>
            <w:r>
              <w:rPr>
                <w:spacing w:val="4"/>
                <w:sz w:val="24"/>
                <w:szCs w:val="24"/>
              </w:rPr>
              <w:t>生态保护措施及预期效果：</w:t>
            </w:r>
          </w:p>
          <w:p>
            <w:pPr>
              <w:adjustRightInd w:val="0"/>
              <w:snapToGrid w:val="0"/>
              <w:spacing w:line="360" w:lineRule="auto"/>
              <w:ind w:firstLine="496" w:firstLineChars="200"/>
              <w:rPr>
                <w:spacing w:val="4"/>
                <w:sz w:val="24"/>
                <w:szCs w:val="24"/>
              </w:rPr>
            </w:pPr>
            <w:r>
              <w:rPr>
                <w:rFonts w:hint="eastAsia"/>
                <w:spacing w:val="4"/>
                <w:sz w:val="24"/>
                <w:szCs w:val="24"/>
              </w:rPr>
              <w:t>本项目已建成，施工期已完成，对生态环境影响较小。</w:t>
            </w:r>
          </w:p>
        </w:tc>
      </w:tr>
    </w:tbl>
    <w:p>
      <w:pPr>
        <w:pStyle w:val="4"/>
        <w:ind w:firstLine="0" w:firstLineChars="0"/>
      </w:pPr>
    </w:p>
    <w:p/>
    <w:p>
      <w:pPr>
        <w:pStyle w:val="23"/>
        <w:ind w:left="0" w:leftChars="0" w:firstLine="0" w:firstLineChars="0"/>
      </w:pPr>
    </w:p>
    <w:p>
      <w:pPr>
        <w:pStyle w:val="23"/>
      </w:pPr>
    </w:p>
    <w:tbl>
      <w:tblPr>
        <w:tblStyle w:val="24"/>
        <w:tblW w:w="9494" w:type="dxa"/>
        <w:tblInd w:w="-36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85" w:type="dxa"/>
          <w:bottom w:w="0" w:type="dxa"/>
          <w:right w:w="85" w:type="dxa"/>
        </w:tblCellMar>
      </w:tblPr>
      <w:tblGrid>
        <w:gridCol w:w="9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13913" w:hRule="atLeast"/>
        </w:trPr>
        <w:tc>
          <w:tcPr>
            <w:tcW w:w="9494" w:type="dxa"/>
          </w:tcPr>
          <w:p>
            <w:pPr>
              <w:pStyle w:val="3"/>
            </w:pPr>
            <w:bookmarkStart w:id="23" w:name="_Toc26737"/>
            <w:r>
              <w:t>环境影响分析</w:t>
            </w:r>
            <w:bookmarkEnd w:id="23"/>
          </w:p>
          <w:p>
            <w:pPr>
              <w:pStyle w:val="5"/>
            </w:pPr>
            <w:bookmarkStart w:id="24" w:name="_Toc260819614"/>
            <w:r>
              <w:rPr>
                <w:rFonts w:hint="eastAsia"/>
              </w:rPr>
              <w:t>施工期环境影响分析</w:t>
            </w:r>
          </w:p>
          <w:p>
            <w:pPr>
              <w:pStyle w:val="4"/>
              <w:ind w:firstLine="480"/>
            </w:pPr>
            <w:r>
              <w:t>本项目已建成，不涉及土建施工等施工期环境影响。</w:t>
            </w:r>
          </w:p>
          <w:p>
            <w:pPr>
              <w:pStyle w:val="5"/>
            </w:pPr>
            <w:r>
              <w:t>营运期环境影响分析</w:t>
            </w:r>
            <w:bookmarkEnd w:id="24"/>
          </w:p>
          <w:p>
            <w:pPr>
              <w:pStyle w:val="6"/>
            </w:pPr>
            <w:bookmarkStart w:id="25" w:name="_Toc4226755"/>
            <w:bookmarkStart w:id="26" w:name="OLE_LINK1"/>
            <w:bookmarkStart w:id="27" w:name="_Toc64441192"/>
            <w:r>
              <w:t>大气环境影响分析</w:t>
            </w:r>
          </w:p>
          <w:p>
            <w:pPr>
              <w:pStyle w:val="4"/>
              <w:ind w:firstLine="480"/>
            </w:pPr>
            <w:r>
              <w:rPr>
                <w:rFonts w:hint="eastAsia"/>
              </w:rPr>
              <w:t>（</w:t>
            </w:r>
            <w:r>
              <w:t>1</w:t>
            </w:r>
            <w:r>
              <w:rPr>
                <w:rFonts w:hint="eastAsia"/>
              </w:rPr>
              <w:t>）非甲烷总烃</w:t>
            </w:r>
          </w:p>
          <w:p>
            <w:pPr>
              <w:adjustRightInd w:val="0"/>
              <w:snapToGrid w:val="0"/>
              <w:spacing w:line="360" w:lineRule="auto"/>
              <w:ind w:firstLine="480" w:firstLineChars="200"/>
              <w:rPr>
                <w:sz w:val="24"/>
                <w:szCs w:val="24"/>
              </w:rPr>
            </w:pPr>
            <w:r>
              <w:rPr>
                <w:rFonts w:hint="eastAsia"/>
                <w:sz w:val="24"/>
                <w:szCs w:val="24"/>
              </w:rPr>
              <w:t>根据工程分析可知，加油站非甲烷总烃排放量如表</w:t>
            </w:r>
            <w:r>
              <w:rPr>
                <w:rFonts w:hint="eastAsia"/>
                <w:sz w:val="24"/>
                <w:szCs w:val="24"/>
                <w:lang w:val="en-US" w:eastAsia="zh-CN"/>
              </w:rPr>
              <w:t>7.2-1</w:t>
            </w:r>
            <w:r>
              <w:rPr>
                <w:rFonts w:hint="eastAsia"/>
                <w:sz w:val="24"/>
                <w:szCs w:val="24"/>
              </w:rPr>
              <w:t>所示。</w:t>
            </w:r>
            <w:r>
              <w:rPr>
                <w:rFonts w:hint="eastAsia"/>
                <w:sz w:val="24"/>
                <w:szCs w:val="24"/>
                <w:lang w:eastAsia="zh-CN"/>
              </w:rPr>
              <w:t>则</w:t>
            </w:r>
            <w:r>
              <w:rPr>
                <w:rFonts w:hint="eastAsia"/>
                <w:sz w:val="24"/>
                <w:szCs w:val="24"/>
              </w:rPr>
              <w:t>加油站运营期间产生的非甲烷总烃的主要来自储油罐大、小呼吸（109.0825</w:t>
            </w:r>
            <w:r>
              <w:rPr>
                <w:sz w:val="24"/>
                <w:szCs w:val="24"/>
              </w:rPr>
              <w:t>kg/a</w:t>
            </w:r>
            <w:r>
              <w:rPr>
                <w:rFonts w:hint="eastAsia"/>
                <w:sz w:val="24"/>
                <w:szCs w:val="24"/>
              </w:rPr>
              <w:t>），油罐车卸油损失（43.633</w:t>
            </w:r>
            <w:r>
              <w:rPr>
                <w:sz w:val="24"/>
                <w:szCs w:val="24"/>
              </w:rPr>
              <w:t>kg/a</w:t>
            </w:r>
            <w:r>
              <w:rPr>
                <w:rFonts w:hint="eastAsia"/>
                <w:sz w:val="24"/>
                <w:szCs w:val="24"/>
              </w:rPr>
              <w:t>）、加油机加油作业损失（47.9963</w:t>
            </w:r>
            <w:r>
              <w:rPr>
                <w:sz w:val="24"/>
                <w:szCs w:val="24"/>
              </w:rPr>
              <w:t>kg/a</w:t>
            </w:r>
            <w:r>
              <w:rPr>
                <w:rFonts w:hint="eastAsia"/>
                <w:sz w:val="24"/>
                <w:szCs w:val="24"/>
              </w:rPr>
              <w:t>）、作业跑冒滴漏损失（15.70788kg/a）。本项目每年约产生非甲烷总烃216.41968kg</w:t>
            </w:r>
            <w:r>
              <w:rPr>
                <w:rFonts w:hint="eastAsia"/>
                <w:sz w:val="24"/>
                <w:szCs w:val="24"/>
                <w:lang w:eastAsia="zh-CN"/>
              </w:rPr>
              <w:t>，排放量为</w:t>
            </w:r>
            <w:r>
              <w:rPr>
                <w:rFonts w:hint="eastAsia"/>
                <w:sz w:val="24"/>
                <w:szCs w:val="24"/>
                <w:lang w:val="en-US" w:eastAsia="zh-CN"/>
              </w:rPr>
              <w:t>35.77906kg/a</w:t>
            </w:r>
            <w:r>
              <w:rPr>
                <w:rFonts w:hint="eastAsia"/>
                <w:sz w:val="24"/>
                <w:szCs w:val="24"/>
              </w:rPr>
              <w:t>。</w:t>
            </w:r>
          </w:p>
          <w:p>
            <w:pPr>
              <w:pStyle w:val="2"/>
              <w:jc w:val="center"/>
              <w:rPr>
                <w:rFonts w:eastAsia="黑体"/>
                <w:sz w:val="24"/>
              </w:rPr>
            </w:pPr>
            <w:r>
              <w:rPr>
                <w:rFonts w:hint="eastAsia" w:eastAsia="黑体"/>
                <w:sz w:val="24"/>
              </w:rPr>
              <w:t>表</w:t>
            </w:r>
            <w:r>
              <w:rPr>
                <w:rFonts w:hint="eastAsia" w:eastAsia="黑体"/>
                <w:sz w:val="24"/>
                <w:lang w:val="en-US" w:eastAsia="zh-CN"/>
              </w:rPr>
              <w:t>7.2-1</w:t>
            </w:r>
            <w:r>
              <w:rPr>
                <w:rFonts w:hint="eastAsia" w:eastAsia="黑体"/>
                <w:sz w:val="24"/>
              </w:rPr>
              <w:t xml:space="preserve">   非甲烷总烃排放量</w:t>
            </w:r>
          </w:p>
          <w:tbl>
            <w:tblPr>
              <w:tblStyle w:val="24"/>
              <w:tblW w:w="8768" w:type="dxa"/>
              <w:jc w:val="center"/>
              <w:tblLayout w:type="fixed"/>
              <w:tblCellMar>
                <w:top w:w="0" w:type="dxa"/>
                <w:left w:w="108" w:type="dxa"/>
                <w:bottom w:w="0" w:type="dxa"/>
                <w:right w:w="108" w:type="dxa"/>
              </w:tblCellMar>
            </w:tblPr>
            <w:tblGrid>
              <w:gridCol w:w="954"/>
              <w:gridCol w:w="1291"/>
              <w:gridCol w:w="972"/>
              <w:gridCol w:w="1549"/>
              <w:gridCol w:w="1199"/>
              <w:gridCol w:w="1595"/>
              <w:gridCol w:w="1208"/>
            </w:tblGrid>
            <w:tr>
              <w:tblPrEx>
                <w:tblCellMar>
                  <w:top w:w="0" w:type="dxa"/>
                  <w:left w:w="108" w:type="dxa"/>
                  <w:bottom w:w="0" w:type="dxa"/>
                  <w:right w:w="108" w:type="dxa"/>
                </w:tblCellMar>
              </w:tblPrEx>
              <w:trPr>
                <w:trHeight w:val="753" w:hRule="atLeast"/>
                <w:jc w:val="center"/>
              </w:trPr>
              <w:tc>
                <w:tcPr>
                  <w:tcW w:w="2245" w:type="dxa"/>
                  <w:gridSpan w:val="2"/>
                  <w:tcBorders>
                    <w:top w:val="single" w:color="000000" w:sz="8" w:space="0"/>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项目</w:t>
                  </w:r>
                </w:p>
              </w:tc>
              <w:tc>
                <w:tcPr>
                  <w:tcW w:w="972"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通过量</w:t>
                  </w:r>
                </w:p>
                <w:p>
                  <w:pPr>
                    <w:ind w:left="-82" w:leftChars="-39" w:right="-111" w:rightChars="-53"/>
                    <w:jc w:val="center"/>
                    <w:rPr>
                      <w:snapToGrid w:val="0"/>
                      <w:kern w:val="0"/>
                      <w:szCs w:val="21"/>
                    </w:rPr>
                  </w:pPr>
                  <w:r>
                    <w:rPr>
                      <w:snapToGrid w:val="0"/>
                      <w:kern w:val="0"/>
                      <w:szCs w:val="21"/>
                    </w:rPr>
                    <w:t>（m³/a）</w:t>
                  </w:r>
                </w:p>
              </w:tc>
              <w:tc>
                <w:tcPr>
                  <w:tcW w:w="1549"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产生系数（kg/m³·通过量）</w:t>
                  </w:r>
                </w:p>
              </w:tc>
              <w:tc>
                <w:tcPr>
                  <w:tcW w:w="1199"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产生量</w:t>
                  </w:r>
                </w:p>
                <w:p>
                  <w:pPr>
                    <w:ind w:left="-82" w:leftChars="-39" w:right="-111" w:rightChars="-53"/>
                    <w:jc w:val="center"/>
                    <w:rPr>
                      <w:snapToGrid w:val="0"/>
                      <w:kern w:val="0"/>
                      <w:szCs w:val="21"/>
                    </w:rPr>
                  </w:pPr>
                  <w:r>
                    <w:rPr>
                      <w:snapToGrid w:val="0"/>
                      <w:kern w:val="0"/>
                      <w:szCs w:val="21"/>
                    </w:rPr>
                    <w:t>（kg/a）</w:t>
                  </w:r>
                </w:p>
              </w:tc>
              <w:tc>
                <w:tcPr>
                  <w:tcW w:w="1595"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排放系数（kg/m³·通过量）</w:t>
                  </w:r>
                </w:p>
              </w:tc>
              <w:tc>
                <w:tcPr>
                  <w:tcW w:w="1208" w:type="dxa"/>
                  <w:tcBorders>
                    <w:top w:val="single" w:color="000000" w:sz="8" w:space="0"/>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排放量</w:t>
                  </w:r>
                </w:p>
                <w:p>
                  <w:pPr>
                    <w:ind w:left="-82" w:leftChars="-39" w:right="-111" w:rightChars="-53"/>
                    <w:jc w:val="center"/>
                    <w:rPr>
                      <w:snapToGrid w:val="0"/>
                      <w:kern w:val="0"/>
                      <w:szCs w:val="21"/>
                    </w:rPr>
                  </w:pPr>
                  <w:r>
                    <w:rPr>
                      <w:snapToGrid w:val="0"/>
                      <w:kern w:val="0"/>
                      <w:szCs w:val="21"/>
                    </w:rPr>
                    <w:t>（kg/a）</w:t>
                  </w:r>
                </w:p>
              </w:tc>
            </w:tr>
            <w:tr>
              <w:tblPrEx>
                <w:tblCellMar>
                  <w:top w:w="0" w:type="dxa"/>
                  <w:left w:w="108" w:type="dxa"/>
                  <w:bottom w:w="0" w:type="dxa"/>
                  <w:right w:w="108" w:type="dxa"/>
                </w:tblCellMar>
              </w:tblPrEx>
              <w:trPr>
                <w:trHeight w:val="333" w:hRule="atLeast"/>
                <w:jc w:val="center"/>
              </w:trPr>
              <w:tc>
                <w:tcPr>
                  <w:tcW w:w="954" w:type="dxa"/>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油罐车</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卸料损失</w:t>
                  </w:r>
                </w:p>
              </w:tc>
              <w:tc>
                <w:tcPr>
                  <w:tcW w:w="972"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zCs w:val="21"/>
                    </w:rPr>
                    <w:t>436.33</w:t>
                  </w: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0.1</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43.633</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0.01</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4.3633</w:t>
                  </w:r>
                </w:p>
              </w:tc>
            </w:tr>
            <w:tr>
              <w:tblPrEx>
                <w:tblCellMar>
                  <w:top w:w="0" w:type="dxa"/>
                  <w:left w:w="108" w:type="dxa"/>
                  <w:bottom w:w="0" w:type="dxa"/>
                  <w:right w:w="108" w:type="dxa"/>
                </w:tblCellMar>
              </w:tblPrEx>
              <w:trPr>
                <w:trHeight w:val="333" w:hRule="atLeast"/>
                <w:jc w:val="center"/>
              </w:trPr>
              <w:tc>
                <w:tcPr>
                  <w:tcW w:w="954"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储油罐</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大呼吸损失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0.18</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78.5394</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0.018</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7.85394</w:t>
                  </w:r>
                </w:p>
              </w:tc>
            </w:tr>
            <w:tr>
              <w:tblPrEx>
                <w:tblCellMar>
                  <w:top w:w="0" w:type="dxa"/>
                  <w:left w:w="108" w:type="dxa"/>
                  <w:bottom w:w="0" w:type="dxa"/>
                  <w:right w:w="108" w:type="dxa"/>
                </w:tblCellMar>
              </w:tblPrEx>
              <w:trPr>
                <w:trHeight w:val="333" w:hRule="atLeast"/>
                <w:jc w:val="center"/>
              </w:trPr>
              <w:tc>
                <w:tcPr>
                  <w:tcW w:w="954"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小呼吸损失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0.07</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30.5431</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0.007</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3.05431</w:t>
                  </w:r>
                </w:p>
              </w:tc>
            </w:tr>
            <w:tr>
              <w:tblPrEx>
                <w:tblCellMar>
                  <w:top w:w="0" w:type="dxa"/>
                  <w:left w:w="108" w:type="dxa"/>
                  <w:bottom w:w="0" w:type="dxa"/>
                  <w:right w:w="108" w:type="dxa"/>
                </w:tblCellMar>
              </w:tblPrEx>
              <w:trPr>
                <w:trHeight w:val="333" w:hRule="atLeast"/>
                <w:jc w:val="center"/>
              </w:trPr>
              <w:tc>
                <w:tcPr>
                  <w:tcW w:w="954" w:type="dxa"/>
                  <w:vMerge w:val="restart"/>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加油站</w:t>
                  </w: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油品置换损失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0.11</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47.9963</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0.011</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4.79963</w:t>
                  </w:r>
                </w:p>
              </w:tc>
            </w:tr>
            <w:tr>
              <w:tblPrEx>
                <w:tblCellMar>
                  <w:top w:w="0" w:type="dxa"/>
                  <w:left w:w="108" w:type="dxa"/>
                  <w:bottom w:w="0" w:type="dxa"/>
                  <w:right w:w="108" w:type="dxa"/>
                </w:tblCellMar>
              </w:tblPrEx>
              <w:trPr>
                <w:trHeight w:val="324" w:hRule="atLeast"/>
                <w:jc w:val="center"/>
              </w:trPr>
              <w:tc>
                <w:tcPr>
                  <w:tcW w:w="954"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291"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跑冒滴漏损失</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0.036</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15.70788</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0.036</w:t>
                  </w:r>
                </w:p>
              </w:tc>
              <w:tc>
                <w:tcPr>
                  <w:tcW w:w="1208"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15.70788</w:t>
                  </w:r>
                </w:p>
              </w:tc>
            </w:tr>
            <w:tr>
              <w:tblPrEx>
                <w:tblCellMar>
                  <w:top w:w="0" w:type="dxa"/>
                  <w:left w:w="108" w:type="dxa"/>
                  <w:bottom w:w="0" w:type="dxa"/>
                  <w:right w:w="108" w:type="dxa"/>
                </w:tblCellMar>
              </w:tblPrEx>
              <w:trPr>
                <w:trHeight w:val="343" w:hRule="atLeast"/>
                <w:jc w:val="center"/>
              </w:trPr>
              <w:tc>
                <w:tcPr>
                  <w:tcW w:w="2245" w:type="dxa"/>
                  <w:gridSpan w:val="2"/>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合计</w:t>
                  </w:r>
                </w:p>
              </w:tc>
              <w:tc>
                <w:tcPr>
                  <w:tcW w:w="972" w:type="dxa"/>
                  <w:vMerge w:val="continue"/>
                  <w:tcBorders>
                    <w:top w:val="nil"/>
                    <w:left w:val="single" w:color="000000" w:sz="8" w:space="0"/>
                    <w:bottom w:val="single" w:color="000000" w:sz="8" w:space="0"/>
                    <w:right w:val="single" w:color="000000" w:sz="8" w:space="0"/>
                  </w:tcBorders>
                  <w:vAlign w:val="center"/>
                </w:tcPr>
                <w:p>
                  <w:pPr>
                    <w:ind w:left="-82" w:leftChars="-39" w:right="-111" w:rightChars="-53"/>
                    <w:jc w:val="center"/>
                    <w:rPr>
                      <w:snapToGrid w:val="0"/>
                      <w:kern w:val="0"/>
                      <w:szCs w:val="21"/>
                    </w:rPr>
                  </w:pPr>
                </w:p>
              </w:tc>
              <w:tc>
                <w:tcPr>
                  <w:tcW w:w="154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w:t>
                  </w:r>
                </w:p>
              </w:tc>
              <w:tc>
                <w:tcPr>
                  <w:tcW w:w="1199"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rFonts w:hint="eastAsia"/>
                      <w:snapToGrid w:val="0"/>
                      <w:kern w:val="0"/>
                      <w:szCs w:val="21"/>
                    </w:rPr>
                    <w:t>216.41968</w:t>
                  </w:r>
                </w:p>
              </w:tc>
              <w:tc>
                <w:tcPr>
                  <w:tcW w:w="1595" w:type="dxa"/>
                  <w:tcBorders>
                    <w:top w:val="nil"/>
                    <w:left w:val="nil"/>
                    <w:bottom w:val="single" w:color="000000" w:sz="8" w:space="0"/>
                    <w:right w:val="single" w:color="000000" w:sz="8" w:space="0"/>
                  </w:tcBorders>
                  <w:vAlign w:val="center"/>
                </w:tcPr>
                <w:p>
                  <w:pPr>
                    <w:ind w:left="-82" w:leftChars="-39" w:right="-111" w:rightChars="-53"/>
                    <w:jc w:val="center"/>
                    <w:rPr>
                      <w:snapToGrid w:val="0"/>
                      <w:kern w:val="0"/>
                      <w:szCs w:val="21"/>
                    </w:rPr>
                  </w:pPr>
                  <w:r>
                    <w:rPr>
                      <w:snapToGrid w:val="0"/>
                      <w:kern w:val="0"/>
                      <w:szCs w:val="21"/>
                    </w:rPr>
                    <w:t>/</w:t>
                  </w:r>
                </w:p>
              </w:tc>
              <w:tc>
                <w:tcPr>
                  <w:tcW w:w="1208" w:type="dxa"/>
                  <w:tcBorders>
                    <w:top w:val="nil"/>
                    <w:left w:val="nil"/>
                    <w:bottom w:val="single" w:color="000000" w:sz="8" w:space="0"/>
                    <w:right w:val="single" w:color="000000" w:sz="8" w:space="0"/>
                  </w:tcBorders>
                  <w:vAlign w:val="bottom"/>
                </w:tcPr>
                <w:p>
                  <w:pPr>
                    <w:ind w:left="-82" w:leftChars="-39" w:right="-111" w:rightChars="-53"/>
                    <w:jc w:val="center"/>
                    <w:rPr>
                      <w:snapToGrid w:val="0"/>
                      <w:kern w:val="0"/>
                      <w:szCs w:val="21"/>
                    </w:rPr>
                  </w:pPr>
                  <w:r>
                    <w:rPr>
                      <w:rFonts w:hint="eastAsia"/>
                      <w:snapToGrid w:val="0"/>
                      <w:kern w:val="0"/>
                      <w:szCs w:val="21"/>
                    </w:rPr>
                    <w:t>35.77906</w:t>
                  </w:r>
                </w:p>
              </w:tc>
            </w:tr>
          </w:tbl>
          <w:p>
            <w:pPr>
              <w:pStyle w:val="4"/>
              <w:ind w:firstLine="480"/>
            </w:pPr>
            <w:r>
              <w:rPr>
                <w:rFonts w:hint="eastAsia"/>
              </w:rPr>
              <w:t>（</w:t>
            </w:r>
            <w:r>
              <w:rPr>
                <w:rFonts w:hint="eastAsia"/>
                <w:lang w:val="en-US" w:eastAsia="zh-CN"/>
              </w:rPr>
              <w:t>2</w:t>
            </w:r>
            <w:r>
              <w:rPr>
                <w:rFonts w:hint="eastAsia"/>
              </w:rPr>
              <w:t>）环境空气评价等级判定</w:t>
            </w:r>
          </w:p>
          <w:p>
            <w:pPr>
              <w:pStyle w:val="4"/>
              <w:ind w:firstLine="480"/>
            </w:pPr>
            <w:r>
              <w:rPr>
                <w:rFonts w:hint="eastAsia"/>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pStyle w:val="4"/>
              <w:ind w:firstLine="480"/>
            </w:pPr>
            <w:r>
              <w:rPr>
                <w:rFonts w:hint="eastAsia"/>
              </w:rPr>
              <w:t>①Pmax及D10%的确定</w:t>
            </w:r>
          </w:p>
          <w:p>
            <w:pPr>
              <w:spacing w:line="360" w:lineRule="auto"/>
              <w:ind w:firstLine="422" w:firstLineChars="176"/>
              <w:jc w:val="left"/>
              <w:rPr>
                <w:sz w:val="24"/>
              </w:rPr>
            </w:pPr>
            <w:r>
              <w:rPr>
                <w:sz w:val="24"/>
              </w:rPr>
              <w:t>依据《环境影响评价技术导则 大气环境》(HJ2.2-20</w:t>
            </w:r>
            <w:r>
              <w:rPr>
                <w:rFonts w:hint="eastAsia"/>
                <w:sz w:val="24"/>
              </w:rPr>
              <w:t>1</w:t>
            </w:r>
            <w:r>
              <w:rPr>
                <w:sz w:val="24"/>
              </w:rPr>
              <w:t>8)中最大地面浓度占标率P</w:t>
            </w:r>
            <w:r>
              <w:rPr>
                <w:i/>
                <w:sz w:val="24"/>
              </w:rPr>
              <w:t>i</w:t>
            </w:r>
            <w:r>
              <w:rPr>
                <w:sz w:val="24"/>
              </w:rPr>
              <w:t>定义如下：</w:t>
            </w:r>
          </w:p>
          <w:p>
            <w:pPr>
              <w:pStyle w:val="4"/>
              <w:ind w:firstLine="480"/>
              <w:jc w:val="center"/>
            </w:pPr>
            <w:r>
              <w:drawing>
                <wp:inline distT="0" distB="0" distL="114300" distR="114300">
                  <wp:extent cx="1466850" cy="514350"/>
                  <wp:effectExtent l="0" t="0" r="0" b="0"/>
                  <wp:docPr id="16" name="图片 1" descr="154535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1545356944(1)"/>
                          <pic:cNvPicPr>
                            <a:picLocks noChangeAspect="1"/>
                          </pic:cNvPicPr>
                        </pic:nvPicPr>
                        <pic:blipFill>
                          <a:blip r:embed="rId18"/>
                          <a:srcRect l="10983"/>
                          <a:stretch>
                            <a:fillRect/>
                          </a:stretch>
                        </pic:blipFill>
                        <pic:spPr>
                          <a:xfrm>
                            <a:off x="0" y="0"/>
                            <a:ext cx="1466850" cy="514350"/>
                          </a:xfrm>
                          <a:prstGeom prst="rect">
                            <a:avLst/>
                          </a:prstGeom>
                          <a:noFill/>
                          <a:ln>
                            <a:noFill/>
                          </a:ln>
                        </pic:spPr>
                      </pic:pic>
                    </a:graphicData>
                  </a:graphic>
                </wp:inline>
              </w:drawing>
            </w:r>
          </w:p>
          <w:p>
            <w:pPr>
              <w:pStyle w:val="4"/>
              <w:ind w:firstLine="480"/>
            </w:pPr>
            <w:r>
              <w:t>式中：Pi —第i个污染物的最大地面空气质量浓度占标率，%；</w:t>
            </w:r>
          </w:p>
          <w:p>
            <w:pPr>
              <w:pStyle w:val="4"/>
              <w:ind w:firstLine="1200" w:firstLineChars="500"/>
            </w:pPr>
            <w:r>
              <w:t>ρi —采用估算模型计算出的第i个污染物的最大1h 地面空气质量浓度，μg/m³；</w:t>
            </w:r>
          </w:p>
          <w:p>
            <w:pPr>
              <w:pStyle w:val="4"/>
              <w:ind w:firstLine="1200" w:firstLineChars="500"/>
            </w:pPr>
            <w:r>
              <w:t>ρ0i —第i个污染物的环境空气质量浓度标准，μg/m³。</w:t>
            </w:r>
          </w:p>
          <w:p>
            <w:pPr>
              <w:pStyle w:val="4"/>
              <w:ind w:firstLine="480"/>
            </w:pPr>
            <w:r>
              <w:rPr>
                <w:rFonts w:hint="eastAsia"/>
              </w:rPr>
              <w:t>②</w:t>
            </w:r>
            <w:r>
              <w:t>评价等级按下表的分级判据进行划分。</w:t>
            </w:r>
          </w:p>
          <w:p>
            <w:pPr>
              <w:ind w:left="-51"/>
              <w:jc w:val="center"/>
              <w:rPr>
                <w:rFonts w:eastAsia="黑体"/>
                <w:sz w:val="24"/>
              </w:rPr>
            </w:pPr>
            <w:r>
              <w:rPr>
                <w:rFonts w:hint="eastAsia" w:eastAsia="黑体"/>
                <w:sz w:val="24"/>
              </w:rPr>
              <w:t>表7.2-</w:t>
            </w:r>
            <w:r>
              <w:rPr>
                <w:rFonts w:hint="eastAsia" w:eastAsia="黑体"/>
                <w:sz w:val="24"/>
                <w:lang w:val="en-US" w:eastAsia="zh-CN"/>
              </w:rPr>
              <w:t>2</w:t>
            </w:r>
            <w:r>
              <w:rPr>
                <w:rFonts w:hint="eastAsia" w:eastAsia="黑体"/>
                <w:sz w:val="24"/>
              </w:rPr>
              <w:t xml:space="preserve">  评价等级判别表</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9"/>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9" w:type="dxa"/>
                  <w:vAlign w:val="center"/>
                </w:tcPr>
                <w:p>
                  <w:pPr>
                    <w:ind w:left="-82" w:leftChars="-39" w:right="-111" w:rightChars="-53"/>
                    <w:jc w:val="center"/>
                    <w:rPr>
                      <w:snapToGrid w:val="0"/>
                      <w:kern w:val="0"/>
                      <w:szCs w:val="21"/>
                    </w:rPr>
                  </w:pPr>
                  <w:r>
                    <w:rPr>
                      <w:snapToGrid w:val="0"/>
                      <w:kern w:val="0"/>
                      <w:szCs w:val="21"/>
                    </w:rPr>
                    <w:t>评价工作等级</w:t>
                  </w:r>
                </w:p>
              </w:tc>
              <w:tc>
                <w:tcPr>
                  <w:tcW w:w="4430" w:type="dxa"/>
                  <w:vAlign w:val="center"/>
                </w:tcPr>
                <w:p>
                  <w:pPr>
                    <w:ind w:left="-82" w:leftChars="-39" w:right="-111" w:rightChars="-53"/>
                    <w:jc w:val="center"/>
                    <w:rPr>
                      <w:snapToGrid w:val="0"/>
                      <w:kern w:val="0"/>
                      <w:szCs w:val="21"/>
                    </w:rPr>
                  </w:pPr>
                  <w:r>
                    <w:rPr>
                      <w:snapToGrid w:val="0"/>
                      <w:kern w:val="0"/>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9" w:type="dxa"/>
                  <w:vAlign w:val="center"/>
                </w:tcPr>
                <w:p>
                  <w:pPr>
                    <w:ind w:left="-82" w:leftChars="-39" w:right="-111" w:rightChars="-53"/>
                    <w:jc w:val="center"/>
                    <w:rPr>
                      <w:snapToGrid w:val="0"/>
                      <w:kern w:val="0"/>
                      <w:szCs w:val="21"/>
                    </w:rPr>
                  </w:pPr>
                  <w:r>
                    <w:rPr>
                      <w:snapToGrid w:val="0"/>
                      <w:kern w:val="0"/>
                      <w:szCs w:val="21"/>
                    </w:rPr>
                    <w:t>一级评价</w:t>
                  </w:r>
                </w:p>
              </w:tc>
              <w:tc>
                <w:tcPr>
                  <w:tcW w:w="4430" w:type="dxa"/>
                  <w:vAlign w:val="center"/>
                </w:tcPr>
                <w:p>
                  <w:pPr>
                    <w:ind w:left="-82" w:leftChars="-39" w:right="-111" w:rightChars="-53"/>
                    <w:jc w:val="center"/>
                    <w:rPr>
                      <w:snapToGrid w:val="0"/>
                      <w:kern w:val="0"/>
                      <w:szCs w:val="21"/>
                    </w:rPr>
                  </w:pPr>
                  <w:r>
                    <w:rPr>
                      <w:snapToGrid w:val="0"/>
                      <w:kern w:val="0"/>
                      <w:szCs w:val="21"/>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9" w:type="dxa"/>
                  <w:vAlign w:val="center"/>
                </w:tcPr>
                <w:p>
                  <w:pPr>
                    <w:ind w:left="-82" w:leftChars="-39" w:right="-111" w:rightChars="-53"/>
                    <w:jc w:val="center"/>
                    <w:rPr>
                      <w:snapToGrid w:val="0"/>
                      <w:kern w:val="0"/>
                      <w:szCs w:val="21"/>
                    </w:rPr>
                  </w:pPr>
                  <w:r>
                    <w:rPr>
                      <w:snapToGrid w:val="0"/>
                      <w:kern w:val="0"/>
                      <w:szCs w:val="21"/>
                    </w:rPr>
                    <w:t>二级评价</w:t>
                  </w:r>
                </w:p>
              </w:tc>
              <w:tc>
                <w:tcPr>
                  <w:tcW w:w="4430" w:type="dxa"/>
                  <w:vAlign w:val="center"/>
                </w:tcPr>
                <w:p>
                  <w:pPr>
                    <w:ind w:left="-82" w:leftChars="-39" w:right="-111" w:rightChars="-53"/>
                    <w:jc w:val="center"/>
                    <w:rPr>
                      <w:snapToGrid w:val="0"/>
                      <w:kern w:val="0"/>
                      <w:szCs w:val="21"/>
                    </w:rPr>
                  </w:pPr>
                  <w:r>
                    <w:rPr>
                      <w:snapToGrid w:val="0"/>
                      <w:kern w:val="0"/>
                      <w:szCs w:val="21"/>
                    </w:rPr>
                    <w:t>1≤Pmax＜10%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9" w:type="dxa"/>
                  <w:vAlign w:val="center"/>
                </w:tcPr>
                <w:p>
                  <w:pPr>
                    <w:ind w:left="-82" w:leftChars="-39" w:right="-111" w:rightChars="-53"/>
                    <w:jc w:val="center"/>
                    <w:rPr>
                      <w:snapToGrid w:val="0"/>
                      <w:kern w:val="0"/>
                      <w:szCs w:val="21"/>
                    </w:rPr>
                  </w:pPr>
                  <w:r>
                    <w:rPr>
                      <w:snapToGrid w:val="0"/>
                      <w:kern w:val="0"/>
                      <w:szCs w:val="21"/>
                    </w:rPr>
                    <w:t>三级评价</w:t>
                  </w:r>
                </w:p>
              </w:tc>
              <w:tc>
                <w:tcPr>
                  <w:tcW w:w="4430" w:type="dxa"/>
                  <w:vAlign w:val="center"/>
                </w:tcPr>
                <w:p>
                  <w:pPr>
                    <w:ind w:left="-82" w:leftChars="-39" w:right="-111" w:rightChars="-53"/>
                    <w:jc w:val="center"/>
                    <w:rPr>
                      <w:snapToGrid w:val="0"/>
                      <w:kern w:val="0"/>
                      <w:szCs w:val="21"/>
                    </w:rPr>
                  </w:pPr>
                  <w:r>
                    <w:rPr>
                      <w:snapToGrid w:val="0"/>
                      <w:kern w:val="0"/>
                      <w:szCs w:val="21"/>
                    </w:rPr>
                    <w:t>Pmax＜1%</w:t>
                  </w:r>
                </w:p>
              </w:tc>
            </w:tr>
          </w:tbl>
          <w:p>
            <w:pPr>
              <w:pStyle w:val="4"/>
              <w:ind w:firstLine="480"/>
            </w:pPr>
            <w:r>
              <w:rPr>
                <w:rFonts w:hint="eastAsia"/>
              </w:rPr>
              <w:t>③污染物评价标准</w:t>
            </w:r>
          </w:p>
          <w:p>
            <w:pPr>
              <w:pStyle w:val="4"/>
              <w:ind w:firstLine="480"/>
            </w:pPr>
            <w:r>
              <w:rPr>
                <w:rFonts w:hint="eastAsia"/>
              </w:rPr>
              <w:t>本项目营运期间主要废气污染来自卸油、储油（油罐大、小呼吸）、加油机作业等排放的非甲烷总烃、汽车尾气、备用柴油发电机废气等。油罐车卸油、汽车尾气、备用柴油发电机废气均为间歇式排放，故本次主要对储油罐、加油机作业的非甲烷总烃进行等级评价估算。采用《环境影响评价技术导则——大气环境》（HJ2.2-2018）中推荐的估算模式AERSCREEN对本项目无组织废气（储油罐、加油机作业的非甲烷总烃）的环境影响进行估算。污染物评价标准和来源见下表。</w:t>
            </w:r>
          </w:p>
          <w:p>
            <w:pPr>
              <w:ind w:left="-51"/>
              <w:jc w:val="center"/>
              <w:rPr>
                <w:rFonts w:eastAsia="黑体"/>
                <w:sz w:val="24"/>
              </w:rPr>
            </w:pPr>
            <w:r>
              <w:rPr>
                <w:rFonts w:hint="eastAsia" w:eastAsia="黑体"/>
                <w:sz w:val="24"/>
              </w:rPr>
              <w:t>表7.2-</w:t>
            </w:r>
            <w:r>
              <w:rPr>
                <w:rFonts w:hint="eastAsia" w:eastAsia="黑体"/>
                <w:sz w:val="24"/>
                <w:lang w:val="en-US" w:eastAsia="zh-CN"/>
              </w:rPr>
              <w:t>3</w:t>
            </w:r>
            <w:r>
              <w:rPr>
                <w:rFonts w:hint="eastAsia" w:eastAsia="黑体"/>
                <w:sz w:val="24"/>
              </w:rPr>
              <w:t xml:space="preserve">   污染物评价标准</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9"/>
              <w:gridCol w:w="1813"/>
              <w:gridCol w:w="1994"/>
              <w:gridCol w:w="33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729" w:type="dxa"/>
                  <w:tcBorders>
                    <w:bottom w:val="single" w:color="auto" w:sz="6" w:space="0"/>
                    <w:right w:val="single" w:color="auto" w:sz="6" w:space="0"/>
                  </w:tcBorders>
                  <w:vAlign w:val="center"/>
                </w:tcPr>
                <w:p>
                  <w:pPr>
                    <w:ind w:left="-82" w:leftChars="-39" w:right="-111" w:rightChars="-53"/>
                    <w:jc w:val="center"/>
                    <w:rPr>
                      <w:snapToGrid w:val="0"/>
                      <w:kern w:val="0"/>
                      <w:szCs w:val="21"/>
                    </w:rPr>
                  </w:pPr>
                  <w:r>
                    <w:rPr>
                      <w:snapToGrid w:val="0"/>
                      <w:kern w:val="0"/>
                      <w:szCs w:val="21"/>
                    </w:rPr>
                    <w:t>评价因子</w:t>
                  </w:r>
                </w:p>
              </w:tc>
              <w:tc>
                <w:tcPr>
                  <w:tcW w:w="1813" w:type="dxa"/>
                  <w:tcBorders>
                    <w:left w:val="single" w:color="auto" w:sz="6" w:space="0"/>
                    <w:bottom w:val="single" w:color="auto" w:sz="6" w:space="0"/>
                    <w:right w:val="single" w:color="auto" w:sz="6" w:space="0"/>
                  </w:tcBorders>
                  <w:vAlign w:val="center"/>
                </w:tcPr>
                <w:p>
                  <w:pPr>
                    <w:ind w:left="-82" w:leftChars="-39" w:right="-111" w:rightChars="-53"/>
                    <w:jc w:val="center"/>
                    <w:rPr>
                      <w:snapToGrid w:val="0"/>
                      <w:kern w:val="0"/>
                      <w:szCs w:val="21"/>
                    </w:rPr>
                  </w:pPr>
                  <w:r>
                    <w:rPr>
                      <w:snapToGrid w:val="0"/>
                      <w:kern w:val="0"/>
                      <w:szCs w:val="21"/>
                    </w:rPr>
                    <w:t>平均时段</w:t>
                  </w:r>
                </w:p>
              </w:tc>
              <w:tc>
                <w:tcPr>
                  <w:tcW w:w="1994" w:type="dxa"/>
                  <w:tcBorders>
                    <w:left w:val="single" w:color="auto" w:sz="6" w:space="0"/>
                    <w:bottom w:val="single" w:color="auto" w:sz="6" w:space="0"/>
                    <w:right w:val="single" w:color="auto" w:sz="6" w:space="0"/>
                  </w:tcBorders>
                  <w:vAlign w:val="center"/>
                </w:tcPr>
                <w:p>
                  <w:pPr>
                    <w:ind w:left="-82" w:leftChars="-39" w:right="-111" w:rightChars="-53"/>
                    <w:jc w:val="center"/>
                    <w:rPr>
                      <w:snapToGrid w:val="0"/>
                      <w:kern w:val="0"/>
                      <w:szCs w:val="21"/>
                    </w:rPr>
                  </w:pPr>
                  <w:r>
                    <w:rPr>
                      <w:snapToGrid w:val="0"/>
                      <w:kern w:val="0"/>
                      <w:szCs w:val="21"/>
                    </w:rPr>
                    <w:t>标准值µg/m³</w:t>
                  </w:r>
                </w:p>
              </w:tc>
              <w:tc>
                <w:tcPr>
                  <w:tcW w:w="3323" w:type="dxa"/>
                  <w:tcBorders>
                    <w:left w:val="single" w:color="auto" w:sz="6" w:space="0"/>
                    <w:bottom w:val="single" w:color="auto" w:sz="6" w:space="0"/>
                  </w:tcBorders>
                  <w:vAlign w:val="center"/>
                </w:tcPr>
                <w:p>
                  <w:pPr>
                    <w:ind w:left="-82" w:leftChars="-39" w:right="-111" w:rightChars="-53"/>
                    <w:jc w:val="center"/>
                    <w:rPr>
                      <w:snapToGrid w:val="0"/>
                      <w:kern w:val="0"/>
                      <w:szCs w:val="21"/>
                    </w:rPr>
                  </w:pPr>
                  <w:r>
                    <w:rPr>
                      <w:snapToGrid w:val="0"/>
                      <w:kern w:val="0"/>
                      <w:szCs w:val="21"/>
                    </w:rPr>
                    <w:t>标准来源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729" w:type="dxa"/>
                  <w:tcBorders>
                    <w:top w:val="single" w:color="auto" w:sz="6" w:space="0"/>
                    <w:bottom w:val="single" w:color="auto" w:sz="6" w:space="0"/>
                    <w:right w:val="single" w:color="auto" w:sz="6" w:space="0"/>
                  </w:tcBorders>
                  <w:vAlign w:val="center"/>
                </w:tcPr>
                <w:p>
                  <w:pPr>
                    <w:ind w:left="-82" w:leftChars="-39" w:right="-111" w:rightChars="-53"/>
                    <w:jc w:val="center"/>
                    <w:rPr>
                      <w:snapToGrid w:val="0"/>
                      <w:kern w:val="0"/>
                      <w:szCs w:val="21"/>
                    </w:rPr>
                  </w:pPr>
                  <w:r>
                    <w:rPr>
                      <w:rFonts w:hint="eastAsia"/>
                      <w:snapToGrid w:val="0"/>
                      <w:kern w:val="0"/>
                      <w:szCs w:val="21"/>
                    </w:rPr>
                    <w:t>非甲烷总烃</w:t>
                  </w:r>
                </w:p>
              </w:tc>
              <w:tc>
                <w:tcPr>
                  <w:tcW w:w="1813" w:type="dxa"/>
                  <w:tcBorders>
                    <w:top w:val="single" w:color="auto" w:sz="6" w:space="0"/>
                    <w:left w:val="single" w:color="auto" w:sz="6" w:space="0"/>
                    <w:right w:val="single" w:color="auto" w:sz="6" w:space="0"/>
                  </w:tcBorders>
                  <w:vAlign w:val="center"/>
                </w:tcPr>
                <w:p>
                  <w:pPr>
                    <w:ind w:left="-82" w:leftChars="-39" w:right="-111" w:rightChars="-53"/>
                    <w:jc w:val="center"/>
                    <w:rPr>
                      <w:snapToGrid w:val="0"/>
                      <w:kern w:val="0"/>
                      <w:szCs w:val="21"/>
                    </w:rPr>
                  </w:pPr>
                  <w:r>
                    <w:rPr>
                      <w:snapToGrid w:val="0"/>
                      <w:kern w:val="0"/>
                      <w:szCs w:val="21"/>
                    </w:rPr>
                    <w:t>二类限区</w:t>
                  </w:r>
                </w:p>
              </w:tc>
              <w:tc>
                <w:tcPr>
                  <w:tcW w:w="1994" w:type="dxa"/>
                  <w:tcBorders>
                    <w:top w:val="single" w:color="auto" w:sz="6" w:space="0"/>
                    <w:left w:val="single" w:color="auto" w:sz="6" w:space="0"/>
                    <w:bottom w:val="single" w:color="auto" w:sz="6" w:space="0"/>
                    <w:right w:val="single" w:color="auto" w:sz="6" w:space="0"/>
                  </w:tcBorders>
                  <w:vAlign w:val="center"/>
                </w:tcPr>
                <w:p>
                  <w:pPr>
                    <w:ind w:left="-82" w:leftChars="-39" w:right="-111" w:rightChars="-53"/>
                    <w:jc w:val="center"/>
                    <w:rPr>
                      <w:snapToGrid w:val="0"/>
                      <w:kern w:val="0"/>
                      <w:szCs w:val="21"/>
                    </w:rPr>
                  </w:pPr>
                  <w:r>
                    <w:rPr>
                      <w:snapToGrid w:val="0"/>
                      <w:kern w:val="0"/>
                      <w:szCs w:val="21"/>
                    </w:rPr>
                    <w:t>一小时</w:t>
                  </w:r>
                </w:p>
              </w:tc>
              <w:tc>
                <w:tcPr>
                  <w:tcW w:w="3323" w:type="dxa"/>
                  <w:tcBorders>
                    <w:top w:val="single" w:color="auto" w:sz="6" w:space="0"/>
                    <w:left w:val="single" w:color="auto" w:sz="6" w:space="0"/>
                    <w:bottom w:val="single" w:color="auto" w:sz="6" w:space="0"/>
                  </w:tcBorders>
                  <w:vAlign w:val="center"/>
                </w:tcPr>
                <w:p>
                  <w:pPr>
                    <w:ind w:left="-82" w:leftChars="-39" w:right="-111" w:rightChars="-53"/>
                    <w:jc w:val="center"/>
                    <w:rPr>
                      <w:snapToGrid w:val="0"/>
                      <w:kern w:val="0"/>
                      <w:szCs w:val="21"/>
                    </w:rPr>
                  </w:pPr>
                  <w:r>
                    <w:rPr>
                      <w:snapToGrid w:val="0"/>
                      <w:kern w:val="0"/>
                      <w:szCs w:val="21"/>
                    </w:rPr>
                    <w:t>2000.0</w:t>
                  </w:r>
                </w:p>
              </w:tc>
            </w:tr>
          </w:tbl>
          <w:p>
            <w:pPr>
              <w:pStyle w:val="4"/>
              <w:ind w:firstLine="480"/>
            </w:pPr>
            <w:r>
              <w:rPr>
                <w:rFonts w:hint="eastAsia"/>
              </w:rPr>
              <w:t>（2）污染源参数</w:t>
            </w:r>
          </w:p>
          <w:p>
            <w:pPr>
              <w:pStyle w:val="4"/>
              <w:ind w:firstLine="480"/>
            </w:pPr>
            <w:r>
              <w:rPr>
                <w:rFonts w:hint="eastAsia"/>
              </w:rPr>
              <w:t>主要废气污染源排放参数见下表：</w:t>
            </w:r>
          </w:p>
          <w:p>
            <w:pPr>
              <w:ind w:left="-51"/>
              <w:jc w:val="center"/>
              <w:rPr>
                <w:rFonts w:eastAsia="黑体"/>
                <w:sz w:val="24"/>
              </w:rPr>
            </w:pPr>
            <w:r>
              <w:rPr>
                <w:rFonts w:hint="eastAsia" w:eastAsia="黑体"/>
                <w:sz w:val="24"/>
              </w:rPr>
              <w:t>表7.2-</w:t>
            </w:r>
            <w:r>
              <w:rPr>
                <w:rFonts w:hint="eastAsia" w:eastAsia="黑体"/>
                <w:sz w:val="24"/>
                <w:lang w:val="en-US" w:eastAsia="zh-CN"/>
              </w:rPr>
              <w:t>4</w:t>
            </w:r>
            <w:r>
              <w:rPr>
                <w:rFonts w:hint="eastAsia" w:eastAsia="黑体"/>
                <w:sz w:val="24"/>
              </w:rPr>
              <w:t xml:space="preserve">   本项目面源参数表</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155"/>
              <w:gridCol w:w="1087"/>
              <w:gridCol w:w="858"/>
              <w:gridCol w:w="759"/>
              <w:gridCol w:w="760"/>
              <w:gridCol w:w="874"/>
              <w:gridCol w:w="958"/>
              <w:gridCol w:w="725"/>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5" w:type="dxa"/>
                  <w:vMerge w:val="restart"/>
                  <w:vAlign w:val="center"/>
                </w:tcPr>
                <w:p>
                  <w:pPr>
                    <w:jc w:val="center"/>
                    <w:rPr>
                      <w:szCs w:val="21"/>
                    </w:rPr>
                  </w:pPr>
                  <w:r>
                    <w:rPr>
                      <w:szCs w:val="21"/>
                    </w:rPr>
                    <w:t>污染源名称</w:t>
                  </w:r>
                </w:p>
              </w:tc>
              <w:tc>
                <w:tcPr>
                  <w:tcW w:w="2242" w:type="dxa"/>
                  <w:gridSpan w:val="2"/>
                  <w:vAlign w:val="center"/>
                </w:tcPr>
                <w:p>
                  <w:pPr>
                    <w:snapToGrid w:val="0"/>
                    <w:jc w:val="center"/>
                    <w:rPr>
                      <w:szCs w:val="21"/>
                    </w:rPr>
                  </w:pPr>
                  <w:r>
                    <w:rPr>
                      <w:szCs w:val="21"/>
                    </w:rPr>
                    <w:t>坐标</w:t>
                  </w:r>
                </w:p>
              </w:tc>
              <w:tc>
                <w:tcPr>
                  <w:tcW w:w="858" w:type="dxa"/>
                  <w:vMerge w:val="restart"/>
                  <w:vAlign w:val="center"/>
                </w:tcPr>
                <w:p>
                  <w:pPr>
                    <w:snapToGrid w:val="0"/>
                    <w:jc w:val="center"/>
                    <w:rPr>
                      <w:szCs w:val="21"/>
                    </w:rPr>
                  </w:pPr>
                  <w:r>
                    <w:rPr>
                      <w:szCs w:val="21"/>
                    </w:rPr>
                    <w:t>海拔高度/m</w:t>
                  </w:r>
                </w:p>
              </w:tc>
              <w:tc>
                <w:tcPr>
                  <w:tcW w:w="2393" w:type="dxa"/>
                  <w:gridSpan w:val="3"/>
                  <w:vAlign w:val="center"/>
                </w:tcPr>
                <w:p>
                  <w:pPr>
                    <w:snapToGrid w:val="0"/>
                    <w:jc w:val="center"/>
                    <w:rPr>
                      <w:szCs w:val="21"/>
                    </w:rPr>
                  </w:pPr>
                  <w:r>
                    <w:rPr>
                      <w:szCs w:val="21"/>
                    </w:rPr>
                    <w:t>矩形面源</w:t>
                  </w:r>
                </w:p>
              </w:tc>
              <w:tc>
                <w:tcPr>
                  <w:tcW w:w="958" w:type="dxa"/>
                  <w:vMerge w:val="restart"/>
                  <w:vAlign w:val="center"/>
                </w:tcPr>
                <w:p>
                  <w:pPr>
                    <w:snapToGrid w:val="0"/>
                    <w:jc w:val="center"/>
                    <w:rPr>
                      <w:szCs w:val="21"/>
                    </w:rPr>
                  </w:pPr>
                  <w:r>
                    <w:rPr>
                      <w:szCs w:val="21"/>
                    </w:rPr>
                    <w:t>污染物</w:t>
                  </w:r>
                </w:p>
              </w:tc>
              <w:tc>
                <w:tcPr>
                  <w:tcW w:w="725" w:type="dxa"/>
                  <w:vMerge w:val="restart"/>
                  <w:vAlign w:val="center"/>
                </w:tcPr>
                <w:p>
                  <w:pPr>
                    <w:snapToGrid w:val="0"/>
                    <w:jc w:val="center"/>
                    <w:rPr>
                      <w:szCs w:val="21"/>
                    </w:rPr>
                  </w:pPr>
                  <w:r>
                    <w:rPr>
                      <w:szCs w:val="21"/>
                    </w:rPr>
                    <w:t>排放速率</w:t>
                  </w:r>
                </w:p>
              </w:tc>
              <w:tc>
                <w:tcPr>
                  <w:tcW w:w="688" w:type="dxa"/>
                  <w:vMerge w:val="restart"/>
                  <w:vAlign w:val="center"/>
                </w:tcPr>
                <w:p>
                  <w:pPr>
                    <w:snapToGrid w:val="0"/>
                    <w:jc w:val="center"/>
                    <w:rPr>
                      <w:szCs w:val="21"/>
                    </w:rPr>
                  </w:pPr>
                  <w:r>
                    <w:rPr>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5" w:type="dxa"/>
                  <w:vMerge w:val="continue"/>
                  <w:vAlign w:val="center"/>
                </w:tcPr>
                <w:p>
                  <w:pPr>
                    <w:snapToGrid w:val="0"/>
                    <w:jc w:val="center"/>
                    <w:rPr>
                      <w:szCs w:val="21"/>
                    </w:rPr>
                  </w:pPr>
                </w:p>
              </w:tc>
              <w:tc>
                <w:tcPr>
                  <w:tcW w:w="1155" w:type="dxa"/>
                  <w:vAlign w:val="center"/>
                </w:tcPr>
                <w:p>
                  <w:pPr>
                    <w:snapToGrid w:val="0"/>
                    <w:jc w:val="center"/>
                    <w:rPr>
                      <w:szCs w:val="21"/>
                    </w:rPr>
                  </w:pPr>
                  <w:r>
                    <w:rPr>
                      <w:szCs w:val="21"/>
                    </w:rPr>
                    <w:t>X</w:t>
                  </w:r>
                </w:p>
              </w:tc>
              <w:tc>
                <w:tcPr>
                  <w:tcW w:w="1087" w:type="dxa"/>
                  <w:vAlign w:val="center"/>
                </w:tcPr>
                <w:p>
                  <w:pPr>
                    <w:snapToGrid w:val="0"/>
                    <w:jc w:val="center"/>
                    <w:rPr>
                      <w:szCs w:val="21"/>
                    </w:rPr>
                  </w:pPr>
                  <w:r>
                    <w:rPr>
                      <w:szCs w:val="21"/>
                    </w:rPr>
                    <w:t>Y</w:t>
                  </w:r>
                </w:p>
              </w:tc>
              <w:tc>
                <w:tcPr>
                  <w:tcW w:w="858" w:type="dxa"/>
                  <w:vMerge w:val="continue"/>
                  <w:vAlign w:val="center"/>
                </w:tcPr>
                <w:p>
                  <w:pPr>
                    <w:snapToGrid w:val="0"/>
                    <w:jc w:val="center"/>
                    <w:rPr>
                      <w:szCs w:val="21"/>
                    </w:rPr>
                  </w:pPr>
                </w:p>
              </w:tc>
              <w:tc>
                <w:tcPr>
                  <w:tcW w:w="759" w:type="dxa"/>
                  <w:vAlign w:val="center"/>
                </w:tcPr>
                <w:p>
                  <w:pPr>
                    <w:snapToGrid w:val="0"/>
                    <w:jc w:val="center"/>
                    <w:rPr>
                      <w:szCs w:val="21"/>
                    </w:rPr>
                  </w:pPr>
                  <w:r>
                    <w:rPr>
                      <w:szCs w:val="21"/>
                    </w:rPr>
                    <w:t>长度/m</w:t>
                  </w:r>
                </w:p>
              </w:tc>
              <w:tc>
                <w:tcPr>
                  <w:tcW w:w="760" w:type="dxa"/>
                  <w:vAlign w:val="center"/>
                </w:tcPr>
                <w:p>
                  <w:pPr>
                    <w:snapToGrid w:val="0"/>
                    <w:jc w:val="center"/>
                    <w:rPr>
                      <w:szCs w:val="21"/>
                    </w:rPr>
                  </w:pPr>
                  <w:r>
                    <w:rPr>
                      <w:szCs w:val="21"/>
                    </w:rPr>
                    <w:t>宽度/m</w:t>
                  </w:r>
                </w:p>
              </w:tc>
              <w:tc>
                <w:tcPr>
                  <w:tcW w:w="874" w:type="dxa"/>
                  <w:vAlign w:val="center"/>
                </w:tcPr>
                <w:p>
                  <w:pPr>
                    <w:snapToGrid w:val="0"/>
                    <w:jc w:val="center"/>
                    <w:rPr>
                      <w:szCs w:val="21"/>
                    </w:rPr>
                  </w:pPr>
                  <w:r>
                    <w:rPr>
                      <w:szCs w:val="21"/>
                    </w:rPr>
                    <w:t>有效高度/m</w:t>
                  </w:r>
                </w:p>
              </w:tc>
              <w:tc>
                <w:tcPr>
                  <w:tcW w:w="958" w:type="dxa"/>
                  <w:vMerge w:val="continue"/>
                  <w:vAlign w:val="center"/>
                </w:tcPr>
                <w:p>
                  <w:pPr>
                    <w:snapToGrid w:val="0"/>
                    <w:jc w:val="center"/>
                    <w:rPr>
                      <w:szCs w:val="21"/>
                    </w:rPr>
                  </w:pPr>
                </w:p>
              </w:tc>
              <w:tc>
                <w:tcPr>
                  <w:tcW w:w="725" w:type="dxa"/>
                  <w:vMerge w:val="continue"/>
                  <w:vAlign w:val="center"/>
                </w:tcPr>
                <w:p>
                  <w:pPr>
                    <w:snapToGrid w:val="0"/>
                    <w:jc w:val="center"/>
                    <w:rPr>
                      <w:szCs w:val="21"/>
                    </w:rPr>
                  </w:pPr>
                </w:p>
              </w:tc>
              <w:tc>
                <w:tcPr>
                  <w:tcW w:w="688" w:type="dxa"/>
                  <w:vMerge w:val="continue"/>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5" w:type="dxa"/>
                  <w:vAlign w:val="center"/>
                </w:tcPr>
                <w:p>
                  <w:pPr>
                    <w:jc w:val="center"/>
                    <w:rPr>
                      <w:szCs w:val="21"/>
                    </w:rPr>
                  </w:pPr>
                  <w:r>
                    <w:t>矩形面源</w:t>
                  </w:r>
                </w:p>
              </w:tc>
              <w:tc>
                <w:tcPr>
                  <w:tcW w:w="1155" w:type="dxa"/>
                  <w:vAlign w:val="center"/>
                </w:tcPr>
                <w:p>
                  <w:pPr>
                    <w:jc w:val="center"/>
                    <w:rPr>
                      <w:szCs w:val="21"/>
                    </w:rPr>
                  </w:pPr>
                  <w:r>
                    <w:t>112.74344</w:t>
                  </w:r>
                </w:p>
              </w:tc>
              <w:tc>
                <w:tcPr>
                  <w:tcW w:w="1087" w:type="dxa"/>
                  <w:vAlign w:val="center"/>
                </w:tcPr>
                <w:p>
                  <w:pPr>
                    <w:jc w:val="center"/>
                    <w:rPr>
                      <w:szCs w:val="21"/>
                    </w:rPr>
                  </w:pPr>
                  <w:r>
                    <w:t>28.729687</w:t>
                  </w:r>
                </w:p>
              </w:tc>
              <w:tc>
                <w:tcPr>
                  <w:tcW w:w="858" w:type="dxa"/>
                  <w:vAlign w:val="center"/>
                </w:tcPr>
                <w:p>
                  <w:pPr>
                    <w:jc w:val="center"/>
                    <w:rPr>
                      <w:szCs w:val="21"/>
                    </w:rPr>
                  </w:pPr>
                  <w:r>
                    <w:t>25.0</w:t>
                  </w:r>
                </w:p>
              </w:tc>
              <w:tc>
                <w:tcPr>
                  <w:tcW w:w="759" w:type="dxa"/>
                  <w:vAlign w:val="center"/>
                </w:tcPr>
                <w:p>
                  <w:pPr>
                    <w:jc w:val="center"/>
                    <w:rPr>
                      <w:szCs w:val="21"/>
                    </w:rPr>
                  </w:pPr>
                  <w:r>
                    <w:t>32.87</w:t>
                  </w:r>
                </w:p>
              </w:tc>
              <w:tc>
                <w:tcPr>
                  <w:tcW w:w="760" w:type="dxa"/>
                  <w:vAlign w:val="center"/>
                </w:tcPr>
                <w:p>
                  <w:pPr>
                    <w:jc w:val="center"/>
                    <w:rPr>
                      <w:szCs w:val="21"/>
                    </w:rPr>
                  </w:pPr>
                  <w:r>
                    <w:t>37.39</w:t>
                  </w:r>
                </w:p>
              </w:tc>
              <w:tc>
                <w:tcPr>
                  <w:tcW w:w="874" w:type="dxa"/>
                  <w:vAlign w:val="center"/>
                </w:tcPr>
                <w:p>
                  <w:pPr>
                    <w:jc w:val="center"/>
                    <w:rPr>
                      <w:szCs w:val="21"/>
                    </w:rPr>
                  </w:pPr>
                  <w:r>
                    <w:rPr>
                      <w:rFonts w:hint="eastAsia"/>
                    </w:rPr>
                    <w:t>5.0</w:t>
                  </w:r>
                </w:p>
              </w:tc>
              <w:tc>
                <w:tcPr>
                  <w:tcW w:w="958" w:type="dxa"/>
                  <w:vAlign w:val="center"/>
                </w:tcPr>
                <w:p>
                  <w:pPr>
                    <w:snapToGrid w:val="0"/>
                    <w:jc w:val="center"/>
                    <w:rPr>
                      <w:szCs w:val="21"/>
                    </w:rPr>
                  </w:pPr>
                  <w:r>
                    <w:rPr>
                      <w:rFonts w:hint="eastAsia"/>
                      <w:szCs w:val="21"/>
                    </w:rPr>
                    <w:t>非甲烷总烃</w:t>
                  </w:r>
                  <w:r>
                    <w:rPr>
                      <w:szCs w:val="21"/>
                    </w:rPr>
                    <w:t xml:space="preserve">  </w:t>
                  </w:r>
                </w:p>
              </w:tc>
              <w:tc>
                <w:tcPr>
                  <w:tcW w:w="725" w:type="dxa"/>
                  <w:vAlign w:val="center"/>
                </w:tcPr>
                <w:p>
                  <w:pPr>
                    <w:jc w:val="center"/>
                    <w:rPr>
                      <w:szCs w:val="21"/>
                    </w:rPr>
                  </w:pPr>
                  <w:r>
                    <w:rPr>
                      <w:szCs w:val="21"/>
                    </w:rPr>
                    <w:t>0.0</w:t>
                  </w:r>
                  <w:r>
                    <w:rPr>
                      <w:rFonts w:hint="eastAsia"/>
                      <w:szCs w:val="21"/>
                    </w:rPr>
                    <w:t>04</w:t>
                  </w:r>
                  <w:r>
                    <w:rPr>
                      <w:szCs w:val="21"/>
                    </w:rPr>
                    <w:t xml:space="preserve"> </w:t>
                  </w:r>
                </w:p>
              </w:tc>
              <w:tc>
                <w:tcPr>
                  <w:tcW w:w="688" w:type="dxa"/>
                  <w:vAlign w:val="center"/>
                </w:tcPr>
                <w:p>
                  <w:pPr>
                    <w:jc w:val="center"/>
                    <w:rPr>
                      <w:szCs w:val="21"/>
                    </w:rPr>
                  </w:pPr>
                  <w:r>
                    <w:rPr>
                      <w:szCs w:val="21"/>
                    </w:rPr>
                    <w:t>kg/h</w:t>
                  </w:r>
                </w:p>
              </w:tc>
            </w:tr>
          </w:tbl>
          <w:p>
            <w:pPr>
              <w:pStyle w:val="4"/>
              <w:ind w:firstLine="480"/>
            </w:pPr>
            <w:r>
              <w:rPr>
                <w:rFonts w:hint="eastAsia"/>
              </w:rPr>
              <w:t>（3）项目参数</w:t>
            </w:r>
          </w:p>
          <w:p>
            <w:pPr>
              <w:pStyle w:val="4"/>
              <w:ind w:firstLine="480"/>
            </w:pPr>
            <w:r>
              <w:rPr>
                <w:rFonts w:hint="eastAsia"/>
              </w:rPr>
              <w:t>估算模式所用参数见</w:t>
            </w:r>
            <w:r>
              <w:rPr>
                <w:rFonts w:hint="eastAsia"/>
                <w:lang w:eastAsia="zh-CN"/>
              </w:rPr>
              <w:t>下</w:t>
            </w:r>
            <w:r>
              <w:rPr>
                <w:rFonts w:hint="eastAsia"/>
              </w:rPr>
              <w:t>表。</w:t>
            </w:r>
          </w:p>
          <w:p>
            <w:pPr>
              <w:ind w:left="-51"/>
              <w:jc w:val="center"/>
              <w:rPr>
                <w:rFonts w:eastAsia="黑体"/>
                <w:sz w:val="24"/>
              </w:rPr>
            </w:pPr>
            <w:r>
              <w:rPr>
                <w:rFonts w:hint="eastAsia" w:eastAsia="黑体"/>
                <w:sz w:val="24"/>
              </w:rPr>
              <w:t>表7.2-</w:t>
            </w:r>
            <w:r>
              <w:rPr>
                <w:rFonts w:hint="eastAsia" w:eastAsia="黑体"/>
                <w:sz w:val="24"/>
                <w:lang w:val="en-US" w:eastAsia="zh-CN"/>
              </w:rPr>
              <w:t>5</w:t>
            </w:r>
            <w:r>
              <w:rPr>
                <w:rFonts w:hint="eastAsia" w:eastAsia="黑体"/>
                <w:sz w:val="24"/>
              </w:rPr>
              <w:t xml:space="preserve">   估算模式参数表</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2952"/>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5" w:type="dxa"/>
                  <w:gridSpan w:val="2"/>
                  <w:vAlign w:val="center"/>
                </w:tcPr>
                <w:p>
                  <w:pPr>
                    <w:ind w:left="-82" w:leftChars="-39" w:right="-111" w:rightChars="-53"/>
                    <w:jc w:val="center"/>
                    <w:rPr>
                      <w:snapToGrid w:val="0"/>
                      <w:kern w:val="0"/>
                      <w:szCs w:val="21"/>
                    </w:rPr>
                  </w:pPr>
                  <w:r>
                    <w:rPr>
                      <w:snapToGrid w:val="0"/>
                      <w:kern w:val="0"/>
                      <w:szCs w:val="21"/>
                    </w:rPr>
                    <w:t>参数</w:t>
                  </w:r>
                </w:p>
              </w:tc>
              <w:tc>
                <w:tcPr>
                  <w:tcW w:w="2954" w:type="dxa"/>
                  <w:vAlign w:val="center"/>
                </w:tcPr>
                <w:p>
                  <w:pPr>
                    <w:ind w:left="-82" w:leftChars="-39" w:right="-111" w:rightChars="-53"/>
                    <w:jc w:val="center"/>
                    <w:rPr>
                      <w:snapToGrid w:val="0"/>
                      <w:kern w:val="0"/>
                      <w:szCs w:val="21"/>
                    </w:rPr>
                  </w:pPr>
                  <w:r>
                    <w:rPr>
                      <w:snapToGrid w:val="0"/>
                      <w:kern w:val="0"/>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restart"/>
                  <w:vAlign w:val="center"/>
                </w:tcPr>
                <w:p>
                  <w:pPr>
                    <w:ind w:left="-82" w:leftChars="-39" w:right="-111" w:rightChars="-53"/>
                    <w:jc w:val="center"/>
                    <w:rPr>
                      <w:snapToGrid w:val="0"/>
                      <w:kern w:val="0"/>
                      <w:szCs w:val="21"/>
                    </w:rPr>
                  </w:pPr>
                  <w:r>
                    <w:rPr>
                      <w:snapToGrid w:val="0"/>
                      <w:kern w:val="0"/>
                      <w:szCs w:val="21"/>
                    </w:rPr>
                    <w:t>城市/农村选项</w:t>
                  </w:r>
                </w:p>
              </w:tc>
              <w:tc>
                <w:tcPr>
                  <w:tcW w:w="2952" w:type="dxa"/>
                  <w:vAlign w:val="center"/>
                </w:tcPr>
                <w:p>
                  <w:pPr>
                    <w:ind w:left="-82" w:leftChars="-39" w:right="-111" w:rightChars="-53"/>
                    <w:jc w:val="center"/>
                    <w:rPr>
                      <w:snapToGrid w:val="0"/>
                      <w:kern w:val="0"/>
                      <w:szCs w:val="21"/>
                    </w:rPr>
                  </w:pPr>
                  <w:r>
                    <w:rPr>
                      <w:snapToGrid w:val="0"/>
                      <w:kern w:val="0"/>
                      <w:szCs w:val="21"/>
                    </w:rPr>
                    <w:t>城市/农村</w:t>
                  </w:r>
                </w:p>
              </w:tc>
              <w:tc>
                <w:tcPr>
                  <w:tcW w:w="2954" w:type="dxa"/>
                  <w:vAlign w:val="center"/>
                </w:tcPr>
                <w:p>
                  <w:pPr>
                    <w:jc w:val="center"/>
                    <w:rPr>
                      <w:snapToGrid w:val="0"/>
                      <w:kern w:val="0"/>
                      <w:szCs w:val="21"/>
                    </w:rPr>
                  </w:pPr>
                  <w: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continue"/>
                  <w:vAlign w:val="center"/>
                </w:tcPr>
                <w:p>
                  <w:pPr>
                    <w:ind w:left="-82" w:leftChars="-39" w:right="-111" w:rightChars="-53"/>
                    <w:jc w:val="center"/>
                    <w:rPr>
                      <w:snapToGrid w:val="0"/>
                      <w:kern w:val="0"/>
                      <w:szCs w:val="21"/>
                    </w:rPr>
                  </w:pPr>
                </w:p>
              </w:tc>
              <w:tc>
                <w:tcPr>
                  <w:tcW w:w="2952" w:type="dxa"/>
                  <w:vAlign w:val="center"/>
                </w:tcPr>
                <w:p>
                  <w:pPr>
                    <w:ind w:left="-82" w:leftChars="-39" w:right="-111" w:rightChars="-53"/>
                    <w:jc w:val="center"/>
                    <w:rPr>
                      <w:snapToGrid w:val="0"/>
                      <w:kern w:val="0"/>
                      <w:szCs w:val="21"/>
                    </w:rPr>
                  </w:pPr>
                  <w:r>
                    <w:rPr>
                      <w:snapToGrid w:val="0"/>
                      <w:kern w:val="0"/>
                      <w:szCs w:val="21"/>
                    </w:rPr>
                    <w:t>人口数（城市选项时）</w:t>
                  </w:r>
                </w:p>
              </w:tc>
              <w:tc>
                <w:tcPr>
                  <w:tcW w:w="2954" w:type="dxa"/>
                  <w:vAlign w:val="center"/>
                </w:tcPr>
                <w:p>
                  <w:pPr>
                    <w:jc w:val="center"/>
                    <w:rPr>
                      <w:snapToGrid w:val="0"/>
                      <w:kern w:val="0"/>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5" w:type="dxa"/>
                  <w:gridSpan w:val="2"/>
                  <w:vAlign w:val="center"/>
                </w:tcPr>
                <w:p>
                  <w:pPr>
                    <w:ind w:left="-82" w:leftChars="-39" w:right="-111" w:rightChars="-53"/>
                    <w:jc w:val="center"/>
                    <w:rPr>
                      <w:snapToGrid w:val="0"/>
                      <w:kern w:val="0"/>
                      <w:szCs w:val="21"/>
                    </w:rPr>
                  </w:pPr>
                  <w:r>
                    <w:rPr>
                      <w:snapToGrid w:val="0"/>
                      <w:kern w:val="0"/>
                      <w:szCs w:val="21"/>
                    </w:rPr>
                    <w:t>最高环境温度/℃</w:t>
                  </w:r>
                </w:p>
              </w:tc>
              <w:tc>
                <w:tcPr>
                  <w:tcW w:w="2954" w:type="dxa"/>
                  <w:vAlign w:val="center"/>
                </w:tcPr>
                <w:p>
                  <w:pPr>
                    <w:jc w:val="center"/>
                    <w:rPr>
                      <w:snapToGrid w:val="0"/>
                      <w:kern w:val="0"/>
                      <w:szCs w:val="21"/>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5" w:type="dxa"/>
                  <w:gridSpan w:val="2"/>
                  <w:vAlign w:val="center"/>
                </w:tcPr>
                <w:p>
                  <w:pPr>
                    <w:ind w:left="-82" w:leftChars="-39" w:right="-111" w:rightChars="-53"/>
                    <w:jc w:val="center"/>
                    <w:rPr>
                      <w:snapToGrid w:val="0"/>
                      <w:kern w:val="0"/>
                      <w:szCs w:val="21"/>
                    </w:rPr>
                  </w:pPr>
                  <w:r>
                    <w:rPr>
                      <w:snapToGrid w:val="0"/>
                      <w:kern w:val="0"/>
                      <w:szCs w:val="21"/>
                    </w:rPr>
                    <w:t>最低环境温度/℃</w:t>
                  </w:r>
                </w:p>
              </w:tc>
              <w:tc>
                <w:tcPr>
                  <w:tcW w:w="2954" w:type="dxa"/>
                  <w:vAlign w:val="center"/>
                </w:tcPr>
                <w:p>
                  <w:pPr>
                    <w:jc w:val="center"/>
                    <w:rPr>
                      <w:snapToGrid w:val="0"/>
                      <w:kern w:val="0"/>
                      <w:szCs w:val="21"/>
                    </w:rPr>
                  </w:pPr>
                  <w:r>
                    <w:t>-10.0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5" w:type="dxa"/>
                  <w:gridSpan w:val="2"/>
                  <w:vAlign w:val="center"/>
                </w:tcPr>
                <w:p>
                  <w:pPr>
                    <w:ind w:left="-82" w:leftChars="-39" w:right="-111" w:rightChars="-53"/>
                    <w:jc w:val="center"/>
                    <w:rPr>
                      <w:snapToGrid w:val="0"/>
                      <w:kern w:val="0"/>
                      <w:szCs w:val="21"/>
                    </w:rPr>
                  </w:pPr>
                  <w:r>
                    <w:rPr>
                      <w:snapToGrid w:val="0"/>
                      <w:kern w:val="0"/>
                      <w:szCs w:val="21"/>
                    </w:rPr>
                    <w:t>土地利用类型</w:t>
                  </w:r>
                </w:p>
              </w:tc>
              <w:tc>
                <w:tcPr>
                  <w:tcW w:w="2954" w:type="dxa"/>
                  <w:vAlign w:val="center"/>
                </w:tcPr>
                <w:p>
                  <w:pPr>
                    <w:jc w:val="center"/>
                    <w:rPr>
                      <w:snapToGrid w:val="0"/>
                      <w:kern w:val="0"/>
                      <w:szCs w:val="21"/>
                    </w:rPr>
                  </w:pPr>
                  <w: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5" w:type="dxa"/>
                  <w:gridSpan w:val="2"/>
                  <w:vAlign w:val="center"/>
                </w:tcPr>
                <w:p>
                  <w:pPr>
                    <w:ind w:left="-82" w:leftChars="-39" w:right="-111" w:rightChars="-53"/>
                    <w:jc w:val="center"/>
                    <w:rPr>
                      <w:snapToGrid w:val="0"/>
                      <w:kern w:val="0"/>
                      <w:szCs w:val="21"/>
                    </w:rPr>
                  </w:pPr>
                  <w:r>
                    <w:rPr>
                      <w:snapToGrid w:val="0"/>
                      <w:kern w:val="0"/>
                      <w:szCs w:val="21"/>
                    </w:rPr>
                    <w:t>区域湿度条件</w:t>
                  </w:r>
                </w:p>
              </w:tc>
              <w:tc>
                <w:tcPr>
                  <w:tcW w:w="2954" w:type="dxa"/>
                  <w:vAlign w:val="center"/>
                </w:tcPr>
                <w:p>
                  <w:pPr>
                    <w:jc w:val="center"/>
                    <w:rPr>
                      <w:snapToGrid w:val="0"/>
                      <w:kern w:val="0"/>
                      <w:szCs w:val="21"/>
                    </w:rPr>
                  </w:pPr>
                  <w: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restart"/>
                  <w:vAlign w:val="center"/>
                </w:tcPr>
                <w:p>
                  <w:pPr>
                    <w:ind w:left="-82" w:leftChars="-39" w:right="-111" w:rightChars="-53"/>
                    <w:jc w:val="center"/>
                    <w:rPr>
                      <w:snapToGrid w:val="0"/>
                      <w:kern w:val="0"/>
                      <w:szCs w:val="21"/>
                    </w:rPr>
                  </w:pPr>
                  <w:r>
                    <w:rPr>
                      <w:snapToGrid w:val="0"/>
                      <w:kern w:val="0"/>
                      <w:szCs w:val="21"/>
                    </w:rPr>
                    <w:t>是否考虑地形</w:t>
                  </w:r>
                </w:p>
              </w:tc>
              <w:tc>
                <w:tcPr>
                  <w:tcW w:w="2952" w:type="dxa"/>
                  <w:vAlign w:val="center"/>
                </w:tcPr>
                <w:p>
                  <w:pPr>
                    <w:ind w:left="-82" w:leftChars="-39" w:right="-111" w:rightChars="-53"/>
                    <w:jc w:val="center"/>
                    <w:rPr>
                      <w:snapToGrid w:val="0"/>
                      <w:kern w:val="0"/>
                      <w:szCs w:val="21"/>
                    </w:rPr>
                  </w:pPr>
                  <w:r>
                    <w:rPr>
                      <w:snapToGrid w:val="0"/>
                      <w:kern w:val="0"/>
                      <w:szCs w:val="21"/>
                    </w:rPr>
                    <w:t>考虑地形</w:t>
                  </w:r>
                </w:p>
              </w:tc>
              <w:tc>
                <w:tcPr>
                  <w:tcW w:w="2954" w:type="dxa"/>
                  <w:vAlign w:val="center"/>
                </w:tcPr>
                <w:p>
                  <w:pPr>
                    <w:jc w:val="center"/>
                    <w:rPr>
                      <w:snapToGrid w:val="0"/>
                      <w:kern w:val="0"/>
                      <w:szCs w:val="21"/>
                    </w:rPr>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continue"/>
                  <w:vAlign w:val="center"/>
                </w:tcPr>
                <w:p>
                  <w:pPr>
                    <w:ind w:left="-82" w:leftChars="-39" w:right="-111" w:rightChars="-53"/>
                    <w:jc w:val="center"/>
                    <w:rPr>
                      <w:snapToGrid w:val="0"/>
                      <w:kern w:val="0"/>
                      <w:szCs w:val="21"/>
                    </w:rPr>
                  </w:pPr>
                </w:p>
              </w:tc>
              <w:tc>
                <w:tcPr>
                  <w:tcW w:w="2952" w:type="dxa"/>
                  <w:vAlign w:val="center"/>
                </w:tcPr>
                <w:p>
                  <w:pPr>
                    <w:ind w:left="-82" w:leftChars="-39" w:right="-111" w:rightChars="-53"/>
                    <w:jc w:val="center"/>
                    <w:rPr>
                      <w:snapToGrid w:val="0"/>
                      <w:kern w:val="0"/>
                      <w:szCs w:val="21"/>
                    </w:rPr>
                  </w:pPr>
                  <w:r>
                    <w:rPr>
                      <w:snapToGrid w:val="0"/>
                      <w:kern w:val="0"/>
                      <w:szCs w:val="21"/>
                    </w:rPr>
                    <w:t>地形数据分辨率</w:t>
                  </w:r>
                </w:p>
              </w:tc>
              <w:tc>
                <w:tcPr>
                  <w:tcW w:w="2954" w:type="dxa"/>
                  <w:vAlign w:val="center"/>
                </w:tcPr>
                <w:p>
                  <w:pPr>
                    <w:jc w:val="center"/>
                    <w:rPr>
                      <w:snapToGrid w:val="0"/>
                      <w:kern w:val="0"/>
                      <w:szCs w:val="21"/>
                    </w:rPr>
                  </w:pP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restart"/>
                  <w:vAlign w:val="center"/>
                </w:tcPr>
                <w:p>
                  <w:pPr>
                    <w:ind w:left="-82" w:leftChars="-39" w:right="-111" w:rightChars="-53"/>
                    <w:jc w:val="center"/>
                    <w:rPr>
                      <w:snapToGrid w:val="0"/>
                      <w:kern w:val="0"/>
                      <w:szCs w:val="21"/>
                    </w:rPr>
                  </w:pPr>
                  <w:r>
                    <w:rPr>
                      <w:snapToGrid w:val="0"/>
                      <w:kern w:val="0"/>
                      <w:szCs w:val="21"/>
                    </w:rPr>
                    <w:t>是否考虑海岸线熏烟</w:t>
                  </w:r>
                </w:p>
              </w:tc>
              <w:tc>
                <w:tcPr>
                  <w:tcW w:w="2952" w:type="dxa"/>
                  <w:vAlign w:val="center"/>
                </w:tcPr>
                <w:p>
                  <w:pPr>
                    <w:ind w:left="-82" w:leftChars="-39" w:right="-111" w:rightChars="-53"/>
                    <w:jc w:val="center"/>
                    <w:rPr>
                      <w:snapToGrid w:val="0"/>
                      <w:kern w:val="0"/>
                      <w:szCs w:val="21"/>
                    </w:rPr>
                  </w:pPr>
                  <w:r>
                    <w:rPr>
                      <w:snapToGrid w:val="0"/>
                      <w:kern w:val="0"/>
                      <w:szCs w:val="21"/>
                    </w:rPr>
                    <w:t>是/否</w:t>
                  </w:r>
                </w:p>
              </w:tc>
              <w:tc>
                <w:tcPr>
                  <w:tcW w:w="2954" w:type="dxa"/>
                  <w:vAlign w:val="center"/>
                </w:tcPr>
                <w:p>
                  <w:pPr>
                    <w:jc w:val="center"/>
                    <w:rPr>
                      <w:snapToGrid w:val="0"/>
                      <w:kern w:val="0"/>
                      <w:szCs w:val="21"/>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continue"/>
                  <w:vAlign w:val="center"/>
                </w:tcPr>
                <w:p>
                  <w:pPr>
                    <w:ind w:left="-82" w:leftChars="-39" w:right="-111" w:rightChars="-53"/>
                    <w:jc w:val="center"/>
                    <w:rPr>
                      <w:snapToGrid w:val="0"/>
                      <w:kern w:val="0"/>
                      <w:szCs w:val="21"/>
                    </w:rPr>
                  </w:pPr>
                </w:p>
              </w:tc>
              <w:tc>
                <w:tcPr>
                  <w:tcW w:w="2952" w:type="dxa"/>
                  <w:vAlign w:val="center"/>
                </w:tcPr>
                <w:p>
                  <w:pPr>
                    <w:ind w:left="-82" w:leftChars="-39" w:right="-111" w:rightChars="-53"/>
                    <w:jc w:val="center"/>
                    <w:rPr>
                      <w:snapToGrid w:val="0"/>
                      <w:kern w:val="0"/>
                      <w:szCs w:val="21"/>
                    </w:rPr>
                  </w:pPr>
                  <w:r>
                    <w:rPr>
                      <w:snapToGrid w:val="0"/>
                      <w:kern w:val="0"/>
                      <w:szCs w:val="21"/>
                    </w:rPr>
                    <w:t>海岸线距离/m</w:t>
                  </w:r>
                </w:p>
              </w:tc>
              <w:tc>
                <w:tcPr>
                  <w:tcW w:w="2954" w:type="dxa"/>
                  <w:vAlign w:val="center"/>
                </w:tcPr>
                <w:p>
                  <w:pPr>
                    <w:jc w:val="center"/>
                    <w:rPr>
                      <w:snapToGrid w:val="0"/>
                      <w:kern w:val="0"/>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vMerge w:val="continue"/>
                  <w:vAlign w:val="center"/>
                </w:tcPr>
                <w:p>
                  <w:pPr>
                    <w:ind w:left="-82" w:leftChars="-39" w:right="-111" w:rightChars="-53"/>
                    <w:jc w:val="center"/>
                    <w:rPr>
                      <w:snapToGrid w:val="0"/>
                      <w:kern w:val="0"/>
                      <w:szCs w:val="21"/>
                    </w:rPr>
                  </w:pPr>
                </w:p>
              </w:tc>
              <w:tc>
                <w:tcPr>
                  <w:tcW w:w="2952" w:type="dxa"/>
                  <w:vAlign w:val="center"/>
                </w:tcPr>
                <w:p>
                  <w:pPr>
                    <w:ind w:left="-82" w:leftChars="-39" w:right="-111" w:rightChars="-53"/>
                    <w:jc w:val="center"/>
                    <w:rPr>
                      <w:snapToGrid w:val="0"/>
                      <w:kern w:val="0"/>
                      <w:szCs w:val="21"/>
                    </w:rPr>
                  </w:pPr>
                  <w:r>
                    <w:rPr>
                      <w:snapToGrid w:val="0"/>
                      <w:kern w:val="0"/>
                      <w:szCs w:val="21"/>
                    </w:rPr>
                    <w:t>海岸线方向/°</w:t>
                  </w:r>
                </w:p>
              </w:tc>
              <w:tc>
                <w:tcPr>
                  <w:tcW w:w="2954" w:type="dxa"/>
                  <w:vAlign w:val="center"/>
                </w:tcPr>
                <w:p>
                  <w:pPr>
                    <w:jc w:val="center"/>
                    <w:rPr>
                      <w:snapToGrid w:val="0"/>
                      <w:kern w:val="0"/>
                      <w:szCs w:val="21"/>
                    </w:rPr>
                  </w:pPr>
                  <w:r>
                    <w:t>/</w:t>
                  </w:r>
                </w:p>
              </w:tc>
            </w:tr>
          </w:tbl>
          <w:p>
            <w:pPr>
              <w:pStyle w:val="4"/>
              <w:ind w:firstLine="480"/>
            </w:pPr>
            <w:r>
              <w:rPr>
                <w:rFonts w:hint="eastAsia"/>
              </w:rPr>
              <w:t>（4）评级工作等级确定</w:t>
            </w:r>
          </w:p>
          <w:p>
            <w:pPr>
              <w:pStyle w:val="4"/>
              <w:ind w:firstLine="480"/>
            </w:pPr>
            <w:r>
              <w:rPr>
                <w:rFonts w:hint="eastAsia"/>
              </w:rPr>
              <w:t>本项目所有污染源的正常排放的污染物的Pmax和D10%预测结果如下：</w:t>
            </w:r>
          </w:p>
          <w:p>
            <w:pPr>
              <w:ind w:left="-51"/>
              <w:jc w:val="center"/>
              <w:rPr>
                <w:rFonts w:eastAsia="黑体"/>
                <w:sz w:val="24"/>
              </w:rPr>
            </w:pPr>
            <w:r>
              <w:rPr>
                <w:rFonts w:hint="eastAsia" w:eastAsia="黑体"/>
                <w:sz w:val="24"/>
              </w:rPr>
              <w:t>表7.2-</w:t>
            </w:r>
            <w:r>
              <w:rPr>
                <w:rFonts w:hint="eastAsia" w:eastAsia="黑体"/>
                <w:sz w:val="24"/>
                <w:lang w:val="en-US" w:eastAsia="zh-CN"/>
              </w:rPr>
              <w:t>6</w:t>
            </w:r>
            <w:r>
              <w:rPr>
                <w:rFonts w:hint="eastAsia" w:eastAsia="黑体"/>
                <w:sz w:val="24"/>
              </w:rPr>
              <w:t xml:space="preserve">   最大Pmax和D10%预测结果表</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2924"/>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985" w:type="dxa"/>
                  <w:vMerge w:val="restart"/>
                  <w:vAlign w:val="center"/>
                </w:tcPr>
                <w:p>
                  <w:pPr>
                    <w:jc w:val="center"/>
                    <w:rPr>
                      <w:szCs w:val="21"/>
                    </w:rPr>
                  </w:pPr>
                  <w:r>
                    <w:rPr>
                      <w:szCs w:val="21"/>
                    </w:rPr>
                    <w:t>下方向距离(m)</w:t>
                  </w:r>
                </w:p>
              </w:tc>
              <w:tc>
                <w:tcPr>
                  <w:tcW w:w="5874" w:type="dxa"/>
                  <w:gridSpan w:val="2"/>
                  <w:vAlign w:val="center"/>
                </w:tcPr>
                <w:p>
                  <w:pPr>
                    <w:jc w:val="center"/>
                    <w:rPr>
                      <w:szCs w:val="21"/>
                    </w:rPr>
                  </w:pPr>
                  <w:r>
                    <w:rPr>
                      <w:rFonts w:hint="eastAsia"/>
                      <w:szCs w:val="21"/>
                    </w:rPr>
                    <w:t>储油罐、</w:t>
                  </w:r>
                  <w:r>
                    <w:rPr>
                      <w:szCs w:val="21"/>
                    </w:rPr>
                    <w:t>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5" w:type="dxa"/>
                  <w:vMerge w:val="continue"/>
                  <w:vAlign w:val="center"/>
                </w:tcPr>
                <w:p>
                  <w:pPr>
                    <w:jc w:val="center"/>
                    <w:rPr>
                      <w:szCs w:val="21"/>
                    </w:rPr>
                  </w:pPr>
                </w:p>
              </w:tc>
              <w:tc>
                <w:tcPr>
                  <w:tcW w:w="2924" w:type="dxa"/>
                  <w:vAlign w:val="center"/>
                </w:tcPr>
                <w:p>
                  <w:pPr>
                    <w:jc w:val="center"/>
                    <w:rPr>
                      <w:szCs w:val="21"/>
                    </w:rPr>
                  </w:pPr>
                  <w:r>
                    <w:rPr>
                      <w:rFonts w:hint="eastAsia"/>
                      <w:szCs w:val="21"/>
                    </w:rPr>
                    <w:t>非甲烷总烃</w:t>
                  </w:r>
                  <w:r>
                    <w:rPr>
                      <w:szCs w:val="21"/>
                    </w:rPr>
                    <w:t>浓度（µg/m³）</w:t>
                  </w:r>
                </w:p>
              </w:tc>
              <w:tc>
                <w:tcPr>
                  <w:tcW w:w="2950" w:type="dxa"/>
                  <w:vAlign w:val="center"/>
                </w:tcPr>
                <w:p>
                  <w:pPr>
                    <w:jc w:val="center"/>
                    <w:rPr>
                      <w:szCs w:val="21"/>
                    </w:rPr>
                  </w:pPr>
                  <w:r>
                    <w:rPr>
                      <w:rFonts w:hint="eastAsia"/>
                      <w:szCs w:val="21"/>
                    </w:rPr>
                    <w:t>非甲烷总烃</w:t>
                  </w:r>
                  <w:r>
                    <w:rPr>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50.0</w:t>
                  </w:r>
                </w:p>
              </w:tc>
              <w:tc>
                <w:tcPr>
                  <w:tcW w:w="2924" w:type="dxa"/>
                  <w:vAlign w:val="center"/>
                </w:tcPr>
                <w:p>
                  <w:pPr>
                    <w:jc w:val="center"/>
                    <w:rPr>
                      <w:szCs w:val="21"/>
                    </w:rPr>
                  </w:pPr>
                  <w:r>
                    <w:t>2.9704</w:t>
                  </w:r>
                </w:p>
              </w:tc>
              <w:tc>
                <w:tcPr>
                  <w:tcW w:w="2950" w:type="dxa"/>
                  <w:vAlign w:val="center"/>
                </w:tcPr>
                <w:p>
                  <w:pPr>
                    <w:jc w:val="center"/>
                    <w:rPr>
                      <w:szCs w:val="21"/>
                    </w:rPr>
                  </w:pPr>
                  <w:r>
                    <w:t>0.1485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100.0</w:t>
                  </w:r>
                </w:p>
              </w:tc>
              <w:tc>
                <w:tcPr>
                  <w:tcW w:w="2924" w:type="dxa"/>
                  <w:vAlign w:val="center"/>
                </w:tcPr>
                <w:p>
                  <w:pPr>
                    <w:jc w:val="center"/>
                    <w:rPr>
                      <w:szCs w:val="21"/>
                    </w:rPr>
                  </w:pPr>
                  <w:r>
                    <w:t>2.2324</w:t>
                  </w:r>
                </w:p>
              </w:tc>
              <w:tc>
                <w:tcPr>
                  <w:tcW w:w="2950" w:type="dxa"/>
                  <w:vAlign w:val="center"/>
                </w:tcPr>
                <w:p>
                  <w:pPr>
                    <w:jc w:val="center"/>
                    <w:rPr>
                      <w:szCs w:val="21"/>
                    </w:rPr>
                  </w:pPr>
                  <w:r>
                    <w:t>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200.0</w:t>
                  </w:r>
                </w:p>
              </w:tc>
              <w:tc>
                <w:tcPr>
                  <w:tcW w:w="2924" w:type="dxa"/>
                  <w:vAlign w:val="center"/>
                </w:tcPr>
                <w:p>
                  <w:pPr>
                    <w:jc w:val="center"/>
                    <w:rPr>
                      <w:szCs w:val="21"/>
                    </w:rPr>
                  </w:pPr>
                  <w:r>
                    <w:t>1.3752</w:t>
                  </w:r>
                </w:p>
              </w:tc>
              <w:tc>
                <w:tcPr>
                  <w:tcW w:w="2950" w:type="dxa"/>
                  <w:vAlign w:val="center"/>
                </w:tcPr>
                <w:p>
                  <w:pPr>
                    <w:jc w:val="center"/>
                    <w:rPr>
                      <w:szCs w:val="21"/>
                    </w:rPr>
                  </w:pPr>
                  <w:r>
                    <w:t>0.0688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300.0</w:t>
                  </w:r>
                </w:p>
              </w:tc>
              <w:tc>
                <w:tcPr>
                  <w:tcW w:w="2924" w:type="dxa"/>
                  <w:vAlign w:val="center"/>
                </w:tcPr>
                <w:p>
                  <w:pPr>
                    <w:jc w:val="center"/>
                    <w:rPr>
                      <w:szCs w:val="21"/>
                    </w:rPr>
                  </w:pPr>
                  <w:r>
                    <w:t>1.0292</w:t>
                  </w:r>
                </w:p>
              </w:tc>
              <w:tc>
                <w:tcPr>
                  <w:tcW w:w="2950" w:type="dxa"/>
                  <w:vAlign w:val="center"/>
                </w:tcPr>
                <w:p>
                  <w:pPr>
                    <w:jc w:val="center"/>
                    <w:rPr>
                      <w:szCs w:val="21"/>
                    </w:rPr>
                  </w:pPr>
                  <w:r>
                    <w:t>0.0515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400.0</w:t>
                  </w:r>
                </w:p>
              </w:tc>
              <w:tc>
                <w:tcPr>
                  <w:tcW w:w="2924" w:type="dxa"/>
                  <w:vAlign w:val="center"/>
                </w:tcPr>
                <w:p>
                  <w:pPr>
                    <w:jc w:val="center"/>
                    <w:rPr>
                      <w:szCs w:val="21"/>
                    </w:rPr>
                  </w:pPr>
                  <w:r>
                    <w:t>0.8760</w:t>
                  </w:r>
                </w:p>
              </w:tc>
              <w:tc>
                <w:tcPr>
                  <w:tcW w:w="2950" w:type="dxa"/>
                  <w:vAlign w:val="center"/>
                </w:tcPr>
                <w:p>
                  <w:pPr>
                    <w:jc w:val="center"/>
                    <w:rPr>
                      <w:szCs w:val="21"/>
                    </w:rPr>
                  </w:pPr>
                  <w:r>
                    <w:t>0.0438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500.0</w:t>
                  </w:r>
                </w:p>
              </w:tc>
              <w:tc>
                <w:tcPr>
                  <w:tcW w:w="2924" w:type="dxa"/>
                  <w:vAlign w:val="center"/>
                </w:tcPr>
                <w:p>
                  <w:pPr>
                    <w:jc w:val="center"/>
                    <w:rPr>
                      <w:szCs w:val="21"/>
                    </w:rPr>
                  </w:pPr>
                  <w:r>
                    <w:t>0.8027</w:t>
                  </w:r>
                </w:p>
              </w:tc>
              <w:tc>
                <w:tcPr>
                  <w:tcW w:w="2950" w:type="dxa"/>
                  <w:vAlign w:val="center"/>
                </w:tcPr>
                <w:p>
                  <w:pPr>
                    <w:jc w:val="center"/>
                    <w:rPr>
                      <w:szCs w:val="21"/>
                    </w:rPr>
                  </w:pPr>
                  <w:r>
                    <w:t>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600.0</w:t>
                  </w:r>
                </w:p>
              </w:tc>
              <w:tc>
                <w:tcPr>
                  <w:tcW w:w="2924" w:type="dxa"/>
                  <w:vAlign w:val="center"/>
                </w:tcPr>
                <w:p>
                  <w:pPr>
                    <w:jc w:val="center"/>
                    <w:rPr>
                      <w:szCs w:val="21"/>
                    </w:rPr>
                  </w:pPr>
                  <w:r>
                    <w:t>0.7471</w:t>
                  </w:r>
                </w:p>
              </w:tc>
              <w:tc>
                <w:tcPr>
                  <w:tcW w:w="2950" w:type="dxa"/>
                  <w:vAlign w:val="center"/>
                </w:tcPr>
                <w:p>
                  <w:pPr>
                    <w:jc w:val="center"/>
                    <w:rPr>
                      <w:szCs w:val="21"/>
                    </w:rPr>
                  </w:pPr>
                  <w:r>
                    <w:t>0.0374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800.0</w:t>
                  </w:r>
                </w:p>
              </w:tc>
              <w:tc>
                <w:tcPr>
                  <w:tcW w:w="2924" w:type="dxa"/>
                  <w:vAlign w:val="center"/>
                </w:tcPr>
                <w:p>
                  <w:pPr>
                    <w:jc w:val="center"/>
                    <w:rPr>
                      <w:szCs w:val="21"/>
                    </w:rPr>
                  </w:pPr>
                  <w:r>
                    <w:t>0.7021</w:t>
                  </w:r>
                </w:p>
              </w:tc>
              <w:tc>
                <w:tcPr>
                  <w:tcW w:w="2950" w:type="dxa"/>
                  <w:vAlign w:val="center"/>
                </w:tcPr>
                <w:p>
                  <w:pPr>
                    <w:jc w:val="center"/>
                    <w:rPr>
                      <w:szCs w:val="21"/>
                    </w:rPr>
                  </w:pPr>
                  <w:r>
                    <w:t>0.0351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900.0</w:t>
                  </w:r>
                </w:p>
              </w:tc>
              <w:tc>
                <w:tcPr>
                  <w:tcW w:w="2924" w:type="dxa"/>
                  <w:vAlign w:val="center"/>
                </w:tcPr>
                <w:p>
                  <w:pPr>
                    <w:jc w:val="center"/>
                    <w:rPr>
                      <w:szCs w:val="21"/>
                    </w:rPr>
                  </w:pPr>
                  <w:r>
                    <w:t>0.6639</w:t>
                  </w:r>
                </w:p>
              </w:tc>
              <w:tc>
                <w:tcPr>
                  <w:tcW w:w="2950" w:type="dxa"/>
                  <w:vAlign w:val="center"/>
                </w:tcPr>
                <w:p>
                  <w:pPr>
                    <w:jc w:val="center"/>
                    <w:rPr>
                      <w:szCs w:val="21"/>
                    </w:rPr>
                  </w:pPr>
                  <w:r>
                    <w:t>0.0332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1000.0</w:t>
                  </w:r>
                </w:p>
              </w:tc>
              <w:tc>
                <w:tcPr>
                  <w:tcW w:w="2924" w:type="dxa"/>
                  <w:vAlign w:val="center"/>
                </w:tcPr>
                <w:p>
                  <w:pPr>
                    <w:jc w:val="center"/>
                    <w:rPr>
                      <w:szCs w:val="21"/>
                    </w:rPr>
                  </w:pPr>
                  <w:r>
                    <w:t>0.6359</w:t>
                  </w:r>
                </w:p>
              </w:tc>
              <w:tc>
                <w:tcPr>
                  <w:tcW w:w="2950" w:type="dxa"/>
                  <w:vAlign w:val="center"/>
                </w:tcPr>
                <w:p>
                  <w:pPr>
                    <w:jc w:val="center"/>
                    <w:rPr>
                      <w:szCs w:val="21"/>
                    </w:rPr>
                  </w:pPr>
                  <w:r>
                    <w:t>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w:t>
                  </w:r>
                </w:p>
              </w:tc>
              <w:tc>
                <w:tcPr>
                  <w:tcW w:w="2924" w:type="dxa"/>
                  <w:vAlign w:val="center"/>
                </w:tcPr>
                <w:p>
                  <w:pPr>
                    <w:jc w:val="center"/>
                    <w:rPr>
                      <w:szCs w:val="21"/>
                    </w:rPr>
                  </w:pPr>
                  <w:r>
                    <w:rPr>
                      <w:szCs w:val="21"/>
                    </w:rPr>
                    <w:t>...</w:t>
                  </w:r>
                </w:p>
              </w:tc>
              <w:tc>
                <w:tcPr>
                  <w:tcW w:w="2950" w:type="dxa"/>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10000.0</w:t>
                  </w:r>
                </w:p>
              </w:tc>
              <w:tc>
                <w:tcPr>
                  <w:tcW w:w="2924" w:type="dxa"/>
                  <w:vAlign w:val="center"/>
                </w:tcPr>
                <w:p>
                  <w:pPr>
                    <w:jc w:val="center"/>
                    <w:rPr>
                      <w:szCs w:val="21"/>
                    </w:rPr>
                  </w:pPr>
                  <w:r>
                    <w:t>0.1279</w:t>
                  </w:r>
                </w:p>
              </w:tc>
              <w:tc>
                <w:tcPr>
                  <w:tcW w:w="2950" w:type="dxa"/>
                  <w:vAlign w:val="center"/>
                </w:tcPr>
                <w:p>
                  <w:pPr>
                    <w:jc w:val="center"/>
                    <w:rPr>
                      <w:szCs w:val="21"/>
                    </w:rPr>
                  </w:pPr>
                  <w:r>
                    <w:t>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11000.0</w:t>
                  </w:r>
                </w:p>
              </w:tc>
              <w:tc>
                <w:tcPr>
                  <w:tcW w:w="2924" w:type="dxa"/>
                  <w:vAlign w:val="center"/>
                </w:tcPr>
                <w:p>
                  <w:pPr>
                    <w:jc w:val="center"/>
                    <w:rPr>
                      <w:szCs w:val="21"/>
                    </w:rPr>
                  </w:pPr>
                  <w:r>
                    <w:t>0.1190</w:t>
                  </w:r>
                </w:p>
              </w:tc>
              <w:tc>
                <w:tcPr>
                  <w:tcW w:w="2950" w:type="dxa"/>
                  <w:vAlign w:val="center"/>
                </w:tcPr>
                <w:p>
                  <w:pPr>
                    <w:jc w:val="center"/>
                    <w:rPr>
                      <w:szCs w:val="21"/>
                    </w:rPr>
                  </w:pPr>
                  <w:r>
                    <w:t>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12000.0</w:t>
                  </w:r>
                </w:p>
              </w:tc>
              <w:tc>
                <w:tcPr>
                  <w:tcW w:w="2924" w:type="dxa"/>
                  <w:vAlign w:val="center"/>
                </w:tcPr>
                <w:p>
                  <w:pPr>
                    <w:jc w:val="center"/>
                    <w:rPr>
                      <w:szCs w:val="21"/>
                    </w:rPr>
                  </w:pPr>
                  <w:r>
                    <w:t>0.1113</w:t>
                  </w:r>
                </w:p>
              </w:tc>
              <w:tc>
                <w:tcPr>
                  <w:tcW w:w="2950" w:type="dxa"/>
                  <w:vAlign w:val="center"/>
                </w:tcPr>
                <w:p>
                  <w:pPr>
                    <w:jc w:val="center"/>
                    <w:rPr>
                      <w:szCs w:val="21"/>
                    </w:rPr>
                  </w:pPr>
                  <w:r>
                    <w:t>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13000.0</w:t>
                  </w:r>
                </w:p>
              </w:tc>
              <w:tc>
                <w:tcPr>
                  <w:tcW w:w="2924" w:type="dxa"/>
                  <w:vAlign w:val="center"/>
                </w:tcPr>
                <w:p>
                  <w:pPr>
                    <w:jc w:val="center"/>
                    <w:rPr>
                      <w:szCs w:val="21"/>
                    </w:rPr>
                  </w:pPr>
                  <w:r>
                    <w:t>0.1048</w:t>
                  </w:r>
                </w:p>
              </w:tc>
              <w:tc>
                <w:tcPr>
                  <w:tcW w:w="2950" w:type="dxa"/>
                  <w:vAlign w:val="center"/>
                </w:tcPr>
                <w:p>
                  <w:pPr>
                    <w:jc w:val="center"/>
                    <w:rPr>
                      <w:szCs w:val="21"/>
                    </w:rPr>
                  </w:pPr>
                  <w:r>
                    <w:t>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14000.0</w:t>
                  </w:r>
                </w:p>
              </w:tc>
              <w:tc>
                <w:tcPr>
                  <w:tcW w:w="2924" w:type="dxa"/>
                  <w:vAlign w:val="center"/>
                </w:tcPr>
                <w:p>
                  <w:pPr>
                    <w:jc w:val="center"/>
                    <w:rPr>
                      <w:szCs w:val="21"/>
                    </w:rPr>
                  </w:pPr>
                  <w:r>
                    <w:t>0.0991</w:t>
                  </w:r>
                </w:p>
              </w:tc>
              <w:tc>
                <w:tcPr>
                  <w:tcW w:w="2950" w:type="dxa"/>
                  <w:vAlign w:val="center"/>
                </w:tcPr>
                <w:p>
                  <w:pPr>
                    <w:jc w:val="center"/>
                    <w:rPr>
                      <w:szCs w:val="21"/>
                    </w:rPr>
                  </w:pPr>
                  <w:r>
                    <w:t>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15000.0</w:t>
                  </w:r>
                </w:p>
              </w:tc>
              <w:tc>
                <w:tcPr>
                  <w:tcW w:w="2924" w:type="dxa"/>
                  <w:vAlign w:val="center"/>
                </w:tcPr>
                <w:p>
                  <w:pPr>
                    <w:jc w:val="center"/>
                    <w:rPr>
                      <w:szCs w:val="21"/>
                    </w:rPr>
                  </w:pPr>
                  <w:r>
                    <w:t>0.0941</w:t>
                  </w:r>
                </w:p>
              </w:tc>
              <w:tc>
                <w:tcPr>
                  <w:tcW w:w="2950" w:type="dxa"/>
                  <w:vAlign w:val="center"/>
                </w:tcPr>
                <w:p>
                  <w:pPr>
                    <w:jc w:val="center"/>
                    <w:rPr>
                      <w:szCs w:val="21"/>
                    </w:rPr>
                  </w:pPr>
                  <w:r>
                    <w:t>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20000.0</w:t>
                  </w:r>
                </w:p>
              </w:tc>
              <w:tc>
                <w:tcPr>
                  <w:tcW w:w="2924" w:type="dxa"/>
                  <w:vAlign w:val="center"/>
                </w:tcPr>
                <w:p>
                  <w:pPr>
                    <w:jc w:val="center"/>
                    <w:rPr>
                      <w:szCs w:val="21"/>
                    </w:rPr>
                  </w:pPr>
                  <w:r>
                    <w:t>0.0751</w:t>
                  </w:r>
                </w:p>
              </w:tc>
              <w:tc>
                <w:tcPr>
                  <w:tcW w:w="2950" w:type="dxa"/>
                  <w:vAlign w:val="center"/>
                </w:tcPr>
                <w:p>
                  <w:pPr>
                    <w:jc w:val="center"/>
                    <w:rPr>
                      <w:szCs w:val="21"/>
                    </w:rPr>
                  </w:pPr>
                  <w:r>
                    <w:t>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5" w:type="dxa"/>
                  <w:vAlign w:val="center"/>
                </w:tcPr>
                <w:p>
                  <w:pPr>
                    <w:jc w:val="center"/>
                    <w:rPr>
                      <w:szCs w:val="21"/>
                    </w:rPr>
                  </w:pPr>
                  <w:r>
                    <w:rPr>
                      <w:szCs w:val="21"/>
                    </w:rPr>
                    <w:t>25000.0</w:t>
                  </w:r>
                </w:p>
              </w:tc>
              <w:tc>
                <w:tcPr>
                  <w:tcW w:w="2924" w:type="dxa"/>
                  <w:vAlign w:val="center"/>
                </w:tcPr>
                <w:p>
                  <w:pPr>
                    <w:jc w:val="center"/>
                    <w:rPr>
                      <w:szCs w:val="21"/>
                    </w:rPr>
                  </w:pPr>
                  <w:r>
                    <w:t>0.0621</w:t>
                  </w:r>
                </w:p>
              </w:tc>
              <w:tc>
                <w:tcPr>
                  <w:tcW w:w="2950" w:type="dxa"/>
                  <w:vAlign w:val="center"/>
                </w:tcPr>
                <w:p>
                  <w:pPr>
                    <w:jc w:val="center"/>
                    <w:rPr>
                      <w:szCs w:val="21"/>
                    </w:rPr>
                  </w:pPr>
                  <w:r>
                    <w:t>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85" w:type="dxa"/>
                  <w:vAlign w:val="center"/>
                </w:tcPr>
                <w:p>
                  <w:pPr>
                    <w:jc w:val="center"/>
                    <w:rPr>
                      <w:szCs w:val="21"/>
                    </w:rPr>
                  </w:pPr>
                  <w:r>
                    <w:rPr>
                      <w:szCs w:val="21"/>
                    </w:rPr>
                    <w:t>下风向最大浓度</w:t>
                  </w:r>
                </w:p>
              </w:tc>
              <w:tc>
                <w:tcPr>
                  <w:tcW w:w="2924" w:type="dxa"/>
                  <w:vAlign w:val="center"/>
                </w:tcPr>
                <w:p>
                  <w:pPr>
                    <w:jc w:val="center"/>
                    <w:rPr>
                      <w:szCs w:val="21"/>
                    </w:rPr>
                  </w:pPr>
                  <w:r>
                    <w:t>3.3838</w:t>
                  </w:r>
                </w:p>
              </w:tc>
              <w:tc>
                <w:tcPr>
                  <w:tcW w:w="2950" w:type="dxa"/>
                  <w:vAlign w:val="center"/>
                </w:tcPr>
                <w:p>
                  <w:pPr>
                    <w:jc w:val="center"/>
                    <w:rPr>
                      <w:szCs w:val="21"/>
                    </w:rPr>
                  </w:pPr>
                  <w:r>
                    <w:t>0.1692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985" w:type="dxa"/>
                  <w:vAlign w:val="center"/>
                </w:tcPr>
                <w:p>
                  <w:pPr>
                    <w:jc w:val="center"/>
                    <w:rPr>
                      <w:szCs w:val="21"/>
                    </w:rPr>
                  </w:pPr>
                  <w:r>
                    <w:rPr>
                      <w:szCs w:val="21"/>
                    </w:rPr>
                    <w:t>下风向最大浓度出现距离</w:t>
                  </w:r>
                </w:p>
              </w:tc>
              <w:tc>
                <w:tcPr>
                  <w:tcW w:w="2924" w:type="dxa"/>
                  <w:vAlign w:val="center"/>
                </w:tcPr>
                <w:p>
                  <w:pPr>
                    <w:jc w:val="center"/>
                    <w:rPr>
                      <w:szCs w:val="21"/>
                    </w:rPr>
                  </w:pPr>
                  <w:r>
                    <w:t>25.0</w:t>
                  </w:r>
                </w:p>
              </w:tc>
              <w:tc>
                <w:tcPr>
                  <w:tcW w:w="2950" w:type="dxa"/>
                  <w:vAlign w:val="center"/>
                </w:tcPr>
                <w:p>
                  <w:pPr>
                    <w:jc w:val="center"/>
                    <w:rPr>
                      <w:szCs w:val="21"/>
                    </w:rPr>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985" w:type="dxa"/>
                  <w:vAlign w:val="center"/>
                </w:tcPr>
                <w:p>
                  <w:pPr>
                    <w:jc w:val="center"/>
                    <w:rPr>
                      <w:szCs w:val="21"/>
                    </w:rPr>
                  </w:pPr>
                  <w:r>
                    <w:rPr>
                      <w:szCs w:val="21"/>
                    </w:rPr>
                    <w:t>D10%最远距离</w:t>
                  </w:r>
                </w:p>
              </w:tc>
              <w:tc>
                <w:tcPr>
                  <w:tcW w:w="2924" w:type="dxa"/>
                  <w:vAlign w:val="center"/>
                </w:tcPr>
                <w:p>
                  <w:pPr>
                    <w:jc w:val="center"/>
                    <w:rPr>
                      <w:szCs w:val="21"/>
                    </w:rPr>
                  </w:pPr>
                  <w:r>
                    <w:rPr>
                      <w:szCs w:val="21"/>
                    </w:rPr>
                    <w:t>/</w:t>
                  </w:r>
                </w:p>
              </w:tc>
              <w:tc>
                <w:tcPr>
                  <w:tcW w:w="2950" w:type="dxa"/>
                  <w:vAlign w:val="center"/>
                </w:tcPr>
                <w:p>
                  <w:pPr>
                    <w:jc w:val="center"/>
                    <w:rPr>
                      <w:szCs w:val="21"/>
                    </w:rPr>
                  </w:pPr>
                  <w:r>
                    <w:rPr>
                      <w:szCs w:val="21"/>
                    </w:rPr>
                    <w:t>/</w:t>
                  </w:r>
                </w:p>
              </w:tc>
            </w:tr>
          </w:tbl>
          <w:p>
            <w:pPr>
              <w:pStyle w:val="4"/>
              <w:ind w:firstLine="480"/>
            </w:pPr>
            <w:r>
              <w:rPr>
                <w:rFonts w:hint="eastAsia"/>
              </w:rPr>
              <w:t>综合以上分析，本项目Pmax最大值出现为矩形面源排放的非甲烷总烃，Pmax值为0.1692%，Cmax为3.3838µg/m³，根据《环境影响评价技术导则 大气环境》(HJ2.2-2018)分级判据，确定本项目大气环境影响评价工作等级为三级。根据《环境影响评价技术导则-大气环境》（HJ2.2-2018）8.1.3条规定，本项目大气评价等级为三级。三级评价项目最大浓度占标率小于10%，不存在超标情况，不需要计算大气防护距离。</w:t>
            </w:r>
          </w:p>
          <w:p>
            <w:pPr>
              <w:pStyle w:val="4"/>
              <w:ind w:firstLine="480"/>
              <w:rPr>
                <w:rFonts w:hint="eastAsia" w:eastAsia="宋体"/>
                <w:lang w:eastAsia="zh-CN"/>
              </w:rPr>
            </w:pPr>
            <w:r>
              <w:rPr>
                <w:rFonts w:hint="eastAsia"/>
              </w:rPr>
              <w:t>根据《环境影响评价技术导则-大气环境》（HJ2.2-2018）可知，本项目为三级评价，无需采用预测模式进行分析。</w:t>
            </w:r>
            <w:r>
              <w:rPr>
                <w:rFonts w:hint="eastAsia"/>
                <w:lang w:eastAsia="zh-CN"/>
              </w:rPr>
              <w:t>同时由估算模式预测结果可知，经过油气回收装置处理后，油气可达标排放。</w:t>
            </w:r>
          </w:p>
          <w:p>
            <w:pPr>
              <w:pStyle w:val="4"/>
              <w:ind w:firstLine="480"/>
            </w:pPr>
            <w:r>
              <w:rPr>
                <w:rFonts w:hint="eastAsia"/>
              </w:rPr>
              <w:t>本项目在建设运营过程中已采取如下措施减轻加油过程对周围大气环境的影响：</w:t>
            </w:r>
          </w:p>
          <w:p>
            <w:pPr>
              <w:pStyle w:val="4"/>
              <w:ind w:firstLine="480"/>
            </w:pPr>
            <w:r>
              <w:rPr>
                <w:rFonts w:hint="eastAsia" w:ascii="宋体" w:hAnsi="宋体" w:cs="宋体"/>
              </w:rPr>
              <w:t>①</w:t>
            </w:r>
            <w:r>
              <w:rPr>
                <w:rFonts w:hint="eastAsia"/>
              </w:rPr>
              <w:t>本项目已建设埋地式储油罐，储油罐密闭型较好，顶部有不小于</w:t>
            </w:r>
            <w:r>
              <w:t>0.5m</w:t>
            </w:r>
            <w:r>
              <w:rPr>
                <w:rFonts w:hint="eastAsia"/>
              </w:rPr>
              <w:t>的覆土，周围回填的沙子和细土厚度也不小于</w:t>
            </w:r>
            <w:r>
              <w:t>0.3m</w:t>
            </w:r>
            <w:r>
              <w:rPr>
                <w:rFonts w:hint="eastAsia"/>
              </w:rPr>
              <w:t>，因此储油罐罐室内气温比较稳定，受大气环境稳定影响较小，可减少油罐小呼吸蒸发损耗，延缓油品变质。</w:t>
            </w:r>
          </w:p>
          <w:p>
            <w:pPr>
              <w:pStyle w:val="4"/>
              <w:ind w:firstLine="480"/>
            </w:pPr>
            <w:r>
              <w:rPr>
                <w:rFonts w:hint="eastAsia" w:ascii="宋体" w:hAnsi="宋体" w:cs="宋体"/>
              </w:rPr>
              <w:t>②</w:t>
            </w:r>
            <w:r>
              <w:rPr>
                <w:rFonts w:hint="eastAsia"/>
              </w:rPr>
              <w:t>油罐车卸油已采取密闭卸油方式。每个油罐都各自设置卸油管道和卸油接口，各卸油接口和油气回收接口均设有明显的标识。卸油接口均装设快速接头及密封盖。</w:t>
            </w:r>
          </w:p>
          <w:p>
            <w:pPr>
              <w:pStyle w:val="4"/>
              <w:ind w:firstLine="480"/>
            </w:pPr>
            <w:r>
              <w:rPr>
                <w:rFonts w:hint="eastAsia" w:ascii="宋体" w:hAnsi="宋体" w:cs="宋体"/>
              </w:rPr>
              <w:t>③</w:t>
            </w:r>
            <w:r>
              <w:rPr>
                <w:rFonts w:hint="eastAsia"/>
              </w:rPr>
              <w:t>汽油油罐车已安装一根气相管线，将油槽车与汽油储罐连通，卸车过程中，油槽车内部的汽油通过卸车管线进入储罐，储罐的油气经过气相管线输回油罐车内，完成密闭卸油的过程。回收到油罐车内的油气，可由油罐车带回油库后，再经油库安装的油气回收设施回收处理。</w:t>
            </w:r>
          </w:p>
          <w:p>
            <w:pPr>
              <w:pStyle w:val="4"/>
              <w:ind w:firstLine="480"/>
            </w:pPr>
            <w:r>
              <w:fldChar w:fldCharType="begin"/>
            </w:r>
            <w:r>
              <w:instrText xml:space="preserve"> = 4 \* GB3 </w:instrText>
            </w:r>
            <w:r>
              <w:fldChar w:fldCharType="separate"/>
            </w:r>
            <w:r>
              <w:rPr>
                <w:rFonts w:hint="eastAsia" w:ascii="宋体" w:hAnsi="宋体" w:cs="宋体"/>
              </w:rPr>
              <w:t>④</w:t>
            </w:r>
            <w:r>
              <w:fldChar w:fldCharType="end"/>
            </w:r>
            <w:r>
              <w:rPr>
                <w:rFonts w:hint="eastAsia"/>
              </w:rPr>
              <w:t>油站油罐通气管道和露出地面的管道均符合《输送流体用无缝钢管》</w:t>
            </w:r>
            <w:r>
              <w:t>GB/T8163</w:t>
            </w:r>
            <w:r>
              <w:rPr>
                <w:rFonts w:hint="eastAsia"/>
              </w:rPr>
              <w:t>的无缝钢管。</w:t>
            </w:r>
          </w:p>
          <w:p>
            <w:pPr>
              <w:pStyle w:val="4"/>
              <w:ind w:firstLine="480"/>
            </w:pPr>
            <w:r>
              <w:rPr>
                <w:rFonts w:hint="eastAsia" w:ascii="宋体" w:hAnsi="宋体" w:cs="宋体"/>
              </w:rPr>
              <w:t>⑤</w:t>
            </w:r>
            <w:r>
              <w:rPr>
                <w:rFonts w:hint="eastAsia"/>
              </w:rPr>
              <w:t>汽车加油过程中，将原来油箱口散溢的油气，通过油气回收专用加油枪收集，利用动力设备（真空泵）经油气回收管线输送至储罐，实现加油与油气等体积置换。</w:t>
            </w:r>
          </w:p>
          <w:p>
            <w:pPr>
              <w:pStyle w:val="4"/>
              <w:ind w:firstLine="480"/>
            </w:pPr>
            <w:r>
              <w:rPr>
                <w:rFonts w:hint="eastAsia" w:ascii="宋体" w:hAnsi="宋体" w:cs="宋体"/>
              </w:rPr>
              <w:t>⑥</w:t>
            </w:r>
            <w:r>
              <w:rPr>
                <w:rFonts w:hint="eastAsia"/>
              </w:rPr>
              <w:t>根据《加油站大气污染物排放标准》（</w:t>
            </w:r>
            <w:r>
              <w:t>GB20952-2007</w:t>
            </w:r>
            <w:r>
              <w:rPr>
                <w:rFonts w:hint="eastAsia"/>
              </w:rPr>
              <w:t>）中表</w:t>
            </w:r>
            <w:r>
              <w:t>3</w:t>
            </w:r>
            <w:r>
              <w:rPr>
                <w:rFonts w:hint="eastAsia"/>
              </w:rPr>
              <w:t>的规定：已采取了如下措施用于控制卸油油气排放：</w:t>
            </w:r>
          </w:p>
          <w:p>
            <w:pPr>
              <w:pStyle w:val="4"/>
              <w:ind w:firstLine="480"/>
            </w:pPr>
            <w:r>
              <w:t>a.</w:t>
            </w:r>
            <w:r>
              <w:rPr>
                <w:rFonts w:hint="eastAsia"/>
              </w:rPr>
              <w:t>已采用浸没式卸油方式，卸油管出油口距罐底高度小于</w:t>
            </w:r>
            <w:r>
              <w:t>200mm</w:t>
            </w:r>
            <w:r>
              <w:rPr>
                <w:rFonts w:hint="eastAsia"/>
              </w:rPr>
              <w:t>。</w:t>
            </w:r>
          </w:p>
          <w:p>
            <w:pPr>
              <w:pStyle w:val="4"/>
              <w:ind w:firstLine="480"/>
            </w:pPr>
            <w:r>
              <w:t>b.</w:t>
            </w:r>
            <w:r>
              <w:rPr>
                <w:rFonts w:hint="eastAsia"/>
              </w:rPr>
              <w:t>卸油和油气回收接口已采用变径连接、密封式快速接头和帽盖。</w:t>
            </w:r>
          </w:p>
          <w:p>
            <w:pPr>
              <w:pStyle w:val="4"/>
              <w:ind w:firstLine="480"/>
            </w:pPr>
            <w:r>
              <w:t>c.</w:t>
            </w:r>
            <w:r>
              <w:rPr>
                <w:rFonts w:hint="eastAsia"/>
              </w:rPr>
              <w:t>连接软管已采用</w:t>
            </w:r>
            <w:r>
              <w:t>DN100mm</w:t>
            </w:r>
            <w:r>
              <w:rPr>
                <w:rFonts w:hint="eastAsia"/>
              </w:rPr>
              <w:t>的密封式快速接头与卸油车连接。</w:t>
            </w:r>
          </w:p>
          <w:p>
            <w:pPr>
              <w:pStyle w:val="4"/>
              <w:ind w:firstLine="480"/>
            </w:pPr>
            <w:r>
              <w:t>d.</w:t>
            </w:r>
            <w:r>
              <w:rPr>
                <w:rFonts w:hint="eastAsia"/>
              </w:rPr>
              <w:t>所有油气管线排放口已按</w:t>
            </w:r>
            <w:r>
              <w:t>GB50156</w:t>
            </w:r>
            <w:r>
              <w:rPr>
                <w:rFonts w:hint="eastAsia"/>
              </w:rPr>
              <w:t>的要求设置压力</w:t>
            </w:r>
            <w:r>
              <w:t>/</w:t>
            </w:r>
            <w:r>
              <w:rPr>
                <w:rFonts w:hint="eastAsia"/>
              </w:rPr>
              <w:t>真空阀。</w:t>
            </w:r>
          </w:p>
          <w:p>
            <w:pPr>
              <w:pStyle w:val="4"/>
              <w:ind w:firstLine="480"/>
            </w:pPr>
            <w:r>
              <w:t>e.</w:t>
            </w:r>
            <w:r>
              <w:rPr>
                <w:rFonts w:hint="eastAsia"/>
              </w:rPr>
              <w:t>连接排气管的地下管线为坡向油罐，坡度不小于</w:t>
            </w:r>
            <w:r>
              <w:t xml:space="preserve"> 1%</w:t>
            </w:r>
            <w:r>
              <w:rPr>
                <w:rFonts w:hint="eastAsia"/>
              </w:rPr>
              <w:t>，管线直径不小于</w:t>
            </w:r>
            <w:r>
              <w:t xml:space="preserve"> DN50mm</w:t>
            </w:r>
            <w:r>
              <w:rPr>
                <w:rFonts w:hint="eastAsia"/>
              </w:rPr>
              <w:t>。</w:t>
            </w:r>
          </w:p>
          <w:p>
            <w:pPr>
              <w:pStyle w:val="4"/>
              <w:ind w:firstLine="480"/>
            </w:pPr>
            <w:r>
              <w:rPr>
                <w:rFonts w:hint="eastAsia" w:ascii="宋体" w:hAnsi="宋体" w:cs="宋体"/>
              </w:rPr>
              <w:t>⑦</w:t>
            </w:r>
            <w:r>
              <w:rPr>
                <w:rFonts w:hint="eastAsia"/>
              </w:rPr>
              <w:t>根据《加油站大气污染物排放标准》（</w:t>
            </w:r>
            <w:r>
              <w:t>GB20952-2007</w:t>
            </w:r>
            <w:r>
              <w:rPr>
                <w:rFonts w:hint="eastAsia"/>
              </w:rPr>
              <w:t>）中表</w:t>
            </w:r>
            <w:r>
              <w:t>4</w:t>
            </w:r>
            <w:r>
              <w:rPr>
                <w:rFonts w:hint="eastAsia"/>
              </w:rPr>
              <w:t>的规定：储油、加油油气排放控制措施如下：</w:t>
            </w:r>
          </w:p>
          <w:p>
            <w:pPr>
              <w:pStyle w:val="4"/>
              <w:ind w:firstLine="480"/>
            </w:pPr>
            <w:r>
              <w:rPr>
                <w:rFonts w:hint="eastAsia"/>
              </w:rPr>
              <w:t>储油油气排放控制如下：</w:t>
            </w:r>
          </w:p>
          <w:p>
            <w:pPr>
              <w:pStyle w:val="4"/>
              <w:ind w:firstLine="480"/>
            </w:pPr>
            <w:r>
              <w:t>a.</w:t>
            </w:r>
            <w:r>
              <w:rPr>
                <w:rFonts w:hint="eastAsia"/>
              </w:rPr>
              <w:t>所有影响储油油气密闭性的部件，包括油气管线和所联接的法兰、阀门、快接头以及其他相关部件都保证在小于</w:t>
            </w:r>
            <w:r>
              <w:t>750Pa</w:t>
            </w:r>
            <w:r>
              <w:rPr>
                <w:rFonts w:hint="eastAsia"/>
              </w:rPr>
              <w:t>时不漏气。</w:t>
            </w:r>
          </w:p>
          <w:p>
            <w:pPr>
              <w:pStyle w:val="4"/>
              <w:ind w:firstLine="480"/>
            </w:pPr>
            <w:r>
              <w:t>b.</w:t>
            </w:r>
            <w:r>
              <w:rPr>
                <w:rFonts w:hint="eastAsia"/>
              </w:rPr>
              <w:t>埋地油罐已采用电子式液位计进行汽油密闭测量。</w:t>
            </w:r>
          </w:p>
          <w:p>
            <w:pPr>
              <w:pStyle w:val="4"/>
              <w:ind w:firstLine="480"/>
            </w:pPr>
            <w:r>
              <w:t>c.</w:t>
            </w:r>
            <w:r>
              <w:rPr>
                <w:rFonts w:hint="eastAsia"/>
              </w:rPr>
              <w:t>已采用符合相关规定的溢油控制措施。</w:t>
            </w:r>
          </w:p>
          <w:p>
            <w:pPr>
              <w:pStyle w:val="4"/>
              <w:ind w:firstLine="480"/>
            </w:pPr>
            <w:r>
              <w:rPr>
                <w:rFonts w:hint="eastAsia"/>
              </w:rPr>
              <w:t>加油油气排放控制：</w:t>
            </w:r>
          </w:p>
          <w:p>
            <w:pPr>
              <w:pStyle w:val="4"/>
              <w:ind w:firstLine="480"/>
            </w:pPr>
            <w:r>
              <w:t>a.</w:t>
            </w:r>
            <w:r>
              <w:rPr>
                <w:rFonts w:hint="eastAsia"/>
              </w:rPr>
              <w:t>加油产生的油气已采用真空辅助方式密闭收集。</w:t>
            </w:r>
          </w:p>
          <w:p>
            <w:pPr>
              <w:pStyle w:val="4"/>
              <w:ind w:firstLine="480"/>
            </w:pPr>
            <w:r>
              <w:t>b.</w:t>
            </w:r>
            <w:r>
              <w:rPr>
                <w:rFonts w:hint="eastAsia"/>
              </w:rPr>
              <w:t>油气回收管线应坡向油罐，坡度不小于</w:t>
            </w:r>
            <w:r>
              <w:t>1%</w:t>
            </w:r>
            <w:r>
              <w:rPr>
                <w:rFonts w:hint="eastAsia"/>
              </w:rPr>
              <w:t>。</w:t>
            </w:r>
          </w:p>
          <w:p>
            <w:pPr>
              <w:pStyle w:val="4"/>
              <w:ind w:firstLine="480"/>
            </w:pPr>
            <w:r>
              <w:t>c.</w:t>
            </w:r>
            <w:r>
              <w:rPr>
                <w:rFonts w:hint="eastAsia"/>
              </w:rPr>
              <w:t>加油软管已配备拉断截止阀，加油时防止溢油和滴油。</w:t>
            </w:r>
          </w:p>
          <w:p>
            <w:pPr>
              <w:pStyle w:val="4"/>
              <w:ind w:firstLine="480"/>
            </w:pPr>
            <w:r>
              <w:rPr>
                <w:rFonts w:hint="eastAsia"/>
              </w:rPr>
              <w:t>e.已严格按规程操作和管理油气回收设施，定期检查、维护并记录备查。</w:t>
            </w:r>
          </w:p>
          <w:p>
            <w:pPr>
              <w:pStyle w:val="4"/>
              <w:ind w:firstLine="480"/>
            </w:pPr>
            <w:r>
              <w:t>g.</w:t>
            </w:r>
            <w:r>
              <w:rPr>
                <w:rFonts w:hint="eastAsia"/>
              </w:rPr>
              <w:t>当汽车油箱油面达到自动停止加油高度时，不得再向油箱内加油。</w:t>
            </w:r>
          </w:p>
          <w:p>
            <w:pPr>
              <w:pStyle w:val="4"/>
              <w:ind w:firstLine="480"/>
            </w:pPr>
            <w:r>
              <w:rPr>
                <w:rFonts w:hint="eastAsia"/>
              </w:rPr>
              <w:t>另外对无组织排放油气的挥发已采用以下措施进行控制：</w:t>
            </w:r>
          </w:p>
          <w:p>
            <w:pPr>
              <w:pStyle w:val="4"/>
              <w:ind w:firstLine="480"/>
            </w:pPr>
            <w:r>
              <w:t>a.</w:t>
            </w:r>
            <w:r>
              <w:rPr>
                <w:rFonts w:hint="eastAsia"/>
              </w:rPr>
              <w:t>对挥发量大的汽油罐选用内浮顶储罐，气温高时，储罐容积随油气膨胀而增大，已增设呼吸阀挡板，以减少油罐大、小呼吸损耗。</w:t>
            </w:r>
          </w:p>
          <w:p>
            <w:pPr>
              <w:pStyle w:val="4"/>
              <w:ind w:firstLine="480"/>
            </w:pPr>
            <w:r>
              <w:rPr>
                <w:rFonts w:hint="eastAsia"/>
              </w:rPr>
              <w:t>b.尽量缩短卸油、加油时间，在卸油、加油过程中尽量防止油品的泄漏和溢流，从而减少油气的挥发量。</w:t>
            </w:r>
          </w:p>
          <w:p>
            <w:pPr>
              <w:pStyle w:val="4"/>
              <w:ind w:firstLine="480"/>
            </w:pPr>
            <w:r>
              <w:t>项目已经设置了汽油油气回收系统，效率均可达到95%以上，经卸油与加油油气回收系统处理后，排入环境的非甲烷总烃量大大减少，符合《关于印发《湖南省大气污染防治专项行动方案（2016-2017年）》的通知》（湘政办发[2016]33号）要求。</w:t>
            </w:r>
          </w:p>
          <w:p>
            <w:pPr>
              <w:pStyle w:val="4"/>
              <w:ind w:firstLine="480"/>
            </w:pPr>
            <w:r>
              <w:t>为减少加油机作业时由于跑冒滴漏造成的非甲烷总烃对本项目的影响，本环评要求加油站加强操作人员的业务培训和学习，严格按照行业操作规程作业，从管理和作业上减少排污量。尽量缩短卸油、加油时间，在卸油、加油过程中尽量防止油品的泄漏和溢流，从而减少油气的挥发量。另外，对油料的运输贮存、输送设备应加强管理与维护，杜绝出现各有关设备跑、冒、漏现象和人为导致的安全事故。</w:t>
            </w:r>
          </w:p>
          <w:p>
            <w:pPr>
              <w:pStyle w:val="4"/>
              <w:ind w:firstLine="480"/>
            </w:pPr>
            <w:r>
              <w:rPr>
                <w:rFonts w:hint="eastAsia"/>
              </w:rPr>
              <w:t>（2）机动车尾气</w:t>
            </w:r>
          </w:p>
          <w:p>
            <w:pPr>
              <w:pStyle w:val="4"/>
              <w:ind w:firstLine="480"/>
            </w:pPr>
            <w:r>
              <w:rPr>
                <w:rFonts w:hint="eastAsia"/>
              </w:rPr>
              <w:t>根据工程分析可知，本项目机动车尾气主要污染物为</w:t>
            </w:r>
            <w:r>
              <w:t>NO</w:t>
            </w:r>
            <w:r>
              <w:rPr>
                <w:vertAlign w:val="subscript"/>
              </w:rPr>
              <w:t>X</w:t>
            </w:r>
            <w:r>
              <w:rPr>
                <w:rFonts w:hint="eastAsia"/>
              </w:rPr>
              <w:t>、</w:t>
            </w:r>
            <w:r>
              <w:t>CO</w:t>
            </w:r>
            <w:r>
              <w:rPr>
                <w:rFonts w:hint="eastAsia"/>
              </w:rPr>
              <w:t>、</w:t>
            </w:r>
            <w:r>
              <w:t>HC</w:t>
            </w:r>
            <w:r>
              <w:rPr>
                <w:rFonts w:hint="eastAsia"/>
              </w:rPr>
              <w:t>，其产生量分别为</w:t>
            </w:r>
            <w:r>
              <w:t>0.0</w:t>
            </w:r>
            <w:r>
              <w:rPr>
                <w:rFonts w:hint="eastAsia"/>
              </w:rPr>
              <w:t>23</w:t>
            </w:r>
            <w:r>
              <w:t>t/a</w:t>
            </w:r>
            <w:r>
              <w:rPr>
                <w:rFonts w:hint="eastAsia"/>
              </w:rPr>
              <w:t>、</w:t>
            </w:r>
            <w:r>
              <w:t>0.1</w:t>
            </w:r>
            <w:r>
              <w:rPr>
                <w:rFonts w:hint="eastAsia"/>
              </w:rPr>
              <w:t>6</w:t>
            </w:r>
            <w:r>
              <w:t>t/a</w:t>
            </w:r>
            <w:r>
              <w:rPr>
                <w:rFonts w:hint="eastAsia"/>
              </w:rPr>
              <w:t>、</w:t>
            </w:r>
            <w:r>
              <w:t>0.0</w:t>
            </w:r>
            <w:r>
              <w:rPr>
                <w:rFonts w:hint="eastAsia"/>
              </w:rPr>
              <w:t>35</w:t>
            </w:r>
            <w:r>
              <w:t>t/a</w:t>
            </w:r>
            <w:r>
              <w:rPr>
                <w:rFonts w:hint="eastAsia"/>
              </w:rPr>
              <w:t>。项目周围设置一定的绿化带，机动车在加油站内停车加油停留时间短，通过空气自然流通扩散及绿化吸收净化的作用，项目内产生的机动车尾气，很快就能被稀释扩散，对周围环境影响较小。</w:t>
            </w:r>
          </w:p>
          <w:p>
            <w:pPr>
              <w:pStyle w:val="4"/>
              <w:ind w:firstLine="480"/>
            </w:pPr>
            <w:r>
              <w:rPr>
                <w:rFonts w:hint="eastAsia"/>
              </w:rPr>
              <w:t>（3）柴油发电机燃烧废气</w:t>
            </w:r>
          </w:p>
          <w:p>
            <w:pPr>
              <w:pStyle w:val="4"/>
              <w:ind w:firstLine="480"/>
            </w:pPr>
            <w:r>
              <w:rPr>
                <w:rFonts w:hint="eastAsia"/>
              </w:rPr>
              <w:t>本项目在辅助用房的发电房内设一台备用的柴油发电机，备用柴油发电机组运行时会产生燃料燃烧尾气，其污染物主要为NO</w:t>
            </w:r>
            <w:r>
              <w:rPr>
                <w:rFonts w:hint="eastAsia"/>
                <w:vertAlign w:val="subscript"/>
              </w:rPr>
              <w:t>x</w:t>
            </w:r>
            <w:r>
              <w:rPr>
                <w:rFonts w:hint="eastAsia"/>
              </w:rPr>
              <w:t>、CO。备用柴油发电机组仅在停电时使用，间断作业，且工作时间短，因此产生污染物排放量少。所以对周边环境影响较小。</w:t>
            </w:r>
          </w:p>
          <w:p>
            <w:pPr>
              <w:pStyle w:val="6"/>
            </w:pPr>
            <w:r>
              <w:t>地表水环境影响分析</w:t>
            </w:r>
          </w:p>
          <w:p>
            <w:pPr>
              <w:tabs>
                <w:tab w:val="left" w:pos="735"/>
              </w:tabs>
              <w:adjustRightInd w:val="0"/>
              <w:snapToGrid w:val="0"/>
              <w:spacing w:line="360" w:lineRule="auto"/>
              <w:ind w:firstLine="480" w:firstLineChars="200"/>
              <w:rPr>
                <w:bCs/>
                <w:snapToGrid w:val="0"/>
                <w:sz w:val="24"/>
              </w:rPr>
            </w:pPr>
            <w:r>
              <w:rPr>
                <w:rFonts w:hint="eastAsia"/>
                <w:bCs/>
                <w:snapToGrid w:val="0"/>
                <w:sz w:val="24"/>
              </w:rPr>
              <w:t>（1）确定评价等级</w:t>
            </w:r>
          </w:p>
          <w:p>
            <w:pPr>
              <w:pStyle w:val="4"/>
              <w:ind w:firstLine="480"/>
            </w:pPr>
            <w:r>
              <w:rPr>
                <w:rFonts w:hint="eastAsia"/>
                <w:bCs/>
                <w:snapToGrid w:val="0"/>
              </w:rPr>
              <w:t>根据《环境影响评价技术导则 地表水环境》（HJ2.3-2018）中5.2节中“5.2.2.2间接排放建设项目评价等级为三B。”</w:t>
            </w:r>
            <w:r>
              <w:t>本项目实行雨污分流制</w:t>
            </w:r>
            <w:r>
              <w:rPr>
                <w:rFonts w:hint="eastAsia"/>
              </w:rPr>
              <w:t>，</w:t>
            </w:r>
            <w:r>
              <w:rPr>
                <w:bCs/>
                <w:snapToGrid w:val="0"/>
              </w:rPr>
              <w:t>雨水经</w:t>
            </w:r>
            <w:r>
              <w:rPr>
                <w:rFonts w:hint="eastAsia"/>
                <w:bCs/>
                <w:snapToGrid w:val="0"/>
              </w:rPr>
              <w:t>雨水沟收集经沉淀处理后外排至西侧农渠；生活污水经化粪池处理后用做农肥，不外排，直接判定为“三级B”。根据5.3.2.2中三级B，其评价范围应符合以下要求：a）应满足其依托污水处理设备环境可行性分析的要求；b）涉及地表水环境风险的，应覆盖环境风险影响范围所及的水环境保护目标水域。根据5.4.2三级B评价，可不考虑评价时期。根据6.6.2.1中d）水污染影响型三级B评价，可不开展区域污染源调查，主要调查依托污水处理设施的日处理能力、处理工艺、设计进水水质、处理后的废水稳定达</w:t>
            </w:r>
            <w:r>
              <w:rPr>
                <w:rFonts w:hint="eastAsia"/>
              </w:rPr>
              <w:t>标排放情况，同时应调查依托污水处理设施执行的排放标准是否涵盖建设项目排放的有毒有害的特征水污染物。根据7.1.2水污染影响型三级B评价可不进行水环境影响预测。</w:t>
            </w:r>
          </w:p>
          <w:p>
            <w:pPr>
              <w:pStyle w:val="4"/>
              <w:ind w:firstLine="480"/>
            </w:pPr>
            <w:r>
              <w:rPr>
                <w:rFonts w:hint="eastAsia"/>
              </w:rPr>
              <w:t>本项目营运期主要主要从事汽油、柴油零售等业务，洗车废水及清洗废水经隔油沉淀处理后回用。项目年用水量为890.6 m³/a，废水年产生量为748.25m³/a，项目生活污水经化粪池处理后用做农肥。</w:t>
            </w:r>
          </w:p>
          <w:p>
            <w:pPr>
              <w:pStyle w:val="4"/>
              <w:ind w:firstLine="480"/>
            </w:pPr>
            <w:r>
              <w:rPr>
                <w:rFonts w:hint="eastAsia"/>
              </w:rPr>
              <w:t>（2）地表水环境影响分析</w:t>
            </w:r>
          </w:p>
          <w:p>
            <w:pPr>
              <w:adjustRightInd w:val="0"/>
              <w:snapToGrid w:val="0"/>
              <w:spacing w:line="360" w:lineRule="auto"/>
              <w:ind w:firstLine="480" w:firstLineChars="200"/>
              <w:rPr>
                <w:kern w:val="0"/>
                <w:sz w:val="24"/>
                <w:szCs w:val="28"/>
              </w:rPr>
            </w:pPr>
            <w:r>
              <w:rPr>
                <w:kern w:val="0"/>
                <w:sz w:val="24"/>
                <w:szCs w:val="28"/>
              </w:rPr>
              <w:t>本项目仅提供车辆简易清洗</w:t>
            </w:r>
            <w:r>
              <w:rPr>
                <w:color w:val="000000"/>
                <w:sz w:val="24"/>
              </w:rPr>
              <w:t>，因此营运期项目产生的废水主要为员工及顾客生活污水、洗车废水和地面冲洗废水。</w:t>
            </w:r>
          </w:p>
          <w:p>
            <w:pPr>
              <w:adjustRightInd w:val="0"/>
              <w:snapToGrid w:val="0"/>
              <w:spacing w:line="360" w:lineRule="auto"/>
              <w:ind w:firstLine="480" w:firstLineChars="200"/>
              <w:rPr>
                <w:rFonts w:hint="eastAsia" w:ascii="Times New Roman" w:hAnsi="Times New Roman" w:eastAsia="宋体" w:cs="Times New Roman"/>
                <w:color w:val="000000"/>
                <w:sz w:val="24"/>
              </w:rPr>
            </w:pPr>
            <w:r>
              <w:rPr>
                <w:rFonts w:hint="eastAsia"/>
                <w:sz w:val="24"/>
              </w:rPr>
              <w:t>项目</w:t>
            </w:r>
            <w:r>
              <w:rPr>
                <w:sz w:val="24"/>
              </w:rPr>
              <w:t>生活污水</w:t>
            </w:r>
            <w:r>
              <w:rPr>
                <w:rFonts w:hint="eastAsia"/>
                <w:sz w:val="24"/>
              </w:rPr>
              <w:t>产生</w:t>
            </w:r>
            <w:r>
              <w:rPr>
                <w:rFonts w:hint="eastAsia" w:cs="宋体"/>
                <w:sz w:val="24"/>
                <w:szCs w:val="24"/>
              </w:rPr>
              <w:t>量约为</w:t>
            </w:r>
            <w:r>
              <w:rPr>
                <w:rFonts w:hint="eastAsia"/>
                <w:sz w:val="24"/>
                <w:szCs w:val="24"/>
              </w:rPr>
              <w:t>0.77</w:t>
            </w:r>
            <w:r>
              <w:rPr>
                <w:sz w:val="24"/>
                <w:szCs w:val="24"/>
              </w:rPr>
              <w:t>m</w:t>
            </w:r>
            <w:r>
              <w:rPr>
                <w:sz w:val="24"/>
                <w:szCs w:val="24"/>
                <w:vertAlign w:val="superscript"/>
              </w:rPr>
              <w:t>3</w:t>
            </w:r>
            <w:r>
              <w:rPr>
                <w:sz w:val="24"/>
                <w:szCs w:val="24"/>
              </w:rPr>
              <w:t>/d</w:t>
            </w:r>
            <w:r>
              <w:rPr>
                <w:rFonts w:hint="eastAsia" w:cs="宋体"/>
                <w:sz w:val="24"/>
                <w:szCs w:val="24"/>
              </w:rPr>
              <w:t>（</w:t>
            </w:r>
            <w:r>
              <w:rPr>
                <w:rFonts w:hint="eastAsia"/>
                <w:sz w:val="24"/>
                <w:szCs w:val="24"/>
              </w:rPr>
              <w:t>281.05m</w:t>
            </w:r>
            <w:r>
              <w:rPr>
                <w:rFonts w:hint="eastAsia"/>
                <w:sz w:val="24"/>
                <w:szCs w:val="24"/>
                <w:vertAlign w:val="superscript"/>
              </w:rPr>
              <w:t>3</w:t>
            </w:r>
            <w:r>
              <w:rPr>
                <w:sz w:val="24"/>
                <w:szCs w:val="24"/>
              </w:rPr>
              <w:t>/a</w:t>
            </w:r>
            <w:r>
              <w:rPr>
                <w:rFonts w:hint="eastAsia" w:cs="宋体"/>
                <w:sz w:val="24"/>
                <w:szCs w:val="24"/>
              </w:rPr>
              <w:t>），主要污染物为</w:t>
            </w:r>
            <w:r>
              <w:rPr>
                <w:sz w:val="24"/>
                <w:szCs w:val="24"/>
              </w:rPr>
              <w:t> COD</w:t>
            </w:r>
            <w:r>
              <w:rPr>
                <w:rFonts w:hint="eastAsia" w:cs="宋体"/>
                <w:sz w:val="24"/>
                <w:szCs w:val="24"/>
              </w:rPr>
              <w:t>、</w:t>
            </w:r>
            <w:r>
              <w:rPr>
                <w:rFonts w:hint="eastAsia"/>
                <w:sz w:val="24"/>
                <w:szCs w:val="24"/>
              </w:rPr>
              <w:t>BOD</w:t>
            </w:r>
            <w:r>
              <w:rPr>
                <w:rFonts w:hint="eastAsia"/>
                <w:sz w:val="24"/>
                <w:szCs w:val="24"/>
                <w:vertAlign w:val="subscript"/>
              </w:rPr>
              <w:t>5</w:t>
            </w:r>
            <w:r>
              <w:rPr>
                <w:rFonts w:hint="eastAsia" w:cs="宋体"/>
                <w:sz w:val="24"/>
                <w:szCs w:val="24"/>
              </w:rPr>
              <w:t>、</w:t>
            </w:r>
            <w:r>
              <w:rPr>
                <w:sz w:val="24"/>
                <w:szCs w:val="24"/>
              </w:rPr>
              <w:t>NH</w:t>
            </w:r>
            <w:r>
              <w:rPr>
                <w:sz w:val="24"/>
                <w:szCs w:val="24"/>
                <w:vertAlign w:val="subscript"/>
              </w:rPr>
              <w:t>3</w:t>
            </w:r>
            <w:r>
              <w:rPr>
                <w:sz w:val="24"/>
                <w:szCs w:val="24"/>
              </w:rPr>
              <w:t>-N</w:t>
            </w:r>
            <w:r>
              <w:rPr>
                <w:rFonts w:hint="eastAsia" w:cs="宋体"/>
                <w:sz w:val="24"/>
                <w:szCs w:val="24"/>
              </w:rPr>
              <w:t>和SS，</w:t>
            </w:r>
            <w:r>
              <w:rPr>
                <w:rFonts w:hint="eastAsia" w:ascii="宋体" w:hAnsi="宋体"/>
                <w:color w:val="000000"/>
                <w:sz w:val="24"/>
                <w:szCs w:val="24"/>
              </w:rPr>
              <w:t>经化粪池处理后用作农肥。</w:t>
            </w:r>
            <w:r>
              <w:rPr>
                <w:spacing w:val="4"/>
                <w:sz w:val="24"/>
              </w:rPr>
              <w:t>站内地面清洗</w:t>
            </w:r>
            <w:r>
              <w:rPr>
                <w:rFonts w:hint="eastAsia"/>
                <w:spacing w:val="4"/>
                <w:sz w:val="24"/>
              </w:rPr>
              <w:t>及洗车</w:t>
            </w:r>
            <w:r>
              <w:rPr>
                <w:spacing w:val="4"/>
                <w:sz w:val="24"/>
              </w:rPr>
              <w:t>废水</w:t>
            </w:r>
            <w:r>
              <w:rPr>
                <w:rFonts w:hint="eastAsia"/>
                <w:spacing w:val="4"/>
                <w:sz w:val="24"/>
              </w:rPr>
              <w:t>产生量约为</w:t>
            </w:r>
            <w:r>
              <w:rPr>
                <w:rFonts w:hint="eastAsia"/>
                <w:sz w:val="24"/>
                <w:szCs w:val="24"/>
              </w:rPr>
              <w:t>1.632</w:t>
            </w:r>
            <w:r>
              <w:rPr>
                <w:sz w:val="24"/>
                <w:szCs w:val="24"/>
              </w:rPr>
              <w:t>m</w:t>
            </w:r>
            <w:r>
              <w:rPr>
                <w:sz w:val="24"/>
                <w:szCs w:val="24"/>
                <w:vertAlign w:val="superscript"/>
              </w:rPr>
              <w:t>3</w:t>
            </w:r>
            <w:r>
              <w:rPr>
                <w:sz w:val="24"/>
                <w:szCs w:val="24"/>
              </w:rPr>
              <w:t>/d</w:t>
            </w:r>
            <w:r>
              <w:rPr>
                <w:rFonts w:hint="eastAsia" w:cs="宋体"/>
                <w:sz w:val="24"/>
                <w:szCs w:val="24"/>
              </w:rPr>
              <w:t>（</w:t>
            </w:r>
            <w:r>
              <w:rPr>
                <w:rFonts w:hint="eastAsia"/>
                <w:sz w:val="24"/>
                <w:szCs w:val="24"/>
              </w:rPr>
              <w:t>595.68m</w:t>
            </w:r>
            <w:r>
              <w:rPr>
                <w:rFonts w:hint="eastAsia"/>
                <w:sz w:val="24"/>
                <w:szCs w:val="24"/>
                <w:vertAlign w:val="superscript"/>
              </w:rPr>
              <w:t>3</w:t>
            </w:r>
            <w:r>
              <w:rPr>
                <w:sz w:val="24"/>
                <w:szCs w:val="24"/>
              </w:rPr>
              <w:t>/a</w:t>
            </w:r>
            <w:r>
              <w:rPr>
                <w:rFonts w:hint="eastAsia" w:cs="宋体"/>
                <w:sz w:val="24"/>
                <w:szCs w:val="24"/>
              </w:rPr>
              <w:t>），主要污染物为</w:t>
            </w:r>
            <w:r>
              <w:rPr>
                <w:rFonts w:hint="eastAsia"/>
                <w:sz w:val="24"/>
                <w:szCs w:val="24"/>
              </w:rPr>
              <w:t>悬浮物及</w:t>
            </w:r>
            <w:r>
              <w:rPr>
                <w:rFonts w:hint="eastAsia" w:cs="宋体"/>
                <w:sz w:val="24"/>
                <w:szCs w:val="24"/>
              </w:rPr>
              <w:t>石油类；</w:t>
            </w:r>
            <w:r>
              <w:rPr>
                <w:sz w:val="24"/>
              </w:rPr>
              <w:t>加油</w:t>
            </w:r>
            <w:r>
              <w:rPr>
                <w:rFonts w:hint="eastAsia"/>
                <w:sz w:val="24"/>
              </w:rPr>
              <w:t>区</w:t>
            </w:r>
            <w:r>
              <w:rPr>
                <w:sz w:val="24"/>
              </w:rPr>
              <w:t>设</w:t>
            </w:r>
            <w:r>
              <w:rPr>
                <w:rFonts w:hint="eastAsia"/>
                <w:sz w:val="24"/>
              </w:rPr>
              <w:t>在</w:t>
            </w:r>
            <w:r>
              <w:rPr>
                <w:sz w:val="24"/>
              </w:rPr>
              <w:t>罩棚</w:t>
            </w:r>
            <w:r>
              <w:rPr>
                <w:rFonts w:hint="eastAsia"/>
                <w:sz w:val="24"/>
              </w:rPr>
              <w:t>内</w:t>
            </w:r>
            <w:r>
              <w:rPr>
                <w:sz w:val="24"/>
              </w:rPr>
              <w:t>，并在罩棚内加油岛</w:t>
            </w:r>
            <w:r>
              <w:rPr>
                <w:rFonts w:hint="eastAsia"/>
                <w:sz w:val="24"/>
              </w:rPr>
              <w:t>四周</w:t>
            </w:r>
            <w:r>
              <w:rPr>
                <w:sz w:val="24"/>
              </w:rPr>
              <w:t>设环形地沟，</w:t>
            </w:r>
            <w:r>
              <w:rPr>
                <w:rFonts w:hint="eastAsia"/>
                <w:sz w:val="24"/>
              </w:rPr>
              <w:t>可对加油时</w:t>
            </w:r>
            <w:r>
              <w:rPr>
                <w:sz w:val="24"/>
              </w:rPr>
              <w:t>漏洒于地面的油类</w:t>
            </w:r>
            <w:r>
              <w:rPr>
                <w:rFonts w:hint="eastAsia"/>
                <w:sz w:val="24"/>
              </w:rPr>
              <w:t>进行收集，地面冲洗及洗车</w:t>
            </w:r>
            <w:r>
              <w:rPr>
                <w:sz w:val="24"/>
              </w:rPr>
              <w:t>产生的含油污水</w:t>
            </w:r>
            <w:r>
              <w:rPr>
                <w:rFonts w:hint="eastAsia"/>
                <w:sz w:val="24"/>
              </w:rPr>
              <w:t>引入隔油沉淀</w:t>
            </w:r>
            <w:r>
              <w:rPr>
                <w:rFonts w:hint="eastAsia"/>
                <w:color w:val="000000"/>
                <w:sz w:val="24"/>
              </w:rPr>
              <w:t>池，经隔油沉淀后回用于站区绿</w:t>
            </w:r>
            <w:r>
              <w:rPr>
                <w:rFonts w:hint="eastAsia" w:ascii="Times New Roman" w:hAnsi="Times New Roman" w:eastAsia="宋体" w:cs="Times New Roman"/>
                <w:color w:val="000000"/>
                <w:sz w:val="24"/>
              </w:rPr>
              <w:t>化、抑尘。</w:t>
            </w:r>
          </w:p>
          <w:p>
            <w:pPr>
              <w:adjustRightInd w:val="0"/>
              <w:snapToGri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lang w:eastAsia="zh-CN"/>
              </w:rPr>
              <w:t>本站区外排雨水未设置关闭及切换阀门，本次环评建议尽快设置雨水关闭或切换阀门及应急事故池，防止发生环境风险事件时，事故废水、废油外排至外界环境。</w:t>
            </w:r>
          </w:p>
          <w:p>
            <w:pPr>
              <w:numPr>
                <w:ilvl w:val="0"/>
                <w:numId w:val="0"/>
              </w:numPr>
              <w:adjustRightInd w:val="0"/>
              <w:snapToGrid w:val="0"/>
              <w:spacing w:line="360" w:lineRule="auto"/>
              <w:ind w:leftChars="200"/>
              <w:rPr>
                <w:rFonts w:hint="eastAsia"/>
                <w:color w:val="000000"/>
                <w:sz w:val="24"/>
                <w:u w:val="single"/>
                <w:lang w:eastAsia="zh-CN"/>
              </w:rPr>
            </w:pPr>
            <w:r>
              <w:rPr>
                <w:rFonts w:hint="eastAsia"/>
                <w:color w:val="000000"/>
                <w:sz w:val="24"/>
                <w:u w:val="single"/>
                <w:lang w:eastAsia="zh-CN"/>
              </w:rPr>
              <w:t>（</w:t>
            </w:r>
            <w:r>
              <w:rPr>
                <w:rFonts w:hint="eastAsia"/>
                <w:color w:val="000000"/>
                <w:sz w:val="24"/>
                <w:u w:val="single"/>
                <w:lang w:val="en-US" w:eastAsia="zh-CN"/>
              </w:rPr>
              <w:t>3</w:t>
            </w:r>
            <w:r>
              <w:rPr>
                <w:rFonts w:hint="eastAsia"/>
                <w:color w:val="000000"/>
                <w:sz w:val="24"/>
                <w:u w:val="single"/>
                <w:lang w:eastAsia="zh-CN"/>
              </w:rPr>
              <w:t>）废水回用不外排可行性分析</w:t>
            </w:r>
          </w:p>
          <w:p>
            <w:pPr>
              <w:numPr>
                <w:ilvl w:val="0"/>
                <w:numId w:val="0"/>
              </w:numPr>
              <w:adjustRightInd w:val="0"/>
              <w:snapToGrid w:val="0"/>
              <w:spacing w:line="360" w:lineRule="auto"/>
              <w:ind w:firstLine="480" w:firstLineChars="200"/>
              <w:rPr>
                <w:color w:val="000000"/>
                <w:sz w:val="24"/>
                <w:u w:val="single"/>
              </w:rPr>
            </w:pPr>
            <w:r>
              <w:rPr>
                <w:rFonts w:hint="eastAsia"/>
                <w:color w:val="000000"/>
                <w:sz w:val="24"/>
                <w:u w:val="single"/>
              </w:rPr>
              <w:t>因项目处农于村地区，暂未接通污水管网，且</w:t>
            </w:r>
            <w:r>
              <w:rPr>
                <w:rFonts w:hint="eastAsia"/>
                <w:color w:val="000000"/>
                <w:sz w:val="24"/>
                <w:u w:val="single"/>
                <w:lang w:eastAsia="zh-CN"/>
              </w:rPr>
              <w:t>加油站站区</w:t>
            </w:r>
            <w:r>
              <w:rPr>
                <w:rFonts w:hint="eastAsia"/>
                <w:color w:val="000000"/>
                <w:sz w:val="24"/>
                <w:u w:val="single"/>
              </w:rPr>
              <w:t>生活废水</w:t>
            </w:r>
            <w:r>
              <w:rPr>
                <w:rFonts w:hint="eastAsia"/>
                <w:color w:val="000000"/>
                <w:sz w:val="24"/>
                <w:u w:val="single"/>
                <w:lang w:eastAsia="zh-CN"/>
              </w:rPr>
              <w:t>仅为厕所用水等，废水</w:t>
            </w:r>
            <w:r>
              <w:rPr>
                <w:rFonts w:hint="eastAsia"/>
                <w:color w:val="000000"/>
                <w:sz w:val="24"/>
                <w:u w:val="single"/>
              </w:rPr>
              <w:t>水质较为简单，不含重金属等有毒有害因子，经化粪池处理后可进行清掏用做农肥</w:t>
            </w:r>
            <w:r>
              <w:rPr>
                <w:rFonts w:hint="eastAsia" w:ascii="宋体" w:hAnsi="宋体"/>
                <w:color w:val="000000"/>
                <w:sz w:val="24"/>
                <w:szCs w:val="24"/>
                <w:u w:val="single"/>
                <w:lang w:eastAsia="zh-CN"/>
              </w:rPr>
              <w:t>，同时因项目周边农田较多，且本项目生活污水产生量较小，故周边农田可消纳本项目产生的生活污水</w:t>
            </w:r>
            <w:r>
              <w:rPr>
                <w:rFonts w:hint="eastAsia"/>
                <w:color w:val="000000"/>
                <w:sz w:val="24"/>
                <w:u w:val="single"/>
              </w:rPr>
              <w:t>。地面清洗废水及洗车废水经隔油</w:t>
            </w:r>
            <w:r>
              <w:rPr>
                <w:rFonts w:hint="eastAsia"/>
                <w:color w:val="000000"/>
                <w:sz w:val="24"/>
                <w:u w:val="single"/>
                <w:lang w:eastAsia="zh-CN"/>
              </w:rPr>
              <w:t>池及</w:t>
            </w:r>
            <w:r>
              <w:rPr>
                <w:rFonts w:hint="eastAsia"/>
                <w:color w:val="000000"/>
                <w:sz w:val="24"/>
                <w:u w:val="single"/>
              </w:rPr>
              <w:t>沉淀池处理后可去除水中大部分杂质及油污，因站区</w:t>
            </w:r>
            <w:r>
              <w:rPr>
                <w:rFonts w:hint="eastAsia"/>
                <w:color w:val="000000"/>
                <w:sz w:val="24"/>
                <w:u w:val="single"/>
                <w:lang w:eastAsia="zh-CN"/>
              </w:rPr>
              <w:t>地面清洗、洗车废水</w:t>
            </w:r>
            <w:r>
              <w:rPr>
                <w:rFonts w:hint="eastAsia"/>
                <w:color w:val="000000"/>
                <w:sz w:val="24"/>
                <w:u w:val="single"/>
              </w:rPr>
              <w:t>水质要求不高，故地面清洗废水及洗车废水经隔油沉淀处理后</w:t>
            </w:r>
            <w:r>
              <w:rPr>
                <w:rFonts w:hint="eastAsia"/>
                <w:color w:val="000000"/>
                <w:sz w:val="24"/>
                <w:u w:val="single"/>
                <w:lang w:eastAsia="zh-CN"/>
              </w:rPr>
              <w:t>，通过泵抽回用于</w:t>
            </w:r>
            <w:r>
              <w:rPr>
                <w:rFonts w:hint="eastAsia"/>
                <w:color w:val="000000"/>
                <w:sz w:val="24"/>
                <w:u w:val="single"/>
              </w:rPr>
              <w:t>回用是可行的。</w:t>
            </w:r>
          </w:p>
          <w:p>
            <w:pPr>
              <w:pStyle w:val="6"/>
            </w:pPr>
            <w:r>
              <w:t>地下水环境影响分析</w:t>
            </w:r>
          </w:p>
          <w:p>
            <w:pPr>
              <w:pStyle w:val="4"/>
              <w:ind w:firstLine="480"/>
            </w:pPr>
            <w:r>
              <w:rPr>
                <w:rFonts w:hint="eastAsia"/>
              </w:rPr>
              <w:t>加油站储油罐区对油罐的防漏和土壤的防渗问题最为关键，防止油站的油料跑、冒、滴、漏产生的渗漏进入土壤和区域地下水而造成污染影响，储油罐和输油管线的泄漏或渗漏对地下水的污染是相当的严重，地下水一旦遭到燃料油的污染，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尽管污染源得到及时控制，但这种污染仅靠地表雨水入渗的冲刷，含水层的自净降解将是一个长期的过程。石油类渗入区域土壤以及地下水产生的污染将是不可逆转的，其污染的影响将是长期的。因此站区的油料存放地的防漏、防渗问题必须在设计中加以解决。根据《加油站地下水防治技术指南（试行）》（环办水体函[2017]323号）的相关要求，本站区油罐已采取以下措施：</w:t>
            </w:r>
          </w:p>
          <w:p>
            <w:pPr>
              <w:pStyle w:val="4"/>
              <w:ind w:firstLine="480"/>
            </w:pPr>
            <w:r>
              <w:rPr>
                <w:rFonts w:hint="eastAsia"/>
              </w:rPr>
              <w:t>（</w:t>
            </w:r>
            <w:r>
              <w:t>1</w:t>
            </w:r>
            <w:r>
              <w:rPr>
                <w:rFonts w:hint="eastAsia"/>
              </w:rPr>
              <w:t>）已设置地埋式储罐区，其回填料符合规范要求，已按相关要求做好相应的防渗处理。</w:t>
            </w:r>
          </w:p>
          <w:p>
            <w:pPr>
              <w:pStyle w:val="4"/>
              <w:ind w:firstLine="480"/>
            </w:pPr>
            <w:r>
              <w:rPr>
                <w:rFonts w:hint="eastAsia"/>
              </w:rPr>
              <w:t>（</w:t>
            </w:r>
            <w:r>
              <w:t>2</w:t>
            </w:r>
            <w:r>
              <w:rPr>
                <w:rFonts w:hint="eastAsia"/>
              </w:rPr>
              <w:t>）储油罐外表面其防腐设计符合国家现行标准《石油化工设备和管道涂料防腐蚀技术规范》</w:t>
            </w:r>
            <w:r>
              <w:t>SH 3022</w:t>
            </w:r>
            <w:r>
              <w:rPr>
                <w:rFonts w:hint="eastAsia"/>
              </w:rPr>
              <w:t>的有关规定，且防腐等级不低于加强级。埋地钢质管道外表面的防腐设计符合国家现行标准《钢质管道外腐蚀控制规范》</w:t>
            </w:r>
            <w:r>
              <w:t>GB/T 21447</w:t>
            </w:r>
            <w:r>
              <w:rPr>
                <w:rFonts w:hint="eastAsia"/>
              </w:rPr>
              <w:t>的有关规定。</w:t>
            </w:r>
          </w:p>
          <w:p>
            <w:pPr>
              <w:pStyle w:val="4"/>
              <w:ind w:firstLine="480"/>
            </w:pPr>
            <w:r>
              <w:rPr>
                <w:rFonts w:hint="eastAsia"/>
              </w:rPr>
              <w:t>（</w:t>
            </w:r>
            <w:r>
              <w:t>3</w:t>
            </w:r>
            <w:r>
              <w:rPr>
                <w:rFonts w:hint="eastAsia"/>
              </w:rPr>
              <w:t>）已储油罐周围修建防油堤，防止成品油意外事故渗漏时造成大面积的环境污染。油罐已建高液位报警功能的液位监测系统。储油罐内进油管安装卸油防溢阀。</w:t>
            </w:r>
          </w:p>
          <w:p>
            <w:pPr>
              <w:pStyle w:val="4"/>
              <w:ind w:firstLine="480"/>
            </w:pPr>
            <w:r>
              <w:rPr>
                <w:rFonts w:hint="eastAsia"/>
              </w:rPr>
              <w:t>（</w:t>
            </w:r>
            <w:r>
              <w:t>4</w:t>
            </w:r>
            <w:r>
              <w:rPr>
                <w:rFonts w:hint="eastAsia"/>
              </w:rPr>
              <w:t>）已按照《加油站地下水防治技术指南（试行）》要求，油罐已更新为双层罐，符合《汽车加油加气站设计与施工规范》（GB 50156）的要求，已设置常规地下水监测井。</w:t>
            </w:r>
          </w:p>
          <w:p>
            <w:pPr>
              <w:pStyle w:val="4"/>
              <w:ind w:firstLine="480"/>
            </w:pPr>
            <w:r>
              <w:rPr>
                <w:rFonts w:hint="eastAsia"/>
              </w:rPr>
              <w:t>（5）本站区埋地加油管道已按照《汽车加油加气站设计与施工规范》（GB 50156）的规定设置了双层管道。双层油罐、防渗池和管道系统的渗漏检测采用了在线监测系统。</w:t>
            </w:r>
          </w:p>
          <w:p>
            <w:pPr>
              <w:spacing w:line="360" w:lineRule="auto"/>
              <w:ind w:firstLine="480" w:firstLineChars="200"/>
              <w:textAlignment w:val="baseline"/>
              <w:rPr>
                <w:sz w:val="24"/>
                <w:szCs w:val="24"/>
              </w:rPr>
            </w:pPr>
            <w:r>
              <w:rPr>
                <w:rFonts w:hint="eastAsia"/>
                <w:sz w:val="24"/>
                <w:szCs w:val="24"/>
              </w:rPr>
              <w:t>本站已于油罐区北侧设置了地下水观测井，地下水监测井与埋地油罐距离小于30m，本站区地下水观测井已采取了以下措施要求：</w:t>
            </w:r>
          </w:p>
          <w:p>
            <w:pPr>
              <w:spacing w:line="360" w:lineRule="auto"/>
              <w:ind w:firstLine="480" w:firstLineChars="200"/>
              <w:textAlignment w:val="baseline"/>
              <w:rPr>
                <w:sz w:val="24"/>
                <w:szCs w:val="24"/>
              </w:rPr>
            </w:pPr>
            <w:r>
              <w:rPr>
                <w:rFonts w:hint="eastAsia"/>
                <w:sz w:val="24"/>
                <w:szCs w:val="24"/>
              </w:rPr>
              <w:t>（1）已按照《加油站地下水防治技术指南（试行）》要求，地下水监测井采用一孔成井工艺。</w:t>
            </w:r>
          </w:p>
          <w:p>
            <w:pPr>
              <w:spacing w:line="360" w:lineRule="auto"/>
              <w:ind w:firstLine="480" w:firstLineChars="200"/>
              <w:textAlignment w:val="baseline"/>
              <w:rPr>
                <w:sz w:val="24"/>
                <w:szCs w:val="24"/>
              </w:rPr>
            </w:pPr>
            <w:r>
              <w:rPr>
                <w:rFonts w:hint="eastAsia"/>
                <w:sz w:val="24"/>
                <w:szCs w:val="24"/>
              </w:rPr>
              <w:t>（2）已做好监测数据的整理记录工作，做好企业污染物排放情况动态变化的档案记载工作。</w:t>
            </w:r>
          </w:p>
          <w:p>
            <w:pPr>
              <w:spacing w:line="360" w:lineRule="auto"/>
              <w:ind w:firstLine="480" w:firstLineChars="200"/>
              <w:textAlignment w:val="baseline"/>
              <w:rPr>
                <w:sz w:val="24"/>
                <w:szCs w:val="24"/>
              </w:rPr>
            </w:pPr>
            <w:r>
              <w:rPr>
                <w:rFonts w:hint="eastAsia"/>
                <w:sz w:val="24"/>
                <w:szCs w:val="24"/>
              </w:rPr>
              <w:t>（3）定期对油罐区周边的土壤、观测井地下水中石油类物质进行监测，准确掌握地下水中石油类物质的变化情况，进而观察本项目是否出现储油罐漏油事故的发生。</w:t>
            </w:r>
          </w:p>
          <w:p>
            <w:pPr>
              <w:spacing w:line="360" w:lineRule="auto"/>
              <w:ind w:firstLine="480" w:firstLineChars="200"/>
              <w:textAlignment w:val="baseline"/>
              <w:rPr>
                <w:sz w:val="24"/>
                <w:szCs w:val="24"/>
              </w:rPr>
            </w:pPr>
            <w:r>
              <w:rPr>
                <w:sz w:val="24"/>
                <w:szCs w:val="24"/>
              </w:rPr>
              <w:t>根据《加油站地下水污染防治技术指南（试行）的通知》环境保护部办公厅，环办水体函[2017]323号要求：为了预防加油站地下水污染，加油站需设置双层罐或防渗池；防渗池应根据油罐的数量设置隔池。一个隔池内的油罐不应多于两座；防渗池内的空间，应采用中性沙回填；采取防渗漏措施的加油站，其埋地加油管道应采用双层管道。</w:t>
            </w:r>
            <w:r>
              <w:rPr>
                <w:rStyle w:val="36"/>
                <w:sz w:val="24"/>
                <w:szCs w:val="24"/>
              </w:rPr>
              <w:t>根据现场勘察，本加油站储油罐为卧式钢制双层储油罐，建设单位在油罐区已设置防渗池，符合</w:t>
            </w:r>
            <w:r>
              <w:rPr>
                <w:sz w:val="24"/>
                <w:szCs w:val="24"/>
              </w:rPr>
              <w:t>《加油站地下水污染防治技术指南（试行）的通知》相关要求。</w:t>
            </w:r>
          </w:p>
          <w:p>
            <w:pPr>
              <w:spacing w:line="360" w:lineRule="auto"/>
              <w:ind w:firstLine="480" w:firstLineChars="200"/>
              <w:textAlignment w:val="baseline"/>
              <w:rPr>
                <w:sz w:val="24"/>
                <w:szCs w:val="24"/>
              </w:rPr>
            </w:pPr>
            <w:r>
              <w:rPr>
                <w:sz w:val="24"/>
                <w:szCs w:val="24"/>
              </w:rPr>
              <w:t>经采取以上措施后，项目运营过程中对地下水污染影响较小。</w:t>
            </w:r>
          </w:p>
          <w:bookmarkEnd w:id="25"/>
          <w:bookmarkEnd w:id="26"/>
          <w:bookmarkEnd w:id="27"/>
          <w:p>
            <w:pPr>
              <w:pStyle w:val="6"/>
            </w:pPr>
            <w:bookmarkStart w:id="28" w:name="_Toc64441193"/>
            <w:bookmarkStart w:id="29" w:name="_Toc4226756"/>
            <w:r>
              <w:t>声环境影响</w:t>
            </w:r>
            <w:bookmarkEnd w:id="28"/>
            <w:bookmarkEnd w:id="29"/>
            <w:r>
              <w:t>分析</w:t>
            </w:r>
          </w:p>
          <w:p>
            <w:pPr>
              <w:pStyle w:val="4"/>
              <w:ind w:firstLine="480"/>
            </w:pPr>
            <w:bookmarkStart w:id="30" w:name="_Toc64441194"/>
            <w:bookmarkStart w:id="31" w:name="_Toc4226757"/>
            <w:r>
              <w:rPr>
                <w:rFonts w:hint="eastAsia"/>
              </w:rPr>
              <w:t>加油站产生噪声的主要设备为加油机油泵、加油车辆等。其源强在</w:t>
            </w:r>
            <w:r>
              <w:t>65-</w:t>
            </w:r>
            <w:r>
              <w:rPr>
                <w:rFonts w:hint="eastAsia"/>
              </w:rPr>
              <w:t>90</w:t>
            </w:r>
            <w:r>
              <w:t>dB</w:t>
            </w:r>
            <w:r>
              <w:rPr>
                <w:rFonts w:hint="eastAsia"/>
              </w:rPr>
              <w:t>（</w:t>
            </w:r>
            <w:r>
              <w:t>A</w:t>
            </w:r>
            <w:r>
              <w:rPr>
                <w:rFonts w:hint="eastAsia"/>
              </w:rPr>
              <w:t>）之间。本项目加油区设置在项目中部，会经过一定的距离衰减。本项目已采取如下噪声防治措施：</w:t>
            </w:r>
          </w:p>
          <w:p>
            <w:pPr>
              <w:pStyle w:val="4"/>
              <w:ind w:firstLine="480"/>
            </w:pPr>
            <w:r>
              <w:rPr>
                <w:rFonts w:hint="eastAsia"/>
              </w:rPr>
              <w:t>（</w:t>
            </w:r>
            <w:r>
              <w:t>1</w:t>
            </w:r>
            <w:r>
              <w:rPr>
                <w:rFonts w:hint="eastAsia"/>
              </w:rPr>
              <w:t>）选用低噪声设备。</w:t>
            </w:r>
          </w:p>
          <w:p>
            <w:pPr>
              <w:pStyle w:val="4"/>
              <w:ind w:firstLine="480"/>
            </w:pPr>
            <w:r>
              <w:rPr>
                <w:rFonts w:hint="eastAsia"/>
              </w:rPr>
              <w:t>（</w:t>
            </w:r>
            <w:r>
              <w:t>2</w:t>
            </w:r>
            <w:r>
              <w:rPr>
                <w:rFonts w:hint="eastAsia"/>
              </w:rPr>
              <w:t>）引导进站车辆进站后熄火、禁止按喇叭，设置明显的禁止按喇叭的标识牌。</w:t>
            </w:r>
          </w:p>
          <w:p>
            <w:pPr>
              <w:pStyle w:val="4"/>
              <w:ind w:firstLine="480"/>
            </w:pPr>
            <w:r>
              <w:rPr>
                <w:rFonts w:hint="eastAsia"/>
              </w:rPr>
              <w:t>（</w:t>
            </w:r>
            <w:r>
              <w:t>3</w:t>
            </w:r>
            <w:r>
              <w:rPr>
                <w:rFonts w:hint="eastAsia"/>
              </w:rPr>
              <w:t>）加强了加油站的绿化，不但可以减少噪声对周围环境的影响，也能作为火灾防护绿化带。</w:t>
            </w:r>
          </w:p>
          <w:p>
            <w:pPr>
              <w:pStyle w:val="4"/>
              <w:ind w:firstLine="480"/>
            </w:pPr>
            <w:r>
              <w:rPr>
                <w:rFonts w:hint="eastAsia"/>
              </w:rPr>
              <w:t>（4）</w:t>
            </w:r>
            <w:r>
              <w:t>备用发电机</w:t>
            </w:r>
            <w:r>
              <w:rPr>
                <w:rFonts w:hint="eastAsia"/>
              </w:rPr>
              <w:t>已设置</w:t>
            </w:r>
            <w:r>
              <w:t>于</w:t>
            </w:r>
            <w:r>
              <w:rPr>
                <w:rFonts w:hint="eastAsia"/>
              </w:rPr>
              <w:t>辅助用房内</w:t>
            </w:r>
            <w:r>
              <w:t>，使用时关闭机房门窗，隔声降噪。</w:t>
            </w:r>
          </w:p>
          <w:p>
            <w:pPr>
              <w:pStyle w:val="4"/>
              <w:ind w:firstLine="480"/>
            </w:pPr>
            <w:r>
              <w:rPr>
                <w:rFonts w:hint="eastAsia"/>
              </w:rPr>
              <w:t>通过采取以上措施后，加油机、加油机油泵等不会对环境产生明显的噪声影响。同时，</w:t>
            </w:r>
            <w:r>
              <w:t>根据现状监测结果可知，项目</w:t>
            </w:r>
            <w:r>
              <w:rPr>
                <w:rFonts w:hint="eastAsia"/>
              </w:rPr>
              <w:t>声环境质量现状</w:t>
            </w:r>
            <w:r>
              <w:t>可以满足</w:t>
            </w:r>
            <w:r>
              <w:rPr>
                <w:rFonts w:hint="eastAsia"/>
              </w:rPr>
              <w:t>《声环境质量标准》（GB3096-2008）中的2类、4a类标准要求</w:t>
            </w:r>
            <w:r>
              <w:t>。综上，项目对周围声环境及周边居民影响较小。</w:t>
            </w:r>
          </w:p>
          <w:p>
            <w:pPr>
              <w:pStyle w:val="6"/>
            </w:pPr>
            <w:r>
              <w:t>固体废物环境影响</w:t>
            </w:r>
            <w:bookmarkEnd w:id="30"/>
            <w:bookmarkEnd w:id="31"/>
            <w:r>
              <w:t>评价</w:t>
            </w:r>
          </w:p>
          <w:p>
            <w:pPr>
              <w:pStyle w:val="4"/>
              <w:ind w:firstLine="480"/>
            </w:pPr>
            <w:r>
              <w:rPr>
                <w:rFonts w:hint="eastAsia"/>
              </w:rPr>
              <w:t>本项目在运营过程中，产生的固体废物主要为工作人员产生的少量生活垃圾、油罐废油渣和废油以及隔油池油泥。</w:t>
            </w:r>
          </w:p>
          <w:p>
            <w:pPr>
              <w:pStyle w:val="4"/>
              <w:ind w:firstLine="480"/>
            </w:pPr>
            <w:r>
              <w:rPr>
                <w:rFonts w:hint="eastAsia"/>
              </w:rPr>
              <w:t>（</w:t>
            </w:r>
            <w:r>
              <w:t>1</w:t>
            </w:r>
            <w:r>
              <w:rPr>
                <w:rFonts w:hint="eastAsia"/>
              </w:rPr>
              <w:t>）生活垃圾</w:t>
            </w:r>
          </w:p>
          <w:p>
            <w:pPr>
              <w:pStyle w:val="4"/>
              <w:ind w:firstLine="480"/>
            </w:pPr>
            <w:r>
              <w:rPr>
                <w:rFonts w:hint="eastAsia"/>
              </w:rPr>
              <w:t>根据工程分析可知在项目运行过程中，工作人员产生生活垃圾量为0.73</w:t>
            </w:r>
            <w:r>
              <w:t>t/a</w:t>
            </w:r>
            <w:r>
              <w:rPr>
                <w:rFonts w:hint="eastAsia"/>
              </w:rPr>
              <w:t>。生活垃圾统一收集到站内垃圾收集点，定期运至垃圾填埋场处理。</w:t>
            </w:r>
          </w:p>
          <w:p>
            <w:pPr>
              <w:pStyle w:val="4"/>
              <w:ind w:firstLine="480"/>
            </w:pPr>
            <w:r>
              <w:rPr>
                <w:rFonts w:hint="eastAsia"/>
              </w:rPr>
              <w:t>（2）油罐废油渣和废油（HW08）</w:t>
            </w:r>
          </w:p>
          <w:p>
            <w:pPr>
              <w:pStyle w:val="4"/>
              <w:ind w:firstLine="480"/>
            </w:pPr>
            <w:r>
              <w:rPr>
                <w:rFonts w:hint="eastAsia"/>
              </w:rPr>
              <w:t>根据工程分析可知，在油罐清理过程中产生的废油渣和废油约0.75t/次。加油站油罐清洗均由加油站外委有资质专业单位进行，油罐废油渣及废油暂存至危废暂存间后交由有资质的单位进行处置。</w:t>
            </w:r>
          </w:p>
          <w:p>
            <w:pPr>
              <w:pStyle w:val="4"/>
              <w:ind w:firstLine="480"/>
            </w:pPr>
            <w:r>
              <w:rPr>
                <w:rFonts w:hint="eastAsia"/>
              </w:rPr>
              <w:t>（3）隔油池油泥（HW08）</w:t>
            </w:r>
          </w:p>
          <w:p>
            <w:pPr>
              <w:pStyle w:val="4"/>
              <w:ind w:firstLine="480"/>
            </w:pPr>
            <w:r>
              <w:rPr>
                <w:rFonts w:hint="eastAsia"/>
              </w:rPr>
              <w:t>站区的隔油池会产生一定的含油泥沙，产生量为2.1</w:t>
            </w:r>
            <w:r>
              <w:t>kg/d</w:t>
            </w:r>
            <w:r>
              <w:rPr>
                <w:rFonts w:hint="eastAsia"/>
              </w:rPr>
              <w:t>（766.5</w:t>
            </w:r>
            <w:r>
              <w:t>kg/a</w:t>
            </w:r>
            <w:r>
              <w:rPr>
                <w:rFonts w:hint="eastAsia"/>
              </w:rPr>
              <w:t>），含油泥沙定期清理收集并采用符合标准的容器暂时存放，委托有处理资质单位进行处理。</w:t>
            </w:r>
          </w:p>
          <w:p>
            <w:pPr>
              <w:pStyle w:val="4"/>
              <w:ind w:firstLine="480"/>
            </w:pPr>
            <w:r>
              <w:rPr>
                <w:rFonts w:hint="eastAsia"/>
              </w:rPr>
              <w:t>本环评要求加油站设置</w:t>
            </w:r>
            <w:r>
              <w:t>1</w:t>
            </w:r>
            <w:r>
              <w:rPr>
                <w:rFonts w:hint="eastAsia"/>
              </w:rPr>
              <w:t>处危险固废暂存间。配备专人进行危废的收集和管理，危废实行分类收集、采用符合标准的容器分类放置。危废暂存间应按规定设置警示标志，储存场地必须做好防渗漏，同时危废储存场地必须符合《危险废物贮存污染控制标准》（</w:t>
            </w:r>
            <w:r>
              <w:t>GB18597-2001</w:t>
            </w:r>
            <w:r>
              <w:rPr>
                <w:rFonts w:hint="eastAsia"/>
              </w:rPr>
              <w:t>）及其</w:t>
            </w:r>
            <w:r>
              <w:t>2013</w:t>
            </w:r>
            <w:r>
              <w:rPr>
                <w:rFonts w:hint="eastAsia"/>
              </w:rPr>
              <w:t>年修改清单的各项要求。运营期间产生的危废收集暂存后送有回收处理资质的单位集中回收处理。危险废物的运输中应执行《危险废物转移联单管理办法》中有关的规定和要求。</w:t>
            </w:r>
          </w:p>
          <w:p>
            <w:pPr>
              <w:pStyle w:val="4"/>
              <w:ind w:firstLine="480"/>
            </w:pPr>
            <w:r>
              <w:rPr>
                <w:rFonts w:hint="eastAsia"/>
              </w:rPr>
              <w:t>在采取上述固废处置措施后，加油站的产生的固废可得到妥善处置。</w:t>
            </w:r>
          </w:p>
          <w:p>
            <w:pPr>
              <w:pStyle w:val="6"/>
            </w:pPr>
            <w:r>
              <w:t>土壤环境影响分析</w:t>
            </w:r>
          </w:p>
          <w:p>
            <w:pPr>
              <w:pStyle w:val="4"/>
              <w:numPr>
                <w:ilvl w:val="0"/>
                <w:numId w:val="0"/>
              </w:numPr>
              <w:ind w:firstLine="48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）确定评价等级</w:t>
            </w:r>
          </w:p>
          <w:p>
            <w:pPr>
              <w:pStyle w:val="4"/>
              <w:numPr>
                <w:ilvl w:val="0"/>
                <w:numId w:val="0"/>
              </w:numPr>
              <w:ind w:firstLine="480" w:firstLineChars="200"/>
              <w:rPr>
                <w:rFonts w:hint="eastAsia"/>
              </w:rPr>
            </w:pPr>
            <w:r>
              <w:rPr>
                <w:rFonts w:hint="eastAsia"/>
                <w:bCs/>
                <w:snapToGrid w:val="0"/>
              </w:rPr>
              <w:t xml:space="preserve">根据《环境影响评价技术导则 </w:t>
            </w:r>
            <w:r>
              <w:rPr>
                <w:rFonts w:hint="eastAsia"/>
                <w:bCs/>
                <w:snapToGrid w:val="0"/>
                <w:lang w:eastAsia="zh-CN"/>
              </w:rPr>
              <w:t>土壤环境（试行）</w:t>
            </w:r>
            <w:r>
              <w:rPr>
                <w:rFonts w:hint="eastAsia"/>
                <w:bCs/>
                <w:snapToGrid w:val="0"/>
              </w:rPr>
              <w:t>》（HJ</w:t>
            </w:r>
            <w:r>
              <w:rPr>
                <w:rFonts w:hint="eastAsia"/>
                <w:bCs/>
                <w:snapToGrid w:val="0"/>
                <w:lang w:val="en-US" w:eastAsia="zh-CN"/>
              </w:rPr>
              <w:t>964</w:t>
            </w:r>
            <w:r>
              <w:rPr>
                <w:rFonts w:hint="eastAsia"/>
                <w:bCs/>
                <w:snapToGrid w:val="0"/>
              </w:rPr>
              <w:t>-2018）中</w:t>
            </w:r>
            <w:r>
              <w:rPr>
                <w:rFonts w:hint="eastAsia"/>
                <w:bCs/>
                <w:snapToGrid w:val="0"/>
                <w:lang w:eastAsia="zh-CN"/>
              </w:rPr>
              <w:t>附录</w:t>
            </w:r>
            <w:r>
              <w:rPr>
                <w:rFonts w:hint="eastAsia"/>
                <w:bCs/>
                <w:snapToGrid w:val="0"/>
                <w:lang w:val="en-US" w:eastAsia="zh-CN"/>
              </w:rPr>
              <w:t>A“土壤环境影响评价项目类别中表A.1”，本项目属于社会事业与服务业中的加油站项目，为</w:t>
            </w:r>
            <w:r>
              <w:rPr>
                <w:rFonts w:hint="eastAsia"/>
                <w:bCs/>
                <w:snapToGrid w:val="0"/>
                <w:lang w:val="en-US" w:eastAsia="zh-CN"/>
              </w:rPr>
              <w:fldChar w:fldCharType="begin"/>
            </w:r>
            <w:r>
              <w:rPr>
                <w:rFonts w:hint="eastAsia"/>
                <w:bCs/>
                <w:snapToGrid w:val="0"/>
                <w:lang w:val="en-US" w:eastAsia="zh-CN"/>
              </w:rPr>
              <w:instrText xml:space="preserve"> = 3 \* ROMAN \* MERGEFORMAT </w:instrText>
            </w:r>
            <w:r>
              <w:rPr>
                <w:rFonts w:hint="eastAsia"/>
                <w:bCs/>
                <w:snapToGrid w:val="0"/>
                <w:lang w:val="en-US" w:eastAsia="zh-CN"/>
              </w:rPr>
              <w:fldChar w:fldCharType="separate"/>
            </w:r>
            <w:r>
              <w:t>III</w:t>
            </w:r>
            <w:r>
              <w:rPr>
                <w:rFonts w:hint="eastAsia"/>
                <w:bCs/>
                <w:snapToGrid w:val="0"/>
                <w:lang w:val="en-US" w:eastAsia="zh-CN"/>
              </w:rPr>
              <w:fldChar w:fldCharType="end"/>
            </w:r>
            <w:r>
              <w:rPr>
                <w:rFonts w:hint="eastAsia"/>
                <w:bCs/>
                <w:snapToGrid w:val="0"/>
                <w:lang w:val="en-US" w:eastAsia="zh-CN"/>
              </w:rPr>
              <w:t>类污染影响型项目</w:t>
            </w:r>
            <w:r>
              <w:rPr>
                <w:rFonts w:hint="eastAsia"/>
              </w:rPr>
              <w:t>。</w:t>
            </w:r>
          </w:p>
          <w:p>
            <w:pPr>
              <w:pStyle w:val="4"/>
              <w:numPr>
                <w:ilvl w:val="0"/>
                <w:numId w:val="0"/>
              </w:numPr>
              <w:ind w:firstLine="480" w:firstLineChars="200"/>
              <w:rPr>
                <w:rFonts w:hint="eastAsia"/>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）土壤环境影</w:t>
            </w:r>
            <w:r>
              <w:rPr>
                <w:rFonts w:hint="eastAsia"/>
                <w:lang w:eastAsia="zh-CN"/>
              </w:rPr>
              <w:t>响分析</w:t>
            </w:r>
          </w:p>
          <w:p>
            <w:pPr>
              <w:pStyle w:val="4"/>
              <w:numPr>
                <w:ilvl w:val="0"/>
                <w:numId w:val="0"/>
              </w:numPr>
              <w:ind w:firstLine="480" w:firstLineChars="200"/>
            </w:pPr>
            <w:r>
              <w:rPr>
                <w:rFonts w:hint="eastAsia"/>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w:t>
            </w:r>
          </w:p>
          <w:p>
            <w:pPr>
              <w:pStyle w:val="4"/>
              <w:numPr>
                <w:ilvl w:val="0"/>
                <w:numId w:val="0"/>
              </w:numPr>
              <w:ind w:firstLine="480" w:firstLineChars="200"/>
              <w:rPr>
                <w:rFonts w:hint="eastAsia" w:ascii="Times New Roman" w:hAnsi="Times New Roman" w:eastAsia="宋体" w:cs="Times New Roman"/>
              </w:rPr>
            </w:pPr>
            <w:r>
              <w:rPr>
                <w:rFonts w:hint="eastAsia"/>
              </w:rPr>
              <w:t>当加油站需要关闭时，若为临时关闭，要求油罐必须被抽干，并对油罐进行连续监测并采取防锈蚀保护措施；若为永久性关闭，则无论是把油罐挖出还是留在地下，罐内的任何物体必须全部清除</w:t>
            </w:r>
            <w:r>
              <w:rPr>
                <w:rFonts w:hint="eastAsia" w:ascii="Times New Roman" w:hAnsi="Times New Roman" w:eastAsia="宋体" w:cs="Times New Roman"/>
              </w:rPr>
              <w:t>干净，清除之后，留在地下的油罐必须按照要求填满砂石。</w:t>
            </w:r>
          </w:p>
          <w:p>
            <w:pPr>
              <w:pStyle w:val="4"/>
              <w:numPr>
                <w:ilvl w:val="0"/>
                <w:numId w:val="0"/>
              </w:numPr>
              <w:ind w:firstLine="48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同时，根据环境质量现状监测结果可知，项目所在区域土壤环境质量各监测因子均满足</w:t>
            </w:r>
            <w:r>
              <w:rPr>
                <w:rFonts w:hint="default" w:ascii="Times New Roman" w:hAnsi="Times New Roman" w:eastAsia="宋体" w:cs="Times New Roman"/>
                <w:lang w:val="en-US" w:eastAsia="zh-CN"/>
              </w:rPr>
              <w:t>《土壤环境质量 建设用地土壤污染风险管控标准》（GB 36600-2018）表1中筛选值第二类用地标准限值</w:t>
            </w:r>
            <w:r>
              <w:rPr>
                <w:rFonts w:hint="eastAsia" w:ascii="Times New Roman" w:hAnsi="Times New Roman" w:eastAsia="宋体" w:cs="Times New Roman"/>
                <w:lang w:val="en-US" w:eastAsia="zh-CN"/>
              </w:rPr>
              <w:t>要求。</w:t>
            </w:r>
          </w:p>
          <w:p>
            <w:pPr>
              <w:pStyle w:val="4"/>
              <w:numPr>
                <w:ilvl w:val="0"/>
                <w:numId w:val="0"/>
              </w:numPr>
              <w:ind w:firstLine="480" w:firstLineChars="200"/>
              <w:rPr>
                <w:rStyle w:val="36"/>
              </w:rPr>
            </w:pPr>
            <w:r>
              <w:rPr>
                <w:rFonts w:hint="eastAsia" w:ascii="Times New Roman" w:hAnsi="Times New Roman" w:eastAsia="宋体" w:cs="Times New Roman"/>
              </w:rPr>
              <w:t>综上所述，在采取上述措施后，</w:t>
            </w:r>
            <w:r>
              <w:rPr>
                <w:rFonts w:hint="eastAsia"/>
              </w:rPr>
              <w:t>项目运营对土壤环境无明显影响。</w:t>
            </w:r>
          </w:p>
          <w:p>
            <w:pPr>
              <w:pStyle w:val="6"/>
            </w:pPr>
            <w:r>
              <w:rPr>
                <w:rFonts w:hint="eastAsia"/>
              </w:rPr>
              <w:t>退役期</w:t>
            </w:r>
            <w:r>
              <w:t>环境影响分析</w:t>
            </w:r>
          </w:p>
          <w:p>
            <w:pPr>
              <w:pStyle w:val="4"/>
              <w:ind w:firstLine="480"/>
            </w:pPr>
            <w:r>
              <w:rPr>
                <w:rFonts w:hint="eastAsia"/>
              </w:rPr>
              <w:t>项目退役以后，由于加油点不再营业，因此将不再产生废水、废气、废渣和设备噪声等环境污染物。遗留的主要是站房和加油设备及剩余油品。站房可进一步作其他用途或拆除重建，废弃的建筑废渣可作填埋材料进行综合利用；废弃的设备不含放射性、易腐蚀或剧毒物质，因此设备清洗后可进行拆除，设备的主要原料为金属，对设备材料作拆除分拣处理后可回收利用；剩余油品由供应商回收利用。因此本项目在退役后对环境影响不大。</w:t>
            </w:r>
          </w:p>
          <w:p>
            <w:pPr>
              <w:pStyle w:val="5"/>
            </w:pPr>
            <w:r>
              <w:t>环境风险分析</w:t>
            </w:r>
            <w:r>
              <w:rPr>
                <w:rFonts w:hint="eastAsia"/>
              </w:rPr>
              <w:t xml:space="preserve">  </w:t>
            </w:r>
          </w:p>
          <w:p>
            <w:pPr>
              <w:pStyle w:val="4"/>
              <w:ind w:firstLine="480"/>
              <w:rPr>
                <w:rFonts w:hint="eastAsia" w:eastAsia="宋体"/>
                <w:lang w:eastAsia="zh-CN"/>
              </w:rPr>
            </w:pPr>
            <w:r>
              <w:rPr>
                <w:rFonts w:hint="eastAsia"/>
              </w:rPr>
              <w:t>根据《建设项目环境风险评价技术导则》（HJ169-2018），根据建设项目涉及的物质及工艺系统危险性和所在地点环境敏感性确定环境风险潜势，按照（HJ169-2018）中表1确定评价工作等级。环境风险评价工作等级分为一级、二级、三级。风险潜势为Ⅳ级以上，进行一级评价；风险潜势为Ⅲ，进行二级评价；风险潜势为Ⅱ，进行三级评价；风险潜势为Ⅰ，进行简单分析即可。</w:t>
            </w:r>
            <w:r>
              <w:rPr>
                <w:rFonts w:hint="eastAsia"/>
                <w:lang w:eastAsia="zh-CN"/>
              </w:rPr>
              <w:t>本站暂未编制环境风险应急预案，环评建议应尽快按照《企业突发环境事件风险评估指南》等相关要求编制应急预案并进行备案。</w:t>
            </w:r>
          </w:p>
          <w:p>
            <w:pPr>
              <w:pStyle w:val="91"/>
              <w:spacing w:line="240" w:lineRule="auto"/>
              <w:ind w:firstLine="480"/>
              <w:jc w:val="center"/>
              <w:rPr>
                <w:rFonts w:eastAsia="黑体"/>
                <w:bCs w:val="0"/>
                <w:kern w:val="2"/>
                <w:szCs w:val="22"/>
              </w:rPr>
            </w:pPr>
            <w:r>
              <w:rPr>
                <w:rFonts w:hint="eastAsia" w:eastAsia="黑体"/>
                <w:bCs w:val="0"/>
                <w:kern w:val="2"/>
                <w:szCs w:val="22"/>
              </w:rPr>
              <w:t>表7.3-1  评价工作等级划分</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1" w:type="dxa"/>
                </w:tcPr>
                <w:p>
                  <w:pPr>
                    <w:pStyle w:val="91"/>
                    <w:spacing w:line="240" w:lineRule="auto"/>
                    <w:ind w:firstLine="0" w:firstLineChars="0"/>
                    <w:jc w:val="center"/>
                    <w:rPr>
                      <w:sz w:val="21"/>
                      <w:szCs w:val="21"/>
                    </w:rPr>
                  </w:pPr>
                  <w:r>
                    <w:rPr>
                      <w:rFonts w:hint="eastAsia"/>
                      <w:sz w:val="21"/>
                      <w:szCs w:val="21"/>
                    </w:rPr>
                    <w:t>环境风险潜势</w:t>
                  </w:r>
                </w:p>
              </w:tc>
              <w:tc>
                <w:tcPr>
                  <w:tcW w:w="1771" w:type="dxa"/>
                </w:tcPr>
                <w:p>
                  <w:pPr>
                    <w:pStyle w:val="91"/>
                    <w:spacing w:line="240" w:lineRule="auto"/>
                    <w:ind w:firstLine="0" w:firstLineChars="0"/>
                    <w:jc w:val="center"/>
                    <w:rPr>
                      <w:sz w:val="21"/>
                      <w:szCs w:val="21"/>
                    </w:rPr>
                  </w:pPr>
                  <w:r>
                    <w:rPr>
                      <w:rFonts w:hint="eastAsia"/>
                      <w:sz w:val="21"/>
                      <w:szCs w:val="21"/>
                    </w:rPr>
                    <w:t>Ⅳ、Ⅳ</w:t>
                  </w:r>
                  <w:r>
                    <w:rPr>
                      <w:rFonts w:hint="eastAsia"/>
                      <w:sz w:val="21"/>
                      <w:szCs w:val="21"/>
                      <w:vertAlign w:val="superscript"/>
                    </w:rPr>
                    <w:t>+</w:t>
                  </w:r>
                </w:p>
              </w:tc>
              <w:tc>
                <w:tcPr>
                  <w:tcW w:w="1772" w:type="dxa"/>
                </w:tcPr>
                <w:p>
                  <w:pPr>
                    <w:pStyle w:val="91"/>
                    <w:spacing w:line="240" w:lineRule="auto"/>
                    <w:ind w:firstLine="0" w:firstLineChars="0"/>
                    <w:jc w:val="center"/>
                    <w:rPr>
                      <w:sz w:val="21"/>
                      <w:szCs w:val="21"/>
                    </w:rPr>
                  </w:pPr>
                  <w:r>
                    <w:rPr>
                      <w:rFonts w:hint="eastAsia"/>
                      <w:sz w:val="21"/>
                      <w:szCs w:val="21"/>
                    </w:rPr>
                    <w:t>Ⅲ</w:t>
                  </w:r>
                </w:p>
              </w:tc>
              <w:tc>
                <w:tcPr>
                  <w:tcW w:w="1772" w:type="dxa"/>
                </w:tcPr>
                <w:p>
                  <w:pPr>
                    <w:pStyle w:val="91"/>
                    <w:spacing w:line="240" w:lineRule="auto"/>
                    <w:ind w:firstLine="0" w:firstLineChars="0"/>
                    <w:jc w:val="center"/>
                    <w:rPr>
                      <w:sz w:val="21"/>
                      <w:szCs w:val="21"/>
                    </w:rPr>
                  </w:pPr>
                  <w:r>
                    <w:rPr>
                      <w:rFonts w:hint="eastAsia"/>
                      <w:sz w:val="21"/>
                      <w:szCs w:val="21"/>
                    </w:rPr>
                    <w:t>Ⅱ</w:t>
                  </w:r>
                </w:p>
              </w:tc>
              <w:tc>
                <w:tcPr>
                  <w:tcW w:w="1773" w:type="dxa"/>
                </w:tcPr>
                <w:p>
                  <w:pPr>
                    <w:pStyle w:val="91"/>
                    <w:spacing w:line="240" w:lineRule="auto"/>
                    <w:ind w:firstLine="0" w:firstLineChars="0"/>
                    <w:jc w:val="center"/>
                    <w:rPr>
                      <w:b/>
                      <w:bCs w:val="0"/>
                      <w:sz w:val="21"/>
                      <w:szCs w:val="21"/>
                    </w:rPr>
                  </w:pPr>
                  <w:r>
                    <w:rPr>
                      <w:rFonts w:hint="eastAsia"/>
                      <w:b/>
                      <w:bCs w:val="0"/>
                      <w:sz w:val="2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1" w:type="dxa"/>
                </w:tcPr>
                <w:p>
                  <w:pPr>
                    <w:pStyle w:val="91"/>
                    <w:spacing w:line="240" w:lineRule="auto"/>
                    <w:ind w:firstLine="0" w:firstLineChars="0"/>
                    <w:jc w:val="center"/>
                    <w:rPr>
                      <w:sz w:val="21"/>
                      <w:szCs w:val="21"/>
                    </w:rPr>
                  </w:pPr>
                  <w:r>
                    <w:rPr>
                      <w:rFonts w:hint="eastAsia"/>
                      <w:sz w:val="21"/>
                      <w:szCs w:val="21"/>
                    </w:rPr>
                    <w:t>评价工作等级</w:t>
                  </w:r>
                </w:p>
              </w:tc>
              <w:tc>
                <w:tcPr>
                  <w:tcW w:w="1771" w:type="dxa"/>
                </w:tcPr>
                <w:p>
                  <w:pPr>
                    <w:pStyle w:val="91"/>
                    <w:spacing w:line="240" w:lineRule="auto"/>
                    <w:ind w:firstLine="0" w:firstLineChars="0"/>
                    <w:jc w:val="center"/>
                    <w:rPr>
                      <w:sz w:val="21"/>
                      <w:szCs w:val="21"/>
                    </w:rPr>
                  </w:pPr>
                  <w:r>
                    <w:rPr>
                      <w:rFonts w:hint="eastAsia"/>
                      <w:sz w:val="21"/>
                      <w:szCs w:val="21"/>
                    </w:rPr>
                    <w:t>一</w:t>
                  </w:r>
                </w:p>
              </w:tc>
              <w:tc>
                <w:tcPr>
                  <w:tcW w:w="1772" w:type="dxa"/>
                </w:tcPr>
                <w:p>
                  <w:pPr>
                    <w:pStyle w:val="91"/>
                    <w:spacing w:line="240" w:lineRule="auto"/>
                    <w:ind w:firstLine="0" w:firstLineChars="0"/>
                    <w:jc w:val="center"/>
                    <w:rPr>
                      <w:sz w:val="21"/>
                      <w:szCs w:val="21"/>
                    </w:rPr>
                  </w:pPr>
                  <w:r>
                    <w:rPr>
                      <w:rFonts w:hint="eastAsia"/>
                      <w:sz w:val="21"/>
                      <w:szCs w:val="21"/>
                    </w:rPr>
                    <w:t>二</w:t>
                  </w:r>
                </w:p>
              </w:tc>
              <w:tc>
                <w:tcPr>
                  <w:tcW w:w="1772" w:type="dxa"/>
                </w:tcPr>
                <w:p>
                  <w:pPr>
                    <w:pStyle w:val="91"/>
                    <w:spacing w:line="240" w:lineRule="auto"/>
                    <w:ind w:firstLine="0" w:firstLineChars="0"/>
                    <w:jc w:val="center"/>
                    <w:rPr>
                      <w:sz w:val="21"/>
                      <w:szCs w:val="21"/>
                    </w:rPr>
                  </w:pPr>
                  <w:r>
                    <w:rPr>
                      <w:rFonts w:hint="eastAsia"/>
                      <w:sz w:val="21"/>
                      <w:szCs w:val="21"/>
                    </w:rPr>
                    <w:t>三</w:t>
                  </w:r>
                </w:p>
              </w:tc>
              <w:tc>
                <w:tcPr>
                  <w:tcW w:w="1773" w:type="dxa"/>
                </w:tcPr>
                <w:p>
                  <w:pPr>
                    <w:pStyle w:val="91"/>
                    <w:spacing w:line="240" w:lineRule="auto"/>
                    <w:ind w:firstLine="0" w:firstLineChars="0"/>
                    <w:jc w:val="center"/>
                    <w:rPr>
                      <w:b/>
                      <w:bCs w:val="0"/>
                      <w:sz w:val="21"/>
                      <w:szCs w:val="21"/>
                    </w:rPr>
                  </w:pPr>
                  <w:r>
                    <w:rPr>
                      <w:rFonts w:hint="eastAsia"/>
                      <w:b/>
                      <w:bCs w:val="0"/>
                      <w:sz w:val="21"/>
                      <w:szCs w:val="21"/>
                    </w:rPr>
                    <w:t>简单分析</w:t>
                  </w:r>
                  <w:r>
                    <w:rPr>
                      <w:rFonts w:hint="eastAsia"/>
                      <w:b/>
                      <w:bCs w:val="0"/>
                      <w:sz w:val="21"/>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9" w:type="dxa"/>
                  <w:gridSpan w:val="5"/>
                </w:tcPr>
                <w:p>
                  <w:pPr>
                    <w:pStyle w:val="91"/>
                    <w:spacing w:line="240" w:lineRule="auto"/>
                    <w:ind w:firstLine="0" w:firstLineChars="0"/>
                    <w:jc w:val="center"/>
                    <w:rPr>
                      <w:sz w:val="21"/>
                      <w:szCs w:val="21"/>
                    </w:rPr>
                  </w:pPr>
                  <w:r>
                    <w:rPr>
                      <w:rFonts w:hint="eastAsia"/>
                      <w:sz w:val="21"/>
                      <w:szCs w:val="21"/>
                    </w:rPr>
                    <w:t>a.是相对于详细评价工作内容而言，在描述危险物质、环境影响途径、环境危害后果、风险防范措施等方面给出定性说明。见</w:t>
                  </w:r>
                  <w:r>
                    <w:rPr>
                      <w:sz w:val="21"/>
                      <w:szCs w:val="21"/>
                    </w:rPr>
                    <w:t>（</w:t>
                  </w:r>
                  <w:r>
                    <w:rPr>
                      <w:rFonts w:hint="eastAsia"/>
                      <w:sz w:val="21"/>
                      <w:szCs w:val="21"/>
                    </w:rPr>
                    <w:t>HJ169-2018</w:t>
                  </w:r>
                  <w:r>
                    <w:rPr>
                      <w:sz w:val="21"/>
                      <w:szCs w:val="21"/>
                    </w:rPr>
                    <w:t>）</w:t>
                  </w:r>
                  <w:r>
                    <w:rPr>
                      <w:rFonts w:hint="eastAsia"/>
                      <w:sz w:val="21"/>
                      <w:szCs w:val="21"/>
                    </w:rPr>
                    <w:t>附录A。</w:t>
                  </w:r>
                </w:p>
              </w:tc>
            </w:tr>
          </w:tbl>
          <w:p>
            <w:pPr>
              <w:pStyle w:val="4"/>
              <w:ind w:firstLine="480"/>
            </w:pPr>
            <w:r>
              <w:rPr>
                <w:rFonts w:hint="eastAsia"/>
              </w:rPr>
              <w:t>建设项目环境风险潜势由危险物质及工艺系统危险性（P）和环境敏感程度（E）判定。危险物质及工艺系统危险性（P）按（HJ169-2018）附录C中的方法进行判定，环境敏感程度（E）按（HJ169-2018）附录D中的方法进行判定。</w:t>
            </w:r>
          </w:p>
          <w:p>
            <w:pPr>
              <w:pStyle w:val="4"/>
              <w:ind w:firstLine="480"/>
            </w:pPr>
            <w:r>
              <w:rPr>
                <w:rFonts w:hint="eastAsia"/>
              </w:rPr>
              <w:t>（1）危险源识别</w:t>
            </w:r>
          </w:p>
          <w:p>
            <w:pPr>
              <w:pStyle w:val="4"/>
              <w:ind w:firstLine="480"/>
            </w:pPr>
            <w:r>
              <w:rPr>
                <w:rFonts w:hint="eastAsia"/>
              </w:rPr>
              <w:t>本项目为加油站项目，环境风险事件主要是①油品泄露造成的环境风险事件；②加油站</w:t>
            </w:r>
            <w:r>
              <w:rPr>
                <w:rFonts w:hint="eastAsia"/>
                <w:lang w:val="zh-CN"/>
              </w:rPr>
              <w:t>发生火灾爆炸造成的次生环境风险事件</w:t>
            </w:r>
            <w:r>
              <w:rPr>
                <w:rFonts w:hint="eastAsia"/>
              </w:rPr>
              <w:t>。本项目危险化学品特性见下表所示：</w:t>
            </w:r>
          </w:p>
          <w:p>
            <w:pPr>
              <w:pStyle w:val="9"/>
              <w:jc w:val="center"/>
            </w:pPr>
            <w:r>
              <w:t>表7</w:t>
            </w:r>
            <w:r>
              <w:rPr>
                <w:rFonts w:hint="eastAsia"/>
                <w:lang w:val="en-US" w:eastAsia="zh-CN"/>
              </w:rPr>
              <w:t>.3-2</w:t>
            </w:r>
            <w:r>
              <w:rPr>
                <w:rFonts w:hint="eastAsia"/>
              </w:rPr>
              <w:t xml:space="preserve">  </w:t>
            </w:r>
            <w:r>
              <w:t xml:space="preserve"> 本项目化学品危险特性一览表</w:t>
            </w:r>
          </w:p>
          <w:tbl>
            <w:tblPr>
              <w:tblStyle w:val="24"/>
              <w:tblW w:w="88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1091"/>
              <w:gridCol w:w="1371"/>
              <w:gridCol w:w="926"/>
              <w:gridCol w:w="1103"/>
              <w:gridCol w:w="1375"/>
              <w:gridCol w:w="905"/>
              <w:gridCol w:w="9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物料名称</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危险化学品分类</w:t>
                  </w:r>
                </w:p>
              </w:tc>
              <w:tc>
                <w:tcPr>
                  <w:tcW w:w="1371"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密度（g/mL）</w:t>
                  </w:r>
                </w:p>
              </w:tc>
              <w:tc>
                <w:tcPr>
                  <w:tcW w:w="926"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闪点</w:t>
                  </w:r>
                </w:p>
              </w:tc>
              <w:tc>
                <w:tcPr>
                  <w:tcW w:w="1103"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沸点</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毒性等级</w:t>
                  </w:r>
                </w:p>
              </w:tc>
              <w:tc>
                <w:tcPr>
                  <w:tcW w:w="905"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爆炸极限</w:t>
                  </w:r>
                </w:p>
              </w:tc>
              <w:tc>
                <w:tcPr>
                  <w:tcW w:w="95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危险特性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92#汽油</w:t>
                  </w:r>
                </w:p>
              </w:tc>
              <w:tc>
                <w:tcPr>
                  <w:tcW w:w="1091"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低闪点易燃液体</w:t>
                  </w:r>
                </w:p>
              </w:tc>
              <w:tc>
                <w:tcPr>
                  <w:tcW w:w="1371"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0.75</w:t>
                  </w:r>
                </w:p>
              </w:tc>
              <w:tc>
                <w:tcPr>
                  <w:tcW w:w="926"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-50</w:t>
                  </w:r>
                </w:p>
              </w:tc>
              <w:tc>
                <w:tcPr>
                  <w:tcW w:w="1103"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40～200</w:t>
                  </w:r>
                </w:p>
              </w:tc>
              <w:tc>
                <w:tcPr>
                  <w:tcW w:w="1375"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VI（轻度毒害）</w:t>
                  </w:r>
                </w:p>
              </w:tc>
              <w:tc>
                <w:tcPr>
                  <w:tcW w:w="905"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1.3~6.0</w:t>
                  </w:r>
                </w:p>
              </w:tc>
              <w:tc>
                <w:tcPr>
                  <w:tcW w:w="954" w:type="dxa"/>
                  <w:vMerge w:val="restart"/>
                  <w:tcBorders>
                    <w:top w:val="single" w:color="000000" w:sz="4" w:space="0"/>
                    <w:left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易燃易爆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95#汽油</w:t>
                  </w:r>
                </w:p>
              </w:tc>
              <w:tc>
                <w:tcPr>
                  <w:tcW w:w="1091"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1371"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926"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1103"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1375"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905"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c>
                <w:tcPr>
                  <w:tcW w:w="954" w:type="dxa"/>
                  <w:vMerge w:val="continue"/>
                  <w:tcBorders>
                    <w:left w:val="single" w:color="000000" w:sz="4" w:space="0"/>
                    <w:right w:val="single" w:color="000000" w:sz="4" w:space="0"/>
                  </w:tcBorders>
                  <w:vAlign w:val="center"/>
                </w:tcPr>
                <w:p>
                  <w:pPr>
                    <w:pStyle w:val="91"/>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0#柴油</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低闪点易燃液体</w:t>
                  </w:r>
                </w:p>
              </w:tc>
              <w:tc>
                <w:tcPr>
                  <w:tcW w:w="1371"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0.88</w:t>
                  </w:r>
                </w:p>
              </w:tc>
              <w:tc>
                <w:tcPr>
                  <w:tcW w:w="926"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45～55℃</w:t>
                  </w:r>
                </w:p>
              </w:tc>
              <w:tc>
                <w:tcPr>
                  <w:tcW w:w="1103"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200～350℃</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VI（轻度毒害）</w:t>
                  </w:r>
                </w:p>
              </w:tc>
              <w:tc>
                <w:tcPr>
                  <w:tcW w:w="905"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1.5~4.5</w:t>
                  </w:r>
                </w:p>
              </w:tc>
              <w:tc>
                <w:tcPr>
                  <w:tcW w:w="954" w:type="dxa"/>
                  <w:tcBorders>
                    <w:top w:val="single" w:color="000000" w:sz="4" w:space="0"/>
                    <w:left w:val="single" w:color="000000" w:sz="4" w:space="0"/>
                    <w:bottom w:val="single" w:color="000000" w:sz="4" w:space="0"/>
                    <w:right w:val="single" w:color="000000" w:sz="4" w:space="0"/>
                  </w:tcBorders>
                  <w:vAlign w:val="center"/>
                </w:tcPr>
                <w:p>
                  <w:pPr>
                    <w:pStyle w:val="91"/>
                    <w:spacing w:line="240" w:lineRule="auto"/>
                    <w:ind w:firstLine="0" w:firstLineChars="0"/>
                    <w:jc w:val="center"/>
                    <w:rPr>
                      <w:sz w:val="21"/>
                      <w:szCs w:val="21"/>
                    </w:rPr>
                  </w:pPr>
                  <w:r>
                    <w:rPr>
                      <w:rFonts w:hint="eastAsia"/>
                      <w:sz w:val="21"/>
                      <w:szCs w:val="21"/>
                    </w:rPr>
                    <w:t>易燃易爆</w:t>
                  </w:r>
                </w:p>
              </w:tc>
            </w:tr>
          </w:tbl>
          <w:p>
            <w:pPr>
              <w:pStyle w:val="4"/>
              <w:ind w:firstLine="480"/>
              <w:rPr>
                <w:u w:val="single"/>
              </w:rPr>
            </w:pPr>
            <w:r>
              <w:rPr>
                <w:rFonts w:hint="eastAsia"/>
                <w:u w:val="single"/>
              </w:rPr>
              <w:t>（2）危险物质数量与临界量的比值Q</w:t>
            </w:r>
          </w:p>
          <w:p>
            <w:pPr>
              <w:pStyle w:val="4"/>
              <w:ind w:firstLine="480"/>
              <w:rPr>
                <w:u w:val="single"/>
              </w:rPr>
            </w:pPr>
            <w:r>
              <w:rPr>
                <w:rFonts w:hint="eastAsia"/>
                <w:u w:val="single"/>
              </w:rPr>
              <w:t>本项目设置有有</w:t>
            </w:r>
            <w:r>
              <w:rPr>
                <w:rFonts w:hint="default"/>
                <w:u w:val="single"/>
              </w:rPr>
              <w:t>2</w:t>
            </w:r>
            <w:r>
              <w:rPr>
                <w:rFonts w:hint="eastAsia"/>
                <w:u w:val="single"/>
              </w:rPr>
              <w:t>座容积</w:t>
            </w:r>
            <w:r>
              <w:rPr>
                <w:rFonts w:hint="default"/>
                <w:u w:val="single"/>
              </w:rPr>
              <w:t>3</w:t>
            </w:r>
            <w:r>
              <w:rPr>
                <w:rFonts w:hint="eastAsia"/>
                <w:u w:val="single"/>
              </w:rPr>
              <w:t>0m</w:t>
            </w:r>
            <w:r>
              <w:rPr>
                <w:rFonts w:hint="eastAsia"/>
                <w:u w:val="single"/>
                <w:vertAlign w:val="superscript"/>
              </w:rPr>
              <w:t>3</w:t>
            </w:r>
            <w:r>
              <w:rPr>
                <w:rFonts w:hint="eastAsia"/>
                <w:u w:val="single"/>
              </w:rPr>
              <w:t>的汽油罐，1座容积</w:t>
            </w:r>
            <w:r>
              <w:rPr>
                <w:rFonts w:hint="default"/>
                <w:u w:val="single"/>
              </w:rPr>
              <w:t>25</w:t>
            </w:r>
            <w:r>
              <w:rPr>
                <w:rFonts w:hint="eastAsia"/>
                <w:u w:val="single"/>
              </w:rPr>
              <w:t>m</w:t>
            </w:r>
            <w:r>
              <w:rPr>
                <w:rFonts w:hint="eastAsia"/>
                <w:u w:val="single"/>
                <w:vertAlign w:val="superscript"/>
              </w:rPr>
              <w:t>3</w:t>
            </w:r>
            <w:r>
              <w:rPr>
                <w:rFonts w:hint="eastAsia"/>
                <w:u w:val="single"/>
              </w:rPr>
              <w:t>的柴油罐，汽油的比重按0.75g/cm</w:t>
            </w:r>
            <w:r>
              <w:rPr>
                <w:rFonts w:hint="eastAsia"/>
                <w:u w:val="single"/>
                <w:vertAlign w:val="superscript"/>
              </w:rPr>
              <w:t>3</w:t>
            </w:r>
            <w:r>
              <w:rPr>
                <w:rFonts w:hint="eastAsia"/>
                <w:u w:val="single"/>
              </w:rPr>
              <w:t>计算，则站内汽油的最大储量为</w:t>
            </w:r>
            <w:r>
              <w:rPr>
                <w:rFonts w:hint="default"/>
                <w:u w:val="single"/>
              </w:rPr>
              <w:t>45</w:t>
            </w:r>
            <w:r>
              <w:rPr>
                <w:rFonts w:hint="eastAsia"/>
                <w:u w:val="single"/>
              </w:rPr>
              <w:t>t，柴油的比重按0.88g/cm</w:t>
            </w:r>
            <w:r>
              <w:rPr>
                <w:rFonts w:hint="eastAsia"/>
                <w:u w:val="single"/>
                <w:vertAlign w:val="superscript"/>
              </w:rPr>
              <w:t>3</w:t>
            </w:r>
            <w:r>
              <w:rPr>
                <w:rFonts w:hint="eastAsia"/>
                <w:u w:val="single"/>
              </w:rPr>
              <w:t>计算，则站内柴油的最大储量为2</w:t>
            </w:r>
            <w:r>
              <w:rPr>
                <w:rFonts w:hint="default"/>
                <w:u w:val="single"/>
              </w:rPr>
              <w:t>2</w:t>
            </w:r>
            <w:r>
              <w:rPr>
                <w:rFonts w:hint="eastAsia"/>
                <w:u w:val="single"/>
              </w:rPr>
              <w:t>t，则对照（HJ169-2018）附录B中危险物质及其临界量，危险物质数量与临界量的比值的计算见表7-13。</w:t>
            </w:r>
            <w:bookmarkStart w:id="32" w:name="_Toc233769361"/>
          </w:p>
          <w:p>
            <w:pPr>
              <w:pStyle w:val="93"/>
              <w:spacing w:line="240" w:lineRule="auto"/>
              <w:ind w:firstLine="480"/>
              <w:rPr>
                <w:rFonts w:ascii="Times New Roman" w:hAnsi="Times New Roman" w:eastAsia="黑体"/>
                <w:b w:val="0"/>
                <w:bCs w:val="0"/>
                <w:szCs w:val="22"/>
                <w:u w:val="single"/>
              </w:rPr>
            </w:pPr>
            <w:r>
              <w:rPr>
                <w:rFonts w:ascii="Times New Roman" w:hAnsi="Times New Roman" w:eastAsia="黑体"/>
                <w:b w:val="0"/>
                <w:bCs w:val="0"/>
                <w:szCs w:val="22"/>
                <w:u w:val="single"/>
              </w:rPr>
              <w:t>表7</w:t>
            </w:r>
            <w:r>
              <w:rPr>
                <w:rFonts w:hint="eastAsia" w:ascii="Times New Roman" w:hAnsi="Times New Roman" w:eastAsia="黑体"/>
                <w:b w:val="0"/>
                <w:bCs w:val="0"/>
                <w:szCs w:val="22"/>
                <w:u w:val="single"/>
                <w:lang w:val="en-US" w:eastAsia="zh-CN"/>
              </w:rPr>
              <w:t>.3-4</w:t>
            </w:r>
            <w:r>
              <w:rPr>
                <w:rFonts w:ascii="Times New Roman" w:hAnsi="Times New Roman" w:eastAsia="黑体"/>
                <w:b w:val="0"/>
                <w:bCs w:val="0"/>
                <w:szCs w:val="22"/>
                <w:u w:val="single"/>
              </w:rPr>
              <w:t xml:space="preserve">  危险物质数量与临界量的比值</w:t>
            </w:r>
            <w:bookmarkEnd w:id="32"/>
          </w:p>
          <w:tbl>
            <w:tblPr>
              <w:tblStyle w:val="24"/>
              <w:tblW w:w="886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14"/>
              <w:gridCol w:w="1464"/>
              <w:gridCol w:w="1431"/>
              <w:gridCol w:w="1947"/>
              <w:gridCol w:w="1681"/>
              <w:gridCol w:w="112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4" w:type="dxa"/>
                  <w:vAlign w:val="center"/>
                </w:tcPr>
                <w:p>
                  <w:pPr>
                    <w:pStyle w:val="91"/>
                    <w:spacing w:line="240" w:lineRule="auto"/>
                    <w:ind w:firstLine="0" w:firstLineChars="0"/>
                    <w:jc w:val="center"/>
                    <w:rPr>
                      <w:sz w:val="21"/>
                      <w:szCs w:val="21"/>
                      <w:u w:val="single"/>
                    </w:rPr>
                  </w:pPr>
                  <w:r>
                    <w:rPr>
                      <w:rFonts w:hint="eastAsia"/>
                      <w:sz w:val="21"/>
                      <w:szCs w:val="21"/>
                      <w:u w:val="single"/>
                    </w:rPr>
                    <w:t>物料名称</w:t>
                  </w:r>
                </w:p>
              </w:tc>
              <w:tc>
                <w:tcPr>
                  <w:tcW w:w="1464" w:type="dxa"/>
                  <w:vAlign w:val="center"/>
                </w:tcPr>
                <w:p>
                  <w:pPr>
                    <w:pStyle w:val="91"/>
                    <w:spacing w:line="240" w:lineRule="auto"/>
                    <w:ind w:firstLine="0" w:firstLineChars="0"/>
                    <w:jc w:val="center"/>
                    <w:rPr>
                      <w:sz w:val="21"/>
                      <w:szCs w:val="21"/>
                      <w:u w:val="single"/>
                    </w:rPr>
                  </w:pPr>
                  <w:r>
                    <w:rPr>
                      <w:rFonts w:hint="eastAsia"/>
                      <w:sz w:val="21"/>
                      <w:szCs w:val="21"/>
                      <w:u w:val="single"/>
                    </w:rPr>
                    <w:t>存储区</w:t>
                  </w:r>
                </w:p>
              </w:tc>
              <w:tc>
                <w:tcPr>
                  <w:tcW w:w="1431" w:type="dxa"/>
                  <w:vAlign w:val="center"/>
                </w:tcPr>
                <w:p>
                  <w:pPr>
                    <w:pStyle w:val="91"/>
                    <w:spacing w:line="240" w:lineRule="auto"/>
                    <w:ind w:firstLine="0" w:firstLineChars="0"/>
                    <w:jc w:val="center"/>
                    <w:rPr>
                      <w:sz w:val="21"/>
                      <w:szCs w:val="21"/>
                      <w:u w:val="single"/>
                    </w:rPr>
                  </w:pPr>
                  <w:r>
                    <w:rPr>
                      <w:rFonts w:hint="eastAsia"/>
                      <w:sz w:val="21"/>
                      <w:szCs w:val="21"/>
                      <w:u w:val="single"/>
                    </w:rPr>
                    <w:t>临界量（t）</w:t>
                  </w:r>
                </w:p>
              </w:tc>
              <w:tc>
                <w:tcPr>
                  <w:tcW w:w="1947" w:type="dxa"/>
                  <w:vAlign w:val="center"/>
                </w:tcPr>
                <w:p>
                  <w:pPr>
                    <w:pStyle w:val="91"/>
                    <w:spacing w:line="240" w:lineRule="auto"/>
                    <w:ind w:firstLine="0" w:firstLineChars="0"/>
                    <w:jc w:val="center"/>
                    <w:rPr>
                      <w:sz w:val="21"/>
                      <w:szCs w:val="21"/>
                      <w:u w:val="single"/>
                    </w:rPr>
                  </w:pPr>
                  <w:r>
                    <w:rPr>
                      <w:rFonts w:hint="eastAsia"/>
                      <w:sz w:val="21"/>
                      <w:szCs w:val="21"/>
                      <w:u w:val="single"/>
                    </w:rPr>
                    <w:t>最大贮存量（t）</w:t>
                  </w:r>
                </w:p>
              </w:tc>
              <w:tc>
                <w:tcPr>
                  <w:tcW w:w="1681" w:type="dxa"/>
                  <w:vAlign w:val="center"/>
                </w:tcPr>
                <w:p>
                  <w:pPr>
                    <w:pStyle w:val="91"/>
                    <w:spacing w:line="240" w:lineRule="auto"/>
                    <w:ind w:firstLine="0" w:firstLineChars="0"/>
                    <w:jc w:val="center"/>
                    <w:rPr>
                      <w:sz w:val="21"/>
                      <w:szCs w:val="21"/>
                      <w:u w:val="single"/>
                    </w:rPr>
                  </w:pPr>
                  <w:r>
                    <w:rPr>
                      <w:rFonts w:hint="eastAsia"/>
                      <w:sz w:val="21"/>
                      <w:szCs w:val="21"/>
                      <w:u w:val="single"/>
                    </w:rPr>
                    <w:t>Q值</w:t>
                  </w:r>
                </w:p>
              </w:tc>
              <w:tc>
                <w:tcPr>
                  <w:tcW w:w="1127" w:type="dxa"/>
                  <w:vAlign w:val="center"/>
                </w:tcPr>
                <w:p>
                  <w:pPr>
                    <w:pStyle w:val="91"/>
                    <w:spacing w:line="240" w:lineRule="auto"/>
                    <w:ind w:firstLine="0" w:firstLineChars="0"/>
                    <w:jc w:val="center"/>
                    <w:rPr>
                      <w:sz w:val="21"/>
                      <w:szCs w:val="21"/>
                      <w:u w:val="single"/>
                    </w:rPr>
                  </w:pPr>
                  <w:r>
                    <w:rPr>
                      <w:rFonts w:hint="eastAsia"/>
                      <w:sz w:val="21"/>
                      <w:szCs w:val="21"/>
                      <w:u w:val="single"/>
                    </w:rPr>
                    <w:t>Q总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4" w:type="dxa"/>
                  <w:vAlign w:val="center"/>
                </w:tcPr>
                <w:p>
                  <w:pPr>
                    <w:pStyle w:val="91"/>
                    <w:spacing w:line="240" w:lineRule="auto"/>
                    <w:ind w:firstLine="0" w:firstLineChars="0"/>
                    <w:jc w:val="center"/>
                    <w:rPr>
                      <w:sz w:val="21"/>
                      <w:szCs w:val="21"/>
                      <w:u w:val="single"/>
                    </w:rPr>
                  </w:pPr>
                  <w:r>
                    <w:rPr>
                      <w:rFonts w:hint="eastAsia"/>
                      <w:sz w:val="21"/>
                      <w:szCs w:val="21"/>
                      <w:u w:val="single"/>
                    </w:rPr>
                    <w:t>汽油</w:t>
                  </w:r>
                </w:p>
              </w:tc>
              <w:tc>
                <w:tcPr>
                  <w:tcW w:w="1464" w:type="dxa"/>
                  <w:vAlign w:val="center"/>
                </w:tcPr>
                <w:p>
                  <w:pPr>
                    <w:pStyle w:val="91"/>
                    <w:spacing w:line="240" w:lineRule="auto"/>
                    <w:ind w:firstLine="0" w:firstLineChars="0"/>
                    <w:jc w:val="center"/>
                    <w:rPr>
                      <w:sz w:val="21"/>
                      <w:szCs w:val="21"/>
                      <w:u w:val="single"/>
                    </w:rPr>
                  </w:pPr>
                  <w:r>
                    <w:rPr>
                      <w:rFonts w:hint="eastAsia"/>
                      <w:sz w:val="21"/>
                      <w:szCs w:val="21"/>
                      <w:u w:val="single"/>
                    </w:rPr>
                    <w:t>汽油储罐</w:t>
                  </w:r>
                </w:p>
              </w:tc>
              <w:tc>
                <w:tcPr>
                  <w:tcW w:w="1431" w:type="dxa"/>
                  <w:vAlign w:val="center"/>
                </w:tcPr>
                <w:p>
                  <w:pPr>
                    <w:pStyle w:val="91"/>
                    <w:spacing w:line="240" w:lineRule="auto"/>
                    <w:ind w:firstLine="0" w:firstLineChars="0"/>
                    <w:jc w:val="center"/>
                    <w:rPr>
                      <w:sz w:val="21"/>
                      <w:szCs w:val="21"/>
                      <w:u w:val="single"/>
                    </w:rPr>
                  </w:pPr>
                  <w:r>
                    <w:rPr>
                      <w:rFonts w:hint="eastAsia"/>
                      <w:sz w:val="21"/>
                      <w:szCs w:val="21"/>
                      <w:u w:val="single"/>
                    </w:rPr>
                    <w:t>2500</w:t>
                  </w:r>
                </w:p>
              </w:tc>
              <w:tc>
                <w:tcPr>
                  <w:tcW w:w="1947" w:type="dxa"/>
                  <w:vAlign w:val="center"/>
                </w:tcPr>
                <w:p>
                  <w:pPr>
                    <w:pStyle w:val="91"/>
                    <w:spacing w:line="240" w:lineRule="auto"/>
                    <w:ind w:firstLine="0" w:firstLineChars="0"/>
                    <w:jc w:val="center"/>
                    <w:rPr>
                      <w:sz w:val="21"/>
                      <w:szCs w:val="21"/>
                      <w:u w:val="single"/>
                    </w:rPr>
                  </w:pPr>
                  <w:r>
                    <w:rPr>
                      <w:rFonts w:hint="default"/>
                      <w:sz w:val="21"/>
                      <w:szCs w:val="21"/>
                      <w:u w:val="single"/>
                    </w:rPr>
                    <w:t>45</w:t>
                  </w:r>
                </w:p>
              </w:tc>
              <w:tc>
                <w:tcPr>
                  <w:tcW w:w="1681" w:type="dxa"/>
                  <w:vAlign w:val="center"/>
                </w:tcPr>
                <w:p>
                  <w:pPr>
                    <w:pStyle w:val="91"/>
                    <w:spacing w:line="240" w:lineRule="auto"/>
                    <w:ind w:firstLine="0" w:firstLineChars="0"/>
                    <w:jc w:val="center"/>
                    <w:rPr>
                      <w:sz w:val="21"/>
                      <w:szCs w:val="21"/>
                      <w:u w:val="single"/>
                    </w:rPr>
                  </w:pPr>
                  <w:r>
                    <w:rPr>
                      <w:rFonts w:hint="eastAsia"/>
                      <w:sz w:val="21"/>
                      <w:szCs w:val="21"/>
                      <w:u w:val="single"/>
                    </w:rPr>
                    <w:t>0.0</w:t>
                  </w:r>
                  <w:r>
                    <w:rPr>
                      <w:rFonts w:hint="default"/>
                      <w:sz w:val="21"/>
                      <w:szCs w:val="21"/>
                      <w:u w:val="single"/>
                    </w:rPr>
                    <w:t>18</w:t>
                  </w:r>
                </w:p>
              </w:tc>
              <w:tc>
                <w:tcPr>
                  <w:tcW w:w="1127" w:type="dxa"/>
                  <w:vMerge w:val="restart"/>
                  <w:vAlign w:val="center"/>
                </w:tcPr>
                <w:p>
                  <w:pPr>
                    <w:pStyle w:val="91"/>
                    <w:spacing w:line="240" w:lineRule="auto"/>
                    <w:ind w:firstLine="0" w:firstLineChars="0"/>
                    <w:jc w:val="center"/>
                    <w:rPr>
                      <w:sz w:val="21"/>
                      <w:szCs w:val="21"/>
                      <w:u w:val="single"/>
                    </w:rPr>
                  </w:pPr>
                  <w:r>
                    <w:rPr>
                      <w:rFonts w:hint="eastAsia"/>
                      <w:sz w:val="21"/>
                      <w:szCs w:val="21"/>
                      <w:u w:val="single"/>
                    </w:rPr>
                    <w:t>0.0</w:t>
                  </w:r>
                  <w:r>
                    <w:rPr>
                      <w:rFonts w:hint="default"/>
                      <w:sz w:val="21"/>
                      <w:szCs w:val="21"/>
                      <w:u w:val="single"/>
                    </w:rPr>
                    <w:t>268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4" w:type="dxa"/>
                  <w:vAlign w:val="center"/>
                </w:tcPr>
                <w:p>
                  <w:pPr>
                    <w:pStyle w:val="91"/>
                    <w:spacing w:line="240" w:lineRule="auto"/>
                    <w:ind w:firstLine="0" w:firstLineChars="0"/>
                    <w:jc w:val="center"/>
                    <w:rPr>
                      <w:sz w:val="21"/>
                      <w:szCs w:val="21"/>
                      <w:u w:val="single"/>
                    </w:rPr>
                  </w:pPr>
                  <w:r>
                    <w:rPr>
                      <w:rFonts w:hint="eastAsia"/>
                      <w:sz w:val="21"/>
                      <w:szCs w:val="21"/>
                      <w:u w:val="single"/>
                    </w:rPr>
                    <w:t>柴油</w:t>
                  </w:r>
                </w:p>
              </w:tc>
              <w:tc>
                <w:tcPr>
                  <w:tcW w:w="1464" w:type="dxa"/>
                  <w:vAlign w:val="center"/>
                </w:tcPr>
                <w:p>
                  <w:pPr>
                    <w:pStyle w:val="91"/>
                    <w:spacing w:line="240" w:lineRule="auto"/>
                    <w:ind w:firstLine="0" w:firstLineChars="0"/>
                    <w:jc w:val="center"/>
                    <w:rPr>
                      <w:sz w:val="21"/>
                      <w:szCs w:val="21"/>
                      <w:u w:val="single"/>
                    </w:rPr>
                  </w:pPr>
                  <w:r>
                    <w:rPr>
                      <w:rFonts w:hint="eastAsia"/>
                      <w:sz w:val="21"/>
                      <w:szCs w:val="21"/>
                      <w:u w:val="single"/>
                    </w:rPr>
                    <w:t>柴油储罐</w:t>
                  </w:r>
                </w:p>
              </w:tc>
              <w:tc>
                <w:tcPr>
                  <w:tcW w:w="1431" w:type="dxa"/>
                  <w:vAlign w:val="center"/>
                </w:tcPr>
                <w:p>
                  <w:pPr>
                    <w:pStyle w:val="91"/>
                    <w:spacing w:line="240" w:lineRule="auto"/>
                    <w:ind w:firstLine="0" w:firstLineChars="0"/>
                    <w:jc w:val="center"/>
                    <w:rPr>
                      <w:sz w:val="21"/>
                      <w:szCs w:val="21"/>
                      <w:u w:val="single"/>
                    </w:rPr>
                  </w:pPr>
                  <w:r>
                    <w:rPr>
                      <w:rFonts w:hint="eastAsia"/>
                      <w:sz w:val="21"/>
                      <w:szCs w:val="21"/>
                      <w:u w:val="single"/>
                    </w:rPr>
                    <w:t>2500</w:t>
                  </w:r>
                </w:p>
              </w:tc>
              <w:tc>
                <w:tcPr>
                  <w:tcW w:w="1947" w:type="dxa"/>
                  <w:vAlign w:val="center"/>
                </w:tcPr>
                <w:p>
                  <w:pPr>
                    <w:pStyle w:val="91"/>
                    <w:spacing w:line="240" w:lineRule="auto"/>
                    <w:ind w:firstLine="0" w:firstLineChars="0"/>
                    <w:jc w:val="center"/>
                    <w:rPr>
                      <w:sz w:val="21"/>
                      <w:szCs w:val="21"/>
                      <w:u w:val="single"/>
                    </w:rPr>
                  </w:pPr>
                  <w:r>
                    <w:rPr>
                      <w:rFonts w:hint="default"/>
                      <w:sz w:val="21"/>
                      <w:szCs w:val="21"/>
                      <w:u w:val="single"/>
                    </w:rPr>
                    <w:t>22</w:t>
                  </w:r>
                </w:p>
              </w:tc>
              <w:tc>
                <w:tcPr>
                  <w:tcW w:w="1681" w:type="dxa"/>
                  <w:vAlign w:val="center"/>
                </w:tcPr>
                <w:p>
                  <w:pPr>
                    <w:pStyle w:val="91"/>
                    <w:spacing w:line="240" w:lineRule="auto"/>
                    <w:ind w:firstLine="0" w:firstLineChars="0"/>
                    <w:jc w:val="center"/>
                    <w:rPr>
                      <w:sz w:val="21"/>
                      <w:szCs w:val="21"/>
                      <w:u w:val="single"/>
                    </w:rPr>
                  </w:pPr>
                  <w:r>
                    <w:rPr>
                      <w:rFonts w:hint="eastAsia"/>
                      <w:sz w:val="21"/>
                      <w:szCs w:val="21"/>
                      <w:u w:val="single"/>
                    </w:rPr>
                    <w:t>0.0</w:t>
                  </w:r>
                  <w:r>
                    <w:rPr>
                      <w:rFonts w:hint="default"/>
                      <w:sz w:val="21"/>
                      <w:szCs w:val="21"/>
                      <w:u w:val="single"/>
                    </w:rPr>
                    <w:t>088</w:t>
                  </w:r>
                </w:p>
              </w:tc>
              <w:tc>
                <w:tcPr>
                  <w:tcW w:w="1127" w:type="dxa"/>
                  <w:vMerge w:val="continue"/>
                  <w:vAlign w:val="center"/>
                </w:tcPr>
                <w:p>
                  <w:pPr>
                    <w:pStyle w:val="91"/>
                    <w:spacing w:line="240" w:lineRule="auto"/>
                    <w:ind w:firstLine="0" w:firstLineChars="0"/>
                    <w:jc w:val="center"/>
                    <w:rPr>
                      <w:sz w:val="21"/>
                      <w:szCs w:val="21"/>
                      <w:u w:val="single"/>
                    </w:rPr>
                  </w:pPr>
                </w:p>
              </w:tc>
            </w:tr>
          </w:tbl>
          <w:p>
            <w:pPr>
              <w:pStyle w:val="4"/>
              <w:ind w:firstLine="480"/>
              <w:rPr>
                <w:u w:val="single"/>
              </w:rPr>
            </w:pPr>
            <w:r>
              <w:rPr>
                <w:rFonts w:hint="eastAsia"/>
                <w:u w:val="single"/>
              </w:rPr>
              <w:t>由上表可知，本项目的Q值为</w:t>
            </w:r>
            <w:r>
              <w:rPr>
                <w:rFonts w:hint="default"/>
                <w:u w:val="single"/>
              </w:rPr>
              <w:t>0.0268</w:t>
            </w:r>
            <w:r>
              <w:rPr>
                <w:rFonts w:hint="eastAsia"/>
                <w:u w:val="single"/>
              </w:rPr>
              <w:t>（＜1），直接判定环境风险潜势（P）为Ⅰ，对照评价工作等级划分表可知，进行简单分析即可。</w:t>
            </w:r>
          </w:p>
          <w:p>
            <w:pPr>
              <w:pStyle w:val="4"/>
              <w:ind w:firstLine="480"/>
            </w:pPr>
            <w:r>
              <w:rPr>
                <w:rFonts w:hint="eastAsia"/>
              </w:rPr>
              <w:t>（3）简单分析基本内容</w:t>
            </w:r>
          </w:p>
          <w:p>
            <w:pPr>
              <w:pStyle w:val="4"/>
              <w:ind w:firstLine="480"/>
            </w:pPr>
            <w:r>
              <w:rPr>
                <w:rFonts w:hint="eastAsia"/>
              </w:rPr>
              <w:t>根据《建设项目环境风险评价技术导则》（HJ169-2018）附录A中表A.1的内容填写下表：</w:t>
            </w:r>
          </w:p>
          <w:p>
            <w:pPr>
              <w:pStyle w:val="92"/>
              <w:tabs>
                <w:tab w:val="left" w:pos="8820"/>
                <w:tab w:val="left" w:pos="9000"/>
                <w:tab w:val="clear" w:pos="1021"/>
                <w:tab w:val="clear" w:pos="1320"/>
              </w:tabs>
              <w:jc w:val="center"/>
              <w:rPr>
                <w:rFonts w:eastAsia="黑体"/>
              </w:rPr>
            </w:pPr>
            <w:r>
              <w:rPr>
                <w:rFonts w:hint="eastAsia" w:eastAsia="黑体"/>
              </w:rPr>
              <w:t>表7</w:t>
            </w:r>
            <w:r>
              <w:rPr>
                <w:rFonts w:hint="eastAsia" w:eastAsia="黑体"/>
                <w:lang w:val="en-US" w:eastAsia="zh-CN"/>
              </w:rPr>
              <w:t xml:space="preserve">.3-5 </w:t>
            </w:r>
            <w:r>
              <w:rPr>
                <w:rFonts w:hint="eastAsia" w:eastAsia="黑体"/>
              </w:rPr>
              <w:t xml:space="preserve"> 建设项目环境风险简单分析内容表</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325"/>
              <w:gridCol w:w="1324"/>
              <w:gridCol w:w="1325"/>
              <w:gridCol w:w="132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建设项目名称</w:t>
                  </w:r>
                </w:p>
              </w:tc>
              <w:tc>
                <w:tcPr>
                  <w:tcW w:w="6628" w:type="dxa"/>
                  <w:gridSpan w:val="5"/>
                  <w:vAlign w:val="center"/>
                </w:tcPr>
                <w:p>
                  <w:pPr>
                    <w:pStyle w:val="92"/>
                    <w:tabs>
                      <w:tab w:val="left" w:pos="8820"/>
                      <w:tab w:val="left" w:pos="9000"/>
                      <w:tab w:val="clear" w:pos="1021"/>
                      <w:tab w:val="clear" w:pos="1320"/>
                    </w:tabs>
                    <w:spacing w:line="240" w:lineRule="auto"/>
                    <w:ind w:firstLine="420"/>
                    <w:jc w:val="center"/>
                    <w:rPr>
                      <w:sz w:val="21"/>
                      <w:szCs w:val="21"/>
                    </w:rPr>
                  </w:pPr>
                  <w:r>
                    <w:rPr>
                      <w:rFonts w:hint="eastAsia"/>
                      <w:sz w:val="21"/>
                      <w:szCs w:val="21"/>
                    </w:rPr>
                    <w:t>湘阴县杨林寨加油站项目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建设地点</w:t>
                  </w:r>
                </w:p>
              </w:tc>
              <w:tc>
                <w:tcPr>
                  <w:tcW w:w="1325"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（湖南）省</w:t>
                  </w:r>
                </w:p>
              </w:tc>
              <w:tc>
                <w:tcPr>
                  <w:tcW w:w="1324"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（岳阳）市</w:t>
                  </w:r>
                </w:p>
              </w:tc>
              <w:tc>
                <w:tcPr>
                  <w:tcW w:w="1325"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（/）区</w:t>
                  </w:r>
                </w:p>
              </w:tc>
              <w:tc>
                <w:tcPr>
                  <w:tcW w:w="1324"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（湘阴）县</w:t>
                  </w:r>
                </w:p>
              </w:tc>
              <w:tc>
                <w:tcPr>
                  <w:tcW w:w="1330"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主要危险物质及分布</w:t>
                  </w:r>
                </w:p>
              </w:tc>
              <w:tc>
                <w:tcPr>
                  <w:tcW w:w="6628" w:type="dxa"/>
                  <w:gridSpan w:val="5"/>
                  <w:vAlign w:val="center"/>
                </w:tcPr>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①风险物质：汽油、柴油</w:t>
                  </w:r>
                </w:p>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②分布情况：汽油储罐、柴油储罐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环境影响途径及危害后果（大气、地表水、地下水等）</w:t>
                  </w:r>
                </w:p>
              </w:tc>
              <w:tc>
                <w:tcPr>
                  <w:tcW w:w="6628" w:type="dxa"/>
                  <w:gridSpan w:val="5"/>
                  <w:vAlign w:val="center"/>
                </w:tcPr>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①</w:t>
                  </w:r>
                  <w:r>
                    <w:rPr>
                      <w:rFonts w:hint="eastAsia"/>
                      <w:sz w:val="21"/>
                      <w:szCs w:val="21"/>
                      <w:lang w:val="zh-CN"/>
                    </w:rPr>
                    <w:t>发生火灾</w:t>
                  </w:r>
                  <w:r>
                    <w:rPr>
                      <w:sz w:val="21"/>
                      <w:szCs w:val="21"/>
                      <w:lang w:val="zh-CN"/>
                    </w:rPr>
                    <w:t>爆炸</w:t>
                  </w:r>
                  <w:r>
                    <w:rPr>
                      <w:rFonts w:hint="eastAsia"/>
                      <w:sz w:val="21"/>
                      <w:szCs w:val="21"/>
                      <w:lang w:val="zh-CN"/>
                    </w:rPr>
                    <w:t>造成的次生环境风险事件，产生大量浓烟及有害气体，污染大气环境</w:t>
                  </w:r>
                  <w:r>
                    <w:rPr>
                      <w:rStyle w:val="36"/>
                      <w:rFonts w:hint="eastAsia"/>
                    </w:rPr>
                    <w:t>，消防废水污染水环境</w:t>
                  </w:r>
                  <w:r>
                    <w:rPr>
                      <w:rFonts w:hint="eastAsia"/>
                      <w:sz w:val="21"/>
                      <w:szCs w:val="21"/>
                    </w:rPr>
                    <w:t>；</w:t>
                  </w:r>
                </w:p>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②油品泄露造成的环境风险事件，进入周边环境。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vAlign w:val="center"/>
                </w:tcPr>
                <w:p>
                  <w:pPr>
                    <w:pStyle w:val="92"/>
                    <w:tabs>
                      <w:tab w:val="left" w:pos="8820"/>
                      <w:tab w:val="left" w:pos="9000"/>
                      <w:tab w:val="clear" w:pos="1021"/>
                      <w:tab w:val="clear" w:pos="1320"/>
                    </w:tabs>
                    <w:spacing w:line="240" w:lineRule="auto"/>
                    <w:ind w:firstLine="0" w:firstLineChars="0"/>
                    <w:jc w:val="center"/>
                    <w:rPr>
                      <w:sz w:val="21"/>
                      <w:szCs w:val="21"/>
                    </w:rPr>
                  </w:pPr>
                  <w:r>
                    <w:rPr>
                      <w:rFonts w:hint="eastAsia"/>
                      <w:sz w:val="21"/>
                      <w:szCs w:val="21"/>
                    </w:rPr>
                    <w:t>风险防范措施要求</w:t>
                  </w:r>
                </w:p>
              </w:tc>
              <w:tc>
                <w:tcPr>
                  <w:tcW w:w="6628" w:type="dxa"/>
                  <w:gridSpan w:val="5"/>
                  <w:vAlign w:val="center"/>
                </w:tcPr>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①</w:t>
                  </w:r>
                  <w:r>
                    <w:rPr>
                      <w:sz w:val="21"/>
                      <w:szCs w:val="21"/>
                    </w:rPr>
                    <w:t>本项目油罐采用地埋式储罐，埋地罐坑采用硬化防渗工艺处理，因此若发生燃烧或爆炸，成品油的泄漏主要来自于爆炸后的溅射散落，散落后的油主要分布在加油站区范围内，因站区地面全部硬化，所以溅射后的油不会下渗对土壤造成污染。散落于加油站区地面的油污通过冲洗进入隔油沉沙池，发生火灾时应采用灭火器材、消防沙、灭火毯等进行灭火，项目对外造成的水污染处于可控范围。</w:t>
                  </w:r>
                </w:p>
                <w:p>
                  <w:pPr>
                    <w:pStyle w:val="92"/>
                    <w:tabs>
                      <w:tab w:val="left" w:pos="8820"/>
                      <w:tab w:val="left" w:pos="9000"/>
                      <w:tab w:val="clear" w:pos="1021"/>
                      <w:tab w:val="clear" w:pos="1320"/>
                    </w:tabs>
                    <w:spacing w:line="240" w:lineRule="auto"/>
                    <w:ind w:firstLine="0" w:firstLineChars="0"/>
                    <w:jc w:val="left"/>
                    <w:rPr>
                      <w:sz w:val="21"/>
                      <w:szCs w:val="21"/>
                    </w:rPr>
                  </w:pPr>
                  <w:r>
                    <w:rPr>
                      <w:rFonts w:hint="eastAsia"/>
                      <w:sz w:val="21"/>
                      <w:szCs w:val="21"/>
                    </w:rPr>
                    <w:t>②</w:t>
                  </w:r>
                  <w:r>
                    <w:rPr>
                      <w:sz w:val="21"/>
                      <w:szCs w:val="21"/>
                    </w:rPr>
                    <w:t>项目</w:t>
                  </w:r>
                  <w:r>
                    <w:rPr>
                      <w:rFonts w:hint="eastAsia"/>
                      <w:sz w:val="21"/>
                      <w:szCs w:val="21"/>
                    </w:rPr>
                    <w:t>已</w:t>
                  </w:r>
                  <w:r>
                    <w:rPr>
                      <w:sz w:val="21"/>
                      <w:szCs w:val="21"/>
                    </w:rPr>
                    <w:t>设置非燃烧防爆围墙，</w:t>
                  </w:r>
                  <w:r>
                    <w:rPr>
                      <w:rFonts w:hint="eastAsia"/>
                      <w:sz w:val="21"/>
                      <w:szCs w:val="21"/>
                    </w:rPr>
                    <w:t>可</w:t>
                  </w:r>
                  <w:r>
                    <w:rPr>
                      <w:sz w:val="21"/>
                      <w:szCs w:val="21"/>
                    </w:rPr>
                    <w:t>减轻火宅、爆炸时对周边居民的影响</w:t>
                  </w:r>
                  <w:r>
                    <w:rPr>
                      <w:rFonts w:hint="eastAsia"/>
                      <w:sz w:val="21"/>
                      <w:szCs w:val="21"/>
                    </w:rPr>
                    <w:t>。</w:t>
                  </w:r>
                </w:p>
                <w:p>
                  <w:pPr>
                    <w:pStyle w:val="92"/>
                    <w:tabs>
                      <w:tab w:val="left" w:pos="8820"/>
                      <w:tab w:val="left" w:pos="9000"/>
                      <w:tab w:val="clear" w:pos="1021"/>
                      <w:tab w:val="clear" w:pos="1320"/>
                    </w:tabs>
                    <w:spacing w:line="240" w:lineRule="auto"/>
                    <w:ind w:firstLine="0" w:firstLineChars="0"/>
                    <w:rPr>
                      <w:sz w:val="21"/>
                      <w:szCs w:val="21"/>
                    </w:rPr>
                  </w:pPr>
                  <w:r>
                    <w:rPr>
                      <w:rFonts w:hint="eastAsia"/>
                      <w:sz w:val="21"/>
                      <w:szCs w:val="21"/>
                    </w:rPr>
                    <w:t>③采用SF双层油罐进行储油，并设置漏油检测器，双层油罐自带防渗液位报警器，同时设置加油岛地下人工观测井，可及时发现漏油，切断供油管路。</w:t>
                  </w:r>
                </w:p>
                <w:p>
                  <w:pPr>
                    <w:pStyle w:val="92"/>
                    <w:tabs>
                      <w:tab w:val="left" w:pos="8820"/>
                      <w:tab w:val="left" w:pos="9000"/>
                      <w:tab w:val="clear" w:pos="1021"/>
                      <w:tab w:val="clear" w:pos="1320"/>
                    </w:tabs>
                    <w:spacing w:line="240" w:lineRule="auto"/>
                    <w:ind w:firstLine="0" w:firstLineChars="0"/>
                    <w:rPr>
                      <w:sz w:val="21"/>
                      <w:szCs w:val="21"/>
                    </w:rPr>
                  </w:pPr>
                  <w:r>
                    <w:rPr>
                      <w:rFonts w:hint="eastAsia"/>
                      <w:sz w:val="21"/>
                      <w:szCs w:val="21"/>
                    </w:rPr>
                    <w:t>④</w:t>
                  </w:r>
                  <w:r>
                    <w:rPr>
                      <w:rFonts w:hint="eastAsia"/>
                      <w:sz w:val="21"/>
                      <w:szCs w:val="21"/>
                      <w:lang w:eastAsia="zh-CN"/>
                    </w:rPr>
                    <w:t>站区</w:t>
                  </w:r>
                  <w:r>
                    <w:rPr>
                      <w:rFonts w:hint="eastAsia"/>
                      <w:sz w:val="21"/>
                      <w:szCs w:val="21"/>
                    </w:rPr>
                    <w:t>已按照要求进行地面硬化、防渗，包括针对加油区、地面冲洗水输送管线、隔油池及可能产生漏油的地方采取地面硬化等防渗漏措施。</w:t>
                  </w:r>
                </w:p>
                <w:p>
                  <w:pPr>
                    <w:pStyle w:val="92"/>
                    <w:tabs>
                      <w:tab w:val="left" w:pos="8820"/>
                      <w:tab w:val="left" w:pos="9000"/>
                      <w:tab w:val="clear" w:pos="1021"/>
                      <w:tab w:val="clear" w:pos="1320"/>
                    </w:tabs>
                    <w:spacing w:line="240" w:lineRule="auto"/>
                    <w:ind w:firstLine="0" w:firstLineChars="0"/>
                    <w:rPr>
                      <w:bCs/>
                      <w:snapToGrid w:val="0"/>
                      <w:sz w:val="21"/>
                      <w:szCs w:val="21"/>
                    </w:rPr>
                  </w:pPr>
                  <w:r>
                    <w:rPr>
                      <w:rFonts w:hint="eastAsia"/>
                      <w:sz w:val="21"/>
                      <w:szCs w:val="21"/>
                    </w:rPr>
                    <w:t>⑤</w:t>
                  </w:r>
                  <w:r>
                    <w:rPr>
                      <w:bCs/>
                      <w:snapToGrid w:val="0"/>
                      <w:sz w:val="21"/>
                      <w:szCs w:val="21"/>
                    </w:rPr>
                    <w:t>加强职工的安全教育，提高安全防范风险的意识</w:t>
                  </w:r>
                  <w:r>
                    <w:rPr>
                      <w:rFonts w:hint="eastAsia"/>
                      <w:bCs/>
                      <w:snapToGrid w:val="0"/>
                      <w:sz w:val="21"/>
                      <w:szCs w:val="21"/>
                    </w:rPr>
                    <w:t>。</w:t>
                  </w:r>
                </w:p>
                <w:p>
                  <w:pPr>
                    <w:pStyle w:val="92"/>
                    <w:tabs>
                      <w:tab w:val="left" w:pos="8820"/>
                      <w:tab w:val="left" w:pos="9000"/>
                      <w:tab w:val="clear" w:pos="1021"/>
                      <w:tab w:val="clear" w:pos="1320"/>
                    </w:tabs>
                    <w:spacing w:line="240" w:lineRule="auto"/>
                    <w:ind w:firstLine="0" w:firstLineChars="0"/>
                    <w:rPr>
                      <w:sz w:val="21"/>
                      <w:szCs w:val="21"/>
                    </w:rPr>
                  </w:pPr>
                  <w:r>
                    <w:rPr>
                      <w:rFonts w:hint="eastAsia"/>
                      <w:bCs/>
                      <w:snapToGrid w:val="0"/>
                      <w:sz w:val="21"/>
                      <w:szCs w:val="21"/>
                    </w:rPr>
                    <w:t>⑥编制环境风险应急预案。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59" w:type="dxa"/>
                  <w:gridSpan w:val="6"/>
                  <w:vAlign w:val="center"/>
                </w:tcPr>
                <w:p>
                  <w:pPr>
                    <w:pStyle w:val="92"/>
                    <w:tabs>
                      <w:tab w:val="left" w:pos="8820"/>
                      <w:tab w:val="left" w:pos="9000"/>
                      <w:tab w:val="clear" w:pos="1021"/>
                      <w:tab w:val="clear" w:pos="1320"/>
                    </w:tabs>
                    <w:spacing w:line="360" w:lineRule="auto"/>
                    <w:ind w:firstLine="0" w:firstLineChars="0"/>
                    <w:jc w:val="left"/>
                    <w:rPr>
                      <w:sz w:val="21"/>
                      <w:szCs w:val="21"/>
                    </w:rPr>
                  </w:pPr>
                  <w:r>
                    <w:rPr>
                      <w:rFonts w:hint="eastAsia"/>
                      <w:sz w:val="21"/>
                      <w:szCs w:val="21"/>
                    </w:rPr>
                    <w:t>填表说明（列出项目相关信息及评价说明）：</w:t>
                  </w:r>
                </w:p>
                <w:p>
                  <w:pPr>
                    <w:pStyle w:val="92"/>
                    <w:tabs>
                      <w:tab w:val="left" w:pos="8820"/>
                      <w:tab w:val="left" w:pos="9000"/>
                      <w:tab w:val="clear" w:pos="1021"/>
                      <w:tab w:val="clear" w:pos="1320"/>
                    </w:tabs>
                    <w:spacing w:line="360" w:lineRule="auto"/>
                    <w:ind w:firstLine="0" w:firstLineChars="0"/>
                    <w:jc w:val="left"/>
                    <w:rPr>
                      <w:sz w:val="21"/>
                      <w:szCs w:val="21"/>
                    </w:rPr>
                  </w:pPr>
                  <w:r>
                    <w:rPr>
                      <w:rFonts w:hint="eastAsia"/>
                      <w:sz w:val="21"/>
                      <w:szCs w:val="21"/>
                    </w:rPr>
                    <w:t xml:space="preserve">   本项目的环境风险物质主要是汽油、柴油，根据前文的分析，项目Q值为</w:t>
                  </w:r>
                  <w:r>
                    <w:rPr>
                      <w:rFonts w:hint="default"/>
                      <w:sz w:val="21"/>
                      <w:szCs w:val="21"/>
                    </w:rPr>
                    <w:t>0.0268</w:t>
                  </w:r>
                  <w:r>
                    <w:rPr>
                      <w:rFonts w:hint="eastAsia"/>
                      <w:sz w:val="21"/>
                      <w:szCs w:val="21"/>
                    </w:rPr>
                    <w:t>，属于Q＜1，直接判别本项目的环境风险潜势为Ⅰ级，进行简单分析。只要建设单位及时落实本表中提出的风险防范措施要求，本项目的环境风险可控。</w:t>
                  </w:r>
                </w:p>
              </w:tc>
            </w:tr>
          </w:tbl>
          <w:p>
            <w:pPr>
              <w:pStyle w:val="5"/>
            </w:pPr>
            <w:r>
              <w:t>相符性分析</w:t>
            </w:r>
          </w:p>
          <w:p>
            <w:pPr>
              <w:pStyle w:val="4"/>
              <w:ind w:firstLine="0" w:firstLineChars="0"/>
              <w:rPr>
                <w:spacing w:val="4"/>
              </w:rPr>
            </w:pPr>
            <w:r>
              <w:rPr>
                <w:rFonts w:hint="eastAsia"/>
                <w:spacing w:val="4"/>
              </w:rPr>
              <w:t>7.4.1 相关标准、规范的符合性分析</w:t>
            </w:r>
          </w:p>
          <w:p>
            <w:pPr>
              <w:pStyle w:val="4"/>
              <w:ind w:firstLine="496"/>
              <w:rPr>
                <w:spacing w:val="4"/>
              </w:rPr>
            </w:pPr>
            <w:r>
              <w:rPr>
                <w:rFonts w:hint="eastAsia"/>
                <w:spacing w:val="4"/>
              </w:rPr>
              <w:t>（1）《汽油运输大气污染物排放标准》（GB4197.51-2007）</w:t>
            </w:r>
          </w:p>
          <w:p>
            <w:pPr>
              <w:pStyle w:val="4"/>
              <w:ind w:firstLine="496"/>
              <w:rPr>
                <w:spacing w:val="4"/>
              </w:rPr>
            </w:pPr>
            <w:r>
              <w:rPr>
                <w:rFonts w:hint="eastAsia"/>
                <w:spacing w:val="4"/>
              </w:rPr>
              <w:t>项目汽油由长沙霞凝油库专门的配送车辆与人员运送到本加油站，在运送及卸油过程中严格按照《加油站大气污染物排放标准》（GB4197.51-2007）中技术措施要求执行，确保符合标准及相关技术规范要求，标准与本项目的符合性对比见表7.4-1。</w:t>
            </w:r>
          </w:p>
          <w:p>
            <w:pPr>
              <w:jc w:val="center"/>
              <w:rPr>
                <w:rFonts w:eastAsia="黑体"/>
                <w:bCs/>
                <w:color w:val="000000"/>
                <w:spacing w:val="-7"/>
                <w:sz w:val="24"/>
                <w:szCs w:val="24"/>
              </w:rPr>
            </w:pPr>
            <w:r>
              <w:rPr>
                <w:rFonts w:eastAsia="黑体"/>
                <w:bCs/>
                <w:color w:val="000000"/>
                <w:sz w:val="24"/>
                <w:szCs w:val="24"/>
              </w:rPr>
              <w:t>表7.4-1   项目与《加油站大气污染物排放标准》的对比分析</w:t>
            </w:r>
          </w:p>
          <w:tbl>
            <w:tblPr>
              <w:tblStyle w:val="24"/>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4000"/>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tcPr>
                <w:p>
                  <w:pPr>
                    <w:jc w:val="center"/>
                    <w:rPr>
                      <w:rFonts w:cs="宋体"/>
                      <w:color w:val="000000"/>
                      <w:spacing w:val="-7"/>
                      <w:szCs w:val="21"/>
                    </w:rPr>
                  </w:pPr>
                  <w:r>
                    <w:rPr>
                      <w:rFonts w:hint="eastAsia" w:cs="宋体"/>
                      <w:color w:val="000000"/>
                      <w:spacing w:val="-7"/>
                      <w:szCs w:val="21"/>
                    </w:rPr>
                    <w:t>标准要求</w:t>
                  </w:r>
                </w:p>
              </w:tc>
              <w:tc>
                <w:tcPr>
                  <w:tcW w:w="4000" w:type="dxa"/>
                </w:tcPr>
                <w:p>
                  <w:pPr>
                    <w:jc w:val="center"/>
                    <w:rPr>
                      <w:rFonts w:cs="宋体"/>
                      <w:color w:val="000000"/>
                      <w:spacing w:val="-7"/>
                      <w:szCs w:val="21"/>
                    </w:rPr>
                  </w:pPr>
                  <w:r>
                    <w:rPr>
                      <w:rFonts w:hint="eastAsia" w:cs="宋体"/>
                      <w:color w:val="000000"/>
                      <w:spacing w:val="-7"/>
                      <w:szCs w:val="21"/>
                    </w:rPr>
                    <w:t>相关要求</w:t>
                  </w:r>
                </w:p>
              </w:tc>
              <w:tc>
                <w:tcPr>
                  <w:tcW w:w="4025" w:type="dxa"/>
                </w:tcPr>
                <w:p>
                  <w:pPr>
                    <w:jc w:val="center"/>
                    <w:rPr>
                      <w:rFonts w:cs="宋体"/>
                      <w:color w:val="000000"/>
                      <w:spacing w:val="-7"/>
                      <w:szCs w:val="21"/>
                    </w:rPr>
                  </w:pPr>
                  <w:r>
                    <w:rPr>
                      <w:rFonts w:hint="eastAsia" w:cs="宋体"/>
                      <w:color w:val="000000"/>
                      <w:spacing w:val="-7"/>
                      <w:szCs w:val="21"/>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Align w:val="center"/>
                </w:tcPr>
                <w:p>
                  <w:pPr>
                    <w:jc w:val="center"/>
                    <w:rPr>
                      <w:rFonts w:cs="宋体"/>
                      <w:color w:val="000000"/>
                      <w:spacing w:val="-7"/>
                      <w:szCs w:val="21"/>
                    </w:rPr>
                  </w:pPr>
                  <w:r>
                    <w:rPr>
                      <w:rFonts w:hint="eastAsia"/>
                      <w:color w:val="000000"/>
                      <w:szCs w:val="21"/>
                    </w:rPr>
                    <w:t>油气排放控制和限制</w:t>
                  </w:r>
                </w:p>
              </w:tc>
              <w:tc>
                <w:tcPr>
                  <w:tcW w:w="4000" w:type="dxa"/>
                </w:tcPr>
                <w:p>
                  <w:pPr>
                    <w:jc w:val="left"/>
                    <w:rPr>
                      <w:rFonts w:cs="宋体"/>
                      <w:color w:val="000000"/>
                      <w:spacing w:val="-7"/>
                      <w:szCs w:val="21"/>
                    </w:rPr>
                  </w:pPr>
                  <w:r>
                    <w:rPr>
                      <w:rFonts w:hint="eastAsia"/>
                      <w:color w:val="000000"/>
                      <w:szCs w:val="21"/>
                    </w:rPr>
                    <w:t>加油站卸油、储油和加油时排放的油气，应采用以密闭收集为基础的油气回收方法进行控制。</w:t>
                  </w:r>
                </w:p>
              </w:tc>
              <w:tc>
                <w:tcPr>
                  <w:tcW w:w="4025" w:type="dxa"/>
                </w:tcPr>
                <w:p>
                  <w:pPr>
                    <w:jc w:val="left"/>
                    <w:rPr>
                      <w:rFonts w:cs="宋体"/>
                      <w:color w:val="000000"/>
                      <w:spacing w:val="-7"/>
                      <w:szCs w:val="21"/>
                    </w:rPr>
                  </w:pPr>
                  <w:r>
                    <w:rPr>
                      <w:rFonts w:hint="eastAsia"/>
                      <w:color w:val="000000"/>
                      <w:szCs w:val="21"/>
                    </w:rPr>
                    <w:t>加油站卸油、储油和加油时排放的油气，应采用以密闭收集为基础的油气回收方法进行控制。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restart"/>
                  <w:vAlign w:val="center"/>
                </w:tcPr>
                <w:p>
                  <w:pPr>
                    <w:jc w:val="center"/>
                    <w:rPr>
                      <w:rFonts w:cs="宋体"/>
                      <w:color w:val="000000"/>
                      <w:spacing w:val="-7"/>
                      <w:szCs w:val="21"/>
                    </w:rPr>
                  </w:pPr>
                  <w:r>
                    <w:rPr>
                      <w:rFonts w:hint="eastAsia"/>
                      <w:color w:val="000000"/>
                      <w:szCs w:val="21"/>
                    </w:rPr>
                    <w:t>卸油油气排放控制</w:t>
                  </w:r>
                </w:p>
              </w:tc>
              <w:tc>
                <w:tcPr>
                  <w:tcW w:w="4000" w:type="dxa"/>
                </w:tcPr>
                <w:p>
                  <w:pPr>
                    <w:jc w:val="left"/>
                    <w:rPr>
                      <w:rFonts w:cs="宋体"/>
                      <w:color w:val="000000"/>
                      <w:spacing w:val="-7"/>
                      <w:szCs w:val="21"/>
                    </w:rPr>
                  </w:pPr>
                  <w:r>
                    <w:rPr>
                      <w:rFonts w:hint="eastAsia"/>
                      <w:color w:val="000000"/>
                      <w:szCs w:val="21"/>
                    </w:rPr>
                    <w:t>应采用浸没式卸油方式，卸油管出油口距罐底高度应小于100mm。</w:t>
                  </w:r>
                </w:p>
              </w:tc>
              <w:tc>
                <w:tcPr>
                  <w:tcW w:w="4025" w:type="dxa"/>
                </w:tcPr>
                <w:p>
                  <w:pPr>
                    <w:jc w:val="left"/>
                    <w:rPr>
                      <w:rFonts w:cs="宋体"/>
                      <w:color w:val="000000"/>
                      <w:spacing w:val="-7"/>
                      <w:szCs w:val="21"/>
                    </w:rPr>
                  </w:pPr>
                  <w:r>
                    <w:rPr>
                      <w:rFonts w:hint="eastAsia"/>
                      <w:color w:val="000000"/>
                      <w:szCs w:val="21"/>
                    </w:rPr>
                    <w:t>采用浸没式卸油方式，卸油管出油口距罐底高度小于100mm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rFonts w:cs="宋体"/>
                      <w:color w:val="000000"/>
                      <w:spacing w:val="-7"/>
                      <w:szCs w:val="21"/>
                    </w:rPr>
                  </w:pPr>
                  <w:r>
                    <w:rPr>
                      <w:rFonts w:hint="eastAsia"/>
                      <w:color w:val="000000"/>
                      <w:szCs w:val="21"/>
                    </w:rPr>
                    <w:t>卸油和油气回收接口应安装 DN100mm 的截流阀、密封式快速接头和帽盖。</w:t>
                  </w:r>
                </w:p>
              </w:tc>
              <w:tc>
                <w:tcPr>
                  <w:tcW w:w="4025" w:type="dxa"/>
                </w:tcPr>
                <w:p>
                  <w:pPr>
                    <w:jc w:val="left"/>
                    <w:rPr>
                      <w:rFonts w:cs="宋体"/>
                      <w:color w:val="000000"/>
                      <w:spacing w:val="-7"/>
                      <w:szCs w:val="21"/>
                    </w:rPr>
                  </w:pPr>
                  <w:r>
                    <w:rPr>
                      <w:rFonts w:hint="eastAsia"/>
                      <w:color w:val="000000"/>
                      <w:szCs w:val="21"/>
                    </w:rPr>
                    <w:t>卸油和油气回收接口安装 DN100mm 的截流阀、密封式快速接头和帽盖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rFonts w:cs="宋体"/>
                      <w:color w:val="000000"/>
                      <w:spacing w:val="-7"/>
                      <w:szCs w:val="21"/>
                    </w:rPr>
                  </w:pPr>
                  <w:r>
                    <w:rPr>
                      <w:rFonts w:hint="eastAsia"/>
                      <w:color w:val="000000"/>
                      <w:szCs w:val="21"/>
                    </w:rPr>
                    <w:t>连接软管应采用 DN100mm 的密封式快速接头与卸油车连接，卸油后连接软管内不能存留残油。</w:t>
                  </w:r>
                </w:p>
              </w:tc>
              <w:tc>
                <w:tcPr>
                  <w:tcW w:w="4025" w:type="dxa"/>
                </w:tcPr>
                <w:p>
                  <w:pPr>
                    <w:jc w:val="left"/>
                    <w:rPr>
                      <w:rFonts w:cs="宋体"/>
                      <w:color w:val="000000"/>
                      <w:spacing w:val="-7"/>
                      <w:szCs w:val="21"/>
                    </w:rPr>
                  </w:pPr>
                  <w:r>
                    <w:rPr>
                      <w:rFonts w:hint="eastAsia"/>
                      <w:color w:val="000000"/>
                      <w:szCs w:val="21"/>
                    </w:rPr>
                    <w:t>连接软管采用 DN100mm 的密封式快速接头与卸油车连接，卸油后连接软管内不存留残油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所有油气管线排放口应按 GB5015 的要求设置压力/真空阀。</w:t>
                  </w:r>
                </w:p>
              </w:tc>
              <w:tc>
                <w:tcPr>
                  <w:tcW w:w="4025" w:type="dxa"/>
                </w:tcPr>
                <w:p>
                  <w:pPr>
                    <w:jc w:val="left"/>
                    <w:rPr>
                      <w:color w:val="000000"/>
                      <w:szCs w:val="21"/>
                    </w:rPr>
                  </w:pPr>
                  <w:r>
                    <w:rPr>
                      <w:rFonts w:hint="eastAsia"/>
                      <w:color w:val="000000"/>
                      <w:szCs w:val="21"/>
                    </w:rPr>
                    <w:t>所有油气管线排放口按 GB5015的要求设置压力/真空阀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连接排气管的地下管线应坡向油罐，坡度不应小于 1%，管线直径不小于 DN50mm</w:t>
                  </w:r>
                </w:p>
              </w:tc>
              <w:tc>
                <w:tcPr>
                  <w:tcW w:w="4025" w:type="dxa"/>
                </w:tcPr>
                <w:p>
                  <w:pPr>
                    <w:jc w:val="left"/>
                    <w:rPr>
                      <w:color w:val="000000"/>
                      <w:szCs w:val="21"/>
                    </w:rPr>
                  </w:pPr>
                  <w:r>
                    <w:rPr>
                      <w:rFonts w:hint="eastAsia"/>
                      <w:color w:val="000000"/>
                      <w:szCs w:val="21"/>
                    </w:rPr>
                    <w:t>连接排气管的地下管线坡向油罐，坡度不小于 1%，管线直径不小于 DN50mm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restart"/>
                  <w:vAlign w:val="center"/>
                </w:tcPr>
                <w:p>
                  <w:pPr>
                    <w:jc w:val="center"/>
                    <w:rPr>
                      <w:rFonts w:cs="宋体"/>
                      <w:color w:val="000000"/>
                      <w:spacing w:val="-7"/>
                      <w:szCs w:val="21"/>
                    </w:rPr>
                  </w:pPr>
                  <w:r>
                    <w:rPr>
                      <w:rFonts w:hint="eastAsia"/>
                      <w:color w:val="000000"/>
                      <w:szCs w:val="21"/>
                    </w:rPr>
                    <w:t>储油油气排放控制</w:t>
                  </w:r>
                </w:p>
              </w:tc>
              <w:tc>
                <w:tcPr>
                  <w:tcW w:w="4000" w:type="dxa"/>
                </w:tcPr>
                <w:p>
                  <w:pPr>
                    <w:jc w:val="left"/>
                    <w:rPr>
                      <w:color w:val="000000"/>
                      <w:szCs w:val="21"/>
                    </w:rPr>
                  </w:pPr>
                  <w:r>
                    <w:rPr>
                      <w:rFonts w:hint="eastAsia"/>
                      <w:color w:val="000000"/>
                      <w:szCs w:val="21"/>
                    </w:rPr>
                    <w:t>所有影响储油油气密闭性的部件，包括油气管线和所联接的法兰、阀门、快接头以及其他相关部件都应保证在小于 750Pa 时不漏气。</w:t>
                  </w:r>
                </w:p>
              </w:tc>
              <w:tc>
                <w:tcPr>
                  <w:tcW w:w="4025" w:type="dxa"/>
                </w:tcPr>
                <w:p>
                  <w:pPr>
                    <w:jc w:val="left"/>
                    <w:rPr>
                      <w:color w:val="000000"/>
                      <w:szCs w:val="21"/>
                    </w:rPr>
                  </w:pPr>
                  <w:r>
                    <w:rPr>
                      <w:rFonts w:hint="eastAsia"/>
                      <w:color w:val="000000"/>
                      <w:szCs w:val="21"/>
                    </w:rPr>
                    <w:t>所有影响储油油气密闭性的部件，包括油气管线和所联接的法兰、阀门、快接头以及其他相关部件都保证在小于750Pa 时不漏气。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埋地油罐应采用电子式液位计进行汽油密闭测量，宜选择具有测漏按要求设计施工功能的电子式液位测量系统。应采用符合相关规定的溢油控制措施。</w:t>
                  </w:r>
                </w:p>
              </w:tc>
              <w:tc>
                <w:tcPr>
                  <w:tcW w:w="4025" w:type="dxa"/>
                </w:tcPr>
                <w:p>
                  <w:pPr>
                    <w:jc w:val="left"/>
                    <w:rPr>
                      <w:color w:val="000000"/>
                      <w:szCs w:val="21"/>
                    </w:rPr>
                  </w:pPr>
                  <w:r>
                    <w:rPr>
                      <w:rFonts w:hint="eastAsia"/>
                      <w:color w:val="000000"/>
                      <w:szCs w:val="21"/>
                    </w:rPr>
                    <w:t>埋地油罐采用电子式液位计进行汽油密闭测量，选择具有测漏按要求设计施工功能的电子式液位测量系统。采用符合相关规定的溢油控制措施。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restart"/>
                  <w:vAlign w:val="center"/>
                </w:tcPr>
                <w:p>
                  <w:pPr>
                    <w:jc w:val="center"/>
                    <w:rPr>
                      <w:rFonts w:cs="宋体"/>
                      <w:color w:val="000000"/>
                      <w:spacing w:val="-7"/>
                      <w:szCs w:val="21"/>
                    </w:rPr>
                  </w:pPr>
                  <w:r>
                    <w:rPr>
                      <w:rFonts w:hint="eastAsia"/>
                      <w:color w:val="000000"/>
                      <w:szCs w:val="21"/>
                    </w:rPr>
                    <w:t>加油油气排放控制</w:t>
                  </w:r>
                </w:p>
              </w:tc>
              <w:tc>
                <w:tcPr>
                  <w:tcW w:w="4000" w:type="dxa"/>
                </w:tcPr>
                <w:p>
                  <w:pPr>
                    <w:jc w:val="left"/>
                    <w:rPr>
                      <w:color w:val="000000"/>
                      <w:szCs w:val="21"/>
                    </w:rPr>
                  </w:pPr>
                  <w:r>
                    <w:rPr>
                      <w:rFonts w:hint="eastAsia"/>
                      <w:color w:val="000000"/>
                      <w:szCs w:val="21"/>
                    </w:rPr>
                    <w:t>加油产生的油气应采用真空辅助方式密闭收集。油气回收管线应坡向油罐，坡度不应小于 1%。</w:t>
                  </w:r>
                </w:p>
              </w:tc>
              <w:tc>
                <w:tcPr>
                  <w:tcW w:w="4025" w:type="dxa"/>
                </w:tcPr>
                <w:p>
                  <w:pPr>
                    <w:jc w:val="left"/>
                    <w:rPr>
                      <w:color w:val="000000"/>
                      <w:szCs w:val="21"/>
                    </w:rPr>
                  </w:pPr>
                  <w:r>
                    <w:rPr>
                      <w:rFonts w:hint="eastAsia"/>
                      <w:color w:val="000000"/>
                      <w:szCs w:val="21"/>
                    </w:rPr>
                    <w:t>加油产生的油气采用真空辅助方式密闭收集。油气回收管线坡向油罐，坡度不小于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新、改、扩建的加油站在油气管线覆管线内注入 10L 汽油并检测液阻。加油软管应配备拉断截止阀，加油时应防止溢油和滴油。</w:t>
                  </w:r>
                </w:p>
              </w:tc>
              <w:tc>
                <w:tcPr>
                  <w:tcW w:w="4025" w:type="dxa"/>
                </w:tcPr>
                <w:p>
                  <w:pPr>
                    <w:jc w:val="left"/>
                    <w:rPr>
                      <w:color w:val="000000"/>
                      <w:szCs w:val="21"/>
                    </w:rPr>
                  </w:pPr>
                  <w:r>
                    <w:rPr>
                      <w:rFonts w:hint="eastAsia"/>
                      <w:color w:val="000000"/>
                      <w:szCs w:val="21"/>
                    </w:rPr>
                    <w:t>在油气管线覆管线内注入10L汽油并检测液阻。加油软管配备拉断截止阀，加油时防止溢油和滴油。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油气回收系统供应商应向有关设计、管理和使用单位提供技术评估报告、操作规程和其他相关技术资料。应严格按规程操作和管理油气回收设施，定期检查、维护并记录备查。</w:t>
                  </w:r>
                </w:p>
              </w:tc>
              <w:tc>
                <w:tcPr>
                  <w:tcW w:w="4025" w:type="dxa"/>
                </w:tcPr>
                <w:p>
                  <w:pPr>
                    <w:jc w:val="left"/>
                    <w:rPr>
                      <w:color w:val="000000"/>
                      <w:szCs w:val="21"/>
                    </w:rPr>
                  </w:pPr>
                  <w:r>
                    <w:rPr>
                      <w:rFonts w:hint="eastAsia"/>
                      <w:color w:val="000000"/>
                      <w:szCs w:val="21"/>
                    </w:rPr>
                    <w:t>油气回收系统供应商向有关设计、管理和使用单位提供技术评估报告、操作规程和其他相关技术资料。严格按规程操作和管理油气回收设施，定期检查、维护并记录备查。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restart"/>
                  <w:vAlign w:val="center"/>
                </w:tcPr>
                <w:p>
                  <w:pPr>
                    <w:jc w:val="center"/>
                    <w:rPr>
                      <w:rFonts w:cs="宋体"/>
                      <w:color w:val="000000"/>
                      <w:spacing w:val="-7"/>
                      <w:szCs w:val="21"/>
                    </w:rPr>
                  </w:pPr>
                  <w:r>
                    <w:rPr>
                      <w:rFonts w:hint="eastAsia"/>
                      <w:color w:val="000000"/>
                      <w:szCs w:val="21"/>
                    </w:rPr>
                    <w:t>设备匹配和标准化连接</w:t>
                  </w:r>
                </w:p>
              </w:tc>
              <w:tc>
                <w:tcPr>
                  <w:tcW w:w="4000" w:type="dxa"/>
                </w:tcPr>
                <w:p>
                  <w:pPr>
                    <w:jc w:val="left"/>
                    <w:rPr>
                      <w:color w:val="000000"/>
                      <w:szCs w:val="21"/>
                    </w:rPr>
                  </w:pPr>
                  <w:r>
                    <w:rPr>
                      <w:rFonts w:hint="eastAsia"/>
                      <w:color w:val="000000"/>
                      <w:szCs w:val="21"/>
                    </w:rPr>
                    <w:t>油气回收系统、处理装置、在线监测系统应采用标准化连接。</w:t>
                  </w:r>
                </w:p>
              </w:tc>
              <w:tc>
                <w:tcPr>
                  <w:tcW w:w="4025" w:type="dxa"/>
                </w:tcPr>
                <w:p>
                  <w:pPr>
                    <w:jc w:val="left"/>
                    <w:rPr>
                      <w:color w:val="000000"/>
                      <w:szCs w:val="21"/>
                    </w:rPr>
                  </w:pPr>
                  <w:r>
                    <w:rPr>
                      <w:rFonts w:hint="eastAsia"/>
                      <w:color w:val="000000"/>
                      <w:szCs w:val="21"/>
                    </w:rPr>
                    <w:t>油气回收系统、处理装置采用标准化连接。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Merge w:val="continue"/>
                </w:tcPr>
                <w:p>
                  <w:pPr>
                    <w:jc w:val="left"/>
                    <w:rPr>
                      <w:rFonts w:cs="宋体"/>
                      <w:color w:val="000000"/>
                      <w:spacing w:val="-7"/>
                      <w:szCs w:val="21"/>
                    </w:rPr>
                  </w:pPr>
                </w:p>
              </w:tc>
              <w:tc>
                <w:tcPr>
                  <w:tcW w:w="4000" w:type="dxa"/>
                </w:tcPr>
                <w:p>
                  <w:pPr>
                    <w:jc w:val="left"/>
                    <w:rPr>
                      <w:color w:val="000000"/>
                      <w:szCs w:val="21"/>
                    </w:rPr>
                  </w:pPr>
                  <w:r>
                    <w:rPr>
                      <w:rFonts w:hint="eastAsia"/>
                      <w:color w:val="000000"/>
                      <w:szCs w:val="21"/>
                    </w:rPr>
                    <w:t>在进行包括加油油气排放控制在内的油气回收设计和施工时，无论按要求设计施工是否安装处理装置或在线监测系统，均应同时将各种需要埋设的管线事先埋设。</w:t>
                  </w:r>
                </w:p>
              </w:tc>
              <w:tc>
                <w:tcPr>
                  <w:tcW w:w="4025" w:type="dxa"/>
                </w:tcPr>
                <w:p>
                  <w:pPr>
                    <w:jc w:val="left"/>
                    <w:rPr>
                      <w:color w:val="000000"/>
                      <w:szCs w:val="21"/>
                    </w:rPr>
                  </w:pPr>
                  <w:r>
                    <w:rPr>
                      <w:rFonts w:hint="eastAsia"/>
                      <w:color w:val="000000"/>
                      <w:szCs w:val="21"/>
                    </w:rPr>
                    <w:t>在进行包括加油油气排放控制在内的油气回收设计和施工时，将各种需要埋设的管线事先埋设。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3" w:type="dxa"/>
                  <w:vAlign w:val="center"/>
                </w:tcPr>
                <w:p>
                  <w:pPr>
                    <w:jc w:val="center"/>
                    <w:rPr>
                      <w:rFonts w:cs="宋体"/>
                      <w:color w:val="000000"/>
                      <w:spacing w:val="-7"/>
                      <w:szCs w:val="21"/>
                    </w:rPr>
                  </w:pPr>
                  <w:r>
                    <w:rPr>
                      <w:rFonts w:hint="eastAsia"/>
                      <w:color w:val="000000"/>
                      <w:szCs w:val="21"/>
                    </w:rPr>
                    <w:t>加油油气处理装置</w:t>
                  </w:r>
                </w:p>
              </w:tc>
              <w:tc>
                <w:tcPr>
                  <w:tcW w:w="4000" w:type="dxa"/>
                </w:tcPr>
                <w:p>
                  <w:pPr>
                    <w:jc w:val="left"/>
                    <w:rPr>
                      <w:color w:val="000000"/>
                      <w:szCs w:val="21"/>
                    </w:rPr>
                  </w:pPr>
                  <w:r>
                    <w:rPr>
                      <w:rFonts w:hint="eastAsia"/>
                      <w:color w:val="000000"/>
                      <w:szCs w:val="21"/>
                    </w:rPr>
                    <w:t>处理装置的油气排放浓度应小于等于 25g/m</w:t>
                  </w:r>
                  <w:r>
                    <w:rPr>
                      <w:rFonts w:hint="eastAsia"/>
                      <w:color w:val="000000"/>
                      <w:szCs w:val="21"/>
                      <w:vertAlign w:val="superscript"/>
                    </w:rPr>
                    <w:t>3</w:t>
                  </w:r>
                  <w:r>
                    <w:rPr>
                      <w:rFonts w:hint="eastAsia"/>
                      <w:color w:val="000000"/>
                      <w:szCs w:val="21"/>
                    </w:rPr>
                    <w:t>，排放口距地平面高度应不低于4m。排放浓度每年至少检测 1 次。</w:t>
                  </w:r>
                </w:p>
              </w:tc>
              <w:tc>
                <w:tcPr>
                  <w:tcW w:w="4025" w:type="dxa"/>
                </w:tcPr>
                <w:p>
                  <w:pPr>
                    <w:jc w:val="left"/>
                    <w:rPr>
                      <w:color w:val="000000"/>
                      <w:szCs w:val="21"/>
                    </w:rPr>
                  </w:pPr>
                  <w:r>
                    <w:rPr>
                      <w:rFonts w:hint="eastAsia"/>
                      <w:color w:val="000000"/>
                      <w:szCs w:val="21"/>
                    </w:rPr>
                    <w:t>处理装置的油气排放浓度为小于25g/m</w:t>
                  </w:r>
                  <w:r>
                    <w:rPr>
                      <w:rFonts w:hint="eastAsia"/>
                      <w:color w:val="000000"/>
                      <w:szCs w:val="21"/>
                      <w:vertAlign w:val="superscript"/>
                    </w:rPr>
                    <w:t>3</w:t>
                  </w:r>
                  <w:r>
                    <w:rPr>
                      <w:rFonts w:hint="eastAsia"/>
                      <w:color w:val="000000"/>
                      <w:szCs w:val="21"/>
                    </w:rPr>
                    <w:t>，排放口距地平面高度应不低于 4m</w:t>
                  </w:r>
                  <w:r>
                    <w:rPr>
                      <w:rFonts w:hint="eastAsia" w:ascii="宋体" w:hAnsi="宋体"/>
                      <w:color w:val="000000"/>
                      <w:szCs w:val="21"/>
                    </w:rPr>
                    <w:t>，利于扩散</w:t>
                  </w:r>
                  <w:r>
                    <w:rPr>
                      <w:rFonts w:hint="eastAsia"/>
                      <w:color w:val="000000"/>
                      <w:szCs w:val="21"/>
                    </w:rPr>
                    <w:t>。排放浓度每年检测 1 次。</w:t>
                  </w:r>
                </w:p>
              </w:tc>
            </w:tr>
          </w:tbl>
          <w:p>
            <w:pPr>
              <w:pStyle w:val="4"/>
              <w:ind w:firstLine="496"/>
              <w:rPr>
                <w:spacing w:val="4"/>
              </w:rPr>
            </w:pPr>
          </w:p>
          <w:p>
            <w:pPr>
              <w:pStyle w:val="4"/>
              <w:ind w:firstLine="496"/>
              <w:rPr>
                <w:spacing w:val="4"/>
              </w:rPr>
            </w:pPr>
            <w:r>
              <w:rPr>
                <w:rFonts w:hint="eastAsia"/>
                <w:spacing w:val="4"/>
              </w:rPr>
              <w:t>（2）《汽车加油加气站设计与施工规范》(GB50156-2012)</w:t>
            </w:r>
          </w:p>
          <w:p>
            <w:pPr>
              <w:pStyle w:val="4"/>
              <w:ind w:firstLine="496"/>
              <w:rPr>
                <w:spacing w:val="4"/>
              </w:rPr>
            </w:pPr>
            <w:r>
              <w:rPr>
                <w:rFonts w:hint="eastAsia"/>
                <w:spacing w:val="4"/>
              </w:rPr>
              <w:t>项目与《汽车加油加气站设计与施工规范》(GB50156-2012)的符合性对照见表7.4-2。</w:t>
            </w:r>
          </w:p>
          <w:p>
            <w:pPr>
              <w:spacing w:line="240" w:lineRule="auto"/>
              <w:jc w:val="center"/>
              <w:rPr>
                <w:rFonts w:eastAsia="黑体"/>
                <w:bCs/>
                <w:sz w:val="24"/>
                <w:szCs w:val="24"/>
              </w:rPr>
            </w:pPr>
            <w:r>
              <w:rPr>
                <w:rFonts w:eastAsia="黑体"/>
                <w:bCs/>
                <w:sz w:val="24"/>
                <w:szCs w:val="24"/>
              </w:rPr>
              <w:t>表7.4-2    项目与规范的相符性对照表</w:t>
            </w:r>
          </w:p>
          <w:tbl>
            <w:tblPr>
              <w:tblStyle w:val="24"/>
              <w:tblW w:w="9311"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753"/>
              <w:gridCol w:w="4278"/>
              <w:gridCol w:w="3413"/>
              <w:gridCol w:w="86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restart"/>
                  <w:textDirection w:val="tbRlV"/>
                  <w:vAlign w:val="center"/>
                </w:tcPr>
                <w:p>
                  <w:pPr>
                    <w:ind w:left="113" w:right="113"/>
                    <w:jc w:val="center"/>
                    <w:rPr>
                      <w:rFonts w:hint="default" w:ascii="Times New Roman" w:hAnsi="Times New Roman" w:cs="Times New Roman"/>
                      <w:bCs/>
                      <w:szCs w:val="21"/>
                    </w:rPr>
                  </w:pPr>
                  <w:r>
                    <w:rPr>
                      <w:rFonts w:hint="default" w:ascii="Times New Roman" w:hAnsi="Times New Roman" w:cs="Times New Roman"/>
                      <w:szCs w:val="21"/>
                    </w:rPr>
                    <w:t>汽车加油加气站设计与施工规范（GB50156—2012）</w:t>
                  </w:r>
                </w:p>
              </w:tc>
              <w:tc>
                <w:tcPr>
                  <w:tcW w:w="427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规范要求</w:t>
                  </w:r>
                </w:p>
              </w:tc>
              <w:tc>
                <w:tcPr>
                  <w:tcW w:w="3413" w:type="dxa"/>
                  <w:vAlign w:val="center"/>
                </w:tcPr>
                <w:p>
                  <w:pPr>
                    <w:jc w:val="center"/>
                    <w:rPr>
                      <w:szCs w:val="21"/>
                    </w:rPr>
                  </w:pPr>
                  <w:r>
                    <w:rPr>
                      <w:rFonts w:hint="eastAsia"/>
                      <w:szCs w:val="21"/>
                    </w:rPr>
                    <w:t>本项目</w:t>
                  </w:r>
                  <w:r>
                    <w:rPr>
                      <w:szCs w:val="21"/>
                    </w:rPr>
                    <w:t>布置情况</w:t>
                  </w:r>
                </w:p>
              </w:tc>
              <w:tc>
                <w:tcPr>
                  <w:tcW w:w="867" w:type="dxa"/>
                  <w:vAlign w:val="center"/>
                </w:tcPr>
                <w:p>
                  <w:pPr>
                    <w:widowControl/>
                    <w:jc w:val="center"/>
                    <w:rPr>
                      <w:szCs w:val="21"/>
                    </w:rPr>
                  </w:pPr>
                  <w:r>
                    <w:rPr>
                      <w:szCs w:val="21"/>
                    </w:rPr>
                    <w:t>规范</w:t>
                  </w:r>
                </w:p>
                <w:p>
                  <w:pPr>
                    <w:widowControl/>
                    <w:jc w:val="center"/>
                    <w:rPr>
                      <w:szCs w:val="21"/>
                    </w:rPr>
                  </w:pPr>
                  <w:r>
                    <w:rPr>
                      <w:szCs w:val="21"/>
                    </w:rPr>
                    <w:t>相符性</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rFonts w:hint="default" w:ascii="Times New Roman" w:hAnsi="Times New Roman" w:cs="Times New Roman"/>
                      <w:szCs w:val="21"/>
                    </w:rPr>
                  </w:pPr>
                </w:p>
              </w:tc>
              <w:tc>
                <w:tcPr>
                  <w:tcW w:w="4278" w:type="dxa"/>
                  <w:vAlign w:val="center"/>
                </w:tcPr>
                <w:p>
                  <w:pPr>
                    <w:rPr>
                      <w:rFonts w:hint="default" w:ascii="Times New Roman" w:hAnsi="Times New Roman" w:cs="Times New Roman"/>
                      <w:szCs w:val="21"/>
                    </w:rPr>
                  </w:pPr>
                  <w:r>
                    <w:rPr>
                      <w:rFonts w:hint="default" w:ascii="Times New Roman" w:hAnsi="Times New Roman" w:cs="Times New Roman"/>
                      <w:szCs w:val="21"/>
                    </w:rPr>
                    <w:t>5.0.12加油站的工艺设备与陆外建(构)筑物之间，宜设置高度不低于2.2m的不燃烧体实体围墙。</w:t>
                  </w:r>
                </w:p>
              </w:tc>
              <w:tc>
                <w:tcPr>
                  <w:tcW w:w="3413" w:type="dxa"/>
                  <w:vAlign w:val="center"/>
                </w:tcPr>
                <w:p>
                  <w:pPr>
                    <w:rPr>
                      <w:szCs w:val="21"/>
                    </w:rPr>
                  </w:pPr>
                  <w:r>
                    <w:rPr>
                      <w:szCs w:val="21"/>
                    </w:rPr>
                    <w:t>项目</w:t>
                  </w:r>
                  <w:r>
                    <w:rPr>
                      <w:rFonts w:hint="eastAsia"/>
                      <w:szCs w:val="21"/>
                    </w:rPr>
                    <w:t>西、北、南三面</w:t>
                  </w:r>
                  <w:r>
                    <w:rPr>
                      <w:szCs w:val="21"/>
                    </w:rPr>
                    <w:t>设置2.2m非燃烧实体围墙。</w:t>
                  </w:r>
                </w:p>
              </w:tc>
              <w:tc>
                <w:tcPr>
                  <w:tcW w:w="867" w:type="dxa"/>
                  <w:vAlign w:val="center"/>
                </w:tcPr>
                <w:p>
                  <w:pPr>
                    <w:widowControl/>
                    <w:jc w:val="center"/>
                    <w:rPr>
                      <w:szCs w:val="21"/>
                    </w:rPr>
                  </w:pPr>
                  <w:r>
                    <w:rPr>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rFonts w:hint="default" w:ascii="Times New Roman" w:hAnsi="Times New Roman" w:cs="Times New Roman"/>
                      <w:szCs w:val="21"/>
                    </w:rPr>
                  </w:pPr>
                </w:p>
              </w:tc>
              <w:tc>
                <w:tcPr>
                  <w:tcW w:w="4278" w:type="dxa"/>
                  <w:vAlign w:val="center"/>
                </w:tcPr>
                <w:p>
                  <w:pPr>
                    <w:rPr>
                      <w:rFonts w:hint="default" w:ascii="Times New Roman" w:hAnsi="Times New Roman" w:cs="Times New Roman"/>
                      <w:szCs w:val="21"/>
                    </w:rPr>
                  </w:pPr>
                  <w:r>
                    <w:rPr>
                      <w:rFonts w:hint="default" w:ascii="Times New Roman" w:hAnsi="Times New Roman" w:cs="Times New Roman"/>
                      <w:szCs w:val="21"/>
                    </w:rPr>
                    <w:t>5.0.2车辆入口和出口应分开设置。</w:t>
                  </w:r>
                </w:p>
              </w:tc>
              <w:tc>
                <w:tcPr>
                  <w:tcW w:w="3413" w:type="dxa"/>
                  <w:vAlign w:val="center"/>
                </w:tcPr>
                <w:p>
                  <w:pPr>
                    <w:rPr>
                      <w:szCs w:val="21"/>
                    </w:rPr>
                  </w:pPr>
                  <w:r>
                    <w:rPr>
                      <w:szCs w:val="21"/>
                    </w:rPr>
                    <w:t>项目出入口分开设置</w:t>
                  </w:r>
                  <w:r>
                    <w:rPr>
                      <w:rFonts w:hint="eastAsia"/>
                      <w:szCs w:val="21"/>
                    </w:rPr>
                    <w:t>，从北边驶入、南边驶出。</w:t>
                  </w:r>
                </w:p>
              </w:tc>
              <w:tc>
                <w:tcPr>
                  <w:tcW w:w="867" w:type="dxa"/>
                  <w:vAlign w:val="center"/>
                </w:tcPr>
                <w:p>
                  <w:pPr>
                    <w:widowControl/>
                    <w:jc w:val="center"/>
                    <w:rPr>
                      <w:szCs w:val="21"/>
                    </w:rPr>
                  </w:pPr>
                  <w:r>
                    <w:rPr>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rFonts w:hint="default" w:ascii="Times New Roman" w:hAnsi="Times New Roman" w:cs="Times New Roman"/>
                      <w:szCs w:val="21"/>
                    </w:rPr>
                  </w:pPr>
                </w:p>
              </w:tc>
              <w:tc>
                <w:tcPr>
                  <w:tcW w:w="4278" w:type="dxa"/>
                  <w:vAlign w:val="center"/>
                </w:tcPr>
                <w:p>
                  <w:pPr>
                    <w:rPr>
                      <w:rFonts w:hint="default" w:ascii="Times New Roman" w:hAnsi="Times New Roman" w:cs="Times New Roman"/>
                      <w:szCs w:val="21"/>
                    </w:rPr>
                  </w:pPr>
                  <w:r>
                    <w:rPr>
                      <w:rFonts w:hint="default" w:ascii="Times New Roman" w:hAnsi="Times New Roman" w:cs="Times New Roman"/>
                      <w:szCs w:val="21"/>
                    </w:rPr>
                    <w:t>单车道宽度不应小于4m，双车道宽度不应小于6m。站内停车场和道路路面应采用沥青路面。</w:t>
                  </w:r>
                </w:p>
              </w:tc>
              <w:tc>
                <w:tcPr>
                  <w:tcW w:w="3413" w:type="dxa"/>
                  <w:vAlign w:val="center"/>
                </w:tcPr>
                <w:p>
                  <w:pPr>
                    <w:rPr>
                      <w:szCs w:val="21"/>
                    </w:rPr>
                  </w:pPr>
                  <w:r>
                    <w:rPr>
                      <w:szCs w:val="21"/>
                    </w:rPr>
                    <w:t>项目进出口道路宽度为</w:t>
                  </w:r>
                  <w:r>
                    <w:rPr>
                      <w:rFonts w:hint="eastAsia"/>
                      <w:szCs w:val="21"/>
                    </w:rPr>
                    <w:t>8</w:t>
                  </w:r>
                  <w:r>
                    <w:rPr>
                      <w:szCs w:val="21"/>
                    </w:rPr>
                    <w:t>m，站内停车场和道路路面采用</w:t>
                  </w:r>
                  <w:r>
                    <w:rPr>
                      <w:rFonts w:hint="eastAsia"/>
                      <w:szCs w:val="21"/>
                    </w:rPr>
                    <w:t>水泥混凝土</w:t>
                  </w:r>
                  <w:r>
                    <w:rPr>
                      <w:szCs w:val="21"/>
                    </w:rPr>
                    <w:t>路面</w:t>
                  </w:r>
                  <w:r>
                    <w:rPr>
                      <w:rFonts w:hint="eastAsia"/>
                      <w:szCs w:val="21"/>
                    </w:rPr>
                    <w:t>。</w:t>
                  </w:r>
                </w:p>
              </w:tc>
              <w:tc>
                <w:tcPr>
                  <w:tcW w:w="867" w:type="dxa"/>
                  <w:vAlign w:val="center"/>
                </w:tcPr>
                <w:p>
                  <w:pPr>
                    <w:widowControl/>
                    <w:jc w:val="center"/>
                    <w:rPr>
                      <w:szCs w:val="21"/>
                    </w:rPr>
                  </w:pPr>
                  <w:r>
                    <w:rPr>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rFonts w:hint="default" w:ascii="Times New Roman" w:hAnsi="Times New Roman" w:cs="Times New Roman"/>
                      <w:szCs w:val="21"/>
                    </w:rPr>
                  </w:pPr>
                </w:p>
              </w:tc>
              <w:tc>
                <w:tcPr>
                  <w:tcW w:w="4278" w:type="dxa"/>
                  <w:vAlign w:val="center"/>
                </w:tcPr>
                <w:p>
                  <w:pPr>
                    <w:rPr>
                      <w:rFonts w:hint="default" w:ascii="Times New Roman" w:hAnsi="Times New Roman" w:cs="Times New Roman"/>
                      <w:szCs w:val="21"/>
                    </w:rPr>
                  </w:pPr>
                  <w:r>
                    <w:rPr>
                      <w:rFonts w:hint="default" w:ascii="Times New Roman" w:hAnsi="Times New Roman" w:cs="Times New Roman"/>
                      <w:szCs w:val="21"/>
                    </w:rPr>
                    <w:t>加油岛、加气岛及汽车加油、加气场地宜设罩棚，罩棚应采用非燃烧构料制作，进站口无限高措施时，罩棚的净空高度不应小于4.5m。罩棚边缘与加油机或加气机的平面距离不宜小于2m。</w:t>
                  </w:r>
                </w:p>
              </w:tc>
              <w:tc>
                <w:tcPr>
                  <w:tcW w:w="3413" w:type="dxa"/>
                  <w:vAlign w:val="center"/>
                </w:tcPr>
                <w:p>
                  <w:pPr>
                    <w:rPr>
                      <w:szCs w:val="21"/>
                    </w:rPr>
                  </w:pPr>
                  <w:r>
                    <w:rPr>
                      <w:szCs w:val="21"/>
                    </w:rPr>
                    <w:t>项目罩棚</w:t>
                  </w:r>
                  <w:r>
                    <w:rPr>
                      <w:rFonts w:hint="eastAsia"/>
                      <w:szCs w:val="21"/>
                    </w:rPr>
                    <w:t>净</w:t>
                  </w:r>
                  <w:r>
                    <w:rPr>
                      <w:szCs w:val="21"/>
                    </w:rPr>
                    <w:t>高</w:t>
                  </w:r>
                  <w:r>
                    <w:rPr>
                      <w:rFonts w:hint="eastAsia"/>
                      <w:szCs w:val="21"/>
                    </w:rPr>
                    <w:t>6</w:t>
                  </w:r>
                  <w:r>
                    <w:rPr>
                      <w:szCs w:val="21"/>
                    </w:rPr>
                    <w:t>m，罩棚边缘与加油机的平面距离为</w:t>
                  </w:r>
                  <w:r>
                    <w:rPr>
                      <w:rFonts w:hint="eastAsia"/>
                      <w:szCs w:val="21"/>
                    </w:rPr>
                    <w:t>4</w:t>
                  </w:r>
                  <w:r>
                    <w:rPr>
                      <w:szCs w:val="21"/>
                    </w:rPr>
                    <w:t>m。</w:t>
                  </w:r>
                </w:p>
              </w:tc>
              <w:tc>
                <w:tcPr>
                  <w:tcW w:w="867" w:type="dxa"/>
                  <w:vAlign w:val="center"/>
                </w:tcPr>
                <w:p>
                  <w:pPr>
                    <w:widowControl/>
                    <w:jc w:val="center"/>
                    <w:rPr>
                      <w:szCs w:val="21"/>
                    </w:rPr>
                  </w:pPr>
                  <w:r>
                    <w:rPr>
                      <w:rFonts w:hint="eastAsia"/>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rFonts w:hint="default" w:ascii="Times New Roman" w:hAnsi="Times New Roman" w:cs="Times New Roman"/>
                      <w:szCs w:val="21"/>
                    </w:rPr>
                  </w:pPr>
                </w:p>
              </w:tc>
              <w:tc>
                <w:tcPr>
                  <w:tcW w:w="4278" w:type="dxa"/>
                  <w:vAlign w:val="center"/>
                </w:tcPr>
                <w:p>
                  <w:pPr>
                    <w:rPr>
                      <w:rFonts w:hint="default" w:ascii="Times New Roman" w:hAnsi="Times New Roman" w:cs="Times New Roman"/>
                      <w:szCs w:val="21"/>
                    </w:rPr>
                  </w:pPr>
                  <w:r>
                    <w:rPr>
                      <w:rFonts w:hint="default" w:ascii="Times New Roman" w:hAnsi="Times New Roman" w:cs="Times New Roman"/>
                      <w:szCs w:val="21"/>
                    </w:rPr>
                    <w:t>加油岛、加气岛的设计应符合下列规定：</w:t>
                  </w:r>
                </w:p>
                <w:p>
                  <w:pPr>
                    <w:rPr>
                      <w:rFonts w:hint="default" w:ascii="Times New Roman" w:hAnsi="Times New Roman" w:cs="Times New Roman"/>
                      <w:szCs w:val="21"/>
                    </w:rPr>
                  </w:pPr>
                  <w:r>
                    <w:rPr>
                      <w:rFonts w:hint="default" w:ascii="Times New Roman" w:hAnsi="Times New Roman" w:cs="Times New Roman"/>
                      <w:szCs w:val="21"/>
                    </w:rPr>
                    <w:t>1、加油岛、加气岛应高出停车场的地坪0.15-0.2m。2、加油岛、加气岛的宽度不应小干1.2m。3、加油岛、加气岛上的罩棚支柱距岛端部，不应小于0.6m。</w:t>
                  </w:r>
                </w:p>
              </w:tc>
              <w:tc>
                <w:tcPr>
                  <w:tcW w:w="3413" w:type="dxa"/>
                  <w:vAlign w:val="center"/>
                </w:tcPr>
                <w:p>
                  <w:pPr>
                    <w:rPr>
                      <w:szCs w:val="21"/>
                    </w:rPr>
                  </w:pPr>
                  <w:r>
                    <w:rPr>
                      <w:szCs w:val="21"/>
                    </w:rPr>
                    <w:t>加油岛</w:t>
                  </w:r>
                  <w:r>
                    <w:rPr>
                      <w:rFonts w:hint="eastAsia"/>
                      <w:szCs w:val="21"/>
                    </w:rPr>
                    <w:t>高</w:t>
                  </w:r>
                  <w:r>
                    <w:rPr>
                      <w:szCs w:val="21"/>
                    </w:rPr>
                    <w:t>度为1.2m，高出地平0.2m；</w:t>
                  </w:r>
                </w:p>
              </w:tc>
              <w:tc>
                <w:tcPr>
                  <w:tcW w:w="867" w:type="dxa"/>
                  <w:vAlign w:val="center"/>
                </w:tcPr>
                <w:p>
                  <w:pPr>
                    <w:widowControl/>
                    <w:jc w:val="center"/>
                    <w:rPr>
                      <w:szCs w:val="21"/>
                    </w:rPr>
                  </w:pPr>
                  <w:r>
                    <w:rPr>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szCs w:val="21"/>
                    </w:rPr>
                  </w:pPr>
                </w:p>
              </w:tc>
              <w:tc>
                <w:tcPr>
                  <w:tcW w:w="4278" w:type="dxa"/>
                  <w:vAlign w:val="center"/>
                </w:tcPr>
                <w:p>
                  <w:pPr>
                    <w:rPr>
                      <w:szCs w:val="21"/>
                    </w:rPr>
                  </w:pPr>
                  <w:r>
                    <w:rPr>
                      <w:rFonts w:hint="eastAsia"/>
                      <w:szCs w:val="21"/>
                    </w:rPr>
                    <w:t>6.1.1加油站的汽油罐和柴油罐应埋地设置，严禁设在室内或地下室内，储油罐需采用卧式油罐。</w:t>
                  </w:r>
                </w:p>
              </w:tc>
              <w:tc>
                <w:tcPr>
                  <w:tcW w:w="3413" w:type="dxa"/>
                  <w:vAlign w:val="center"/>
                </w:tcPr>
                <w:p>
                  <w:pPr>
                    <w:rPr>
                      <w:szCs w:val="21"/>
                    </w:rPr>
                  </w:pPr>
                  <w:r>
                    <w:rPr>
                      <w:rFonts w:hint="eastAsia"/>
                      <w:szCs w:val="21"/>
                    </w:rPr>
                    <w:t>项目储油罐采用埋地设置，设在罩棚下方，不在室内；采用埋地卧式油罐</w:t>
                  </w:r>
                  <w:r>
                    <w:rPr>
                      <w:szCs w:val="21"/>
                    </w:rPr>
                    <w:t>。</w:t>
                  </w:r>
                </w:p>
              </w:tc>
              <w:tc>
                <w:tcPr>
                  <w:tcW w:w="867" w:type="dxa"/>
                  <w:vAlign w:val="center"/>
                </w:tcPr>
                <w:p>
                  <w:pPr>
                    <w:widowControl/>
                    <w:jc w:val="center"/>
                    <w:rPr>
                      <w:szCs w:val="21"/>
                    </w:rPr>
                  </w:pPr>
                  <w:r>
                    <w:rPr>
                      <w:szCs w:val="21"/>
                    </w:rPr>
                    <w:t>符合</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53" w:type="dxa"/>
                  <w:vMerge w:val="continue"/>
                  <w:vAlign w:val="center"/>
                </w:tcPr>
                <w:p>
                  <w:pPr>
                    <w:jc w:val="center"/>
                    <w:rPr>
                      <w:szCs w:val="21"/>
                    </w:rPr>
                  </w:pPr>
                </w:p>
              </w:tc>
              <w:tc>
                <w:tcPr>
                  <w:tcW w:w="4278" w:type="dxa"/>
                  <w:vAlign w:val="center"/>
                </w:tcPr>
                <w:p>
                  <w:pPr>
                    <w:rPr>
                      <w:szCs w:val="21"/>
                    </w:rPr>
                  </w:pPr>
                  <w:r>
                    <w:rPr>
                      <w:szCs w:val="21"/>
                    </w:rPr>
                    <w:t>12.3.1加油站作业区不得种植油性植物。</w:t>
                  </w:r>
                </w:p>
              </w:tc>
              <w:tc>
                <w:tcPr>
                  <w:tcW w:w="3413" w:type="dxa"/>
                  <w:vAlign w:val="center"/>
                </w:tcPr>
                <w:p>
                  <w:pPr>
                    <w:rPr>
                      <w:szCs w:val="21"/>
                    </w:rPr>
                  </w:pPr>
                  <w:r>
                    <w:rPr>
                      <w:szCs w:val="21"/>
                    </w:rPr>
                    <w:t>站区内绿地</w:t>
                  </w:r>
                  <w:r>
                    <w:rPr>
                      <w:rFonts w:hint="eastAsia"/>
                      <w:szCs w:val="21"/>
                    </w:rPr>
                    <w:t>未</w:t>
                  </w:r>
                  <w:r>
                    <w:rPr>
                      <w:szCs w:val="21"/>
                    </w:rPr>
                    <w:t>种植油性植物。</w:t>
                  </w:r>
                </w:p>
              </w:tc>
              <w:tc>
                <w:tcPr>
                  <w:tcW w:w="867" w:type="dxa"/>
                  <w:vAlign w:val="center"/>
                </w:tcPr>
                <w:p>
                  <w:pPr>
                    <w:widowControl/>
                    <w:jc w:val="center"/>
                    <w:rPr>
                      <w:szCs w:val="21"/>
                    </w:rPr>
                  </w:pPr>
                  <w:r>
                    <w:rPr>
                      <w:szCs w:val="21"/>
                    </w:rPr>
                    <w:t>符合</w:t>
                  </w:r>
                </w:p>
              </w:tc>
            </w:tr>
          </w:tbl>
          <w:p>
            <w:pPr>
              <w:pStyle w:val="4"/>
              <w:ind w:firstLine="496"/>
              <w:rPr>
                <w:spacing w:val="4"/>
              </w:rPr>
            </w:pPr>
            <w:r>
              <w:rPr>
                <w:rFonts w:hint="eastAsia"/>
                <w:spacing w:val="4"/>
              </w:rPr>
              <w:t>综上所述，项目符合《加油站大气污染物排放标准》（GB4197.51-2007）、《汽车加油加气站设计与施工规范》(GB50156-2012)的相关要求。</w:t>
            </w:r>
          </w:p>
          <w:p>
            <w:pPr>
              <w:pStyle w:val="4"/>
              <w:ind w:firstLine="0" w:firstLineChars="0"/>
              <w:rPr>
                <w:spacing w:val="4"/>
              </w:rPr>
            </w:pPr>
            <w:r>
              <w:rPr>
                <w:rFonts w:hint="eastAsia"/>
                <w:spacing w:val="4"/>
              </w:rPr>
              <w:t>7.4.2 产业政策符合性分析</w:t>
            </w:r>
          </w:p>
          <w:p>
            <w:pPr>
              <w:pStyle w:val="4"/>
              <w:ind w:firstLine="496"/>
              <w:rPr>
                <w:spacing w:val="4"/>
              </w:rPr>
            </w:pPr>
            <w:r>
              <w:rPr>
                <w:rFonts w:hint="eastAsia"/>
                <w:spacing w:val="4"/>
              </w:rPr>
              <w:t>本项目主要从事成品柴油和汽油销售。对照《产业结构调整指导目录</w:t>
            </w:r>
            <w:r>
              <w:rPr>
                <w:spacing w:val="4"/>
              </w:rPr>
              <w:t>(2011</w:t>
            </w:r>
            <w:r>
              <w:rPr>
                <w:rFonts w:hint="eastAsia"/>
                <w:spacing w:val="4"/>
              </w:rPr>
              <w:t>年本》（</w:t>
            </w:r>
            <w:r>
              <w:rPr>
                <w:spacing w:val="4"/>
              </w:rPr>
              <w:t>2013</w:t>
            </w:r>
            <w:r>
              <w:rPr>
                <w:rFonts w:hint="eastAsia"/>
                <w:spacing w:val="4"/>
              </w:rPr>
              <w:t>年修正）及《国家发展改革委关于修改</w:t>
            </w:r>
            <w:r>
              <w:rPr>
                <w:spacing w:val="4"/>
              </w:rPr>
              <w:t>&lt;</w:t>
            </w:r>
            <w:r>
              <w:rPr>
                <w:rFonts w:hint="eastAsia"/>
                <w:spacing w:val="4"/>
              </w:rPr>
              <w:t>产业结构调整指导目录</w:t>
            </w:r>
            <w:r>
              <w:rPr>
                <w:spacing w:val="4"/>
              </w:rPr>
              <w:t>(2011</w:t>
            </w:r>
            <w:r>
              <w:rPr>
                <w:rFonts w:hint="eastAsia"/>
                <w:spacing w:val="4"/>
              </w:rPr>
              <w:t>年本</w:t>
            </w:r>
            <w:r>
              <w:rPr>
                <w:spacing w:val="4"/>
              </w:rPr>
              <w:t>)&gt;</w:t>
            </w:r>
            <w:r>
              <w:rPr>
                <w:rFonts w:hint="eastAsia"/>
                <w:spacing w:val="4"/>
              </w:rPr>
              <w:t>有关条款的决定》，项目不属于限制和淘汰类。因此，本项目建设符合国家产业政策。</w:t>
            </w:r>
          </w:p>
          <w:p>
            <w:pPr>
              <w:pStyle w:val="6"/>
              <w:numPr>
                <w:ilvl w:val="2"/>
                <w:numId w:val="0"/>
              </w:numPr>
            </w:pPr>
            <w:r>
              <w:rPr>
                <w:rFonts w:hint="eastAsia"/>
              </w:rPr>
              <w:t xml:space="preserve">7.4.3 </w:t>
            </w:r>
            <w:r>
              <w:t>平面布置合理性分析</w:t>
            </w:r>
          </w:p>
          <w:p>
            <w:pPr>
              <w:pStyle w:val="4"/>
              <w:ind w:firstLine="480"/>
            </w:pPr>
            <w:r>
              <w:rPr>
                <w:rFonts w:hint="eastAsia"/>
              </w:rPr>
              <w:t>项目营业区（站房）布置在整个站区的中部，配备了必要的公用设施方便了站内的工作人员和外来加油人员。加油区设置在项目的中部，加油岛上设置地埋式油罐区，加油站已在南侧、西侧、北侧设置了防火墙，并与周围环境敏感目标均保持了适当的距离，有利于减轻对周围的环境影响。加油站沿县道边设置一个入口，一个出口，有利于外来加油人员的出进。站内建筑物及场地安全距离情况见下表</w:t>
            </w:r>
            <w:r>
              <w:t>7.4-</w:t>
            </w:r>
            <w:r>
              <w:rPr>
                <w:rFonts w:hint="eastAsia"/>
              </w:rPr>
              <w:t>2。</w:t>
            </w:r>
          </w:p>
          <w:p>
            <w:pPr>
              <w:pStyle w:val="41"/>
              <w:rPr>
                <w:sz w:val="24"/>
                <w:szCs w:val="24"/>
              </w:rPr>
            </w:pPr>
            <w:r>
              <w:rPr>
                <w:sz w:val="24"/>
                <w:szCs w:val="24"/>
              </w:rPr>
              <w:t>表7.4-</w:t>
            </w:r>
            <w:r>
              <w:rPr>
                <w:rFonts w:hint="eastAsia"/>
                <w:sz w:val="24"/>
                <w:szCs w:val="24"/>
              </w:rPr>
              <w:t>2</w:t>
            </w:r>
            <w:r>
              <w:rPr>
                <w:sz w:val="24"/>
                <w:szCs w:val="24"/>
              </w:rPr>
              <w:t xml:space="preserve">   站内建筑物及场地安全距离情况表</w:t>
            </w:r>
          </w:p>
          <w:tbl>
            <w:tblPr>
              <w:tblStyle w:val="24"/>
              <w:tblW w:w="924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553"/>
              <w:gridCol w:w="1751"/>
              <w:gridCol w:w="1503"/>
              <w:gridCol w:w="2078"/>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71" w:type="dxa"/>
                  <w:gridSpan w:val="3"/>
                  <w:vAlign w:val="center"/>
                </w:tcPr>
                <w:p>
                  <w:pPr>
                    <w:spacing w:line="0" w:lineRule="atLeast"/>
                    <w:jc w:val="center"/>
                    <w:rPr>
                      <w:szCs w:val="21"/>
                    </w:rPr>
                  </w:pPr>
                  <w:r>
                    <w:rPr>
                      <w:szCs w:val="21"/>
                    </w:rPr>
                    <w:t>检查内容</w:t>
                  </w:r>
                </w:p>
              </w:tc>
              <w:tc>
                <w:tcPr>
                  <w:tcW w:w="1503" w:type="dxa"/>
                  <w:vAlign w:val="center"/>
                </w:tcPr>
                <w:p>
                  <w:pPr>
                    <w:spacing w:line="0" w:lineRule="atLeast"/>
                    <w:jc w:val="center"/>
                    <w:rPr>
                      <w:szCs w:val="21"/>
                    </w:rPr>
                  </w:pPr>
                  <w:r>
                    <w:rPr>
                      <w:szCs w:val="21"/>
                    </w:rPr>
                    <w:t>规范要求</w:t>
                  </w:r>
                </w:p>
              </w:tc>
              <w:tc>
                <w:tcPr>
                  <w:tcW w:w="2078" w:type="dxa"/>
                  <w:vAlign w:val="center"/>
                </w:tcPr>
                <w:p>
                  <w:pPr>
                    <w:spacing w:line="0" w:lineRule="atLeast"/>
                    <w:jc w:val="center"/>
                    <w:rPr>
                      <w:szCs w:val="21"/>
                    </w:rPr>
                  </w:pPr>
                  <w:r>
                    <w:rPr>
                      <w:rFonts w:hint="eastAsia"/>
                      <w:szCs w:val="21"/>
                    </w:rPr>
                    <w:t>实际</w:t>
                  </w:r>
                  <w:r>
                    <w:rPr>
                      <w:szCs w:val="21"/>
                    </w:rPr>
                    <w:t>数据</w:t>
                  </w:r>
                </w:p>
              </w:tc>
              <w:tc>
                <w:tcPr>
                  <w:tcW w:w="1590" w:type="dxa"/>
                  <w:vAlign w:val="center"/>
                </w:tcPr>
                <w:p>
                  <w:pPr>
                    <w:spacing w:line="0" w:lineRule="atLeast"/>
                    <w:jc w:val="center"/>
                    <w:rPr>
                      <w:szCs w:val="21"/>
                    </w:rPr>
                  </w:pPr>
                  <w:r>
                    <w:rPr>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restart"/>
                  <w:vAlign w:val="center"/>
                </w:tcPr>
                <w:p>
                  <w:pPr>
                    <w:spacing w:line="0" w:lineRule="atLeast"/>
                    <w:jc w:val="center"/>
                    <w:rPr>
                      <w:szCs w:val="21"/>
                    </w:rPr>
                  </w:pPr>
                  <w:r>
                    <w:rPr>
                      <w:szCs w:val="21"/>
                    </w:rPr>
                    <w:t>油罐</w:t>
                  </w:r>
                </w:p>
              </w:tc>
              <w:tc>
                <w:tcPr>
                  <w:tcW w:w="553" w:type="dxa"/>
                  <w:vMerge w:val="restart"/>
                  <w:vAlign w:val="center"/>
                </w:tcPr>
                <w:p>
                  <w:pPr>
                    <w:spacing w:line="0" w:lineRule="atLeast"/>
                    <w:jc w:val="center"/>
                    <w:rPr>
                      <w:szCs w:val="21"/>
                    </w:rPr>
                  </w:pPr>
                  <w:r>
                    <w:rPr>
                      <w:szCs w:val="21"/>
                    </w:rPr>
                    <w:t>至</w:t>
                  </w:r>
                </w:p>
              </w:tc>
              <w:tc>
                <w:tcPr>
                  <w:tcW w:w="1751" w:type="dxa"/>
                  <w:vAlign w:val="center"/>
                </w:tcPr>
                <w:p>
                  <w:pPr>
                    <w:spacing w:line="0" w:lineRule="atLeast"/>
                    <w:jc w:val="center"/>
                    <w:rPr>
                      <w:szCs w:val="21"/>
                    </w:rPr>
                  </w:pPr>
                  <w:r>
                    <w:rPr>
                      <w:szCs w:val="21"/>
                    </w:rPr>
                    <w:t>油罐</w:t>
                  </w:r>
                </w:p>
              </w:tc>
              <w:tc>
                <w:tcPr>
                  <w:tcW w:w="1503" w:type="dxa"/>
                  <w:vAlign w:val="center"/>
                </w:tcPr>
                <w:p>
                  <w:pPr>
                    <w:spacing w:line="0" w:lineRule="atLeast"/>
                    <w:jc w:val="center"/>
                    <w:rPr>
                      <w:szCs w:val="21"/>
                    </w:rPr>
                  </w:pPr>
                  <w:r>
                    <w:rPr>
                      <w:szCs w:val="21"/>
                    </w:rPr>
                    <w:t>0.5m</w:t>
                  </w:r>
                </w:p>
              </w:tc>
              <w:tc>
                <w:tcPr>
                  <w:tcW w:w="2078" w:type="dxa"/>
                  <w:vAlign w:val="center"/>
                </w:tcPr>
                <w:p>
                  <w:pPr>
                    <w:spacing w:line="0" w:lineRule="atLeast"/>
                    <w:jc w:val="center"/>
                    <w:rPr>
                      <w:szCs w:val="21"/>
                    </w:rPr>
                  </w:pPr>
                  <w:r>
                    <w:rPr>
                      <w:rFonts w:hint="eastAsia"/>
                      <w:szCs w:val="21"/>
                    </w:rPr>
                    <w:t>0.6</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站房</w:t>
                  </w:r>
                </w:p>
              </w:tc>
              <w:tc>
                <w:tcPr>
                  <w:tcW w:w="1503" w:type="dxa"/>
                  <w:vAlign w:val="center"/>
                </w:tcPr>
                <w:p>
                  <w:pPr>
                    <w:spacing w:line="0" w:lineRule="atLeast"/>
                    <w:jc w:val="center"/>
                    <w:rPr>
                      <w:szCs w:val="21"/>
                    </w:rPr>
                  </w:pPr>
                  <w:r>
                    <w:rPr>
                      <w:szCs w:val="21"/>
                    </w:rPr>
                    <w:t>4m</w:t>
                  </w:r>
                </w:p>
              </w:tc>
              <w:tc>
                <w:tcPr>
                  <w:tcW w:w="2078" w:type="dxa"/>
                  <w:vAlign w:val="center"/>
                </w:tcPr>
                <w:p>
                  <w:pPr>
                    <w:spacing w:line="0" w:lineRule="atLeast"/>
                    <w:jc w:val="center"/>
                    <w:rPr>
                      <w:szCs w:val="21"/>
                    </w:rPr>
                  </w:pPr>
                  <w:r>
                    <w:rPr>
                      <w:rFonts w:hint="eastAsia"/>
                      <w:szCs w:val="21"/>
                    </w:rPr>
                    <w:t>8.2</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配电间</w:t>
                  </w:r>
                </w:p>
              </w:tc>
              <w:tc>
                <w:tcPr>
                  <w:tcW w:w="1503" w:type="dxa"/>
                  <w:vAlign w:val="center"/>
                </w:tcPr>
                <w:p>
                  <w:pPr>
                    <w:spacing w:line="0" w:lineRule="atLeast"/>
                    <w:jc w:val="center"/>
                    <w:rPr>
                      <w:szCs w:val="21"/>
                    </w:rPr>
                  </w:pPr>
                  <w:r>
                    <w:rPr>
                      <w:szCs w:val="21"/>
                    </w:rPr>
                    <w:t>5m</w:t>
                  </w:r>
                </w:p>
              </w:tc>
              <w:tc>
                <w:tcPr>
                  <w:tcW w:w="2078" w:type="dxa"/>
                  <w:vAlign w:val="center"/>
                </w:tcPr>
                <w:p>
                  <w:pPr>
                    <w:spacing w:line="0" w:lineRule="atLeast"/>
                    <w:jc w:val="center"/>
                    <w:rPr>
                      <w:szCs w:val="21"/>
                    </w:rPr>
                  </w:pPr>
                  <w:r>
                    <w:rPr>
                      <w:rFonts w:hint="eastAsia"/>
                      <w:szCs w:val="21"/>
                    </w:rPr>
                    <w:t>14.6</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围墙</w:t>
                  </w:r>
                </w:p>
              </w:tc>
              <w:tc>
                <w:tcPr>
                  <w:tcW w:w="1503" w:type="dxa"/>
                  <w:vAlign w:val="center"/>
                </w:tcPr>
                <w:p>
                  <w:pPr>
                    <w:spacing w:line="0" w:lineRule="atLeast"/>
                    <w:jc w:val="center"/>
                    <w:rPr>
                      <w:szCs w:val="21"/>
                    </w:rPr>
                  </w:pPr>
                  <w:r>
                    <w:rPr>
                      <w:szCs w:val="21"/>
                    </w:rPr>
                    <w:t>3m</w:t>
                  </w:r>
                </w:p>
              </w:tc>
              <w:tc>
                <w:tcPr>
                  <w:tcW w:w="2078" w:type="dxa"/>
                  <w:vAlign w:val="center"/>
                </w:tcPr>
                <w:p>
                  <w:pPr>
                    <w:spacing w:line="0" w:lineRule="atLeast"/>
                    <w:jc w:val="center"/>
                    <w:rPr>
                      <w:szCs w:val="21"/>
                    </w:rPr>
                  </w:pPr>
                  <w:r>
                    <w:rPr>
                      <w:rFonts w:hint="eastAsia"/>
                      <w:szCs w:val="21"/>
                    </w:rPr>
                    <w:t>10.2</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restart"/>
                  <w:vAlign w:val="center"/>
                </w:tcPr>
                <w:p>
                  <w:pPr>
                    <w:spacing w:line="0" w:lineRule="atLeast"/>
                    <w:jc w:val="center"/>
                    <w:rPr>
                      <w:szCs w:val="21"/>
                    </w:rPr>
                  </w:pPr>
                  <w:r>
                    <w:rPr>
                      <w:szCs w:val="21"/>
                    </w:rPr>
                    <w:t>加油机</w:t>
                  </w:r>
                </w:p>
              </w:tc>
              <w:tc>
                <w:tcPr>
                  <w:tcW w:w="553" w:type="dxa"/>
                  <w:vMerge w:val="restart"/>
                  <w:vAlign w:val="center"/>
                </w:tcPr>
                <w:p>
                  <w:pPr>
                    <w:spacing w:line="0" w:lineRule="atLeast"/>
                    <w:jc w:val="center"/>
                    <w:rPr>
                      <w:szCs w:val="21"/>
                    </w:rPr>
                  </w:pPr>
                  <w:r>
                    <w:rPr>
                      <w:szCs w:val="21"/>
                    </w:rPr>
                    <w:t>至</w:t>
                  </w:r>
                </w:p>
              </w:tc>
              <w:tc>
                <w:tcPr>
                  <w:tcW w:w="1751" w:type="dxa"/>
                  <w:vAlign w:val="center"/>
                </w:tcPr>
                <w:p>
                  <w:pPr>
                    <w:spacing w:line="0" w:lineRule="atLeast"/>
                    <w:jc w:val="center"/>
                    <w:rPr>
                      <w:szCs w:val="21"/>
                    </w:rPr>
                  </w:pPr>
                  <w:r>
                    <w:rPr>
                      <w:szCs w:val="21"/>
                    </w:rPr>
                    <w:t>站房</w:t>
                  </w:r>
                </w:p>
              </w:tc>
              <w:tc>
                <w:tcPr>
                  <w:tcW w:w="1503" w:type="dxa"/>
                  <w:vAlign w:val="center"/>
                </w:tcPr>
                <w:p>
                  <w:pPr>
                    <w:spacing w:line="0" w:lineRule="atLeast"/>
                    <w:jc w:val="center"/>
                    <w:rPr>
                      <w:szCs w:val="21"/>
                    </w:rPr>
                  </w:pPr>
                  <w:r>
                    <w:rPr>
                      <w:szCs w:val="21"/>
                    </w:rPr>
                    <w:t>5m</w:t>
                  </w:r>
                </w:p>
              </w:tc>
              <w:tc>
                <w:tcPr>
                  <w:tcW w:w="2078" w:type="dxa"/>
                  <w:vAlign w:val="center"/>
                </w:tcPr>
                <w:p>
                  <w:pPr>
                    <w:spacing w:line="0" w:lineRule="atLeast"/>
                    <w:jc w:val="center"/>
                    <w:rPr>
                      <w:szCs w:val="21"/>
                    </w:rPr>
                  </w:pPr>
                  <w:r>
                    <w:rPr>
                      <w:rFonts w:hint="eastAsia"/>
                      <w:szCs w:val="21"/>
                    </w:rPr>
                    <w:t>6.3</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配电间</w:t>
                  </w:r>
                </w:p>
              </w:tc>
              <w:tc>
                <w:tcPr>
                  <w:tcW w:w="1503" w:type="dxa"/>
                  <w:vAlign w:val="center"/>
                </w:tcPr>
                <w:p>
                  <w:pPr>
                    <w:spacing w:line="0" w:lineRule="atLeast"/>
                    <w:jc w:val="center"/>
                    <w:rPr>
                      <w:szCs w:val="21"/>
                    </w:rPr>
                  </w:pPr>
                  <w:r>
                    <w:rPr>
                      <w:szCs w:val="21"/>
                    </w:rPr>
                    <w:t>6m</w:t>
                  </w:r>
                </w:p>
              </w:tc>
              <w:tc>
                <w:tcPr>
                  <w:tcW w:w="2078" w:type="dxa"/>
                  <w:vAlign w:val="center"/>
                </w:tcPr>
                <w:p>
                  <w:pPr>
                    <w:spacing w:line="0" w:lineRule="atLeast"/>
                    <w:jc w:val="center"/>
                    <w:rPr>
                      <w:szCs w:val="21"/>
                    </w:rPr>
                  </w:pPr>
                  <w:r>
                    <w:rPr>
                      <w:rFonts w:hint="eastAsia"/>
                      <w:szCs w:val="21"/>
                    </w:rPr>
                    <w:t>8</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罩棚边缘</w:t>
                  </w:r>
                </w:p>
              </w:tc>
              <w:tc>
                <w:tcPr>
                  <w:tcW w:w="1503" w:type="dxa"/>
                  <w:vAlign w:val="center"/>
                </w:tcPr>
                <w:p>
                  <w:pPr>
                    <w:spacing w:line="0" w:lineRule="atLeast"/>
                    <w:jc w:val="center"/>
                    <w:rPr>
                      <w:szCs w:val="21"/>
                    </w:rPr>
                  </w:pPr>
                  <w:r>
                    <w:rPr>
                      <w:szCs w:val="21"/>
                    </w:rPr>
                    <w:t>2m</w:t>
                  </w:r>
                </w:p>
              </w:tc>
              <w:tc>
                <w:tcPr>
                  <w:tcW w:w="2078" w:type="dxa"/>
                  <w:vAlign w:val="center"/>
                </w:tcPr>
                <w:p>
                  <w:pPr>
                    <w:spacing w:line="0" w:lineRule="atLeast"/>
                    <w:jc w:val="center"/>
                    <w:rPr>
                      <w:szCs w:val="21"/>
                    </w:rPr>
                  </w:pPr>
                  <w:r>
                    <w:rPr>
                      <w:rFonts w:hint="eastAsia"/>
                      <w:szCs w:val="21"/>
                    </w:rPr>
                    <w:t>2</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restart"/>
                  <w:vAlign w:val="center"/>
                </w:tcPr>
                <w:p>
                  <w:pPr>
                    <w:spacing w:line="0" w:lineRule="atLeast"/>
                    <w:jc w:val="center"/>
                    <w:rPr>
                      <w:szCs w:val="21"/>
                    </w:rPr>
                  </w:pPr>
                  <w:r>
                    <w:rPr>
                      <w:szCs w:val="21"/>
                    </w:rPr>
                    <w:t>通气管口</w:t>
                  </w:r>
                </w:p>
              </w:tc>
              <w:tc>
                <w:tcPr>
                  <w:tcW w:w="2304" w:type="dxa"/>
                  <w:gridSpan w:val="2"/>
                  <w:vAlign w:val="center"/>
                </w:tcPr>
                <w:p>
                  <w:pPr>
                    <w:spacing w:line="0" w:lineRule="atLeast"/>
                    <w:ind w:firstLine="420" w:firstLineChars="200"/>
                    <w:jc w:val="center"/>
                    <w:rPr>
                      <w:szCs w:val="21"/>
                    </w:rPr>
                  </w:pPr>
                  <w:r>
                    <w:rPr>
                      <w:szCs w:val="21"/>
                    </w:rPr>
                    <w:t>高度</w:t>
                  </w:r>
                </w:p>
              </w:tc>
              <w:tc>
                <w:tcPr>
                  <w:tcW w:w="1503" w:type="dxa"/>
                  <w:vAlign w:val="center"/>
                </w:tcPr>
                <w:p>
                  <w:pPr>
                    <w:spacing w:line="0" w:lineRule="atLeast"/>
                    <w:jc w:val="center"/>
                    <w:rPr>
                      <w:szCs w:val="21"/>
                    </w:rPr>
                  </w:pPr>
                  <w:r>
                    <w:rPr>
                      <w:szCs w:val="21"/>
                    </w:rPr>
                    <w:t>4m</w:t>
                  </w:r>
                </w:p>
              </w:tc>
              <w:tc>
                <w:tcPr>
                  <w:tcW w:w="2078" w:type="dxa"/>
                  <w:vAlign w:val="center"/>
                </w:tcPr>
                <w:p>
                  <w:pPr>
                    <w:spacing w:line="0" w:lineRule="atLeast"/>
                    <w:jc w:val="center"/>
                    <w:rPr>
                      <w:szCs w:val="21"/>
                    </w:rPr>
                  </w:pPr>
                  <w:r>
                    <w:rPr>
                      <w:szCs w:val="21"/>
                    </w:rPr>
                    <w:t>高出罩棚1.5m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restart"/>
                  <w:vAlign w:val="center"/>
                </w:tcPr>
                <w:p>
                  <w:pPr>
                    <w:spacing w:line="0" w:lineRule="atLeast"/>
                    <w:jc w:val="center"/>
                    <w:rPr>
                      <w:szCs w:val="21"/>
                    </w:rPr>
                  </w:pPr>
                  <w:r>
                    <w:rPr>
                      <w:szCs w:val="21"/>
                    </w:rPr>
                    <w:t>至</w:t>
                  </w:r>
                </w:p>
              </w:tc>
              <w:tc>
                <w:tcPr>
                  <w:tcW w:w="1751" w:type="dxa"/>
                  <w:vAlign w:val="center"/>
                </w:tcPr>
                <w:p>
                  <w:pPr>
                    <w:spacing w:line="0" w:lineRule="atLeast"/>
                    <w:jc w:val="center"/>
                    <w:rPr>
                      <w:szCs w:val="21"/>
                    </w:rPr>
                  </w:pPr>
                  <w:r>
                    <w:rPr>
                      <w:szCs w:val="21"/>
                    </w:rPr>
                    <w:t>密闭卸油点</w:t>
                  </w:r>
                </w:p>
              </w:tc>
              <w:tc>
                <w:tcPr>
                  <w:tcW w:w="1503" w:type="dxa"/>
                  <w:vAlign w:val="center"/>
                </w:tcPr>
                <w:p>
                  <w:pPr>
                    <w:spacing w:line="0" w:lineRule="atLeast"/>
                    <w:jc w:val="center"/>
                    <w:rPr>
                      <w:szCs w:val="21"/>
                    </w:rPr>
                  </w:pPr>
                  <w:r>
                    <w:rPr>
                      <w:szCs w:val="21"/>
                    </w:rPr>
                    <w:t>3m</w:t>
                  </w:r>
                </w:p>
              </w:tc>
              <w:tc>
                <w:tcPr>
                  <w:tcW w:w="2078" w:type="dxa"/>
                  <w:vAlign w:val="center"/>
                </w:tcPr>
                <w:p>
                  <w:pPr>
                    <w:spacing w:line="0" w:lineRule="atLeast"/>
                    <w:jc w:val="center"/>
                    <w:rPr>
                      <w:szCs w:val="21"/>
                    </w:rPr>
                  </w:pPr>
                  <w:r>
                    <w:rPr>
                      <w:rFonts w:hint="eastAsia"/>
                      <w:szCs w:val="21"/>
                    </w:rPr>
                    <w:t>6</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站房</w:t>
                  </w:r>
                </w:p>
              </w:tc>
              <w:tc>
                <w:tcPr>
                  <w:tcW w:w="1503" w:type="dxa"/>
                  <w:vAlign w:val="center"/>
                </w:tcPr>
                <w:p>
                  <w:pPr>
                    <w:spacing w:line="0" w:lineRule="atLeast"/>
                    <w:jc w:val="center"/>
                    <w:rPr>
                      <w:szCs w:val="21"/>
                    </w:rPr>
                  </w:pPr>
                  <w:r>
                    <w:rPr>
                      <w:szCs w:val="21"/>
                    </w:rPr>
                    <w:t>4m</w:t>
                  </w:r>
                </w:p>
              </w:tc>
              <w:tc>
                <w:tcPr>
                  <w:tcW w:w="2078" w:type="dxa"/>
                  <w:vAlign w:val="center"/>
                </w:tcPr>
                <w:p>
                  <w:pPr>
                    <w:spacing w:line="0" w:lineRule="atLeast"/>
                    <w:jc w:val="center"/>
                    <w:rPr>
                      <w:szCs w:val="21"/>
                    </w:rPr>
                  </w:pPr>
                  <w:r>
                    <w:rPr>
                      <w:rFonts w:hint="eastAsia"/>
                      <w:szCs w:val="21"/>
                    </w:rPr>
                    <w:t>12.5</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围墙</w:t>
                  </w:r>
                </w:p>
              </w:tc>
              <w:tc>
                <w:tcPr>
                  <w:tcW w:w="1503" w:type="dxa"/>
                  <w:vAlign w:val="center"/>
                </w:tcPr>
                <w:p>
                  <w:pPr>
                    <w:spacing w:line="0" w:lineRule="atLeast"/>
                    <w:jc w:val="center"/>
                    <w:rPr>
                      <w:szCs w:val="21"/>
                    </w:rPr>
                  </w:pPr>
                  <w:r>
                    <w:rPr>
                      <w:szCs w:val="21"/>
                    </w:rPr>
                    <w:t>3m</w:t>
                  </w:r>
                </w:p>
              </w:tc>
              <w:tc>
                <w:tcPr>
                  <w:tcW w:w="2078" w:type="dxa"/>
                  <w:vAlign w:val="center"/>
                </w:tcPr>
                <w:p>
                  <w:pPr>
                    <w:spacing w:line="0" w:lineRule="atLeast"/>
                    <w:jc w:val="center"/>
                    <w:rPr>
                      <w:szCs w:val="21"/>
                    </w:rPr>
                  </w:pPr>
                  <w:r>
                    <w:rPr>
                      <w:rFonts w:hint="eastAsia"/>
                      <w:szCs w:val="21"/>
                    </w:rPr>
                    <w:t>4.5</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restart"/>
                  <w:vAlign w:val="center"/>
                </w:tcPr>
                <w:p>
                  <w:pPr>
                    <w:spacing w:line="0" w:lineRule="atLeast"/>
                    <w:jc w:val="center"/>
                    <w:rPr>
                      <w:szCs w:val="21"/>
                    </w:rPr>
                  </w:pPr>
                  <w:r>
                    <w:rPr>
                      <w:szCs w:val="21"/>
                    </w:rPr>
                    <w:t>密闭卸油点</w:t>
                  </w:r>
                </w:p>
              </w:tc>
              <w:tc>
                <w:tcPr>
                  <w:tcW w:w="553" w:type="dxa"/>
                  <w:vMerge w:val="restart"/>
                  <w:vAlign w:val="center"/>
                </w:tcPr>
                <w:p>
                  <w:pPr>
                    <w:spacing w:line="0" w:lineRule="atLeast"/>
                    <w:jc w:val="center"/>
                    <w:rPr>
                      <w:szCs w:val="21"/>
                    </w:rPr>
                  </w:pPr>
                  <w:r>
                    <w:rPr>
                      <w:szCs w:val="21"/>
                    </w:rPr>
                    <w:t>至</w:t>
                  </w:r>
                </w:p>
              </w:tc>
              <w:tc>
                <w:tcPr>
                  <w:tcW w:w="1751" w:type="dxa"/>
                  <w:vAlign w:val="center"/>
                </w:tcPr>
                <w:p>
                  <w:pPr>
                    <w:spacing w:line="0" w:lineRule="atLeast"/>
                    <w:jc w:val="center"/>
                    <w:rPr>
                      <w:szCs w:val="21"/>
                    </w:rPr>
                  </w:pPr>
                  <w:r>
                    <w:rPr>
                      <w:szCs w:val="21"/>
                    </w:rPr>
                    <w:t>站房</w:t>
                  </w:r>
                </w:p>
              </w:tc>
              <w:tc>
                <w:tcPr>
                  <w:tcW w:w="1503" w:type="dxa"/>
                  <w:vAlign w:val="center"/>
                </w:tcPr>
                <w:p>
                  <w:pPr>
                    <w:spacing w:line="0" w:lineRule="atLeast"/>
                    <w:jc w:val="center"/>
                    <w:rPr>
                      <w:szCs w:val="21"/>
                    </w:rPr>
                  </w:pPr>
                  <w:r>
                    <w:rPr>
                      <w:szCs w:val="21"/>
                    </w:rPr>
                    <w:t>5m</w:t>
                  </w:r>
                </w:p>
              </w:tc>
              <w:tc>
                <w:tcPr>
                  <w:tcW w:w="2078" w:type="dxa"/>
                  <w:vAlign w:val="center"/>
                </w:tcPr>
                <w:p>
                  <w:pPr>
                    <w:spacing w:line="0" w:lineRule="atLeast"/>
                    <w:jc w:val="center"/>
                    <w:rPr>
                      <w:szCs w:val="21"/>
                    </w:rPr>
                  </w:pPr>
                  <w:r>
                    <w:rPr>
                      <w:rFonts w:hint="eastAsia"/>
                      <w:szCs w:val="21"/>
                    </w:rPr>
                    <w:t>8</w:t>
                  </w:r>
                  <w:r>
                    <w:rPr>
                      <w:szCs w:val="21"/>
                    </w:rPr>
                    <w:t>m</w:t>
                  </w:r>
                </w:p>
              </w:tc>
              <w:tc>
                <w:tcPr>
                  <w:tcW w:w="1590" w:type="dxa"/>
                  <w:vAlign w:val="center"/>
                </w:tcPr>
                <w:p>
                  <w:pPr>
                    <w:spacing w:line="0" w:lineRule="atLeast"/>
                    <w:jc w:val="center"/>
                    <w:rPr>
                      <w:szCs w:val="21"/>
                    </w:rPr>
                  </w:pPr>
                  <w:r>
                    <w:rPr>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67" w:type="dxa"/>
                  <w:vMerge w:val="continue"/>
                  <w:vAlign w:val="center"/>
                </w:tcPr>
                <w:p>
                  <w:pPr>
                    <w:spacing w:line="0" w:lineRule="atLeast"/>
                    <w:jc w:val="center"/>
                    <w:rPr>
                      <w:szCs w:val="21"/>
                    </w:rPr>
                  </w:pPr>
                </w:p>
              </w:tc>
              <w:tc>
                <w:tcPr>
                  <w:tcW w:w="553" w:type="dxa"/>
                  <w:vMerge w:val="continue"/>
                  <w:vAlign w:val="center"/>
                </w:tcPr>
                <w:p>
                  <w:pPr>
                    <w:spacing w:line="0" w:lineRule="atLeast"/>
                    <w:jc w:val="center"/>
                    <w:rPr>
                      <w:szCs w:val="21"/>
                    </w:rPr>
                  </w:pPr>
                </w:p>
              </w:tc>
              <w:tc>
                <w:tcPr>
                  <w:tcW w:w="1751" w:type="dxa"/>
                  <w:vAlign w:val="center"/>
                </w:tcPr>
                <w:p>
                  <w:pPr>
                    <w:spacing w:line="0" w:lineRule="atLeast"/>
                    <w:jc w:val="center"/>
                    <w:rPr>
                      <w:szCs w:val="21"/>
                    </w:rPr>
                  </w:pPr>
                  <w:r>
                    <w:rPr>
                      <w:szCs w:val="21"/>
                    </w:rPr>
                    <w:t>配电间</w:t>
                  </w:r>
                </w:p>
              </w:tc>
              <w:tc>
                <w:tcPr>
                  <w:tcW w:w="1503" w:type="dxa"/>
                  <w:vAlign w:val="center"/>
                </w:tcPr>
                <w:p>
                  <w:pPr>
                    <w:spacing w:line="0" w:lineRule="atLeast"/>
                    <w:jc w:val="center"/>
                    <w:rPr>
                      <w:szCs w:val="21"/>
                    </w:rPr>
                  </w:pPr>
                  <w:r>
                    <w:rPr>
                      <w:szCs w:val="21"/>
                    </w:rPr>
                    <w:t>6m</w:t>
                  </w:r>
                </w:p>
              </w:tc>
              <w:tc>
                <w:tcPr>
                  <w:tcW w:w="2078" w:type="dxa"/>
                  <w:vAlign w:val="center"/>
                </w:tcPr>
                <w:p>
                  <w:pPr>
                    <w:spacing w:line="0" w:lineRule="atLeast"/>
                    <w:jc w:val="center"/>
                    <w:rPr>
                      <w:szCs w:val="21"/>
                    </w:rPr>
                  </w:pPr>
                  <w:r>
                    <w:rPr>
                      <w:rFonts w:hint="eastAsia"/>
                      <w:szCs w:val="21"/>
                    </w:rPr>
                    <w:t>25.5</w:t>
                  </w:r>
                  <w:r>
                    <w:rPr>
                      <w:szCs w:val="21"/>
                    </w:rPr>
                    <w:t>m</w:t>
                  </w:r>
                </w:p>
              </w:tc>
              <w:tc>
                <w:tcPr>
                  <w:tcW w:w="1590" w:type="dxa"/>
                  <w:vAlign w:val="center"/>
                </w:tcPr>
                <w:p>
                  <w:pPr>
                    <w:spacing w:line="0" w:lineRule="atLeast"/>
                    <w:jc w:val="center"/>
                    <w:rPr>
                      <w:szCs w:val="21"/>
                    </w:rPr>
                  </w:pPr>
                  <w:r>
                    <w:rPr>
                      <w:szCs w:val="21"/>
                    </w:rPr>
                    <w:t>合格</w:t>
                  </w:r>
                </w:p>
              </w:tc>
            </w:tr>
          </w:tbl>
          <w:p>
            <w:pPr>
              <w:pStyle w:val="4"/>
              <w:ind w:firstLine="480"/>
            </w:pPr>
            <w:r>
              <w:t>通过上表可知：建设项目站内建构筑物及场地布局符合《汽车加油加气站设计与施工规范》（GB50156-2012）和《建筑设计防火规范》（GB50016-2006）标准的要求。</w:t>
            </w:r>
          </w:p>
          <w:p>
            <w:pPr>
              <w:pStyle w:val="4"/>
              <w:ind w:firstLine="480"/>
            </w:pPr>
            <w:r>
              <w:t>综上所述，本项目的平面布置合理。</w:t>
            </w:r>
          </w:p>
          <w:p>
            <w:pPr>
              <w:pStyle w:val="6"/>
              <w:numPr>
                <w:ilvl w:val="2"/>
                <w:numId w:val="0"/>
              </w:numPr>
            </w:pPr>
            <w:r>
              <w:rPr>
                <w:rFonts w:hint="eastAsia"/>
              </w:rPr>
              <w:t xml:space="preserve">7.4.4 </w:t>
            </w:r>
            <w:r>
              <w:t>与外环境相容性分析</w:t>
            </w:r>
          </w:p>
          <w:p>
            <w:pPr>
              <w:pStyle w:val="4"/>
              <w:ind w:firstLine="480"/>
            </w:pPr>
            <w:r>
              <w:t>依据《建筑设计防火规范》（GB50016-2006）、《汽车加油加气站设计与施工规范》（GB50156-2012）等标准要求，主要装置距周边建筑、设施距离情况详见下表7.4-</w:t>
            </w:r>
            <w:r>
              <w:rPr>
                <w:rFonts w:hint="eastAsia"/>
              </w:rPr>
              <w:t>3</w:t>
            </w:r>
            <w:r>
              <w:t>。</w:t>
            </w:r>
          </w:p>
          <w:p>
            <w:pPr>
              <w:pStyle w:val="41"/>
              <w:rPr>
                <w:sz w:val="24"/>
                <w:szCs w:val="24"/>
              </w:rPr>
            </w:pPr>
            <w:r>
              <w:rPr>
                <w:sz w:val="24"/>
                <w:szCs w:val="24"/>
              </w:rPr>
              <w:t>表7.4-</w:t>
            </w:r>
            <w:r>
              <w:rPr>
                <w:rFonts w:hint="eastAsia"/>
                <w:sz w:val="24"/>
                <w:szCs w:val="24"/>
              </w:rPr>
              <w:t>3</w:t>
            </w:r>
            <w:r>
              <w:rPr>
                <w:sz w:val="24"/>
                <w:szCs w:val="24"/>
              </w:rPr>
              <w:t xml:space="preserve">   主要装置距周边建筑、设施距离表（设置有卸油、加油油气回收系统）</w:t>
            </w:r>
          </w:p>
          <w:tbl>
            <w:tblPr>
              <w:tblStyle w:val="2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171"/>
              <w:gridCol w:w="1769"/>
              <w:gridCol w:w="185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Align w:val="center"/>
                </w:tcPr>
                <w:p>
                  <w:pPr>
                    <w:pStyle w:val="4"/>
                    <w:spacing w:line="240" w:lineRule="auto"/>
                    <w:ind w:firstLine="0" w:firstLineChars="0"/>
                    <w:jc w:val="center"/>
                    <w:rPr>
                      <w:sz w:val="21"/>
                      <w:szCs w:val="21"/>
                    </w:rPr>
                  </w:pPr>
                  <w:r>
                    <w:rPr>
                      <w:sz w:val="21"/>
                      <w:szCs w:val="21"/>
                    </w:rPr>
                    <w:t>设施名称</w:t>
                  </w:r>
                </w:p>
              </w:tc>
              <w:tc>
                <w:tcPr>
                  <w:tcW w:w="3171" w:type="dxa"/>
                  <w:vAlign w:val="center"/>
                </w:tcPr>
                <w:p>
                  <w:pPr>
                    <w:pStyle w:val="4"/>
                    <w:spacing w:line="240" w:lineRule="auto"/>
                    <w:ind w:firstLine="0" w:firstLineChars="0"/>
                    <w:jc w:val="center"/>
                    <w:rPr>
                      <w:sz w:val="21"/>
                      <w:szCs w:val="21"/>
                    </w:rPr>
                  </w:pPr>
                  <w:r>
                    <w:rPr>
                      <w:sz w:val="21"/>
                      <w:szCs w:val="21"/>
                    </w:rPr>
                    <w:t>建（构）筑物名称</w:t>
                  </w:r>
                </w:p>
              </w:tc>
              <w:tc>
                <w:tcPr>
                  <w:tcW w:w="1769" w:type="dxa"/>
                  <w:vAlign w:val="center"/>
                </w:tcPr>
                <w:p>
                  <w:pPr>
                    <w:pStyle w:val="4"/>
                    <w:spacing w:line="240" w:lineRule="auto"/>
                    <w:ind w:firstLine="0" w:firstLineChars="0"/>
                    <w:jc w:val="center"/>
                    <w:rPr>
                      <w:sz w:val="21"/>
                      <w:szCs w:val="21"/>
                    </w:rPr>
                  </w:pPr>
                  <w:r>
                    <w:rPr>
                      <w:sz w:val="21"/>
                      <w:szCs w:val="21"/>
                    </w:rPr>
                    <w:t>规范要求（m）</w:t>
                  </w:r>
                </w:p>
              </w:tc>
              <w:tc>
                <w:tcPr>
                  <w:tcW w:w="1857" w:type="dxa"/>
                  <w:vAlign w:val="center"/>
                </w:tcPr>
                <w:p>
                  <w:pPr>
                    <w:pStyle w:val="4"/>
                    <w:spacing w:line="240" w:lineRule="auto"/>
                    <w:ind w:firstLine="0" w:firstLineChars="0"/>
                    <w:jc w:val="center"/>
                    <w:rPr>
                      <w:sz w:val="21"/>
                      <w:szCs w:val="21"/>
                    </w:rPr>
                  </w:pPr>
                  <w:r>
                    <w:rPr>
                      <w:sz w:val="21"/>
                      <w:szCs w:val="21"/>
                    </w:rPr>
                    <w:t>设计距离（m）</w:t>
                  </w:r>
                </w:p>
              </w:tc>
              <w:tc>
                <w:tcPr>
                  <w:tcW w:w="1381" w:type="dxa"/>
                  <w:vAlign w:val="center"/>
                </w:tcPr>
                <w:p>
                  <w:pPr>
                    <w:pStyle w:val="4"/>
                    <w:spacing w:line="240" w:lineRule="auto"/>
                    <w:ind w:firstLine="0" w:firstLineChars="0"/>
                    <w:jc w:val="center"/>
                    <w:rPr>
                      <w:sz w:val="21"/>
                      <w:szCs w:val="21"/>
                    </w:rPr>
                  </w:pPr>
                  <w:r>
                    <w:rPr>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restart"/>
                  <w:vAlign w:val="center"/>
                </w:tcPr>
                <w:p>
                  <w:pPr>
                    <w:pStyle w:val="4"/>
                    <w:spacing w:line="240" w:lineRule="auto"/>
                    <w:ind w:firstLine="0" w:firstLineChars="0"/>
                    <w:jc w:val="center"/>
                    <w:rPr>
                      <w:sz w:val="21"/>
                      <w:szCs w:val="21"/>
                    </w:rPr>
                  </w:pPr>
                  <w:r>
                    <w:rPr>
                      <w:sz w:val="21"/>
                      <w:szCs w:val="21"/>
                    </w:rPr>
                    <w:t>埋地油罐</w:t>
                  </w:r>
                </w:p>
              </w:tc>
              <w:tc>
                <w:tcPr>
                  <w:tcW w:w="3171" w:type="dxa"/>
                  <w:vAlign w:val="center"/>
                </w:tcPr>
                <w:p>
                  <w:pPr>
                    <w:pStyle w:val="4"/>
                    <w:spacing w:line="240" w:lineRule="auto"/>
                    <w:ind w:firstLine="0" w:firstLineChars="0"/>
                    <w:jc w:val="center"/>
                    <w:rPr>
                      <w:sz w:val="21"/>
                      <w:szCs w:val="21"/>
                    </w:rPr>
                  </w:pPr>
                  <w:r>
                    <w:rPr>
                      <w:rFonts w:hint="eastAsia"/>
                      <w:sz w:val="21"/>
                      <w:szCs w:val="21"/>
                    </w:rPr>
                    <w:t>东侧县道</w:t>
                  </w:r>
                </w:p>
              </w:tc>
              <w:tc>
                <w:tcPr>
                  <w:tcW w:w="1769" w:type="dxa"/>
                  <w:vAlign w:val="center"/>
                </w:tcPr>
                <w:p>
                  <w:pPr>
                    <w:pStyle w:val="4"/>
                    <w:spacing w:line="240" w:lineRule="auto"/>
                    <w:ind w:firstLine="0" w:firstLineChars="0"/>
                    <w:jc w:val="center"/>
                    <w:rPr>
                      <w:sz w:val="21"/>
                      <w:szCs w:val="21"/>
                    </w:rPr>
                  </w:pPr>
                  <w:r>
                    <w:rPr>
                      <w:sz w:val="21"/>
                      <w:szCs w:val="21"/>
                    </w:rPr>
                    <w:t>5.5</w:t>
                  </w:r>
                </w:p>
              </w:tc>
              <w:tc>
                <w:tcPr>
                  <w:tcW w:w="1857" w:type="dxa"/>
                  <w:vAlign w:val="center"/>
                </w:tcPr>
                <w:p>
                  <w:pPr>
                    <w:pStyle w:val="4"/>
                    <w:spacing w:line="240" w:lineRule="auto"/>
                    <w:ind w:firstLine="0" w:firstLineChars="0"/>
                    <w:jc w:val="center"/>
                    <w:rPr>
                      <w:sz w:val="21"/>
                      <w:szCs w:val="21"/>
                    </w:rPr>
                  </w:pPr>
                  <w:r>
                    <w:rPr>
                      <w:rFonts w:hint="eastAsia"/>
                      <w:sz w:val="21"/>
                      <w:szCs w:val="21"/>
                    </w:rPr>
                    <w:t>29.8</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北面民房</w:t>
                  </w:r>
                </w:p>
              </w:tc>
              <w:tc>
                <w:tcPr>
                  <w:tcW w:w="1769" w:type="dxa"/>
                  <w:vAlign w:val="center"/>
                </w:tcPr>
                <w:p>
                  <w:pPr>
                    <w:pStyle w:val="4"/>
                    <w:spacing w:line="240" w:lineRule="auto"/>
                    <w:ind w:firstLine="0" w:firstLineChars="0"/>
                    <w:jc w:val="center"/>
                    <w:rPr>
                      <w:sz w:val="21"/>
                      <w:szCs w:val="21"/>
                    </w:rPr>
                  </w:pPr>
                  <w:r>
                    <w:rPr>
                      <w:rFonts w:hint="eastAsia"/>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58</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南面民房</w:t>
                  </w:r>
                </w:p>
              </w:tc>
              <w:tc>
                <w:tcPr>
                  <w:tcW w:w="1769" w:type="dxa"/>
                  <w:vAlign w:val="center"/>
                </w:tcPr>
                <w:p>
                  <w:pPr>
                    <w:pStyle w:val="4"/>
                    <w:spacing w:line="240" w:lineRule="auto"/>
                    <w:ind w:firstLine="0" w:firstLineChars="0"/>
                    <w:jc w:val="center"/>
                    <w:rPr>
                      <w:sz w:val="21"/>
                      <w:szCs w:val="21"/>
                    </w:rPr>
                  </w:pPr>
                  <w:r>
                    <w:rPr>
                      <w:rFonts w:hint="eastAsia"/>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26</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restart"/>
                  <w:vAlign w:val="center"/>
                </w:tcPr>
                <w:p>
                  <w:pPr>
                    <w:pStyle w:val="4"/>
                    <w:spacing w:line="240" w:lineRule="auto"/>
                    <w:ind w:firstLine="0" w:firstLineChars="0"/>
                    <w:jc w:val="center"/>
                    <w:rPr>
                      <w:sz w:val="21"/>
                      <w:szCs w:val="21"/>
                    </w:rPr>
                  </w:pPr>
                  <w:r>
                    <w:rPr>
                      <w:sz w:val="21"/>
                      <w:szCs w:val="21"/>
                    </w:rPr>
                    <w:t>通气管</w:t>
                  </w:r>
                </w:p>
                <w:p>
                  <w:pPr>
                    <w:pStyle w:val="4"/>
                    <w:spacing w:line="240" w:lineRule="auto"/>
                    <w:ind w:firstLine="0" w:firstLineChars="0"/>
                    <w:jc w:val="center"/>
                    <w:rPr>
                      <w:sz w:val="21"/>
                      <w:szCs w:val="21"/>
                    </w:rPr>
                  </w:pPr>
                  <w:r>
                    <w:rPr>
                      <w:sz w:val="21"/>
                      <w:szCs w:val="21"/>
                    </w:rPr>
                    <w:t>管口</w:t>
                  </w:r>
                </w:p>
              </w:tc>
              <w:tc>
                <w:tcPr>
                  <w:tcW w:w="3171" w:type="dxa"/>
                  <w:vAlign w:val="center"/>
                </w:tcPr>
                <w:p>
                  <w:pPr>
                    <w:pStyle w:val="4"/>
                    <w:spacing w:line="240" w:lineRule="auto"/>
                    <w:ind w:firstLine="0" w:firstLineChars="0"/>
                    <w:jc w:val="center"/>
                    <w:rPr>
                      <w:sz w:val="21"/>
                      <w:szCs w:val="21"/>
                    </w:rPr>
                  </w:pPr>
                  <w:r>
                    <w:rPr>
                      <w:rFonts w:hint="eastAsia"/>
                      <w:sz w:val="21"/>
                      <w:szCs w:val="21"/>
                    </w:rPr>
                    <w:t>东侧县道</w:t>
                  </w:r>
                </w:p>
              </w:tc>
              <w:tc>
                <w:tcPr>
                  <w:tcW w:w="1769" w:type="dxa"/>
                  <w:vAlign w:val="center"/>
                </w:tcPr>
                <w:p>
                  <w:pPr>
                    <w:pStyle w:val="4"/>
                    <w:spacing w:line="240" w:lineRule="auto"/>
                    <w:ind w:firstLine="0" w:firstLineChars="0"/>
                    <w:jc w:val="center"/>
                    <w:rPr>
                      <w:sz w:val="21"/>
                      <w:szCs w:val="21"/>
                    </w:rPr>
                  </w:pPr>
                  <w:r>
                    <w:rPr>
                      <w:sz w:val="21"/>
                      <w:szCs w:val="21"/>
                    </w:rPr>
                    <w:t>5</w:t>
                  </w:r>
                </w:p>
              </w:tc>
              <w:tc>
                <w:tcPr>
                  <w:tcW w:w="1857" w:type="dxa"/>
                  <w:vAlign w:val="center"/>
                </w:tcPr>
                <w:p>
                  <w:pPr>
                    <w:pStyle w:val="4"/>
                    <w:spacing w:line="240" w:lineRule="auto"/>
                    <w:ind w:firstLine="0" w:firstLineChars="0"/>
                    <w:jc w:val="center"/>
                    <w:rPr>
                      <w:sz w:val="21"/>
                      <w:szCs w:val="21"/>
                    </w:rPr>
                  </w:pPr>
                  <w:r>
                    <w:rPr>
                      <w:rFonts w:hint="eastAsia"/>
                      <w:sz w:val="21"/>
                      <w:szCs w:val="21"/>
                    </w:rPr>
                    <w:t>19.8</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北面民房</w:t>
                  </w:r>
                </w:p>
              </w:tc>
              <w:tc>
                <w:tcPr>
                  <w:tcW w:w="1769" w:type="dxa"/>
                  <w:vAlign w:val="center"/>
                </w:tcPr>
                <w:p>
                  <w:pPr>
                    <w:pStyle w:val="4"/>
                    <w:spacing w:line="240" w:lineRule="auto"/>
                    <w:ind w:firstLine="0" w:firstLineChars="0"/>
                    <w:jc w:val="center"/>
                    <w:rPr>
                      <w:sz w:val="21"/>
                      <w:szCs w:val="21"/>
                    </w:rPr>
                  </w:pPr>
                  <w:r>
                    <w:rPr>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17.7</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南面民房</w:t>
                  </w:r>
                </w:p>
              </w:tc>
              <w:tc>
                <w:tcPr>
                  <w:tcW w:w="1769" w:type="dxa"/>
                  <w:vAlign w:val="center"/>
                </w:tcPr>
                <w:p>
                  <w:pPr>
                    <w:pStyle w:val="4"/>
                    <w:spacing w:line="240" w:lineRule="auto"/>
                    <w:ind w:firstLine="0" w:firstLineChars="0"/>
                    <w:jc w:val="center"/>
                    <w:rPr>
                      <w:sz w:val="21"/>
                      <w:szCs w:val="21"/>
                    </w:rPr>
                  </w:pPr>
                  <w:r>
                    <w:rPr>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61.2</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restart"/>
                  <w:vAlign w:val="center"/>
                </w:tcPr>
                <w:p>
                  <w:pPr>
                    <w:pStyle w:val="4"/>
                    <w:spacing w:line="240" w:lineRule="auto"/>
                    <w:ind w:firstLine="0" w:firstLineChars="0"/>
                    <w:jc w:val="center"/>
                    <w:rPr>
                      <w:sz w:val="21"/>
                      <w:szCs w:val="21"/>
                    </w:rPr>
                  </w:pPr>
                  <w:r>
                    <w:rPr>
                      <w:sz w:val="21"/>
                      <w:szCs w:val="21"/>
                    </w:rPr>
                    <w:t>加油机</w:t>
                  </w:r>
                </w:p>
              </w:tc>
              <w:tc>
                <w:tcPr>
                  <w:tcW w:w="3171" w:type="dxa"/>
                  <w:vAlign w:val="center"/>
                </w:tcPr>
                <w:p>
                  <w:pPr>
                    <w:pStyle w:val="4"/>
                    <w:spacing w:line="240" w:lineRule="auto"/>
                    <w:ind w:firstLine="0" w:firstLineChars="0"/>
                    <w:jc w:val="center"/>
                    <w:rPr>
                      <w:sz w:val="21"/>
                      <w:szCs w:val="21"/>
                    </w:rPr>
                  </w:pPr>
                  <w:r>
                    <w:rPr>
                      <w:rFonts w:hint="eastAsia"/>
                      <w:sz w:val="21"/>
                      <w:szCs w:val="21"/>
                    </w:rPr>
                    <w:t>东侧县道</w:t>
                  </w:r>
                </w:p>
              </w:tc>
              <w:tc>
                <w:tcPr>
                  <w:tcW w:w="1769" w:type="dxa"/>
                  <w:vAlign w:val="center"/>
                </w:tcPr>
                <w:p>
                  <w:pPr>
                    <w:pStyle w:val="4"/>
                    <w:spacing w:line="240" w:lineRule="auto"/>
                    <w:ind w:firstLine="0" w:firstLineChars="0"/>
                    <w:jc w:val="center"/>
                    <w:rPr>
                      <w:sz w:val="21"/>
                      <w:szCs w:val="21"/>
                    </w:rPr>
                  </w:pPr>
                  <w:r>
                    <w:rPr>
                      <w:sz w:val="21"/>
                      <w:szCs w:val="21"/>
                    </w:rPr>
                    <w:t>5</w:t>
                  </w:r>
                </w:p>
              </w:tc>
              <w:tc>
                <w:tcPr>
                  <w:tcW w:w="1857" w:type="dxa"/>
                  <w:vAlign w:val="center"/>
                </w:tcPr>
                <w:p>
                  <w:pPr>
                    <w:pStyle w:val="4"/>
                    <w:spacing w:line="240" w:lineRule="auto"/>
                    <w:ind w:firstLine="0" w:firstLineChars="0"/>
                    <w:jc w:val="center"/>
                    <w:rPr>
                      <w:sz w:val="21"/>
                      <w:szCs w:val="21"/>
                    </w:rPr>
                  </w:pPr>
                  <w:r>
                    <w:rPr>
                      <w:rFonts w:hint="eastAsia"/>
                      <w:sz w:val="21"/>
                      <w:szCs w:val="21"/>
                    </w:rPr>
                    <w:t>16.2</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北面民房</w:t>
                  </w:r>
                </w:p>
              </w:tc>
              <w:tc>
                <w:tcPr>
                  <w:tcW w:w="1769" w:type="dxa"/>
                  <w:vAlign w:val="center"/>
                </w:tcPr>
                <w:p>
                  <w:pPr>
                    <w:pStyle w:val="4"/>
                    <w:spacing w:line="240" w:lineRule="auto"/>
                    <w:ind w:firstLine="0" w:firstLineChars="0"/>
                    <w:jc w:val="center"/>
                    <w:rPr>
                      <w:sz w:val="21"/>
                      <w:szCs w:val="21"/>
                    </w:rPr>
                  </w:pPr>
                  <w:r>
                    <w:rPr>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49.5</w:t>
                  </w:r>
                </w:p>
              </w:tc>
              <w:tc>
                <w:tcPr>
                  <w:tcW w:w="1381" w:type="dxa"/>
                  <w:vAlign w:val="center"/>
                </w:tcPr>
                <w:p>
                  <w:pPr>
                    <w:pStyle w:val="4"/>
                    <w:spacing w:line="240" w:lineRule="auto"/>
                    <w:ind w:firstLine="0" w:firstLineChars="0"/>
                    <w:jc w:val="center"/>
                    <w:rPr>
                      <w:sz w:val="21"/>
                      <w:szCs w:val="21"/>
                    </w:rPr>
                  </w:pPr>
                  <w:r>
                    <w:rPr>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30" w:type="dxa"/>
                  <w:vMerge w:val="continue"/>
                  <w:vAlign w:val="center"/>
                </w:tcPr>
                <w:p>
                  <w:pPr>
                    <w:pStyle w:val="4"/>
                    <w:spacing w:line="240" w:lineRule="auto"/>
                    <w:ind w:firstLine="0" w:firstLineChars="0"/>
                    <w:jc w:val="center"/>
                    <w:rPr>
                      <w:sz w:val="21"/>
                      <w:szCs w:val="21"/>
                    </w:rPr>
                  </w:pPr>
                </w:p>
              </w:tc>
              <w:tc>
                <w:tcPr>
                  <w:tcW w:w="3171" w:type="dxa"/>
                  <w:vAlign w:val="center"/>
                </w:tcPr>
                <w:p>
                  <w:pPr>
                    <w:pStyle w:val="4"/>
                    <w:spacing w:line="240" w:lineRule="auto"/>
                    <w:ind w:firstLine="0" w:firstLineChars="0"/>
                    <w:jc w:val="center"/>
                    <w:rPr>
                      <w:sz w:val="21"/>
                      <w:szCs w:val="21"/>
                    </w:rPr>
                  </w:pPr>
                  <w:r>
                    <w:rPr>
                      <w:rFonts w:hint="eastAsia"/>
                      <w:sz w:val="21"/>
                      <w:szCs w:val="21"/>
                    </w:rPr>
                    <w:t>南面民房</w:t>
                  </w:r>
                </w:p>
              </w:tc>
              <w:tc>
                <w:tcPr>
                  <w:tcW w:w="1769" w:type="dxa"/>
                  <w:vAlign w:val="center"/>
                </w:tcPr>
                <w:p>
                  <w:pPr>
                    <w:pStyle w:val="4"/>
                    <w:spacing w:line="240" w:lineRule="auto"/>
                    <w:ind w:firstLine="0" w:firstLineChars="0"/>
                    <w:jc w:val="center"/>
                    <w:rPr>
                      <w:sz w:val="21"/>
                      <w:szCs w:val="21"/>
                    </w:rPr>
                  </w:pPr>
                  <w:r>
                    <w:rPr>
                      <w:sz w:val="21"/>
                      <w:szCs w:val="21"/>
                    </w:rPr>
                    <w:t>11</w:t>
                  </w:r>
                </w:p>
              </w:tc>
              <w:tc>
                <w:tcPr>
                  <w:tcW w:w="1857" w:type="dxa"/>
                  <w:vAlign w:val="center"/>
                </w:tcPr>
                <w:p>
                  <w:pPr>
                    <w:pStyle w:val="4"/>
                    <w:spacing w:line="240" w:lineRule="auto"/>
                    <w:ind w:firstLine="0" w:firstLineChars="0"/>
                    <w:jc w:val="center"/>
                    <w:rPr>
                      <w:sz w:val="21"/>
                      <w:szCs w:val="21"/>
                    </w:rPr>
                  </w:pPr>
                  <w:r>
                    <w:rPr>
                      <w:rFonts w:hint="eastAsia"/>
                      <w:sz w:val="21"/>
                      <w:szCs w:val="21"/>
                    </w:rPr>
                    <w:t>19.8</w:t>
                  </w:r>
                </w:p>
              </w:tc>
              <w:tc>
                <w:tcPr>
                  <w:tcW w:w="1381" w:type="dxa"/>
                  <w:vAlign w:val="center"/>
                </w:tcPr>
                <w:p>
                  <w:pPr>
                    <w:pStyle w:val="4"/>
                    <w:spacing w:line="240" w:lineRule="auto"/>
                    <w:ind w:firstLine="0" w:firstLineChars="0"/>
                    <w:jc w:val="center"/>
                    <w:rPr>
                      <w:sz w:val="21"/>
                      <w:szCs w:val="21"/>
                    </w:rPr>
                  </w:pPr>
                  <w:r>
                    <w:rPr>
                      <w:sz w:val="21"/>
                      <w:szCs w:val="21"/>
                    </w:rPr>
                    <w:t>合格</w:t>
                  </w:r>
                </w:p>
              </w:tc>
            </w:tr>
          </w:tbl>
          <w:p>
            <w:pPr>
              <w:pStyle w:val="4"/>
              <w:ind w:firstLine="480"/>
            </w:pPr>
            <w:r>
              <w:t>通过上表可知：建设项目主要装置与周边环境距离符合《汽车加油加气站设计与施工规范》（GB50156-2012）和《建筑设计防火规范》（GB50016-2006）等标准的要求，对附近居民影响较小。</w:t>
            </w:r>
          </w:p>
          <w:p>
            <w:pPr>
              <w:pStyle w:val="4"/>
              <w:ind w:firstLine="0" w:firstLineChars="0"/>
            </w:pPr>
            <w:bookmarkStart w:id="33" w:name="OLE_LINK18"/>
            <w:r>
              <w:rPr>
                <w:rFonts w:hint="eastAsia"/>
              </w:rPr>
              <w:t xml:space="preserve">7.4.5 </w:t>
            </w:r>
            <w:r>
              <w:t>“三线一单”符合性分析</w:t>
            </w:r>
          </w:p>
          <w:p>
            <w:pPr>
              <w:pStyle w:val="4"/>
              <w:ind w:firstLine="480"/>
            </w:pPr>
            <w:r>
              <w:rPr>
                <w:rFonts w:hint="eastAsia"/>
              </w:rPr>
              <w:t>（1）</w:t>
            </w:r>
            <w:r>
              <w:t>本项目与生态保护红线相符性分析</w:t>
            </w:r>
          </w:p>
          <w:p>
            <w:pPr>
              <w:pStyle w:val="4"/>
              <w:ind w:firstLine="480"/>
            </w:pPr>
            <w:r>
              <w:t>本项目位于</w:t>
            </w:r>
            <w:r>
              <w:rPr>
                <w:color w:val="000000"/>
              </w:rPr>
              <w:t>湘阴县杨林寨乡东合港村3组</w:t>
            </w:r>
            <w:r>
              <w:t>，根据《湖南省人民政府关于印发&lt;湖南省生态保护红线&gt;的通知》，项目建设用地不涉及《湖南省生态保护红线》划定的保护区域，符合《湖南省生态保护红线》的相关要求。</w:t>
            </w:r>
          </w:p>
          <w:p>
            <w:pPr>
              <w:pStyle w:val="4"/>
              <w:ind w:firstLine="480"/>
            </w:pPr>
            <w:r>
              <w:rPr>
                <w:rFonts w:hint="eastAsia"/>
              </w:rPr>
              <w:t>（2）</w:t>
            </w:r>
            <w:r>
              <w:t>项目与环境质量底线相符性分析</w:t>
            </w:r>
          </w:p>
          <w:p>
            <w:pPr>
              <w:pStyle w:val="4"/>
              <w:ind w:firstLine="480"/>
            </w:pPr>
            <w:r>
              <w:t>根据环境质量现状监测及区域环境质量常规数据，项目所在区域大气环境基本污染物指标均能达到《环境空气质量标准》（GB 3095-2012）二级标准要求，地表水环境质量</w:t>
            </w:r>
            <w:r>
              <w:rPr>
                <w:rFonts w:hint="eastAsia"/>
              </w:rPr>
              <w:t>均</w:t>
            </w:r>
            <w:r>
              <w:t>能达到《地表水环境质量标准》（GB 3838-2002）中</w:t>
            </w:r>
            <w:r>
              <w:fldChar w:fldCharType="begin"/>
            </w:r>
            <w:r>
              <w:instrText xml:space="preserve"> = 3 \* ROMAN \* MERGEFORMAT </w:instrText>
            </w:r>
            <w:r>
              <w:fldChar w:fldCharType="separate"/>
            </w:r>
            <w:r>
              <w:t>III</w:t>
            </w:r>
            <w:r>
              <w:fldChar w:fldCharType="end"/>
            </w:r>
            <w:r>
              <w:t>类标准限值，地下水各监测因子均能达到《地下水质量标准》（GB/T 14848-2017）中</w:t>
            </w:r>
            <w:r>
              <w:fldChar w:fldCharType="begin"/>
            </w:r>
            <w:r>
              <w:instrText xml:space="preserve"> = 3 \* ROMAN \* MERGEFORMAT </w:instrText>
            </w:r>
            <w:r>
              <w:fldChar w:fldCharType="separate"/>
            </w:r>
            <w:r>
              <w:t>III</w:t>
            </w:r>
            <w:r>
              <w:fldChar w:fldCharType="end"/>
            </w:r>
            <w:r>
              <w:t>类标准限值，声环境质量现状均符合《声环境质量标准》（GB3096-2008）中的2类</w:t>
            </w:r>
            <w:r>
              <w:rPr>
                <w:rFonts w:hint="eastAsia"/>
              </w:rPr>
              <w:t>及4a类</w:t>
            </w:r>
            <w:r>
              <w:t>标准。因此项目区域环境质量良好，未超出环境质量底线。</w:t>
            </w:r>
          </w:p>
          <w:p>
            <w:pPr>
              <w:pStyle w:val="4"/>
              <w:ind w:firstLine="480"/>
            </w:pPr>
            <w:r>
              <w:rPr>
                <w:rFonts w:hint="eastAsia"/>
              </w:rPr>
              <w:t>（3）</w:t>
            </w:r>
            <w:r>
              <w:t>项目与资源利用上线相符性分析</w:t>
            </w:r>
          </w:p>
          <w:p>
            <w:pPr>
              <w:pStyle w:val="4"/>
              <w:ind w:firstLine="480"/>
            </w:pPr>
            <w:r>
              <w:t>本项目为加油站项目，所需资源为土地资源、水资源，项目所在地块用地类型为建设用地，未涉及土地资源利用上线。</w:t>
            </w:r>
          </w:p>
          <w:p>
            <w:pPr>
              <w:pStyle w:val="4"/>
              <w:ind w:firstLine="480"/>
            </w:pPr>
            <w:r>
              <w:t>本项目用水主要为员工，顾客生活用水和地面清洗用水</w:t>
            </w:r>
            <w:r>
              <w:rPr>
                <w:rFonts w:hint="eastAsia"/>
              </w:rPr>
              <w:t>及洗车用水</w:t>
            </w:r>
            <w:r>
              <w:t>，水源由</w:t>
            </w:r>
            <w:r>
              <w:rPr>
                <w:rFonts w:hint="eastAsia"/>
              </w:rPr>
              <w:t>地下井水</w:t>
            </w:r>
            <w:r>
              <w:t>供给。本项目用水量少，未涉及水资源利用上线。</w:t>
            </w:r>
          </w:p>
          <w:p>
            <w:pPr>
              <w:pStyle w:val="4"/>
              <w:ind w:firstLine="480"/>
            </w:pPr>
            <w:r>
              <w:rPr>
                <w:rFonts w:hint="eastAsia"/>
              </w:rPr>
              <w:t>（4）</w:t>
            </w:r>
            <w:r>
              <w:t>项目与环境准入负面清单相符性分析</w:t>
            </w:r>
          </w:p>
          <w:p>
            <w:pPr>
              <w:pStyle w:val="4"/>
              <w:ind w:firstLine="480"/>
            </w:pPr>
            <w:r>
              <w:t>本项目为加油站项目，主要产污为废水、废气、噪声与固体废物，</w:t>
            </w:r>
            <w:r>
              <w:rPr>
                <w:rFonts w:hint="eastAsia"/>
              </w:rPr>
              <w:t>生活污水经化粪池处理后用作农肥，其他</w:t>
            </w:r>
            <w:r>
              <w:t>废水经隔油沉淀池处理后</w:t>
            </w:r>
            <w:r>
              <w:rPr>
                <w:rFonts w:hint="eastAsia"/>
              </w:rPr>
              <w:t>回用，不外排；</w:t>
            </w:r>
            <w:r>
              <w:t>废气经油气回收装置回收后能够做到达标排放，噪声经过隔声、减震和加强管理后可做到达标排放，一般废物和危险废物经分类收集、处置后对周边环境影响较小，故项目可与周边环境相容，且项目未列入</w:t>
            </w:r>
            <w:r>
              <w:rPr>
                <w:rFonts w:hint="eastAsia"/>
              </w:rPr>
              <w:t>湘阴县</w:t>
            </w:r>
            <w:r>
              <w:t>环境准入负面清单。</w:t>
            </w:r>
          </w:p>
          <w:p>
            <w:pPr>
              <w:pStyle w:val="4"/>
              <w:ind w:firstLine="480"/>
            </w:pPr>
            <w:r>
              <w:t>综上所述，项目与“三线一单”相符。</w:t>
            </w:r>
          </w:p>
          <w:p>
            <w:pPr>
              <w:pStyle w:val="6"/>
              <w:numPr>
                <w:ilvl w:val="2"/>
                <w:numId w:val="0"/>
              </w:numPr>
            </w:pPr>
            <w:r>
              <w:rPr>
                <w:rFonts w:hint="eastAsia"/>
              </w:rPr>
              <w:t xml:space="preserve">7.4.6 </w:t>
            </w:r>
            <w:r>
              <w:t>本项目VOCs控制措施与相关政策的符合性分析</w:t>
            </w:r>
          </w:p>
          <w:p>
            <w:pPr>
              <w:pStyle w:val="4"/>
              <w:ind w:firstLine="480"/>
            </w:pPr>
            <w:r>
              <w:t>本项目</w:t>
            </w:r>
            <w:r>
              <w:rPr>
                <w:rFonts w:hint="eastAsia"/>
              </w:rPr>
              <w:t>已</w:t>
            </w:r>
            <w:r>
              <w:t>设置油气回收装置用于控制VOCs的排放量，符合《“十三五”挥发性有机物污染防治工作方案》中“（二）加快实施工业园VOCs污染防治”相关内容；符合《湖南省污染防治攻坚战三年行动计划》（2018-2020年）中“（二）强化精准治污，着力解决环境突出问题17.</w:t>
            </w:r>
            <w:r>
              <w:rPr>
                <w:color w:val="333333"/>
                <w:szCs w:val="24"/>
                <w:shd w:val="clear" w:color="auto" w:fill="FFFFFF"/>
              </w:rPr>
              <w:t>推进挥发性有机物(VOCs)综合治理。加快推进有机化工、工业涂装、包装印刷、沥青搅拌等行业企业VOCs治理，确保达标排放;2019年底前完成全省6000余家加油站油气回收治理。到2020年，全面完成VOCs排放量较2017年减少9%的目标任务。</w:t>
            </w:r>
            <w:r>
              <w:t>”；符合《湖南省VOCs污染防治三年实施方案》（2018-2020）中“二、治理重点（三）重点控制污染物”。本项目采用的油气回收装置符合《油气回收装置通用技术条件》（GB/T35579-2017）中的相关要求。</w:t>
            </w:r>
          </w:p>
          <w:p>
            <w:pPr>
              <w:pStyle w:val="6"/>
              <w:numPr>
                <w:ilvl w:val="2"/>
                <w:numId w:val="0"/>
              </w:numPr>
            </w:pPr>
            <w:r>
              <w:rPr>
                <w:rFonts w:hint="eastAsia"/>
              </w:rPr>
              <w:t xml:space="preserve">7.4.6 </w:t>
            </w:r>
            <w:r>
              <w:t>选址合理性分析</w:t>
            </w:r>
          </w:p>
          <w:bookmarkEnd w:id="33"/>
          <w:p>
            <w:pPr>
              <w:pStyle w:val="4"/>
              <w:ind w:firstLine="480"/>
            </w:pPr>
            <w:r>
              <w:rPr>
                <w:rFonts w:hint="eastAsia"/>
              </w:rPr>
              <w:t>项目场地位于湘阴县杨林寨乡东合港村三组，附近车流量较大，交通地理位置优越，有利于柴油、汽油的销售。建设项目主要装置与周边环境距离符合《汽车加油加气站设计与施工规范》（</w:t>
            </w:r>
            <w:r>
              <w:t>GB50156-2012</w:t>
            </w:r>
            <w:r>
              <w:rPr>
                <w:rFonts w:hint="eastAsia"/>
              </w:rPr>
              <w:t>）和《建筑设计防火规范》（</w:t>
            </w:r>
            <w:r>
              <w:t>GB50016-2006</w:t>
            </w:r>
            <w:r>
              <w:rPr>
                <w:rFonts w:hint="eastAsia"/>
              </w:rPr>
              <w:t>）等标准的要求。综上所述，项目选址合理可行。</w:t>
            </w:r>
          </w:p>
          <w:p>
            <w:pPr>
              <w:pStyle w:val="5"/>
            </w:pPr>
            <w:r>
              <w:rPr>
                <w:rFonts w:hint="eastAsia"/>
              </w:rPr>
              <w:t>环境管理及监测计划</w:t>
            </w:r>
          </w:p>
          <w:p>
            <w:pPr>
              <w:pStyle w:val="4"/>
              <w:ind w:firstLine="480"/>
            </w:pPr>
            <w:r>
              <w:rPr>
                <w:rFonts w:hint="eastAsia"/>
              </w:rPr>
              <w:t>（1）环境管理</w:t>
            </w:r>
          </w:p>
          <w:p>
            <w:pPr>
              <w:pStyle w:val="4"/>
              <w:ind w:firstLine="480"/>
            </w:pPr>
            <w:r>
              <w:rPr>
                <w:rFonts w:hint="eastAsia"/>
              </w:rPr>
              <w:t>项目营运期环境管理根据项目所在区域的环境特点，设立环境管理部门，配备专职管理人员，对区域内进行环境监督、管理工作。环保管理人员应在各自的岗位责任制中明确所负的环保责任。</w:t>
            </w:r>
          </w:p>
          <w:p>
            <w:pPr>
              <w:pStyle w:val="4"/>
              <w:ind w:firstLine="480"/>
            </w:pPr>
            <w:r>
              <w:rPr>
                <w:rFonts w:hint="eastAsia"/>
              </w:rPr>
              <w:t>环境管理的职能为：制定和实施各项环境管理计划；委托监测部门对项目区域内环境质量跟踪监测；对生活垃圾收集、清理情况的管理；检查治理设施运行情况，及时处理出现的问题，保证治理设施的正常运行；不定期地进行巡查，特别是各环境保护对象，保护生态环境不被破坏，保证保护生态与工程运行相协调；协调配合上级环保主管部门所进行的环境调查等活动。</w:t>
            </w:r>
          </w:p>
          <w:p>
            <w:pPr>
              <w:ind w:firstLine="422"/>
              <w:jc w:val="center"/>
              <w:rPr>
                <w:rFonts w:eastAsia="黑体"/>
                <w:sz w:val="24"/>
              </w:rPr>
            </w:pPr>
            <w:r>
              <w:rPr>
                <w:rFonts w:hint="eastAsia" w:eastAsia="黑体"/>
                <w:sz w:val="24"/>
              </w:rPr>
              <w:t>表7.5-1  营运期环境管理一览表</w:t>
            </w:r>
          </w:p>
          <w:tbl>
            <w:tblPr>
              <w:tblStyle w:val="24"/>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6370"/>
              <w:gridCol w:w="1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2" w:type="dxa"/>
                  <w:tcBorders>
                    <w:tl2br w:val="nil"/>
                    <w:tr2bl w:val="nil"/>
                  </w:tcBorders>
                  <w:vAlign w:val="center"/>
                </w:tcPr>
                <w:p>
                  <w:pPr>
                    <w:jc w:val="center"/>
                    <w:rPr>
                      <w:b/>
                      <w:bCs/>
                      <w:color w:val="000000"/>
                      <w:kern w:val="24"/>
                      <w:szCs w:val="21"/>
                    </w:rPr>
                  </w:pPr>
                  <w:r>
                    <w:rPr>
                      <w:rFonts w:hint="eastAsia"/>
                      <w:b/>
                      <w:bCs/>
                      <w:color w:val="000000"/>
                      <w:kern w:val="24"/>
                      <w:szCs w:val="21"/>
                    </w:rPr>
                    <w:t>防治对象</w:t>
                  </w:r>
                </w:p>
              </w:tc>
              <w:tc>
                <w:tcPr>
                  <w:tcW w:w="6370" w:type="dxa"/>
                  <w:tcBorders>
                    <w:tl2br w:val="nil"/>
                    <w:tr2bl w:val="nil"/>
                  </w:tcBorders>
                  <w:vAlign w:val="center"/>
                </w:tcPr>
                <w:p>
                  <w:pPr>
                    <w:jc w:val="center"/>
                    <w:rPr>
                      <w:b/>
                      <w:bCs/>
                      <w:color w:val="000000"/>
                      <w:kern w:val="24"/>
                      <w:szCs w:val="21"/>
                    </w:rPr>
                  </w:pPr>
                  <w:r>
                    <w:rPr>
                      <w:rFonts w:hint="eastAsia"/>
                      <w:b/>
                      <w:bCs/>
                      <w:color w:val="000000"/>
                      <w:kern w:val="24"/>
                      <w:szCs w:val="21"/>
                    </w:rPr>
                    <w:t>防治措施</w:t>
                  </w:r>
                </w:p>
              </w:tc>
              <w:tc>
                <w:tcPr>
                  <w:tcW w:w="1297" w:type="dxa"/>
                  <w:tcBorders>
                    <w:tl2br w:val="nil"/>
                    <w:tr2bl w:val="nil"/>
                  </w:tcBorders>
                  <w:vAlign w:val="center"/>
                </w:tcPr>
                <w:p>
                  <w:pPr>
                    <w:jc w:val="center"/>
                    <w:rPr>
                      <w:b/>
                      <w:bCs/>
                      <w:color w:val="000000"/>
                      <w:kern w:val="24"/>
                      <w:szCs w:val="21"/>
                    </w:rPr>
                  </w:pPr>
                  <w:r>
                    <w:rPr>
                      <w:rFonts w:hint="eastAsia"/>
                      <w:b/>
                      <w:bCs/>
                      <w:color w:val="000000"/>
                      <w:kern w:val="24"/>
                      <w:szCs w:val="21"/>
                    </w:rPr>
                    <w:t>监管方式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2" w:type="dxa"/>
                  <w:tcBorders>
                    <w:tl2br w:val="nil"/>
                    <w:tr2bl w:val="nil"/>
                  </w:tcBorders>
                  <w:vAlign w:val="center"/>
                </w:tcPr>
                <w:p>
                  <w:pPr>
                    <w:jc w:val="center"/>
                    <w:rPr>
                      <w:color w:val="000000"/>
                      <w:kern w:val="24"/>
                      <w:szCs w:val="21"/>
                    </w:rPr>
                  </w:pPr>
                  <w:r>
                    <w:rPr>
                      <w:rFonts w:hint="eastAsia"/>
                      <w:color w:val="000000"/>
                      <w:kern w:val="24"/>
                      <w:szCs w:val="21"/>
                    </w:rPr>
                    <w:t>废水</w:t>
                  </w:r>
                </w:p>
              </w:tc>
              <w:tc>
                <w:tcPr>
                  <w:tcW w:w="6370" w:type="dxa"/>
                  <w:tcBorders>
                    <w:tl2br w:val="nil"/>
                    <w:tr2bl w:val="nil"/>
                  </w:tcBorders>
                  <w:vAlign w:val="center"/>
                </w:tcPr>
                <w:p>
                  <w:pPr>
                    <w:jc w:val="center"/>
                    <w:rPr>
                      <w:color w:val="000000"/>
                      <w:kern w:val="24"/>
                      <w:szCs w:val="21"/>
                    </w:rPr>
                  </w:pPr>
                  <w:r>
                    <w:rPr>
                      <w:rFonts w:hint="eastAsia"/>
                      <w:color w:val="000000"/>
                      <w:kern w:val="24"/>
                      <w:szCs w:val="21"/>
                    </w:rPr>
                    <w:t>采用“化粪池”处理用作农肥</w:t>
                  </w:r>
                </w:p>
              </w:tc>
              <w:tc>
                <w:tcPr>
                  <w:tcW w:w="1297" w:type="dxa"/>
                  <w:tcBorders>
                    <w:tl2br w:val="nil"/>
                    <w:tr2bl w:val="nil"/>
                  </w:tcBorders>
                  <w:vAlign w:val="center"/>
                </w:tcPr>
                <w:p>
                  <w:pPr>
                    <w:jc w:val="center"/>
                    <w:rPr>
                      <w:color w:val="000000"/>
                      <w:kern w:val="24"/>
                      <w:szCs w:val="21"/>
                    </w:rPr>
                  </w:pPr>
                  <w:r>
                    <w:rPr>
                      <w:rFonts w:hint="eastAsia"/>
                      <w:color w:val="000000"/>
                      <w:kern w:val="24"/>
                      <w:szCs w:val="21"/>
                    </w:rPr>
                    <w:t>实地调查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2" w:type="dxa"/>
                  <w:tcBorders>
                    <w:tl2br w:val="nil"/>
                    <w:tr2bl w:val="nil"/>
                  </w:tcBorders>
                  <w:vAlign w:val="center"/>
                </w:tcPr>
                <w:p>
                  <w:pPr>
                    <w:jc w:val="center"/>
                    <w:rPr>
                      <w:color w:val="000000"/>
                      <w:kern w:val="24"/>
                      <w:szCs w:val="21"/>
                    </w:rPr>
                  </w:pPr>
                  <w:r>
                    <w:rPr>
                      <w:rFonts w:hint="eastAsia"/>
                      <w:color w:val="000000"/>
                      <w:kern w:val="24"/>
                      <w:szCs w:val="21"/>
                    </w:rPr>
                    <w:t>废气</w:t>
                  </w:r>
                </w:p>
              </w:tc>
              <w:tc>
                <w:tcPr>
                  <w:tcW w:w="6370" w:type="dxa"/>
                  <w:tcBorders>
                    <w:tl2br w:val="nil"/>
                    <w:tr2bl w:val="nil"/>
                  </w:tcBorders>
                  <w:vAlign w:val="center"/>
                </w:tcPr>
                <w:p>
                  <w:pPr>
                    <w:jc w:val="center"/>
                    <w:rPr>
                      <w:color w:val="000000"/>
                      <w:kern w:val="24"/>
                      <w:szCs w:val="21"/>
                    </w:rPr>
                  </w:pPr>
                  <w:r>
                    <w:rPr>
                      <w:rFonts w:hint="eastAsia"/>
                      <w:color w:val="000000"/>
                      <w:kern w:val="24"/>
                      <w:szCs w:val="21"/>
                    </w:rPr>
                    <w:t>采用油气回收系统进行处理</w:t>
                  </w:r>
                </w:p>
              </w:tc>
              <w:tc>
                <w:tcPr>
                  <w:tcW w:w="1297" w:type="dxa"/>
                  <w:tcBorders>
                    <w:tl2br w:val="nil"/>
                    <w:tr2bl w:val="nil"/>
                  </w:tcBorders>
                  <w:vAlign w:val="center"/>
                </w:tcPr>
                <w:p>
                  <w:pPr>
                    <w:jc w:val="center"/>
                    <w:rPr>
                      <w:color w:val="000000"/>
                      <w:kern w:val="24"/>
                      <w:szCs w:val="21"/>
                    </w:rPr>
                  </w:pPr>
                  <w:r>
                    <w:rPr>
                      <w:rFonts w:hint="eastAsia"/>
                      <w:color w:val="000000"/>
                      <w:kern w:val="24"/>
                      <w:szCs w:val="21"/>
                    </w:rPr>
                    <w:t>实地调查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2" w:type="dxa"/>
                  <w:tcBorders>
                    <w:tl2br w:val="nil"/>
                    <w:tr2bl w:val="nil"/>
                  </w:tcBorders>
                  <w:vAlign w:val="center"/>
                </w:tcPr>
                <w:p>
                  <w:pPr>
                    <w:jc w:val="center"/>
                    <w:rPr>
                      <w:color w:val="000000"/>
                      <w:kern w:val="24"/>
                      <w:szCs w:val="21"/>
                    </w:rPr>
                  </w:pPr>
                  <w:r>
                    <w:rPr>
                      <w:rFonts w:hint="eastAsia"/>
                      <w:color w:val="000000"/>
                      <w:kern w:val="24"/>
                      <w:szCs w:val="21"/>
                    </w:rPr>
                    <w:t>噪声</w:t>
                  </w:r>
                </w:p>
              </w:tc>
              <w:tc>
                <w:tcPr>
                  <w:tcW w:w="6370" w:type="dxa"/>
                  <w:tcBorders>
                    <w:tl2br w:val="nil"/>
                    <w:tr2bl w:val="nil"/>
                  </w:tcBorders>
                  <w:vAlign w:val="center"/>
                </w:tcPr>
                <w:p>
                  <w:pPr>
                    <w:jc w:val="center"/>
                    <w:rPr>
                      <w:color w:val="000000"/>
                      <w:kern w:val="24"/>
                      <w:szCs w:val="21"/>
                    </w:rPr>
                  </w:pPr>
                  <w:r>
                    <w:rPr>
                      <w:rFonts w:hint="eastAsia"/>
                      <w:color w:val="000000"/>
                      <w:kern w:val="24"/>
                      <w:szCs w:val="21"/>
                    </w:rPr>
                    <w:t>加强进出车辆的管理</w:t>
                  </w:r>
                </w:p>
              </w:tc>
              <w:tc>
                <w:tcPr>
                  <w:tcW w:w="1297" w:type="dxa"/>
                  <w:tcBorders>
                    <w:tl2br w:val="nil"/>
                    <w:tr2bl w:val="nil"/>
                  </w:tcBorders>
                  <w:vAlign w:val="center"/>
                </w:tcPr>
                <w:p>
                  <w:pPr>
                    <w:jc w:val="center"/>
                    <w:rPr>
                      <w:color w:val="000000"/>
                      <w:kern w:val="24"/>
                      <w:szCs w:val="21"/>
                    </w:rPr>
                  </w:pPr>
                  <w:r>
                    <w:rPr>
                      <w:rFonts w:hint="eastAsia"/>
                      <w:color w:val="000000"/>
                      <w:kern w:val="24"/>
                      <w:szCs w:val="21"/>
                    </w:rPr>
                    <w:t>实地调查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2" w:type="dxa"/>
                  <w:tcBorders>
                    <w:tl2br w:val="nil"/>
                    <w:tr2bl w:val="nil"/>
                  </w:tcBorders>
                  <w:vAlign w:val="center"/>
                </w:tcPr>
                <w:p>
                  <w:pPr>
                    <w:jc w:val="center"/>
                    <w:rPr>
                      <w:color w:val="000000"/>
                      <w:kern w:val="24"/>
                      <w:szCs w:val="21"/>
                    </w:rPr>
                  </w:pPr>
                  <w:r>
                    <w:rPr>
                      <w:rFonts w:hint="eastAsia"/>
                      <w:color w:val="000000"/>
                      <w:kern w:val="24"/>
                      <w:szCs w:val="21"/>
                    </w:rPr>
                    <w:t>固体废物</w:t>
                  </w:r>
                </w:p>
              </w:tc>
              <w:tc>
                <w:tcPr>
                  <w:tcW w:w="6370" w:type="dxa"/>
                  <w:tcBorders>
                    <w:tl2br w:val="nil"/>
                    <w:tr2bl w:val="nil"/>
                  </w:tcBorders>
                  <w:vAlign w:val="center"/>
                </w:tcPr>
                <w:p>
                  <w:pPr>
                    <w:jc w:val="center"/>
                    <w:rPr>
                      <w:color w:val="000000"/>
                      <w:kern w:val="24"/>
                      <w:szCs w:val="21"/>
                    </w:rPr>
                  </w:pPr>
                  <w:r>
                    <w:rPr>
                      <w:rFonts w:hint="eastAsia"/>
                      <w:color w:val="000000"/>
                      <w:kern w:val="24"/>
                      <w:szCs w:val="21"/>
                    </w:rPr>
                    <w:t>生活垃圾由环卫部门收集，隔油池油泥、</w:t>
                  </w:r>
                  <w:r>
                    <w:rPr>
                      <w:spacing w:val="4"/>
                      <w:szCs w:val="21"/>
                    </w:rPr>
                    <w:t>清罐产生的废油渣和</w:t>
                  </w:r>
                  <w:r>
                    <w:rPr>
                      <w:rFonts w:hint="eastAsia"/>
                      <w:spacing w:val="4"/>
                      <w:szCs w:val="21"/>
                    </w:rPr>
                    <w:t>废油</w:t>
                  </w:r>
                  <w:r>
                    <w:rPr>
                      <w:spacing w:val="4"/>
                      <w:szCs w:val="21"/>
                    </w:rPr>
                    <w:t>由</w:t>
                  </w:r>
                  <w:r>
                    <w:rPr>
                      <w:rFonts w:hint="eastAsia"/>
                      <w:spacing w:val="4"/>
                      <w:szCs w:val="21"/>
                    </w:rPr>
                    <w:t>加油站</w:t>
                  </w:r>
                  <w:r>
                    <w:rPr>
                      <w:spacing w:val="4"/>
                      <w:szCs w:val="21"/>
                    </w:rPr>
                    <w:t>负责外委有资质单位进行处置</w:t>
                  </w:r>
                </w:p>
              </w:tc>
              <w:tc>
                <w:tcPr>
                  <w:tcW w:w="1297" w:type="dxa"/>
                  <w:tcBorders>
                    <w:tl2br w:val="nil"/>
                    <w:tr2bl w:val="nil"/>
                  </w:tcBorders>
                  <w:vAlign w:val="center"/>
                </w:tcPr>
                <w:p>
                  <w:pPr>
                    <w:jc w:val="center"/>
                    <w:rPr>
                      <w:color w:val="000000"/>
                      <w:kern w:val="24"/>
                      <w:szCs w:val="21"/>
                    </w:rPr>
                  </w:pPr>
                  <w:r>
                    <w:rPr>
                      <w:rFonts w:hint="eastAsia"/>
                      <w:color w:val="000000"/>
                      <w:kern w:val="24"/>
                      <w:szCs w:val="21"/>
                    </w:rPr>
                    <w:t>实地调查</w:t>
                  </w:r>
                </w:p>
              </w:tc>
            </w:tr>
          </w:tbl>
          <w:p>
            <w:pPr>
              <w:pStyle w:val="4"/>
              <w:ind w:firstLine="480"/>
              <w:rPr>
                <w:u w:val="single"/>
              </w:rPr>
            </w:pPr>
            <w:r>
              <w:rPr>
                <w:rFonts w:hint="eastAsia"/>
                <w:u w:val="single"/>
              </w:rPr>
              <w:t>（2）</w:t>
            </w:r>
            <w:r>
              <w:rPr>
                <w:u w:val="single"/>
              </w:rPr>
              <w:t>环境监测</w:t>
            </w:r>
            <w:r>
              <w:rPr>
                <w:rFonts w:hint="eastAsia"/>
                <w:u w:val="single"/>
              </w:rPr>
              <w:t>计划</w:t>
            </w:r>
          </w:p>
          <w:p>
            <w:pPr>
              <w:pStyle w:val="4"/>
              <w:ind w:firstLine="480"/>
              <w:rPr>
                <w:u w:val="single"/>
              </w:rPr>
            </w:pPr>
            <w:r>
              <w:rPr>
                <w:rFonts w:hint="eastAsia"/>
                <w:u w:val="single"/>
              </w:rPr>
              <w:t>环境监测是环境管理必不可少的科学手段，通过有效的环境监测，可及时了解项目区的环境质量状况。因本项目施工期已完成，故环境监测主要在营运期进行，可委托当地环境监测站执行，环境监理计划包括</w:t>
            </w:r>
            <w:r>
              <w:rPr>
                <w:rFonts w:hint="eastAsia"/>
                <w:u w:val="single"/>
                <w:lang w:eastAsia="zh-CN"/>
              </w:rPr>
              <w:t>地下水、</w:t>
            </w:r>
            <w:r>
              <w:rPr>
                <w:rFonts w:hint="eastAsia"/>
                <w:u w:val="single"/>
              </w:rPr>
              <w:t>环境空气、噪声。</w:t>
            </w:r>
          </w:p>
          <w:p>
            <w:pPr>
              <w:pStyle w:val="4"/>
              <w:ind w:firstLine="480"/>
              <w:rPr>
                <w:u w:val="single"/>
              </w:rPr>
            </w:pPr>
            <w:r>
              <w:rPr>
                <w:u w:val="single"/>
              </w:rPr>
              <w:t>本项目环境监测计划包括</w:t>
            </w:r>
            <w:r>
              <w:rPr>
                <w:rFonts w:hint="eastAsia"/>
                <w:u w:val="single"/>
                <w:lang w:eastAsia="zh-CN"/>
              </w:rPr>
              <w:t>水、</w:t>
            </w:r>
            <w:r>
              <w:rPr>
                <w:u w:val="single"/>
              </w:rPr>
              <w:t>气、声</w:t>
            </w:r>
            <w:r>
              <w:rPr>
                <w:rFonts w:hint="eastAsia"/>
                <w:u w:val="single"/>
              </w:rPr>
              <w:t>两</w:t>
            </w:r>
            <w:r>
              <w:rPr>
                <w:u w:val="single"/>
              </w:rPr>
              <w:t>部分，环境监测计划见</w:t>
            </w:r>
            <w:r>
              <w:rPr>
                <w:rFonts w:hint="eastAsia"/>
                <w:u w:val="single"/>
              </w:rPr>
              <w:t>下表：</w:t>
            </w:r>
          </w:p>
          <w:p>
            <w:pPr>
              <w:ind w:firstLine="422"/>
              <w:jc w:val="center"/>
              <w:rPr>
                <w:rFonts w:eastAsia="黑体"/>
                <w:sz w:val="24"/>
                <w:u w:val="single"/>
              </w:rPr>
            </w:pPr>
            <w:r>
              <w:rPr>
                <w:rFonts w:eastAsia="黑体"/>
                <w:sz w:val="24"/>
                <w:u w:val="single"/>
              </w:rPr>
              <w:t>表</w:t>
            </w:r>
            <w:r>
              <w:rPr>
                <w:rFonts w:hint="eastAsia" w:eastAsia="黑体"/>
                <w:sz w:val="24"/>
                <w:u w:val="single"/>
              </w:rPr>
              <w:t xml:space="preserve">7.5-2   </w:t>
            </w:r>
            <w:r>
              <w:rPr>
                <w:rFonts w:eastAsia="黑体"/>
                <w:sz w:val="24"/>
                <w:u w:val="single"/>
              </w:rPr>
              <w:t>环境监测计划</w:t>
            </w:r>
          </w:p>
          <w:tbl>
            <w:tblPr>
              <w:tblStyle w:val="24"/>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8"/>
              <w:gridCol w:w="1218"/>
              <w:gridCol w:w="1947"/>
              <w:gridCol w:w="2229"/>
              <w:gridCol w:w="2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358" w:type="dxa"/>
                  <w:tcBorders>
                    <w:tl2br w:val="nil"/>
                    <w:tr2bl w:val="nil"/>
                  </w:tcBorders>
                  <w:vAlign w:val="center"/>
                </w:tcPr>
                <w:p>
                  <w:pPr>
                    <w:jc w:val="center"/>
                    <w:rPr>
                      <w:b/>
                      <w:bCs/>
                      <w:color w:val="000000"/>
                      <w:kern w:val="24"/>
                      <w:szCs w:val="21"/>
                      <w:u w:val="single"/>
                    </w:rPr>
                  </w:pPr>
                  <w:r>
                    <w:rPr>
                      <w:b/>
                      <w:bCs/>
                      <w:color w:val="000000"/>
                      <w:kern w:val="24"/>
                      <w:szCs w:val="21"/>
                      <w:u w:val="single"/>
                    </w:rPr>
                    <w:t>要素</w:t>
                  </w:r>
                </w:p>
              </w:tc>
              <w:tc>
                <w:tcPr>
                  <w:tcW w:w="1218" w:type="dxa"/>
                  <w:tcBorders>
                    <w:tl2br w:val="nil"/>
                    <w:tr2bl w:val="nil"/>
                  </w:tcBorders>
                  <w:vAlign w:val="center"/>
                </w:tcPr>
                <w:p>
                  <w:pPr>
                    <w:jc w:val="center"/>
                    <w:rPr>
                      <w:b/>
                      <w:bCs/>
                      <w:color w:val="000000"/>
                      <w:kern w:val="24"/>
                      <w:szCs w:val="21"/>
                      <w:u w:val="single"/>
                    </w:rPr>
                  </w:pPr>
                  <w:r>
                    <w:rPr>
                      <w:b/>
                      <w:bCs/>
                      <w:color w:val="000000"/>
                      <w:kern w:val="24"/>
                      <w:szCs w:val="21"/>
                      <w:u w:val="single"/>
                    </w:rPr>
                    <w:t>阶段</w:t>
                  </w:r>
                </w:p>
              </w:tc>
              <w:tc>
                <w:tcPr>
                  <w:tcW w:w="1947" w:type="dxa"/>
                  <w:tcBorders>
                    <w:tl2br w:val="nil"/>
                    <w:tr2bl w:val="nil"/>
                  </w:tcBorders>
                  <w:vAlign w:val="center"/>
                </w:tcPr>
                <w:p>
                  <w:pPr>
                    <w:jc w:val="center"/>
                    <w:rPr>
                      <w:b/>
                      <w:bCs/>
                      <w:color w:val="000000"/>
                      <w:kern w:val="24"/>
                      <w:szCs w:val="21"/>
                      <w:u w:val="single"/>
                    </w:rPr>
                  </w:pPr>
                  <w:r>
                    <w:rPr>
                      <w:b/>
                      <w:bCs/>
                      <w:color w:val="000000"/>
                      <w:kern w:val="24"/>
                      <w:szCs w:val="21"/>
                      <w:u w:val="single"/>
                    </w:rPr>
                    <w:t>监测地点</w:t>
                  </w:r>
                </w:p>
              </w:tc>
              <w:tc>
                <w:tcPr>
                  <w:tcW w:w="2229" w:type="dxa"/>
                  <w:tcBorders>
                    <w:tl2br w:val="nil"/>
                    <w:tr2bl w:val="nil"/>
                  </w:tcBorders>
                  <w:vAlign w:val="center"/>
                </w:tcPr>
                <w:p>
                  <w:pPr>
                    <w:jc w:val="center"/>
                    <w:rPr>
                      <w:b/>
                      <w:bCs/>
                      <w:color w:val="000000"/>
                      <w:kern w:val="24"/>
                      <w:szCs w:val="21"/>
                      <w:u w:val="single"/>
                    </w:rPr>
                  </w:pPr>
                  <w:r>
                    <w:rPr>
                      <w:b/>
                      <w:bCs/>
                      <w:color w:val="000000"/>
                      <w:kern w:val="24"/>
                      <w:szCs w:val="21"/>
                      <w:u w:val="single"/>
                    </w:rPr>
                    <w:t>监测</w:t>
                  </w:r>
                  <w:r>
                    <w:rPr>
                      <w:rFonts w:hint="eastAsia"/>
                      <w:b/>
                      <w:bCs/>
                      <w:color w:val="000000"/>
                      <w:kern w:val="24"/>
                      <w:szCs w:val="21"/>
                      <w:u w:val="single"/>
                    </w:rPr>
                    <w:t>因子</w:t>
                  </w:r>
                </w:p>
              </w:tc>
              <w:tc>
                <w:tcPr>
                  <w:tcW w:w="2107" w:type="dxa"/>
                  <w:tcBorders>
                    <w:tl2br w:val="nil"/>
                    <w:tr2bl w:val="nil"/>
                  </w:tcBorders>
                  <w:vAlign w:val="center"/>
                </w:tcPr>
                <w:p>
                  <w:pPr>
                    <w:jc w:val="center"/>
                    <w:rPr>
                      <w:b/>
                      <w:bCs/>
                      <w:color w:val="000000"/>
                      <w:kern w:val="24"/>
                      <w:szCs w:val="21"/>
                      <w:u w:val="single"/>
                    </w:rPr>
                  </w:pPr>
                  <w:r>
                    <w:rPr>
                      <w:b/>
                      <w:bCs/>
                      <w:color w:val="000000"/>
                      <w:kern w:val="24"/>
                      <w:szCs w:val="21"/>
                      <w:u w:val="single"/>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1358" w:type="dxa"/>
                  <w:tcBorders>
                    <w:tl2br w:val="nil"/>
                    <w:tr2bl w:val="nil"/>
                  </w:tcBorders>
                  <w:vAlign w:val="center"/>
                </w:tcPr>
                <w:p>
                  <w:pPr>
                    <w:adjustRightInd w:val="0"/>
                    <w:snapToGrid w:val="0"/>
                    <w:jc w:val="center"/>
                    <w:rPr>
                      <w:szCs w:val="21"/>
                      <w:u w:val="single"/>
                    </w:rPr>
                  </w:pPr>
                  <w:r>
                    <w:rPr>
                      <w:rFonts w:hint="eastAsia"/>
                      <w:szCs w:val="21"/>
                      <w:u w:val="single"/>
                    </w:rPr>
                    <w:t>气</w:t>
                  </w:r>
                </w:p>
              </w:tc>
              <w:tc>
                <w:tcPr>
                  <w:tcW w:w="1218" w:type="dxa"/>
                  <w:tcBorders>
                    <w:tl2br w:val="nil"/>
                    <w:tr2bl w:val="nil"/>
                  </w:tcBorders>
                  <w:vAlign w:val="center"/>
                </w:tcPr>
                <w:p>
                  <w:pPr>
                    <w:adjustRightInd w:val="0"/>
                    <w:snapToGrid w:val="0"/>
                    <w:jc w:val="center"/>
                    <w:rPr>
                      <w:szCs w:val="21"/>
                      <w:u w:val="single"/>
                    </w:rPr>
                  </w:pPr>
                  <w:r>
                    <w:rPr>
                      <w:szCs w:val="21"/>
                      <w:u w:val="single"/>
                    </w:rPr>
                    <w:t>营运期</w:t>
                  </w:r>
                </w:p>
              </w:tc>
              <w:tc>
                <w:tcPr>
                  <w:tcW w:w="1947" w:type="dxa"/>
                  <w:tcBorders>
                    <w:tl2br w:val="nil"/>
                    <w:tr2bl w:val="nil"/>
                  </w:tcBorders>
                  <w:vAlign w:val="center"/>
                </w:tcPr>
                <w:p>
                  <w:pPr>
                    <w:adjustRightInd w:val="0"/>
                    <w:snapToGrid w:val="0"/>
                    <w:jc w:val="center"/>
                    <w:rPr>
                      <w:rFonts w:hint="eastAsia" w:eastAsia="宋体"/>
                      <w:szCs w:val="21"/>
                      <w:u w:val="single"/>
                      <w:lang w:eastAsia="zh-CN"/>
                    </w:rPr>
                  </w:pPr>
                  <w:r>
                    <w:rPr>
                      <w:szCs w:val="21"/>
                      <w:u w:val="single"/>
                    </w:rPr>
                    <w:t>厂界</w:t>
                  </w:r>
                  <w:r>
                    <w:rPr>
                      <w:rFonts w:hint="eastAsia"/>
                      <w:szCs w:val="21"/>
                      <w:u w:val="single"/>
                      <w:lang w:eastAsia="zh-CN"/>
                    </w:rPr>
                    <w:t>上、下风向</w:t>
                  </w:r>
                </w:p>
              </w:tc>
              <w:tc>
                <w:tcPr>
                  <w:tcW w:w="2229" w:type="dxa"/>
                  <w:tcBorders>
                    <w:tl2br w:val="nil"/>
                    <w:tr2bl w:val="nil"/>
                  </w:tcBorders>
                  <w:vAlign w:val="center"/>
                </w:tcPr>
                <w:p>
                  <w:pPr>
                    <w:adjustRightInd w:val="0"/>
                    <w:snapToGrid w:val="0"/>
                    <w:jc w:val="center"/>
                    <w:rPr>
                      <w:szCs w:val="21"/>
                      <w:u w:val="single"/>
                    </w:rPr>
                  </w:pPr>
                  <w:r>
                    <w:rPr>
                      <w:rFonts w:hint="eastAsia"/>
                      <w:szCs w:val="21"/>
                      <w:u w:val="single"/>
                    </w:rPr>
                    <w:t>VOCs</w:t>
                  </w:r>
                </w:p>
              </w:tc>
              <w:tc>
                <w:tcPr>
                  <w:tcW w:w="2107" w:type="dxa"/>
                  <w:tcBorders>
                    <w:tl2br w:val="nil"/>
                    <w:tr2bl w:val="nil"/>
                  </w:tcBorders>
                  <w:vAlign w:val="center"/>
                </w:tcPr>
                <w:p>
                  <w:pPr>
                    <w:adjustRightInd w:val="0"/>
                    <w:snapToGrid w:val="0"/>
                    <w:jc w:val="center"/>
                    <w:rPr>
                      <w:szCs w:val="21"/>
                      <w:u w:val="single"/>
                    </w:rPr>
                  </w:pPr>
                  <w:r>
                    <w:rPr>
                      <w:szCs w:val="21"/>
                      <w:u w:val="single"/>
                    </w:rPr>
                    <w:t>1次/季，每次7天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358" w:type="dxa"/>
                  <w:tcBorders>
                    <w:tl2br w:val="nil"/>
                    <w:tr2bl w:val="nil"/>
                  </w:tcBorders>
                  <w:vAlign w:val="center"/>
                </w:tcPr>
                <w:p>
                  <w:pPr>
                    <w:adjustRightInd w:val="0"/>
                    <w:snapToGrid w:val="0"/>
                    <w:jc w:val="center"/>
                    <w:rPr>
                      <w:szCs w:val="21"/>
                      <w:u w:val="single"/>
                    </w:rPr>
                  </w:pPr>
                  <w:r>
                    <w:rPr>
                      <w:rFonts w:hint="eastAsia"/>
                      <w:szCs w:val="21"/>
                      <w:u w:val="single"/>
                    </w:rPr>
                    <w:t>噪声</w:t>
                  </w:r>
                </w:p>
              </w:tc>
              <w:tc>
                <w:tcPr>
                  <w:tcW w:w="1218" w:type="dxa"/>
                  <w:tcBorders>
                    <w:tl2br w:val="nil"/>
                    <w:tr2bl w:val="nil"/>
                  </w:tcBorders>
                  <w:vAlign w:val="center"/>
                </w:tcPr>
                <w:p>
                  <w:pPr>
                    <w:adjustRightInd w:val="0"/>
                    <w:snapToGrid w:val="0"/>
                    <w:jc w:val="center"/>
                    <w:rPr>
                      <w:szCs w:val="21"/>
                      <w:u w:val="single"/>
                    </w:rPr>
                  </w:pPr>
                  <w:r>
                    <w:rPr>
                      <w:szCs w:val="21"/>
                      <w:u w:val="single"/>
                    </w:rPr>
                    <w:t>营运期</w:t>
                  </w:r>
                </w:p>
              </w:tc>
              <w:tc>
                <w:tcPr>
                  <w:tcW w:w="1947" w:type="dxa"/>
                  <w:tcBorders>
                    <w:tl2br w:val="nil"/>
                    <w:tr2bl w:val="nil"/>
                  </w:tcBorders>
                  <w:vAlign w:val="center"/>
                </w:tcPr>
                <w:p>
                  <w:pPr>
                    <w:adjustRightInd w:val="0"/>
                    <w:snapToGrid w:val="0"/>
                    <w:jc w:val="center"/>
                    <w:rPr>
                      <w:szCs w:val="21"/>
                      <w:u w:val="single"/>
                    </w:rPr>
                  </w:pPr>
                  <w:r>
                    <w:rPr>
                      <w:szCs w:val="21"/>
                      <w:u w:val="single"/>
                    </w:rPr>
                    <w:t>厂界四周</w:t>
                  </w:r>
                </w:p>
              </w:tc>
              <w:tc>
                <w:tcPr>
                  <w:tcW w:w="2229" w:type="dxa"/>
                  <w:tcBorders>
                    <w:tl2br w:val="nil"/>
                    <w:tr2bl w:val="nil"/>
                  </w:tcBorders>
                  <w:vAlign w:val="center"/>
                </w:tcPr>
                <w:p>
                  <w:pPr>
                    <w:adjustRightInd w:val="0"/>
                    <w:snapToGrid w:val="0"/>
                    <w:jc w:val="center"/>
                    <w:rPr>
                      <w:szCs w:val="21"/>
                      <w:u w:val="single"/>
                    </w:rPr>
                  </w:pPr>
                  <w:r>
                    <w:rPr>
                      <w:szCs w:val="21"/>
                      <w:u w:val="single"/>
                    </w:rPr>
                    <w:t>等效连续声级</w:t>
                  </w:r>
                </w:p>
              </w:tc>
              <w:tc>
                <w:tcPr>
                  <w:tcW w:w="2107" w:type="dxa"/>
                  <w:tcBorders>
                    <w:tl2br w:val="nil"/>
                    <w:tr2bl w:val="nil"/>
                  </w:tcBorders>
                  <w:vAlign w:val="center"/>
                </w:tcPr>
                <w:p>
                  <w:pPr>
                    <w:adjustRightInd w:val="0"/>
                    <w:snapToGrid w:val="0"/>
                    <w:jc w:val="center"/>
                    <w:rPr>
                      <w:szCs w:val="21"/>
                      <w:u w:val="single"/>
                    </w:rPr>
                  </w:pPr>
                  <w:r>
                    <w:rPr>
                      <w:szCs w:val="21"/>
                      <w:u w:val="single"/>
                    </w:rPr>
                    <w:t>1次/季，每次2天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358" w:type="dxa"/>
                  <w:tcBorders>
                    <w:tl2br w:val="nil"/>
                    <w:tr2bl w:val="nil"/>
                  </w:tcBorders>
                  <w:vAlign w:val="center"/>
                </w:tcPr>
                <w:p>
                  <w:pPr>
                    <w:adjustRightInd w:val="0"/>
                    <w:snapToGrid w:val="0"/>
                    <w:jc w:val="center"/>
                    <w:rPr>
                      <w:rFonts w:hint="eastAsia" w:eastAsia="宋体"/>
                      <w:szCs w:val="21"/>
                      <w:u w:val="single"/>
                      <w:lang w:eastAsia="zh-CN"/>
                    </w:rPr>
                  </w:pPr>
                  <w:r>
                    <w:rPr>
                      <w:rFonts w:hint="eastAsia"/>
                      <w:szCs w:val="21"/>
                      <w:u w:val="single"/>
                      <w:lang w:eastAsia="zh-CN"/>
                    </w:rPr>
                    <w:t>地下水</w:t>
                  </w:r>
                </w:p>
              </w:tc>
              <w:tc>
                <w:tcPr>
                  <w:tcW w:w="1218" w:type="dxa"/>
                  <w:tcBorders>
                    <w:tl2br w:val="nil"/>
                    <w:tr2bl w:val="nil"/>
                  </w:tcBorders>
                  <w:vAlign w:val="center"/>
                </w:tcPr>
                <w:p>
                  <w:pPr>
                    <w:adjustRightInd w:val="0"/>
                    <w:snapToGrid w:val="0"/>
                    <w:jc w:val="center"/>
                    <w:rPr>
                      <w:rFonts w:hint="eastAsia" w:eastAsia="宋体"/>
                      <w:szCs w:val="21"/>
                      <w:u w:val="single"/>
                      <w:lang w:eastAsia="zh-CN"/>
                    </w:rPr>
                  </w:pPr>
                  <w:r>
                    <w:rPr>
                      <w:rFonts w:hint="eastAsia"/>
                      <w:szCs w:val="21"/>
                      <w:u w:val="single"/>
                      <w:lang w:eastAsia="zh-CN"/>
                    </w:rPr>
                    <w:t>营运期</w:t>
                  </w:r>
                </w:p>
              </w:tc>
              <w:tc>
                <w:tcPr>
                  <w:tcW w:w="1947" w:type="dxa"/>
                  <w:tcBorders>
                    <w:tl2br w:val="nil"/>
                    <w:tr2bl w:val="nil"/>
                  </w:tcBorders>
                  <w:vAlign w:val="center"/>
                </w:tcPr>
                <w:p>
                  <w:pPr>
                    <w:adjustRightInd w:val="0"/>
                    <w:snapToGrid w:val="0"/>
                    <w:jc w:val="center"/>
                    <w:rPr>
                      <w:rFonts w:hint="eastAsia" w:eastAsia="宋体"/>
                      <w:szCs w:val="21"/>
                      <w:u w:val="single"/>
                      <w:lang w:eastAsia="zh-CN"/>
                    </w:rPr>
                  </w:pPr>
                  <w:r>
                    <w:rPr>
                      <w:rFonts w:hint="eastAsia"/>
                      <w:szCs w:val="21"/>
                      <w:u w:val="single"/>
                      <w:lang w:eastAsia="zh-CN"/>
                    </w:rPr>
                    <w:t>地下水监测井</w:t>
                  </w:r>
                </w:p>
              </w:tc>
              <w:tc>
                <w:tcPr>
                  <w:tcW w:w="2229" w:type="dxa"/>
                  <w:tcBorders>
                    <w:tl2br w:val="nil"/>
                    <w:tr2bl w:val="nil"/>
                  </w:tcBorders>
                  <w:vAlign w:val="center"/>
                </w:tcPr>
                <w:p>
                  <w:pPr>
                    <w:adjustRightInd w:val="0"/>
                    <w:snapToGrid w:val="0"/>
                    <w:jc w:val="center"/>
                    <w:rPr>
                      <w:rFonts w:hint="eastAsia" w:eastAsia="宋体"/>
                      <w:szCs w:val="21"/>
                      <w:u w:val="single"/>
                      <w:lang w:eastAsia="zh-CN"/>
                    </w:rPr>
                  </w:pPr>
                  <w:r>
                    <w:rPr>
                      <w:rFonts w:hint="eastAsia"/>
                      <w:szCs w:val="21"/>
                      <w:u w:val="single"/>
                      <w:lang w:eastAsia="zh-CN"/>
                    </w:rPr>
                    <w:t>石油类</w:t>
                  </w:r>
                </w:p>
              </w:tc>
              <w:tc>
                <w:tcPr>
                  <w:tcW w:w="2107" w:type="dxa"/>
                  <w:tcBorders>
                    <w:tl2br w:val="nil"/>
                    <w:tr2bl w:val="nil"/>
                  </w:tcBorders>
                  <w:vAlign w:val="center"/>
                </w:tcPr>
                <w:p>
                  <w:pPr>
                    <w:adjustRightInd w:val="0"/>
                    <w:snapToGrid w:val="0"/>
                    <w:jc w:val="center"/>
                    <w:rPr>
                      <w:szCs w:val="21"/>
                      <w:u w:val="single"/>
                    </w:rPr>
                  </w:pPr>
                  <w:r>
                    <w:rPr>
                      <w:szCs w:val="21"/>
                      <w:u w:val="single"/>
                    </w:rPr>
                    <w:t>1次/季，每次</w:t>
                  </w:r>
                  <w:r>
                    <w:rPr>
                      <w:rFonts w:hint="eastAsia"/>
                      <w:szCs w:val="21"/>
                      <w:u w:val="single"/>
                      <w:lang w:val="en-US" w:eastAsia="zh-CN"/>
                    </w:rPr>
                    <w:t>3</w:t>
                  </w:r>
                  <w:r>
                    <w:rPr>
                      <w:szCs w:val="21"/>
                      <w:u w:val="single"/>
                    </w:rPr>
                    <w:t>天</w:t>
                  </w:r>
                </w:p>
              </w:tc>
            </w:tr>
          </w:tbl>
          <w:p>
            <w:pPr>
              <w:pStyle w:val="5"/>
              <w:rPr>
                <w:u w:val="single"/>
              </w:rPr>
            </w:pPr>
            <w:r>
              <w:rPr>
                <w:u w:val="single"/>
              </w:rPr>
              <w:t>项目环境保护投资估算及</w:t>
            </w:r>
            <w:r>
              <w:rPr>
                <w:rFonts w:hint="eastAsia"/>
                <w:u w:val="single"/>
              </w:rPr>
              <w:t>验收监测</w:t>
            </w:r>
            <w:r>
              <w:rPr>
                <w:u w:val="single"/>
              </w:rPr>
              <w:t>内容</w:t>
            </w:r>
          </w:p>
          <w:p>
            <w:pPr>
              <w:adjustRightInd w:val="0"/>
              <w:snapToGrid w:val="0"/>
              <w:spacing w:line="360" w:lineRule="auto"/>
              <w:ind w:firstLine="480" w:firstLineChars="200"/>
              <w:rPr>
                <w:sz w:val="24"/>
                <w:u w:val="single"/>
              </w:rPr>
            </w:pPr>
            <w:r>
              <w:rPr>
                <w:sz w:val="24"/>
                <w:u w:val="single"/>
              </w:rPr>
              <w:t>（1）项目环保投资估算</w:t>
            </w:r>
          </w:p>
          <w:p>
            <w:pPr>
              <w:adjustRightInd w:val="0"/>
              <w:snapToGrid w:val="0"/>
              <w:spacing w:line="360" w:lineRule="auto"/>
              <w:ind w:firstLine="480" w:firstLineChars="200"/>
              <w:rPr>
                <w:sz w:val="24"/>
                <w:u w:val="single"/>
              </w:rPr>
            </w:pPr>
            <w:r>
              <w:rPr>
                <w:sz w:val="24"/>
                <w:u w:val="single"/>
              </w:rPr>
              <w:t>项目总投资</w:t>
            </w:r>
            <w:r>
              <w:rPr>
                <w:rFonts w:hint="eastAsia"/>
                <w:sz w:val="24"/>
                <w:u w:val="single"/>
              </w:rPr>
              <w:t>400万元</w:t>
            </w:r>
            <w:r>
              <w:rPr>
                <w:sz w:val="24"/>
                <w:u w:val="single"/>
              </w:rPr>
              <w:t>，其中环保投资为</w:t>
            </w:r>
            <w:r>
              <w:rPr>
                <w:rFonts w:hint="eastAsia"/>
                <w:sz w:val="24"/>
                <w:u w:val="single"/>
              </w:rPr>
              <w:t>20</w:t>
            </w:r>
            <w:r>
              <w:rPr>
                <w:sz w:val="24"/>
                <w:u w:val="single"/>
              </w:rPr>
              <w:t>万元，占总投资比例为</w:t>
            </w:r>
            <w:r>
              <w:rPr>
                <w:rFonts w:hint="eastAsia"/>
                <w:sz w:val="24"/>
                <w:u w:val="single"/>
              </w:rPr>
              <w:t>5%</w:t>
            </w:r>
            <w:r>
              <w:rPr>
                <w:sz w:val="24"/>
                <w:u w:val="single"/>
              </w:rPr>
              <w:t>。</w:t>
            </w:r>
            <w:r>
              <w:rPr>
                <w:rFonts w:hint="eastAsia"/>
                <w:sz w:val="24"/>
                <w:u w:val="single"/>
              </w:rPr>
              <w:t>项目</w:t>
            </w:r>
            <w:r>
              <w:rPr>
                <w:sz w:val="24"/>
                <w:u w:val="single"/>
              </w:rPr>
              <w:t>环保投资情况详见表7.</w:t>
            </w:r>
            <w:r>
              <w:rPr>
                <w:rFonts w:hint="eastAsia"/>
                <w:sz w:val="24"/>
                <w:u w:val="single"/>
              </w:rPr>
              <w:t>6</w:t>
            </w:r>
            <w:r>
              <w:rPr>
                <w:sz w:val="24"/>
                <w:u w:val="single"/>
              </w:rPr>
              <w:t>-1。</w:t>
            </w:r>
          </w:p>
          <w:p>
            <w:pPr>
              <w:pStyle w:val="41"/>
              <w:rPr>
                <w:sz w:val="24"/>
                <w:szCs w:val="24"/>
                <w:u w:val="single"/>
              </w:rPr>
            </w:pPr>
            <w:r>
              <w:rPr>
                <w:sz w:val="24"/>
                <w:szCs w:val="24"/>
                <w:u w:val="single"/>
              </w:rPr>
              <w:t>表7.</w:t>
            </w:r>
            <w:r>
              <w:rPr>
                <w:rFonts w:hint="eastAsia"/>
                <w:sz w:val="24"/>
                <w:szCs w:val="24"/>
                <w:u w:val="single"/>
              </w:rPr>
              <w:t>6</w:t>
            </w:r>
            <w:r>
              <w:rPr>
                <w:sz w:val="24"/>
                <w:szCs w:val="24"/>
                <w:u w:val="single"/>
              </w:rPr>
              <w:t xml:space="preserve">-1   </w:t>
            </w:r>
            <w:r>
              <w:rPr>
                <w:rFonts w:hint="eastAsia"/>
                <w:sz w:val="24"/>
                <w:szCs w:val="24"/>
                <w:u w:val="single"/>
              </w:rPr>
              <w:t>项目环保投资一览表</w:t>
            </w:r>
          </w:p>
          <w:tbl>
            <w:tblPr>
              <w:tblStyle w:val="24"/>
              <w:tblW w:w="931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734"/>
              <w:gridCol w:w="2625"/>
              <w:gridCol w:w="2981"/>
              <w:gridCol w:w="1127"/>
              <w:gridCol w:w="112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16" w:type="dxa"/>
                  <w:vAlign w:val="center"/>
                </w:tcPr>
                <w:p>
                  <w:pPr>
                    <w:adjustRightInd w:val="0"/>
                    <w:snapToGrid w:val="0"/>
                    <w:jc w:val="center"/>
                    <w:rPr>
                      <w:spacing w:val="4"/>
                      <w:szCs w:val="21"/>
                      <w:u w:val="single"/>
                    </w:rPr>
                  </w:pPr>
                  <w:r>
                    <w:rPr>
                      <w:spacing w:val="4"/>
                      <w:szCs w:val="21"/>
                      <w:u w:val="single"/>
                    </w:rPr>
                    <w:t>序号</w:t>
                  </w:r>
                </w:p>
              </w:tc>
              <w:tc>
                <w:tcPr>
                  <w:tcW w:w="3359" w:type="dxa"/>
                  <w:gridSpan w:val="2"/>
                  <w:vAlign w:val="center"/>
                </w:tcPr>
                <w:p>
                  <w:pPr>
                    <w:adjustRightInd w:val="0"/>
                    <w:snapToGrid w:val="0"/>
                    <w:jc w:val="center"/>
                    <w:rPr>
                      <w:spacing w:val="4"/>
                      <w:szCs w:val="21"/>
                      <w:u w:val="single"/>
                    </w:rPr>
                  </w:pPr>
                  <w:r>
                    <w:rPr>
                      <w:rFonts w:hint="eastAsia"/>
                      <w:spacing w:val="4"/>
                      <w:szCs w:val="21"/>
                      <w:u w:val="single"/>
                    </w:rPr>
                    <w:t>污染防治项目</w:t>
                  </w:r>
                </w:p>
              </w:tc>
              <w:tc>
                <w:tcPr>
                  <w:tcW w:w="2981" w:type="dxa"/>
                  <w:vAlign w:val="center"/>
                </w:tcPr>
                <w:p>
                  <w:pPr>
                    <w:adjustRightInd w:val="0"/>
                    <w:snapToGrid w:val="0"/>
                    <w:jc w:val="center"/>
                    <w:rPr>
                      <w:spacing w:val="4"/>
                      <w:szCs w:val="21"/>
                      <w:u w:val="single"/>
                    </w:rPr>
                  </w:pPr>
                  <w:r>
                    <w:rPr>
                      <w:rFonts w:hint="eastAsia"/>
                      <w:spacing w:val="4"/>
                      <w:szCs w:val="21"/>
                      <w:u w:val="single"/>
                    </w:rPr>
                    <w:t>环保设施名称及数量</w:t>
                  </w:r>
                </w:p>
              </w:tc>
              <w:tc>
                <w:tcPr>
                  <w:tcW w:w="1127" w:type="dxa"/>
                  <w:vAlign w:val="center"/>
                </w:tcPr>
                <w:p>
                  <w:pPr>
                    <w:adjustRightInd w:val="0"/>
                    <w:snapToGrid w:val="0"/>
                    <w:jc w:val="center"/>
                    <w:rPr>
                      <w:spacing w:val="4"/>
                      <w:szCs w:val="21"/>
                      <w:u w:val="single"/>
                    </w:rPr>
                  </w:pPr>
                  <w:r>
                    <w:rPr>
                      <w:rFonts w:hint="eastAsia"/>
                      <w:spacing w:val="4"/>
                      <w:szCs w:val="21"/>
                      <w:u w:val="single"/>
                    </w:rPr>
                    <w:t>环保投资（万元）</w:t>
                  </w:r>
                </w:p>
              </w:tc>
              <w:tc>
                <w:tcPr>
                  <w:tcW w:w="1128" w:type="dxa"/>
                  <w:vAlign w:val="center"/>
                </w:tcPr>
                <w:p>
                  <w:pPr>
                    <w:adjustRightInd w:val="0"/>
                    <w:snapToGrid w:val="0"/>
                    <w:jc w:val="center"/>
                    <w:rPr>
                      <w:spacing w:val="4"/>
                      <w:szCs w:val="21"/>
                      <w:u w:val="single"/>
                    </w:rPr>
                  </w:pPr>
                  <w:r>
                    <w:rPr>
                      <w:rFonts w:hint="eastAsia"/>
                      <w:spacing w:val="4"/>
                      <w:szCs w:val="21"/>
                      <w:u w:val="singl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restart"/>
                  <w:vAlign w:val="center"/>
                </w:tcPr>
                <w:p>
                  <w:pPr>
                    <w:adjustRightInd w:val="0"/>
                    <w:snapToGrid w:val="0"/>
                    <w:jc w:val="center"/>
                    <w:rPr>
                      <w:bCs/>
                      <w:spacing w:val="4"/>
                      <w:szCs w:val="21"/>
                      <w:u w:val="single"/>
                    </w:rPr>
                  </w:pPr>
                  <w:r>
                    <w:rPr>
                      <w:rFonts w:hint="eastAsia"/>
                      <w:bCs/>
                      <w:spacing w:val="4"/>
                      <w:szCs w:val="21"/>
                      <w:u w:val="single"/>
                    </w:rPr>
                    <w:t>1</w:t>
                  </w:r>
                </w:p>
              </w:tc>
              <w:tc>
                <w:tcPr>
                  <w:tcW w:w="734" w:type="dxa"/>
                  <w:vMerge w:val="restart"/>
                  <w:vAlign w:val="center"/>
                </w:tcPr>
                <w:p>
                  <w:pPr>
                    <w:adjustRightInd w:val="0"/>
                    <w:snapToGrid w:val="0"/>
                    <w:jc w:val="center"/>
                    <w:rPr>
                      <w:bCs/>
                      <w:spacing w:val="4"/>
                      <w:szCs w:val="21"/>
                      <w:u w:val="single"/>
                    </w:rPr>
                  </w:pPr>
                  <w:r>
                    <w:rPr>
                      <w:rFonts w:hint="eastAsia"/>
                      <w:bCs/>
                      <w:spacing w:val="4"/>
                      <w:szCs w:val="21"/>
                      <w:u w:val="single"/>
                    </w:rPr>
                    <w:t>水污染防治</w:t>
                  </w:r>
                </w:p>
              </w:tc>
              <w:tc>
                <w:tcPr>
                  <w:tcW w:w="2625" w:type="dxa"/>
                  <w:vAlign w:val="center"/>
                </w:tcPr>
                <w:p>
                  <w:pPr>
                    <w:adjustRightInd w:val="0"/>
                    <w:snapToGrid w:val="0"/>
                    <w:jc w:val="center"/>
                    <w:rPr>
                      <w:bCs/>
                      <w:spacing w:val="4"/>
                      <w:szCs w:val="21"/>
                      <w:u w:val="single"/>
                    </w:rPr>
                  </w:pPr>
                  <w:r>
                    <w:rPr>
                      <w:rFonts w:hint="eastAsia"/>
                      <w:bCs/>
                      <w:spacing w:val="4"/>
                      <w:szCs w:val="21"/>
                      <w:u w:val="single"/>
                    </w:rPr>
                    <w:t>生活污水经化粪池处理</w:t>
                  </w:r>
                </w:p>
              </w:tc>
              <w:tc>
                <w:tcPr>
                  <w:tcW w:w="2981" w:type="dxa"/>
                  <w:vAlign w:val="center"/>
                </w:tcPr>
                <w:p>
                  <w:pPr>
                    <w:adjustRightInd w:val="0"/>
                    <w:snapToGrid w:val="0"/>
                    <w:rPr>
                      <w:bCs/>
                      <w:spacing w:val="4"/>
                      <w:szCs w:val="21"/>
                      <w:u w:val="single"/>
                    </w:rPr>
                  </w:pPr>
                  <w:r>
                    <w:rPr>
                      <w:bCs/>
                      <w:spacing w:val="4"/>
                      <w:szCs w:val="21"/>
                      <w:u w:val="single"/>
                    </w:rPr>
                    <w:t>在</w:t>
                  </w:r>
                  <w:r>
                    <w:rPr>
                      <w:rFonts w:hint="eastAsia"/>
                      <w:bCs/>
                      <w:spacing w:val="4"/>
                      <w:szCs w:val="21"/>
                      <w:u w:val="single"/>
                    </w:rPr>
                    <w:t>站房西侧</w:t>
                  </w:r>
                  <w:r>
                    <w:rPr>
                      <w:bCs/>
                      <w:spacing w:val="4"/>
                      <w:szCs w:val="21"/>
                      <w:u w:val="single"/>
                    </w:rPr>
                    <w:t>建设一个</w:t>
                  </w:r>
                  <w:r>
                    <w:rPr>
                      <w:rFonts w:hint="eastAsia"/>
                      <w:bCs/>
                      <w:spacing w:val="4"/>
                      <w:szCs w:val="21"/>
                      <w:u w:val="single"/>
                    </w:rPr>
                    <w:t>了</w:t>
                  </w:r>
                  <w:r>
                    <w:rPr>
                      <w:bCs/>
                      <w:spacing w:val="4"/>
                      <w:szCs w:val="21"/>
                      <w:u w:val="single"/>
                    </w:rPr>
                    <w:t>化粪池</w:t>
                  </w:r>
                </w:p>
              </w:tc>
              <w:tc>
                <w:tcPr>
                  <w:tcW w:w="1127" w:type="dxa"/>
                  <w:vAlign w:val="center"/>
                </w:tcPr>
                <w:p>
                  <w:pPr>
                    <w:adjustRightInd w:val="0"/>
                    <w:snapToGrid w:val="0"/>
                    <w:jc w:val="center"/>
                    <w:rPr>
                      <w:bCs/>
                      <w:spacing w:val="4"/>
                      <w:szCs w:val="21"/>
                      <w:u w:val="single"/>
                    </w:rPr>
                  </w:pPr>
                  <w:r>
                    <w:rPr>
                      <w:rFonts w:hint="eastAsia"/>
                      <w:bCs/>
                      <w:spacing w:val="4"/>
                      <w:szCs w:val="21"/>
                      <w:u w:val="single"/>
                    </w:rPr>
                    <w:t>0.4</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已建成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continue"/>
                  <w:vAlign w:val="center"/>
                </w:tcPr>
                <w:p>
                  <w:pPr>
                    <w:adjustRightInd w:val="0"/>
                    <w:snapToGrid w:val="0"/>
                    <w:jc w:val="center"/>
                    <w:rPr>
                      <w:bCs/>
                      <w:spacing w:val="4"/>
                      <w:szCs w:val="21"/>
                      <w:u w:val="single"/>
                    </w:rPr>
                  </w:pPr>
                </w:p>
              </w:tc>
              <w:tc>
                <w:tcPr>
                  <w:tcW w:w="734" w:type="dxa"/>
                  <w:vMerge w:val="continue"/>
                  <w:vAlign w:val="center"/>
                </w:tcPr>
                <w:p>
                  <w:pPr>
                    <w:adjustRightInd w:val="0"/>
                    <w:snapToGrid w:val="0"/>
                    <w:jc w:val="center"/>
                    <w:rPr>
                      <w:bCs/>
                      <w:spacing w:val="4"/>
                      <w:szCs w:val="21"/>
                      <w:u w:val="single"/>
                    </w:rPr>
                  </w:pPr>
                </w:p>
              </w:tc>
              <w:tc>
                <w:tcPr>
                  <w:tcW w:w="2625" w:type="dxa"/>
                  <w:vAlign w:val="center"/>
                </w:tcPr>
                <w:p>
                  <w:pPr>
                    <w:adjustRightInd w:val="0"/>
                    <w:snapToGrid w:val="0"/>
                    <w:jc w:val="center"/>
                    <w:rPr>
                      <w:bCs/>
                      <w:spacing w:val="4"/>
                      <w:szCs w:val="21"/>
                      <w:u w:val="single"/>
                    </w:rPr>
                  </w:pPr>
                  <w:r>
                    <w:rPr>
                      <w:rFonts w:hint="eastAsia"/>
                      <w:bCs/>
                      <w:spacing w:val="4"/>
                      <w:szCs w:val="21"/>
                      <w:u w:val="single"/>
                    </w:rPr>
                    <w:t>地面清洗、车辆冲洗废水经隔油沉淀池处理</w:t>
                  </w:r>
                </w:p>
              </w:tc>
              <w:tc>
                <w:tcPr>
                  <w:tcW w:w="2981" w:type="dxa"/>
                  <w:vAlign w:val="center"/>
                </w:tcPr>
                <w:p>
                  <w:pPr>
                    <w:adjustRightInd w:val="0"/>
                    <w:snapToGrid w:val="0"/>
                    <w:rPr>
                      <w:bCs/>
                      <w:spacing w:val="4"/>
                      <w:szCs w:val="21"/>
                      <w:u w:val="single"/>
                    </w:rPr>
                  </w:pPr>
                  <w:r>
                    <w:rPr>
                      <w:szCs w:val="21"/>
                      <w:u w:val="single"/>
                    </w:rPr>
                    <w:t>在</w:t>
                  </w:r>
                  <w:r>
                    <w:rPr>
                      <w:rFonts w:hint="eastAsia"/>
                      <w:szCs w:val="21"/>
                      <w:u w:val="single"/>
                    </w:rPr>
                    <w:t>洗车棚东侧建设了一个隔油池及沉淀池</w:t>
                  </w:r>
                </w:p>
              </w:tc>
              <w:tc>
                <w:tcPr>
                  <w:tcW w:w="1127" w:type="dxa"/>
                  <w:vAlign w:val="center"/>
                </w:tcPr>
                <w:p>
                  <w:pPr>
                    <w:adjustRightInd w:val="0"/>
                    <w:snapToGrid w:val="0"/>
                    <w:jc w:val="center"/>
                    <w:rPr>
                      <w:bCs/>
                      <w:spacing w:val="4"/>
                      <w:szCs w:val="21"/>
                      <w:u w:val="single"/>
                    </w:rPr>
                  </w:pPr>
                  <w:r>
                    <w:rPr>
                      <w:bCs/>
                      <w:spacing w:val="4"/>
                      <w:szCs w:val="21"/>
                      <w:u w:val="single"/>
                    </w:rPr>
                    <w:t>1.0</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已建成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continue"/>
                  <w:vAlign w:val="center"/>
                </w:tcPr>
                <w:p>
                  <w:pPr>
                    <w:adjustRightInd w:val="0"/>
                    <w:snapToGrid w:val="0"/>
                    <w:jc w:val="center"/>
                    <w:rPr>
                      <w:bCs/>
                      <w:spacing w:val="4"/>
                      <w:szCs w:val="21"/>
                      <w:u w:val="single"/>
                    </w:rPr>
                  </w:pPr>
                </w:p>
              </w:tc>
              <w:tc>
                <w:tcPr>
                  <w:tcW w:w="734" w:type="dxa"/>
                  <w:vMerge w:val="continue"/>
                  <w:vAlign w:val="center"/>
                </w:tcPr>
                <w:p>
                  <w:pPr>
                    <w:adjustRightInd w:val="0"/>
                    <w:snapToGrid w:val="0"/>
                    <w:jc w:val="center"/>
                    <w:rPr>
                      <w:bCs/>
                      <w:spacing w:val="4"/>
                      <w:szCs w:val="21"/>
                      <w:u w:val="single"/>
                    </w:rPr>
                  </w:pPr>
                </w:p>
              </w:tc>
              <w:tc>
                <w:tcPr>
                  <w:tcW w:w="2625" w:type="dxa"/>
                  <w:vAlign w:val="center"/>
                </w:tcPr>
                <w:p>
                  <w:pPr>
                    <w:adjustRightInd w:val="0"/>
                    <w:snapToGrid w:val="0"/>
                    <w:rPr>
                      <w:bCs/>
                      <w:spacing w:val="4"/>
                      <w:szCs w:val="21"/>
                      <w:u w:val="single"/>
                    </w:rPr>
                  </w:pPr>
                  <w:r>
                    <w:rPr>
                      <w:rFonts w:hint="eastAsia"/>
                      <w:bCs/>
                      <w:spacing w:val="6"/>
                      <w:szCs w:val="21"/>
                      <w:u w:val="single"/>
                    </w:rPr>
                    <w:t>加油、卸油区地面防渗，其他地面硬化。完善的污水、雨水排水管沟。</w:t>
                  </w:r>
                </w:p>
              </w:tc>
              <w:tc>
                <w:tcPr>
                  <w:tcW w:w="2981" w:type="dxa"/>
                  <w:vAlign w:val="center"/>
                </w:tcPr>
                <w:p>
                  <w:pPr>
                    <w:adjustRightInd w:val="0"/>
                    <w:snapToGrid w:val="0"/>
                    <w:rPr>
                      <w:bCs/>
                      <w:spacing w:val="4"/>
                      <w:szCs w:val="21"/>
                      <w:u w:val="single"/>
                    </w:rPr>
                  </w:pPr>
                  <w:r>
                    <w:rPr>
                      <w:spacing w:val="6"/>
                      <w:szCs w:val="21"/>
                      <w:u w:val="single"/>
                    </w:rPr>
                    <w:t>避免油品渗漏对地下水及土壤造成污染，避免站区废水事故外排。</w:t>
                  </w:r>
                </w:p>
              </w:tc>
              <w:tc>
                <w:tcPr>
                  <w:tcW w:w="1127" w:type="dxa"/>
                  <w:vAlign w:val="center"/>
                </w:tcPr>
                <w:p>
                  <w:pPr>
                    <w:adjustRightInd w:val="0"/>
                    <w:snapToGrid w:val="0"/>
                    <w:jc w:val="center"/>
                    <w:rPr>
                      <w:bCs/>
                      <w:spacing w:val="4"/>
                      <w:szCs w:val="21"/>
                      <w:u w:val="single"/>
                    </w:rPr>
                  </w:pPr>
                  <w:r>
                    <w:rPr>
                      <w:rFonts w:hint="eastAsia"/>
                      <w:bCs/>
                      <w:spacing w:val="4"/>
                      <w:szCs w:val="21"/>
                      <w:u w:val="single"/>
                    </w:rPr>
                    <w:t>5.0</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已建成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16" w:type="dxa"/>
                  <w:vAlign w:val="center"/>
                </w:tcPr>
                <w:p>
                  <w:pPr>
                    <w:adjustRightInd w:val="0"/>
                    <w:snapToGrid w:val="0"/>
                    <w:jc w:val="center"/>
                    <w:rPr>
                      <w:bCs/>
                      <w:spacing w:val="4"/>
                      <w:szCs w:val="21"/>
                      <w:u w:val="single"/>
                    </w:rPr>
                  </w:pPr>
                  <w:r>
                    <w:rPr>
                      <w:rFonts w:hint="eastAsia"/>
                      <w:bCs/>
                      <w:spacing w:val="4"/>
                      <w:szCs w:val="21"/>
                      <w:u w:val="single"/>
                    </w:rPr>
                    <w:t>2</w:t>
                  </w:r>
                </w:p>
              </w:tc>
              <w:tc>
                <w:tcPr>
                  <w:tcW w:w="734" w:type="dxa"/>
                  <w:vAlign w:val="center"/>
                </w:tcPr>
                <w:p>
                  <w:pPr>
                    <w:adjustRightInd w:val="0"/>
                    <w:snapToGrid w:val="0"/>
                    <w:jc w:val="center"/>
                    <w:rPr>
                      <w:bCs/>
                      <w:spacing w:val="4"/>
                      <w:szCs w:val="21"/>
                      <w:u w:val="single"/>
                    </w:rPr>
                  </w:pPr>
                  <w:r>
                    <w:rPr>
                      <w:rFonts w:hint="eastAsia"/>
                      <w:bCs/>
                      <w:spacing w:val="4"/>
                      <w:szCs w:val="21"/>
                      <w:u w:val="single"/>
                    </w:rPr>
                    <w:t>大气污防治</w:t>
                  </w:r>
                </w:p>
              </w:tc>
              <w:tc>
                <w:tcPr>
                  <w:tcW w:w="2625" w:type="dxa"/>
                  <w:vAlign w:val="center"/>
                </w:tcPr>
                <w:p>
                  <w:pPr>
                    <w:adjustRightInd w:val="0"/>
                    <w:snapToGrid w:val="0"/>
                    <w:jc w:val="center"/>
                    <w:rPr>
                      <w:bCs/>
                      <w:spacing w:val="4"/>
                      <w:szCs w:val="21"/>
                      <w:u w:val="single"/>
                    </w:rPr>
                  </w:pPr>
                  <w:r>
                    <w:rPr>
                      <w:szCs w:val="21"/>
                      <w:u w:val="single"/>
                    </w:rPr>
                    <w:t>卸油、加油、贮油</w:t>
                  </w:r>
                </w:p>
              </w:tc>
              <w:tc>
                <w:tcPr>
                  <w:tcW w:w="2981" w:type="dxa"/>
                  <w:vAlign w:val="center"/>
                </w:tcPr>
                <w:p>
                  <w:pPr>
                    <w:adjustRightInd w:val="0"/>
                    <w:snapToGrid w:val="0"/>
                    <w:rPr>
                      <w:szCs w:val="21"/>
                      <w:u w:val="single"/>
                    </w:rPr>
                  </w:pPr>
                  <w:r>
                    <w:rPr>
                      <w:rFonts w:hint="eastAsia"/>
                      <w:bCs/>
                      <w:spacing w:val="6"/>
                      <w:szCs w:val="21"/>
                      <w:u w:val="single"/>
                    </w:rPr>
                    <w:t>油气回收装置等</w:t>
                  </w:r>
                </w:p>
              </w:tc>
              <w:tc>
                <w:tcPr>
                  <w:tcW w:w="1127" w:type="dxa"/>
                  <w:vAlign w:val="center"/>
                </w:tcPr>
                <w:p>
                  <w:pPr>
                    <w:adjustRightInd w:val="0"/>
                    <w:snapToGrid w:val="0"/>
                    <w:jc w:val="center"/>
                    <w:rPr>
                      <w:bCs/>
                      <w:spacing w:val="4"/>
                      <w:szCs w:val="21"/>
                      <w:u w:val="single"/>
                    </w:rPr>
                  </w:pPr>
                  <w:r>
                    <w:rPr>
                      <w:rFonts w:hint="eastAsia"/>
                      <w:bCs/>
                      <w:spacing w:val="4"/>
                      <w:szCs w:val="21"/>
                      <w:u w:val="single"/>
                    </w:rPr>
                    <w:t>10</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已完成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81" w:hRule="atLeast"/>
                <w:jc w:val="center"/>
              </w:trPr>
              <w:tc>
                <w:tcPr>
                  <w:tcW w:w="716" w:type="dxa"/>
                  <w:vAlign w:val="center"/>
                </w:tcPr>
                <w:p>
                  <w:pPr>
                    <w:adjustRightInd w:val="0"/>
                    <w:snapToGrid w:val="0"/>
                    <w:jc w:val="center"/>
                    <w:rPr>
                      <w:bCs/>
                      <w:spacing w:val="4"/>
                      <w:szCs w:val="21"/>
                      <w:u w:val="single"/>
                    </w:rPr>
                  </w:pPr>
                  <w:r>
                    <w:rPr>
                      <w:rFonts w:hint="eastAsia"/>
                      <w:bCs/>
                      <w:spacing w:val="4"/>
                      <w:szCs w:val="21"/>
                      <w:u w:val="single"/>
                    </w:rPr>
                    <w:t>3</w:t>
                  </w:r>
                </w:p>
              </w:tc>
              <w:tc>
                <w:tcPr>
                  <w:tcW w:w="734" w:type="dxa"/>
                  <w:vAlign w:val="center"/>
                </w:tcPr>
                <w:p>
                  <w:pPr>
                    <w:adjustRightInd w:val="0"/>
                    <w:snapToGrid w:val="0"/>
                    <w:jc w:val="center"/>
                    <w:rPr>
                      <w:bCs/>
                      <w:spacing w:val="4"/>
                      <w:szCs w:val="21"/>
                      <w:u w:val="single"/>
                    </w:rPr>
                  </w:pPr>
                  <w:r>
                    <w:rPr>
                      <w:bCs/>
                      <w:spacing w:val="4"/>
                      <w:szCs w:val="21"/>
                      <w:u w:val="single"/>
                    </w:rPr>
                    <w:t>噪声</w:t>
                  </w:r>
                  <w:r>
                    <w:rPr>
                      <w:rFonts w:hint="eastAsia"/>
                      <w:bCs/>
                      <w:spacing w:val="4"/>
                      <w:szCs w:val="21"/>
                      <w:u w:val="single"/>
                    </w:rPr>
                    <w:t>防治</w:t>
                  </w:r>
                </w:p>
              </w:tc>
              <w:tc>
                <w:tcPr>
                  <w:tcW w:w="2625" w:type="dxa"/>
                  <w:vAlign w:val="center"/>
                </w:tcPr>
                <w:p>
                  <w:pPr>
                    <w:adjustRightInd w:val="0"/>
                    <w:snapToGrid w:val="0"/>
                    <w:jc w:val="center"/>
                    <w:rPr>
                      <w:bCs/>
                      <w:spacing w:val="4"/>
                      <w:szCs w:val="21"/>
                      <w:u w:val="single"/>
                    </w:rPr>
                  </w:pPr>
                  <w:r>
                    <w:rPr>
                      <w:rFonts w:hint="eastAsia"/>
                      <w:iCs/>
                      <w:szCs w:val="21"/>
                      <w:u w:val="single"/>
                    </w:rPr>
                    <w:t>车辆交通噪声、卸油、加油时油泵噪声、油气回收装置压缩机噪声</w:t>
                  </w:r>
                </w:p>
              </w:tc>
              <w:tc>
                <w:tcPr>
                  <w:tcW w:w="2981" w:type="dxa"/>
                  <w:vAlign w:val="center"/>
                </w:tcPr>
                <w:p>
                  <w:pPr>
                    <w:adjustRightInd w:val="0"/>
                    <w:snapToGrid w:val="0"/>
                    <w:rPr>
                      <w:bCs/>
                      <w:spacing w:val="4"/>
                      <w:szCs w:val="21"/>
                      <w:u w:val="single"/>
                    </w:rPr>
                  </w:pPr>
                  <w:r>
                    <w:rPr>
                      <w:szCs w:val="21"/>
                      <w:u w:val="single"/>
                    </w:rPr>
                    <w:t>优选低噪声设备</w:t>
                  </w:r>
                  <w:r>
                    <w:rPr>
                      <w:rFonts w:hint="eastAsia"/>
                      <w:szCs w:val="21"/>
                      <w:u w:val="single"/>
                    </w:rPr>
                    <w:t>、隔声、减震、</w:t>
                  </w:r>
                  <w:r>
                    <w:rPr>
                      <w:szCs w:val="21"/>
                      <w:u w:val="single"/>
                    </w:rPr>
                    <w:t>车辆管理</w:t>
                  </w:r>
                </w:p>
              </w:tc>
              <w:tc>
                <w:tcPr>
                  <w:tcW w:w="1127" w:type="dxa"/>
                  <w:vAlign w:val="center"/>
                </w:tcPr>
                <w:p>
                  <w:pPr>
                    <w:adjustRightInd w:val="0"/>
                    <w:snapToGrid w:val="0"/>
                    <w:jc w:val="center"/>
                    <w:rPr>
                      <w:bCs/>
                      <w:spacing w:val="4"/>
                      <w:szCs w:val="21"/>
                      <w:u w:val="single"/>
                    </w:rPr>
                  </w:pPr>
                  <w:r>
                    <w:rPr>
                      <w:rFonts w:hint="eastAsia"/>
                      <w:bCs/>
                      <w:spacing w:val="4"/>
                      <w:szCs w:val="21"/>
                      <w:u w:val="single"/>
                    </w:rPr>
                    <w:t>1.0</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已完成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16" w:type="dxa"/>
                  <w:vMerge w:val="restart"/>
                  <w:vAlign w:val="center"/>
                </w:tcPr>
                <w:p>
                  <w:pPr>
                    <w:adjustRightInd w:val="0"/>
                    <w:snapToGrid w:val="0"/>
                    <w:jc w:val="center"/>
                    <w:rPr>
                      <w:bCs/>
                      <w:spacing w:val="4"/>
                      <w:szCs w:val="21"/>
                      <w:u w:val="single"/>
                    </w:rPr>
                  </w:pPr>
                  <w:r>
                    <w:rPr>
                      <w:rFonts w:hint="eastAsia"/>
                      <w:bCs/>
                      <w:spacing w:val="4"/>
                      <w:szCs w:val="21"/>
                      <w:u w:val="single"/>
                    </w:rPr>
                    <w:t>4</w:t>
                  </w:r>
                </w:p>
              </w:tc>
              <w:tc>
                <w:tcPr>
                  <w:tcW w:w="734" w:type="dxa"/>
                  <w:vMerge w:val="restart"/>
                  <w:vAlign w:val="center"/>
                </w:tcPr>
                <w:p>
                  <w:pPr>
                    <w:adjustRightInd w:val="0"/>
                    <w:snapToGrid w:val="0"/>
                    <w:jc w:val="center"/>
                    <w:rPr>
                      <w:bCs/>
                      <w:spacing w:val="4"/>
                      <w:szCs w:val="21"/>
                      <w:u w:val="single"/>
                    </w:rPr>
                  </w:pPr>
                  <w:r>
                    <w:rPr>
                      <w:bCs/>
                      <w:spacing w:val="4"/>
                      <w:szCs w:val="21"/>
                      <w:u w:val="single"/>
                    </w:rPr>
                    <w:t>固废</w:t>
                  </w:r>
                  <w:r>
                    <w:rPr>
                      <w:rFonts w:hint="eastAsia"/>
                      <w:bCs/>
                      <w:spacing w:val="4"/>
                      <w:szCs w:val="21"/>
                      <w:u w:val="single"/>
                    </w:rPr>
                    <w:t>处置</w:t>
                  </w:r>
                </w:p>
              </w:tc>
              <w:tc>
                <w:tcPr>
                  <w:tcW w:w="2625" w:type="dxa"/>
                  <w:vAlign w:val="center"/>
                </w:tcPr>
                <w:p>
                  <w:pPr>
                    <w:adjustRightInd w:val="0"/>
                    <w:snapToGrid w:val="0"/>
                    <w:jc w:val="center"/>
                    <w:rPr>
                      <w:bCs/>
                      <w:spacing w:val="4"/>
                      <w:szCs w:val="21"/>
                      <w:u w:val="single"/>
                    </w:rPr>
                  </w:pPr>
                  <w:r>
                    <w:rPr>
                      <w:rFonts w:hint="eastAsia"/>
                      <w:bCs/>
                      <w:spacing w:val="4"/>
                      <w:szCs w:val="21"/>
                      <w:u w:val="single"/>
                    </w:rPr>
                    <w:t>生活垃圾</w:t>
                  </w:r>
                </w:p>
              </w:tc>
              <w:tc>
                <w:tcPr>
                  <w:tcW w:w="2981" w:type="dxa"/>
                  <w:vAlign w:val="center"/>
                </w:tcPr>
                <w:p>
                  <w:pPr>
                    <w:adjustRightInd w:val="0"/>
                    <w:snapToGrid w:val="0"/>
                    <w:rPr>
                      <w:bCs/>
                      <w:spacing w:val="4"/>
                      <w:szCs w:val="21"/>
                      <w:u w:val="single"/>
                    </w:rPr>
                  </w:pPr>
                  <w:r>
                    <w:rPr>
                      <w:rFonts w:hint="eastAsia"/>
                      <w:bCs/>
                      <w:spacing w:val="4"/>
                      <w:szCs w:val="21"/>
                      <w:u w:val="single"/>
                    </w:rPr>
                    <w:t>垃圾分类</w:t>
                  </w:r>
                  <w:r>
                    <w:rPr>
                      <w:bCs/>
                      <w:spacing w:val="4"/>
                      <w:szCs w:val="21"/>
                      <w:u w:val="single"/>
                    </w:rPr>
                    <w:t>收集</w:t>
                  </w:r>
                  <w:r>
                    <w:rPr>
                      <w:rFonts w:hint="eastAsia"/>
                      <w:bCs/>
                      <w:spacing w:val="4"/>
                      <w:szCs w:val="21"/>
                      <w:u w:val="single"/>
                    </w:rPr>
                    <w:t>箱</w:t>
                  </w:r>
                </w:p>
              </w:tc>
              <w:tc>
                <w:tcPr>
                  <w:tcW w:w="1127" w:type="dxa"/>
                  <w:vAlign w:val="center"/>
                </w:tcPr>
                <w:p>
                  <w:pPr>
                    <w:adjustRightInd w:val="0"/>
                    <w:snapToGrid w:val="0"/>
                    <w:jc w:val="center"/>
                    <w:rPr>
                      <w:bCs/>
                      <w:spacing w:val="4"/>
                      <w:szCs w:val="21"/>
                      <w:u w:val="single"/>
                    </w:rPr>
                  </w:pPr>
                  <w:r>
                    <w:rPr>
                      <w:rFonts w:hint="eastAsia"/>
                      <w:bCs/>
                      <w:spacing w:val="4"/>
                      <w:szCs w:val="21"/>
                      <w:u w:val="single"/>
                    </w:rPr>
                    <w:t>0.1</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已完成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16" w:type="dxa"/>
                  <w:vMerge w:val="continue"/>
                  <w:vAlign w:val="center"/>
                </w:tcPr>
                <w:p>
                  <w:pPr>
                    <w:adjustRightInd w:val="0"/>
                    <w:snapToGrid w:val="0"/>
                    <w:jc w:val="center"/>
                    <w:rPr>
                      <w:bCs/>
                      <w:spacing w:val="4"/>
                      <w:szCs w:val="21"/>
                      <w:u w:val="single"/>
                    </w:rPr>
                  </w:pPr>
                </w:p>
              </w:tc>
              <w:tc>
                <w:tcPr>
                  <w:tcW w:w="734" w:type="dxa"/>
                  <w:vMerge w:val="continue"/>
                  <w:vAlign w:val="center"/>
                </w:tcPr>
                <w:p>
                  <w:pPr>
                    <w:adjustRightInd w:val="0"/>
                    <w:snapToGrid w:val="0"/>
                    <w:jc w:val="center"/>
                    <w:rPr>
                      <w:bCs/>
                      <w:spacing w:val="4"/>
                      <w:szCs w:val="21"/>
                      <w:u w:val="single"/>
                    </w:rPr>
                  </w:pPr>
                </w:p>
              </w:tc>
              <w:tc>
                <w:tcPr>
                  <w:tcW w:w="2625" w:type="dxa"/>
                  <w:vAlign w:val="center"/>
                </w:tcPr>
                <w:p>
                  <w:pPr>
                    <w:adjustRightInd w:val="0"/>
                    <w:snapToGrid w:val="0"/>
                    <w:jc w:val="center"/>
                    <w:rPr>
                      <w:bCs/>
                      <w:spacing w:val="4"/>
                      <w:szCs w:val="21"/>
                      <w:u w:val="single"/>
                    </w:rPr>
                  </w:pPr>
                  <w:r>
                    <w:rPr>
                      <w:rFonts w:hint="eastAsia"/>
                      <w:bCs/>
                      <w:spacing w:val="4"/>
                      <w:szCs w:val="21"/>
                      <w:u w:val="single"/>
                    </w:rPr>
                    <w:t>危险废物</w:t>
                  </w:r>
                </w:p>
              </w:tc>
              <w:tc>
                <w:tcPr>
                  <w:tcW w:w="2981" w:type="dxa"/>
                  <w:vAlign w:val="center"/>
                </w:tcPr>
                <w:p>
                  <w:pPr>
                    <w:adjustRightInd w:val="0"/>
                    <w:snapToGrid w:val="0"/>
                    <w:rPr>
                      <w:bCs/>
                      <w:spacing w:val="4"/>
                      <w:szCs w:val="21"/>
                      <w:u w:val="single"/>
                    </w:rPr>
                  </w:pPr>
                  <w:r>
                    <w:rPr>
                      <w:rFonts w:hint="eastAsia"/>
                      <w:bCs/>
                      <w:spacing w:val="4"/>
                      <w:szCs w:val="21"/>
                      <w:u w:val="single"/>
                    </w:rPr>
                    <w:t>设置危废暂存间</w:t>
                  </w:r>
                </w:p>
              </w:tc>
              <w:tc>
                <w:tcPr>
                  <w:tcW w:w="1127" w:type="dxa"/>
                  <w:vAlign w:val="center"/>
                </w:tcPr>
                <w:p>
                  <w:pPr>
                    <w:adjustRightInd w:val="0"/>
                    <w:snapToGrid w:val="0"/>
                    <w:jc w:val="center"/>
                    <w:rPr>
                      <w:bCs/>
                      <w:spacing w:val="4"/>
                      <w:szCs w:val="21"/>
                      <w:u w:val="single"/>
                    </w:rPr>
                  </w:pPr>
                  <w:r>
                    <w:rPr>
                      <w:rFonts w:hint="eastAsia"/>
                      <w:bCs/>
                      <w:spacing w:val="4"/>
                      <w:szCs w:val="21"/>
                      <w:u w:val="single"/>
                    </w:rPr>
                    <w:t>0.5</w:t>
                  </w:r>
                </w:p>
              </w:tc>
              <w:tc>
                <w:tcPr>
                  <w:tcW w:w="1128" w:type="dxa"/>
                  <w:vAlign w:val="center"/>
                </w:tcPr>
                <w:p>
                  <w:pPr>
                    <w:adjustRightInd w:val="0"/>
                    <w:snapToGrid w:val="0"/>
                    <w:jc w:val="center"/>
                    <w:rPr>
                      <w:bCs/>
                      <w:spacing w:val="4"/>
                      <w:szCs w:val="21"/>
                      <w:u w:val="single"/>
                    </w:rPr>
                  </w:pPr>
                  <w:r>
                    <w:rPr>
                      <w:rFonts w:hint="eastAsia"/>
                      <w:b w:val="0"/>
                      <w:bCs w:val="0"/>
                      <w:spacing w:val="4"/>
                      <w:szCs w:val="21"/>
                      <w:u w:val="single"/>
                    </w:rPr>
                    <w:t>待补建</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16" w:type="dxa"/>
                  <w:vAlign w:val="center"/>
                </w:tcPr>
                <w:p>
                  <w:pPr>
                    <w:adjustRightInd w:val="0"/>
                    <w:snapToGrid w:val="0"/>
                    <w:jc w:val="center"/>
                    <w:rPr>
                      <w:bCs/>
                      <w:spacing w:val="4"/>
                      <w:szCs w:val="21"/>
                      <w:u w:val="single"/>
                    </w:rPr>
                  </w:pPr>
                  <w:r>
                    <w:rPr>
                      <w:rFonts w:hint="eastAsia"/>
                      <w:bCs/>
                      <w:spacing w:val="4"/>
                      <w:szCs w:val="21"/>
                      <w:u w:val="single"/>
                    </w:rPr>
                    <w:t>5</w:t>
                  </w:r>
                </w:p>
              </w:tc>
              <w:tc>
                <w:tcPr>
                  <w:tcW w:w="734" w:type="dxa"/>
                  <w:vAlign w:val="center"/>
                </w:tcPr>
                <w:p>
                  <w:pPr>
                    <w:adjustRightInd w:val="0"/>
                    <w:snapToGrid w:val="0"/>
                    <w:jc w:val="center"/>
                    <w:rPr>
                      <w:bCs/>
                      <w:spacing w:val="4"/>
                      <w:szCs w:val="21"/>
                      <w:u w:val="single"/>
                    </w:rPr>
                  </w:pPr>
                  <w:r>
                    <w:rPr>
                      <w:rFonts w:hint="eastAsia"/>
                      <w:bCs/>
                      <w:spacing w:val="4"/>
                      <w:szCs w:val="21"/>
                      <w:u w:val="single"/>
                    </w:rPr>
                    <w:t>绿化</w:t>
                  </w:r>
                </w:p>
              </w:tc>
              <w:tc>
                <w:tcPr>
                  <w:tcW w:w="2625" w:type="dxa"/>
                  <w:vAlign w:val="center"/>
                </w:tcPr>
                <w:p>
                  <w:pPr>
                    <w:adjustRightInd w:val="0"/>
                    <w:snapToGrid w:val="0"/>
                    <w:jc w:val="center"/>
                    <w:rPr>
                      <w:bCs/>
                      <w:spacing w:val="4"/>
                      <w:szCs w:val="21"/>
                      <w:u w:val="single"/>
                    </w:rPr>
                  </w:pPr>
                  <w:r>
                    <w:rPr>
                      <w:rFonts w:hint="eastAsia"/>
                      <w:bCs/>
                      <w:spacing w:val="4"/>
                      <w:szCs w:val="21"/>
                      <w:u w:val="single"/>
                    </w:rPr>
                    <w:t>——</w:t>
                  </w:r>
                </w:p>
              </w:tc>
              <w:tc>
                <w:tcPr>
                  <w:tcW w:w="2981" w:type="dxa"/>
                  <w:vAlign w:val="center"/>
                </w:tcPr>
                <w:p>
                  <w:pPr>
                    <w:adjustRightInd w:val="0"/>
                    <w:snapToGrid w:val="0"/>
                    <w:rPr>
                      <w:bCs/>
                      <w:spacing w:val="4"/>
                      <w:szCs w:val="21"/>
                      <w:u w:val="single"/>
                    </w:rPr>
                  </w:pPr>
                  <w:r>
                    <w:rPr>
                      <w:rFonts w:hint="eastAsia"/>
                      <w:bCs/>
                      <w:spacing w:val="4"/>
                      <w:szCs w:val="21"/>
                      <w:u w:val="single"/>
                    </w:rPr>
                    <w:t>周边植树、绿化草坪</w:t>
                  </w:r>
                </w:p>
              </w:tc>
              <w:tc>
                <w:tcPr>
                  <w:tcW w:w="1127" w:type="dxa"/>
                  <w:vAlign w:val="center"/>
                </w:tcPr>
                <w:p>
                  <w:pPr>
                    <w:adjustRightInd w:val="0"/>
                    <w:snapToGrid w:val="0"/>
                    <w:jc w:val="center"/>
                    <w:rPr>
                      <w:bCs/>
                      <w:spacing w:val="4"/>
                      <w:szCs w:val="21"/>
                      <w:u w:val="single"/>
                    </w:rPr>
                  </w:pPr>
                  <w:r>
                    <w:rPr>
                      <w:rFonts w:hint="eastAsia"/>
                      <w:bCs/>
                      <w:spacing w:val="4"/>
                      <w:szCs w:val="21"/>
                      <w:u w:val="single"/>
                    </w:rPr>
                    <w:t>2</w:t>
                  </w:r>
                </w:p>
              </w:tc>
              <w:tc>
                <w:tcPr>
                  <w:tcW w:w="1128" w:type="dxa"/>
                  <w:vAlign w:val="center"/>
                </w:tcPr>
                <w:p>
                  <w:pPr>
                    <w:adjustRightInd w:val="0"/>
                    <w:snapToGrid w:val="0"/>
                    <w:jc w:val="center"/>
                    <w:rPr>
                      <w:bCs/>
                      <w:spacing w:val="4"/>
                      <w:szCs w:val="21"/>
                      <w:u w:val="single"/>
                    </w:rPr>
                  </w:pPr>
                  <w:r>
                    <w:rPr>
                      <w:rFonts w:hint="eastAsia"/>
                      <w:bCs/>
                      <w:spacing w:val="4"/>
                      <w:szCs w:val="21"/>
                      <w:u w:val="single"/>
                    </w:rPr>
                    <w:t>已完成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1450" w:type="dxa"/>
                  <w:gridSpan w:val="2"/>
                  <w:vAlign w:val="center"/>
                </w:tcPr>
                <w:p>
                  <w:pPr>
                    <w:adjustRightInd w:val="0"/>
                    <w:snapToGrid w:val="0"/>
                    <w:jc w:val="center"/>
                    <w:rPr>
                      <w:bCs/>
                      <w:spacing w:val="4"/>
                      <w:szCs w:val="21"/>
                      <w:u w:val="single"/>
                    </w:rPr>
                  </w:pPr>
                  <w:r>
                    <w:rPr>
                      <w:rFonts w:hint="eastAsia"/>
                      <w:bCs/>
                      <w:spacing w:val="4"/>
                      <w:szCs w:val="21"/>
                      <w:u w:val="single"/>
                    </w:rPr>
                    <w:t>合计</w:t>
                  </w:r>
                </w:p>
              </w:tc>
              <w:tc>
                <w:tcPr>
                  <w:tcW w:w="2625" w:type="dxa"/>
                  <w:vAlign w:val="center"/>
                </w:tcPr>
                <w:p>
                  <w:pPr>
                    <w:adjustRightInd w:val="0"/>
                    <w:snapToGrid w:val="0"/>
                    <w:jc w:val="center"/>
                    <w:rPr>
                      <w:bCs/>
                      <w:spacing w:val="4"/>
                      <w:szCs w:val="21"/>
                      <w:u w:val="single"/>
                    </w:rPr>
                  </w:pPr>
                  <w:r>
                    <w:rPr>
                      <w:rFonts w:hint="eastAsia"/>
                      <w:bCs/>
                      <w:spacing w:val="4"/>
                      <w:szCs w:val="21"/>
                      <w:u w:val="single"/>
                    </w:rPr>
                    <w:t>——</w:t>
                  </w:r>
                </w:p>
              </w:tc>
              <w:tc>
                <w:tcPr>
                  <w:tcW w:w="2981" w:type="dxa"/>
                  <w:vAlign w:val="center"/>
                </w:tcPr>
                <w:p>
                  <w:pPr>
                    <w:adjustRightInd w:val="0"/>
                    <w:snapToGrid w:val="0"/>
                    <w:rPr>
                      <w:bCs/>
                      <w:spacing w:val="4"/>
                      <w:szCs w:val="21"/>
                      <w:u w:val="single"/>
                    </w:rPr>
                  </w:pPr>
                  <w:r>
                    <w:rPr>
                      <w:rFonts w:hint="eastAsia"/>
                      <w:bCs/>
                      <w:spacing w:val="4"/>
                      <w:szCs w:val="21"/>
                      <w:u w:val="single"/>
                    </w:rPr>
                    <w:t>——</w:t>
                  </w:r>
                </w:p>
              </w:tc>
              <w:tc>
                <w:tcPr>
                  <w:tcW w:w="1127" w:type="dxa"/>
                  <w:vAlign w:val="center"/>
                </w:tcPr>
                <w:p>
                  <w:pPr>
                    <w:adjustRightInd w:val="0"/>
                    <w:snapToGrid w:val="0"/>
                    <w:jc w:val="center"/>
                    <w:rPr>
                      <w:bCs/>
                      <w:spacing w:val="4"/>
                      <w:szCs w:val="21"/>
                      <w:u w:val="single"/>
                    </w:rPr>
                  </w:pPr>
                  <w:r>
                    <w:rPr>
                      <w:rFonts w:hint="eastAsia"/>
                      <w:bCs/>
                      <w:spacing w:val="4"/>
                      <w:szCs w:val="21"/>
                      <w:u w:val="single"/>
                    </w:rPr>
                    <w:t>20</w:t>
                  </w:r>
                </w:p>
              </w:tc>
              <w:tc>
                <w:tcPr>
                  <w:tcW w:w="1128" w:type="dxa"/>
                  <w:vAlign w:val="center"/>
                </w:tcPr>
                <w:p>
                  <w:pPr>
                    <w:adjustRightInd w:val="0"/>
                    <w:snapToGrid w:val="0"/>
                    <w:jc w:val="center"/>
                    <w:rPr>
                      <w:bCs/>
                      <w:spacing w:val="4"/>
                      <w:szCs w:val="21"/>
                      <w:u w:val="single"/>
                    </w:rPr>
                  </w:pPr>
                  <w:r>
                    <w:rPr>
                      <w:rFonts w:hint="eastAsia"/>
                      <w:bCs/>
                      <w:spacing w:val="4"/>
                      <w:szCs w:val="21"/>
                      <w:u w:val="single"/>
                    </w:rPr>
                    <w:t>--</w:t>
                  </w:r>
                </w:p>
              </w:tc>
            </w:tr>
          </w:tbl>
          <w:p>
            <w:pPr>
              <w:pStyle w:val="41"/>
              <w:rPr>
                <w:sz w:val="24"/>
                <w:szCs w:val="24"/>
              </w:rPr>
            </w:pPr>
          </w:p>
          <w:p>
            <w:pPr>
              <w:adjustRightInd w:val="0"/>
              <w:snapToGrid w:val="0"/>
              <w:spacing w:line="360" w:lineRule="auto"/>
              <w:ind w:firstLine="480" w:firstLineChars="200"/>
              <w:rPr>
                <w:sz w:val="24"/>
              </w:rPr>
            </w:pPr>
            <w:r>
              <w:rPr>
                <w:sz w:val="24"/>
              </w:rPr>
              <w:t>（2）项目</w:t>
            </w:r>
            <w:r>
              <w:rPr>
                <w:rFonts w:hint="eastAsia"/>
                <w:sz w:val="24"/>
              </w:rPr>
              <w:t>环保监管</w:t>
            </w:r>
            <w:r>
              <w:rPr>
                <w:sz w:val="24"/>
              </w:rPr>
              <w:t>内容</w:t>
            </w:r>
          </w:p>
          <w:p>
            <w:pPr>
              <w:adjustRightInd w:val="0"/>
              <w:snapToGrid w:val="0"/>
              <w:spacing w:line="360" w:lineRule="auto"/>
              <w:ind w:firstLine="480" w:firstLineChars="200"/>
            </w:pPr>
            <w:r>
              <w:rPr>
                <w:sz w:val="24"/>
              </w:rPr>
              <w:t>项目落实</w:t>
            </w:r>
            <w:r>
              <w:rPr>
                <w:rFonts w:hint="eastAsia"/>
                <w:sz w:val="24"/>
              </w:rPr>
              <w:t>环保监管</w:t>
            </w:r>
            <w:r>
              <w:rPr>
                <w:sz w:val="24"/>
              </w:rPr>
              <w:t>的主要内容和管理目标见表7.</w:t>
            </w:r>
            <w:r>
              <w:rPr>
                <w:rFonts w:hint="eastAsia"/>
                <w:sz w:val="24"/>
              </w:rPr>
              <w:t>6</w:t>
            </w:r>
            <w:r>
              <w:rPr>
                <w:sz w:val="24"/>
              </w:rPr>
              <w:t>-2。</w:t>
            </w:r>
          </w:p>
          <w:p>
            <w:pPr>
              <w:pStyle w:val="41"/>
              <w:rPr>
                <w:sz w:val="24"/>
                <w:szCs w:val="24"/>
              </w:rPr>
            </w:pPr>
            <w:r>
              <w:rPr>
                <w:sz w:val="24"/>
                <w:szCs w:val="24"/>
              </w:rPr>
              <w:t>表7.</w:t>
            </w:r>
            <w:r>
              <w:rPr>
                <w:rFonts w:hint="eastAsia"/>
                <w:sz w:val="24"/>
                <w:szCs w:val="24"/>
              </w:rPr>
              <w:t>6</w:t>
            </w:r>
            <w:r>
              <w:rPr>
                <w:sz w:val="24"/>
                <w:szCs w:val="24"/>
              </w:rPr>
              <w:t>-2   项目环境保护</w:t>
            </w:r>
            <w:r>
              <w:rPr>
                <w:rFonts w:hint="eastAsia"/>
                <w:sz w:val="24"/>
                <w:szCs w:val="24"/>
              </w:rPr>
              <w:t>监管内容</w:t>
            </w:r>
            <w:r>
              <w:rPr>
                <w:sz w:val="24"/>
                <w:szCs w:val="24"/>
              </w:rPr>
              <w:t>表</w:t>
            </w:r>
          </w:p>
          <w:tbl>
            <w:tblPr>
              <w:tblStyle w:val="2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10"/>
              <w:gridCol w:w="2505"/>
              <w:gridCol w:w="135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序号</w:t>
                  </w:r>
                </w:p>
              </w:tc>
              <w:tc>
                <w:tcPr>
                  <w:tcW w:w="1610" w:type="dxa"/>
                  <w:vAlign w:val="center"/>
                </w:tcPr>
                <w:p>
                  <w:pPr>
                    <w:adjustRightInd w:val="0"/>
                    <w:jc w:val="center"/>
                    <w:rPr>
                      <w:spacing w:val="4"/>
                      <w:szCs w:val="21"/>
                    </w:rPr>
                  </w:pPr>
                  <w:r>
                    <w:rPr>
                      <w:rFonts w:hint="eastAsia"/>
                      <w:spacing w:val="4"/>
                      <w:szCs w:val="21"/>
                    </w:rPr>
                    <w:t>监管项目名称</w:t>
                  </w:r>
                </w:p>
              </w:tc>
              <w:tc>
                <w:tcPr>
                  <w:tcW w:w="2505" w:type="dxa"/>
                  <w:vAlign w:val="center"/>
                </w:tcPr>
                <w:p>
                  <w:pPr>
                    <w:adjustRightInd w:val="0"/>
                    <w:jc w:val="center"/>
                    <w:rPr>
                      <w:spacing w:val="4"/>
                      <w:szCs w:val="21"/>
                    </w:rPr>
                  </w:pPr>
                  <w:r>
                    <w:rPr>
                      <w:rFonts w:hint="eastAsia"/>
                      <w:spacing w:val="4"/>
                      <w:szCs w:val="21"/>
                    </w:rPr>
                    <w:t>治理验收内容</w:t>
                  </w:r>
                </w:p>
              </w:tc>
              <w:tc>
                <w:tcPr>
                  <w:tcW w:w="1355" w:type="dxa"/>
                  <w:vAlign w:val="center"/>
                </w:tcPr>
                <w:p>
                  <w:pPr>
                    <w:adjustRightInd w:val="0"/>
                    <w:jc w:val="center"/>
                    <w:rPr>
                      <w:spacing w:val="4"/>
                      <w:szCs w:val="21"/>
                    </w:rPr>
                  </w:pPr>
                  <w:r>
                    <w:rPr>
                      <w:rFonts w:hint="eastAsia"/>
                      <w:spacing w:val="4"/>
                      <w:szCs w:val="21"/>
                    </w:rPr>
                    <w:t>监测内容</w:t>
                  </w:r>
                </w:p>
              </w:tc>
              <w:tc>
                <w:tcPr>
                  <w:tcW w:w="3097" w:type="dxa"/>
                  <w:vAlign w:val="center"/>
                </w:tcPr>
                <w:p>
                  <w:pPr>
                    <w:adjustRightInd w:val="0"/>
                    <w:jc w:val="center"/>
                    <w:rPr>
                      <w:spacing w:val="-20"/>
                      <w:szCs w:val="21"/>
                    </w:rPr>
                  </w:pPr>
                  <w:r>
                    <w:rPr>
                      <w:rFonts w:hint="eastAsia"/>
                      <w:spacing w:val="-2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1" w:type="dxa"/>
                  <w:vAlign w:val="center"/>
                </w:tcPr>
                <w:p>
                  <w:pPr>
                    <w:adjustRightInd w:val="0"/>
                    <w:jc w:val="center"/>
                    <w:rPr>
                      <w:spacing w:val="4"/>
                      <w:szCs w:val="21"/>
                    </w:rPr>
                  </w:pPr>
                  <w:r>
                    <w:rPr>
                      <w:spacing w:val="4"/>
                      <w:szCs w:val="21"/>
                    </w:rPr>
                    <w:t>1</w:t>
                  </w:r>
                </w:p>
              </w:tc>
              <w:tc>
                <w:tcPr>
                  <w:tcW w:w="1610" w:type="dxa"/>
                  <w:vAlign w:val="center"/>
                </w:tcPr>
                <w:p>
                  <w:pPr>
                    <w:adjustRightInd w:val="0"/>
                    <w:ind w:left="102" w:hanging="102" w:hangingChars="47"/>
                    <w:jc w:val="center"/>
                    <w:rPr>
                      <w:spacing w:val="4"/>
                      <w:szCs w:val="21"/>
                    </w:rPr>
                  </w:pPr>
                  <w:r>
                    <w:rPr>
                      <w:rFonts w:hint="eastAsia"/>
                      <w:spacing w:val="4"/>
                      <w:szCs w:val="21"/>
                    </w:rPr>
                    <w:t>挥发油气</w:t>
                  </w:r>
                </w:p>
              </w:tc>
              <w:tc>
                <w:tcPr>
                  <w:tcW w:w="2505" w:type="dxa"/>
                  <w:vAlign w:val="center"/>
                </w:tcPr>
                <w:p>
                  <w:pPr>
                    <w:adjustRightInd w:val="0"/>
                    <w:jc w:val="center"/>
                    <w:rPr>
                      <w:spacing w:val="-4"/>
                      <w:szCs w:val="21"/>
                    </w:rPr>
                  </w:pPr>
                  <w:r>
                    <w:rPr>
                      <w:rFonts w:hint="eastAsia"/>
                      <w:spacing w:val="-4"/>
                      <w:szCs w:val="21"/>
                    </w:rPr>
                    <w:t>卸油油气回收装置、加油油气回收装置</w:t>
                  </w:r>
                </w:p>
              </w:tc>
              <w:tc>
                <w:tcPr>
                  <w:tcW w:w="1355" w:type="dxa"/>
                  <w:vAlign w:val="center"/>
                </w:tcPr>
                <w:p>
                  <w:pPr>
                    <w:adjustRightInd w:val="0"/>
                    <w:jc w:val="center"/>
                    <w:rPr>
                      <w:spacing w:val="4"/>
                      <w:szCs w:val="21"/>
                    </w:rPr>
                  </w:pPr>
                  <w:r>
                    <w:rPr>
                      <w:rFonts w:hint="eastAsia"/>
                      <w:spacing w:val="4"/>
                      <w:szCs w:val="21"/>
                    </w:rPr>
                    <w:t>非甲烷总烃</w:t>
                  </w:r>
                </w:p>
              </w:tc>
              <w:tc>
                <w:tcPr>
                  <w:tcW w:w="3097" w:type="dxa"/>
                  <w:vAlign w:val="center"/>
                </w:tcPr>
                <w:p>
                  <w:pPr>
                    <w:adjustRightInd w:val="0"/>
                    <w:jc w:val="center"/>
                    <w:rPr>
                      <w:spacing w:val="4"/>
                      <w:szCs w:val="21"/>
                    </w:rPr>
                  </w:pPr>
                  <w:r>
                    <w:rPr>
                      <w:rFonts w:hint="eastAsia"/>
                      <w:spacing w:val="4"/>
                      <w:szCs w:val="21"/>
                    </w:rPr>
                    <w:t>《加油站大气污染物排放标准》（</w:t>
                  </w:r>
                  <w:r>
                    <w:rPr>
                      <w:spacing w:val="4"/>
                      <w:szCs w:val="21"/>
                    </w:rPr>
                    <w:t>GB20952-2007</w:t>
                  </w:r>
                  <w:r>
                    <w:rPr>
                      <w:rFonts w:hint="eastAsia"/>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2</w:t>
                  </w:r>
                </w:p>
              </w:tc>
              <w:tc>
                <w:tcPr>
                  <w:tcW w:w="1610" w:type="dxa"/>
                  <w:vAlign w:val="center"/>
                </w:tcPr>
                <w:p>
                  <w:pPr>
                    <w:adjustRightInd w:val="0"/>
                    <w:jc w:val="center"/>
                    <w:rPr>
                      <w:spacing w:val="4"/>
                      <w:szCs w:val="21"/>
                    </w:rPr>
                  </w:pPr>
                  <w:r>
                    <w:rPr>
                      <w:rFonts w:hint="eastAsia"/>
                      <w:spacing w:val="4"/>
                      <w:szCs w:val="21"/>
                    </w:rPr>
                    <w:t>生活污水</w:t>
                  </w:r>
                </w:p>
              </w:tc>
              <w:tc>
                <w:tcPr>
                  <w:tcW w:w="2505" w:type="dxa"/>
                  <w:vAlign w:val="center"/>
                </w:tcPr>
                <w:p>
                  <w:pPr>
                    <w:adjustRightInd w:val="0"/>
                    <w:jc w:val="center"/>
                    <w:rPr>
                      <w:spacing w:val="4"/>
                      <w:szCs w:val="21"/>
                    </w:rPr>
                  </w:pPr>
                  <w:r>
                    <w:rPr>
                      <w:rFonts w:hint="eastAsia"/>
                      <w:szCs w:val="21"/>
                    </w:rPr>
                    <w:t>化粪池</w:t>
                  </w:r>
                </w:p>
              </w:tc>
              <w:tc>
                <w:tcPr>
                  <w:tcW w:w="1355" w:type="dxa"/>
                  <w:vAlign w:val="center"/>
                </w:tcPr>
                <w:p>
                  <w:pPr>
                    <w:adjustRightInd w:val="0"/>
                    <w:jc w:val="center"/>
                    <w:rPr>
                      <w:spacing w:val="4"/>
                      <w:szCs w:val="21"/>
                    </w:rPr>
                  </w:pPr>
                  <w:r>
                    <w:rPr>
                      <w:spacing w:val="4"/>
                      <w:szCs w:val="21"/>
                    </w:rPr>
                    <w:t>/</w:t>
                  </w:r>
                </w:p>
              </w:tc>
              <w:tc>
                <w:tcPr>
                  <w:tcW w:w="3097" w:type="dxa"/>
                  <w:vAlign w:val="center"/>
                </w:tcPr>
                <w:p>
                  <w:pPr>
                    <w:adjustRightInd w:val="0"/>
                    <w:jc w:val="center"/>
                    <w:rPr>
                      <w:spacing w:val="4"/>
                      <w:szCs w:val="21"/>
                    </w:rPr>
                  </w:pPr>
                  <w:r>
                    <w:rPr>
                      <w:rFonts w:hint="eastAsia"/>
                      <w:spacing w:val="4"/>
                      <w:szCs w:val="21"/>
                    </w:rPr>
                    <w:t>《污水综合排放标准》（</w:t>
                  </w:r>
                  <w:r>
                    <w:rPr>
                      <w:spacing w:val="4"/>
                      <w:szCs w:val="21"/>
                    </w:rPr>
                    <w:t>GB8978-1996</w:t>
                  </w:r>
                  <w:r>
                    <w:rPr>
                      <w:rFonts w:hint="eastAsia"/>
                      <w:spacing w:val="4"/>
                      <w:szCs w:val="21"/>
                    </w:rPr>
                    <w:t>）表</w:t>
                  </w:r>
                  <w:r>
                    <w:rPr>
                      <w:spacing w:val="4"/>
                      <w:szCs w:val="21"/>
                    </w:rPr>
                    <w:t>4</w:t>
                  </w:r>
                  <w:r>
                    <w:rPr>
                      <w:rFonts w:hint="eastAsia"/>
                      <w:spacing w:val="4"/>
                      <w:szCs w:val="21"/>
                    </w:rPr>
                    <w:t>中的</w:t>
                  </w:r>
                </w:p>
                <w:p>
                  <w:pPr>
                    <w:adjustRightInd w:val="0"/>
                    <w:jc w:val="center"/>
                    <w:rPr>
                      <w:spacing w:val="4"/>
                      <w:szCs w:val="21"/>
                    </w:rPr>
                  </w:pPr>
                  <w:r>
                    <w:rPr>
                      <w:rFonts w:hint="eastAsia"/>
                      <w:spacing w:val="4"/>
                      <w:szCs w:val="21"/>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3</w:t>
                  </w:r>
                </w:p>
              </w:tc>
              <w:tc>
                <w:tcPr>
                  <w:tcW w:w="1610" w:type="dxa"/>
                  <w:vAlign w:val="center"/>
                </w:tcPr>
                <w:p>
                  <w:pPr>
                    <w:adjustRightInd w:val="0"/>
                    <w:jc w:val="center"/>
                    <w:rPr>
                      <w:spacing w:val="4"/>
                      <w:szCs w:val="21"/>
                    </w:rPr>
                  </w:pPr>
                  <w:r>
                    <w:rPr>
                      <w:rFonts w:hint="eastAsia"/>
                      <w:spacing w:val="4"/>
                      <w:szCs w:val="21"/>
                    </w:rPr>
                    <w:t>场地卫生设备清洗废水</w:t>
                  </w:r>
                </w:p>
              </w:tc>
              <w:tc>
                <w:tcPr>
                  <w:tcW w:w="2505" w:type="dxa"/>
                  <w:vAlign w:val="center"/>
                </w:tcPr>
                <w:p>
                  <w:pPr>
                    <w:adjustRightInd w:val="0"/>
                    <w:jc w:val="center"/>
                    <w:rPr>
                      <w:szCs w:val="21"/>
                    </w:rPr>
                  </w:pPr>
                  <w:r>
                    <w:rPr>
                      <w:rFonts w:hint="eastAsia"/>
                      <w:szCs w:val="21"/>
                    </w:rPr>
                    <w:t>经隔油沉淀池处理后回用于站区洒水</w:t>
                  </w:r>
                </w:p>
              </w:tc>
              <w:tc>
                <w:tcPr>
                  <w:tcW w:w="1355" w:type="dxa"/>
                  <w:vAlign w:val="center"/>
                </w:tcPr>
                <w:p>
                  <w:pPr>
                    <w:adjustRightInd w:val="0"/>
                    <w:jc w:val="center"/>
                    <w:rPr>
                      <w:spacing w:val="4"/>
                      <w:szCs w:val="21"/>
                    </w:rPr>
                  </w:pPr>
                  <w:r>
                    <w:rPr>
                      <w:rFonts w:hint="eastAsia"/>
                      <w:spacing w:val="4"/>
                      <w:szCs w:val="21"/>
                    </w:rPr>
                    <w:t>石油类、</w:t>
                  </w:r>
                  <w:r>
                    <w:rPr>
                      <w:spacing w:val="4"/>
                      <w:szCs w:val="21"/>
                    </w:rPr>
                    <w:t>SS</w:t>
                  </w:r>
                </w:p>
              </w:tc>
              <w:tc>
                <w:tcPr>
                  <w:tcW w:w="3097" w:type="dxa"/>
                  <w:vAlign w:val="center"/>
                </w:tcPr>
                <w:p>
                  <w:pPr>
                    <w:adjustRightInd w:val="0"/>
                    <w:jc w:val="center"/>
                    <w:rPr>
                      <w:spacing w:val="4"/>
                      <w:szCs w:val="21"/>
                    </w:rPr>
                  </w:pPr>
                  <w:r>
                    <w:rPr>
                      <w:rFonts w:hint="eastAsia"/>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4</w:t>
                  </w:r>
                </w:p>
              </w:tc>
              <w:tc>
                <w:tcPr>
                  <w:tcW w:w="1610" w:type="dxa"/>
                  <w:vAlign w:val="center"/>
                </w:tcPr>
                <w:p>
                  <w:pPr>
                    <w:adjustRightInd w:val="0"/>
                    <w:jc w:val="center"/>
                    <w:rPr>
                      <w:spacing w:val="4"/>
                      <w:szCs w:val="21"/>
                    </w:rPr>
                  </w:pPr>
                  <w:r>
                    <w:rPr>
                      <w:rFonts w:hint="eastAsia"/>
                      <w:spacing w:val="4"/>
                      <w:szCs w:val="21"/>
                    </w:rPr>
                    <w:t>生活垃圾</w:t>
                  </w:r>
                </w:p>
              </w:tc>
              <w:tc>
                <w:tcPr>
                  <w:tcW w:w="2505" w:type="dxa"/>
                  <w:vAlign w:val="center"/>
                </w:tcPr>
                <w:p>
                  <w:pPr>
                    <w:adjustRightInd w:val="0"/>
                    <w:jc w:val="center"/>
                    <w:rPr>
                      <w:spacing w:val="4"/>
                      <w:szCs w:val="21"/>
                    </w:rPr>
                  </w:pPr>
                  <w:r>
                    <w:rPr>
                      <w:rFonts w:hint="eastAsia"/>
                      <w:spacing w:val="4"/>
                      <w:szCs w:val="21"/>
                    </w:rPr>
                    <w:t>统一收集后，定期运至垃圾填埋场</w:t>
                  </w:r>
                </w:p>
              </w:tc>
              <w:tc>
                <w:tcPr>
                  <w:tcW w:w="1355" w:type="dxa"/>
                  <w:vAlign w:val="center"/>
                </w:tcPr>
                <w:p>
                  <w:pPr>
                    <w:adjustRightInd w:val="0"/>
                    <w:jc w:val="center"/>
                    <w:rPr>
                      <w:spacing w:val="4"/>
                      <w:szCs w:val="21"/>
                    </w:rPr>
                  </w:pPr>
                  <w:r>
                    <w:rPr>
                      <w:spacing w:val="4"/>
                      <w:szCs w:val="21"/>
                    </w:rPr>
                    <w:t>/</w:t>
                  </w:r>
                </w:p>
              </w:tc>
              <w:tc>
                <w:tcPr>
                  <w:tcW w:w="3097" w:type="dxa"/>
                  <w:vAlign w:val="center"/>
                </w:tcPr>
                <w:p>
                  <w:pPr>
                    <w:adjustRightInd w:val="0"/>
                    <w:jc w:val="center"/>
                    <w:rPr>
                      <w:spacing w:val="4"/>
                      <w:szCs w:val="21"/>
                    </w:rPr>
                  </w:pPr>
                  <w:r>
                    <w:rPr>
                      <w:rFonts w:hint="eastAsia"/>
                      <w:spacing w:val="4"/>
                      <w:szCs w:val="21"/>
                    </w:rPr>
                    <w:t>《生活垃圾填埋场污染控制标准》（</w:t>
                  </w:r>
                  <w:r>
                    <w:rPr>
                      <w:spacing w:val="4"/>
                      <w:szCs w:val="21"/>
                    </w:rPr>
                    <w:t>GB16889-2008</w:t>
                  </w:r>
                  <w:r>
                    <w:rPr>
                      <w:rFonts w:hint="eastAsia"/>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5</w:t>
                  </w:r>
                </w:p>
              </w:tc>
              <w:tc>
                <w:tcPr>
                  <w:tcW w:w="1610" w:type="dxa"/>
                  <w:vAlign w:val="center"/>
                </w:tcPr>
                <w:p>
                  <w:pPr>
                    <w:adjustRightInd w:val="0"/>
                    <w:jc w:val="center"/>
                    <w:rPr>
                      <w:spacing w:val="4"/>
                      <w:szCs w:val="21"/>
                    </w:rPr>
                  </w:pPr>
                  <w:r>
                    <w:rPr>
                      <w:rFonts w:hint="eastAsia"/>
                      <w:spacing w:val="4"/>
                      <w:szCs w:val="21"/>
                    </w:rPr>
                    <w:t>隔油池油泥</w:t>
                  </w:r>
                </w:p>
              </w:tc>
              <w:tc>
                <w:tcPr>
                  <w:tcW w:w="2505" w:type="dxa"/>
                  <w:vAlign w:val="center"/>
                </w:tcPr>
                <w:p>
                  <w:pPr>
                    <w:widowControl/>
                    <w:jc w:val="center"/>
                    <w:rPr>
                      <w:spacing w:val="4"/>
                      <w:szCs w:val="21"/>
                    </w:rPr>
                  </w:pPr>
                  <w:r>
                    <w:rPr>
                      <w:rFonts w:hint="eastAsia"/>
                      <w:spacing w:val="4"/>
                      <w:szCs w:val="21"/>
                    </w:rPr>
                    <w:t>贮存于站房危险固废暂存间，定期由具有资质的单位进行处理</w:t>
                  </w:r>
                </w:p>
              </w:tc>
              <w:tc>
                <w:tcPr>
                  <w:tcW w:w="1355" w:type="dxa"/>
                  <w:vAlign w:val="center"/>
                </w:tcPr>
                <w:p>
                  <w:pPr>
                    <w:adjustRightInd w:val="0"/>
                    <w:jc w:val="center"/>
                    <w:rPr>
                      <w:spacing w:val="4"/>
                      <w:szCs w:val="21"/>
                    </w:rPr>
                  </w:pPr>
                  <w:r>
                    <w:rPr>
                      <w:spacing w:val="4"/>
                      <w:szCs w:val="21"/>
                    </w:rPr>
                    <w:t>/</w:t>
                  </w:r>
                </w:p>
              </w:tc>
              <w:tc>
                <w:tcPr>
                  <w:tcW w:w="3097" w:type="dxa"/>
                  <w:vMerge w:val="restart"/>
                  <w:vAlign w:val="center"/>
                </w:tcPr>
                <w:p>
                  <w:pPr>
                    <w:widowControl/>
                    <w:jc w:val="center"/>
                    <w:rPr>
                      <w:spacing w:val="4"/>
                      <w:szCs w:val="21"/>
                    </w:rPr>
                  </w:pPr>
                  <w:r>
                    <w:rPr>
                      <w:rFonts w:hint="eastAsia"/>
                      <w:szCs w:val="21"/>
                    </w:rPr>
                    <w:t>《危险废物贮存污染控制标准》（</w:t>
                  </w:r>
                  <w:r>
                    <w:rPr>
                      <w:szCs w:val="21"/>
                    </w:rPr>
                    <w:t>GB18597-2001</w:t>
                  </w:r>
                  <w:r>
                    <w:rPr>
                      <w:rFonts w:hint="eastAsia"/>
                      <w:szCs w:val="21"/>
                    </w:rPr>
                    <w:t>）及</w:t>
                  </w:r>
                  <w:r>
                    <w:rPr>
                      <w:szCs w:val="21"/>
                    </w:rPr>
                    <w:t>2013</w:t>
                  </w:r>
                  <w:r>
                    <w:rPr>
                      <w:rFonts w:hint="eastAsia"/>
                      <w:szCs w:val="21"/>
                    </w:rPr>
                    <w:t>年修改清单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6</w:t>
                  </w:r>
                </w:p>
              </w:tc>
              <w:tc>
                <w:tcPr>
                  <w:tcW w:w="1610" w:type="dxa"/>
                  <w:vAlign w:val="center"/>
                </w:tcPr>
                <w:p>
                  <w:pPr>
                    <w:adjustRightInd w:val="0"/>
                    <w:jc w:val="center"/>
                    <w:rPr>
                      <w:spacing w:val="4"/>
                      <w:szCs w:val="21"/>
                    </w:rPr>
                  </w:pPr>
                  <w:r>
                    <w:rPr>
                      <w:rFonts w:hint="eastAsia"/>
                      <w:spacing w:val="4"/>
                      <w:szCs w:val="21"/>
                    </w:rPr>
                    <w:t>油罐清洗废油渣、废油</w:t>
                  </w:r>
                </w:p>
              </w:tc>
              <w:tc>
                <w:tcPr>
                  <w:tcW w:w="2505" w:type="dxa"/>
                  <w:vAlign w:val="center"/>
                </w:tcPr>
                <w:p>
                  <w:pPr>
                    <w:adjustRightInd w:val="0"/>
                    <w:jc w:val="center"/>
                    <w:rPr>
                      <w:spacing w:val="4"/>
                      <w:szCs w:val="21"/>
                    </w:rPr>
                  </w:pPr>
                  <w:r>
                    <w:rPr>
                      <w:rFonts w:hint="eastAsia"/>
                      <w:spacing w:val="4"/>
                      <w:szCs w:val="21"/>
                    </w:rPr>
                    <w:t>加油站外委有资质的单位处理</w:t>
                  </w:r>
                </w:p>
              </w:tc>
              <w:tc>
                <w:tcPr>
                  <w:tcW w:w="1355" w:type="dxa"/>
                  <w:vAlign w:val="center"/>
                </w:tcPr>
                <w:p>
                  <w:pPr>
                    <w:adjustRightInd w:val="0"/>
                    <w:jc w:val="center"/>
                    <w:rPr>
                      <w:spacing w:val="4"/>
                      <w:szCs w:val="21"/>
                    </w:rPr>
                  </w:pPr>
                  <w:r>
                    <w:rPr>
                      <w:spacing w:val="4"/>
                      <w:szCs w:val="21"/>
                    </w:rPr>
                    <w:t>/</w:t>
                  </w:r>
                </w:p>
              </w:tc>
              <w:tc>
                <w:tcPr>
                  <w:tcW w:w="3097" w:type="dxa"/>
                  <w:vMerge w:val="continue"/>
                  <w:vAlign w:val="center"/>
                </w:tcPr>
                <w:p>
                  <w:pPr>
                    <w:widowControl/>
                    <w:jc w:val="center"/>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7</w:t>
                  </w:r>
                </w:p>
              </w:tc>
              <w:tc>
                <w:tcPr>
                  <w:tcW w:w="1610" w:type="dxa"/>
                  <w:vAlign w:val="center"/>
                </w:tcPr>
                <w:p>
                  <w:pPr>
                    <w:adjustRightInd w:val="0"/>
                    <w:jc w:val="center"/>
                    <w:rPr>
                      <w:spacing w:val="4"/>
                      <w:szCs w:val="21"/>
                    </w:rPr>
                  </w:pPr>
                  <w:r>
                    <w:rPr>
                      <w:rFonts w:hint="eastAsia"/>
                      <w:spacing w:val="4"/>
                      <w:szCs w:val="21"/>
                    </w:rPr>
                    <w:t>噪声治理</w:t>
                  </w:r>
                </w:p>
              </w:tc>
              <w:tc>
                <w:tcPr>
                  <w:tcW w:w="2505" w:type="dxa"/>
                  <w:vAlign w:val="center"/>
                </w:tcPr>
                <w:p>
                  <w:pPr>
                    <w:adjustRightInd w:val="0"/>
                    <w:ind w:left="327" w:hanging="327" w:hangingChars="150"/>
                    <w:jc w:val="center"/>
                    <w:rPr>
                      <w:spacing w:val="4"/>
                      <w:szCs w:val="21"/>
                    </w:rPr>
                  </w:pPr>
                  <w:r>
                    <w:rPr>
                      <w:rFonts w:hint="eastAsia"/>
                      <w:spacing w:val="4"/>
                      <w:szCs w:val="21"/>
                    </w:rPr>
                    <w:t>选用低噪声设备，合理布局设备等</w:t>
                  </w:r>
                </w:p>
              </w:tc>
              <w:tc>
                <w:tcPr>
                  <w:tcW w:w="1355" w:type="dxa"/>
                  <w:vAlign w:val="center"/>
                </w:tcPr>
                <w:p>
                  <w:pPr>
                    <w:adjustRightInd w:val="0"/>
                    <w:jc w:val="center"/>
                    <w:rPr>
                      <w:spacing w:val="4"/>
                      <w:szCs w:val="21"/>
                    </w:rPr>
                  </w:pPr>
                  <w:r>
                    <w:rPr>
                      <w:rFonts w:hint="eastAsia"/>
                      <w:spacing w:val="4"/>
                      <w:szCs w:val="21"/>
                    </w:rPr>
                    <w:t>厂界噪声</w:t>
                  </w:r>
                </w:p>
              </w:tc>
              <w:tc>
                <w:tcPr>
                  <w:tcW w:w="3097" w:type="dxa"/>
                  <w:vAlign w:val="center"/>
                </w:tcPr>
                <w:p>
                  <w:pPr>
                    <w:adjustRightInd w:val="0"/>
                    <w:jc w:val="center"/>
                    <w:rPr>
                      <w:spacing w:val="4"/>
                      <w:szCs w:val="21"/>
                    </w:rPr>
                  </w:pPr>
                  <w:r>
                    <w:rPr>
                      <w:rFonts w:hint="eastAsia"/>
                      <w:spacing w:val="4"/>
                      <w:szCs w:val="21"/>
                    </w:rPr>
                    <w:t>《工业企业厂界环境噪声排放标准》（</w:t>
                  </w:r>
                  <w:r>
                    <w:rPr>
                      <w:spacing w:val="4"/>
                      <w:szCs w:val="21"/>
                    </w:rPr>
                    <w:t>GB12348-2008</w:t>
                  </w:r>
                  <w:r>
                    <w:rPr>
                      <w:rFonts w:hint="eastAsia"/>
                      <w:spacing w:val="4"/>
                      <w:szCs w:val="21"/>
                    </w:rPr>
                    <w:t>）</w:t>
                  </w:r>
                  <w:r>
                    <w:rPr>
                      <w:spacing w:val="4"/>
                      <w:szCs w:val="21"/>
                    </w:rPr>
                    <w:t>2</w:t>
                  </w:r>
                  <w:r>
                    <w:rPr>
                      <w:rFonts w:hint="eastAsia"/>
                      <w:spacing w:val="4"/>
                      <w:szCs w:val="21"/>
                    </w:rPr>
                    <w:t>、</w:t>
                  </w:r>
                  <w:r>
                    <w:rPr>
                      <w:spacing w:val="4"/>
                      <w:szCs w:val="21"/>
                    </w:rPr>
                    <w:t>4</w:t>
                  </w:r>
                  <w:r>
                    <w:rPr>
                      <w:rFonts w:hint="eastAsia"/>
                      <w:spacing w:val="4"/>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pPr>
                    <w:adjustRightInd w:val="0"/>
                    <w:jc w:val="center"/>
                    <w:rPr>
                      <w:spacing w:val="4"/>
                      <w:szCs w:val="21"/>
                    </w:rPr>
                  </w:pPr>
                  <w:r>
                    <w:rPr>
                      <w:rFonts w:hint="eastAsia"/>
                      <w:spacing w:val="4"/>
                      <w:szCs w:val="21"/>
                    </w:rPr>
                    <w:t>8</w:t>
                  </w:r>
                </w:p>
              </w:tc>
              <w:tc>
                <w:tcPr>
                  <w:tcW w:w="1610" w:type="dxa"/>
                  <w:vAlign w:val="center"/>
                </w:tcPr>
                <w:p>
                  <w:pPr>
                    <w:adjustRightInd w:val="0"/>
                    <w:jc w:val="center"/>
                    <w:rPr>
                      <w:spacing w:val="4"/>
                      <w:szCs w:val="21"/>
                    </w:rPr>
                  </w:pPr>
                  <w:r>
                    <w:rPr>
                      <w:rFonts w:hint="eastAsia"/>
                      <w:spacing w:val="4"/>
                      <w:szCs w:val="21"/>
                    </w:rPr>
                    <w:t>油罐泄漏</w:t>
                  </w:r>
                </w:p>
              </w:tc>
              <w:tc>
                <w:tcPr>
                  <w:tcW w:w="2505" w:type="dxa"/>
                  <w:vAlign w:val="center"/>
                </w:tcPr>
                <w:p>
                  <w:pPr>
                    <w:adjustRightInd w:val="0"/>
                    <w:ind w:left="327" w:hanging="327" w:hangingChars="150"/>
                    <w:jc w:val="center"/>
                    <w:rPr>
                      <w:spacing w:val="4"/>
                      <w:szCs w:val="21"/>
                    </w:rPr>
                  </w:pPr>
                  <w:r>
                    <w:rPr>
                      <w:rFonts w:hint="eastAsia"/>
                      <w:spacing w:val="4"/>
                      <w:szCs w:val="21"/>
                    </w:rPr>
                    <w:t>设置地下水监测井</w:t>
                  </w:r>
                </w:p>
              </w:tc>
              <w:tc>
                <w:tcPr>
                  <w:tcW w:w="1355" w:type="dxa"/>
                  <w:vAlign w:val="center"/>
                </w:tcPr>
                <w:p>
                  <w:pPr>
                    <w:adjustRightInd w:val="0"/>
                    <w:jc w:val="center"/>
                    <w:rPr>
                      <w:spacing w:val="4"/>
                      <w:szCs w:val="21"/>
                    </w:rPr>
                  </w:pPr>
                  <w:r>
                    <w:rPr>
                      <w:rFonts w:hint="eastAsia"/>
                      <w:spacing w:val="4"/>
                      <w:szCs w:val="21"/>
                    </w:rPr>
                    <w:t>地下水</w:t>
                  </w:r>
                </w:p>
              </w:tc>
              <w:tc>
                <w:tcPr>
                  <w:tcW w:w="3097" w:type="dxa"/>
                  <w:vAlign w:val="center"/>
                </w:tcPr>
                <w:p>
                  <w:pPr>
                    <w:adjustRightInd w:val="0"/>
                    <w:jc w:val="center"/>
                    <w:rPr>
                      <w:spacing w:val="4"/>
                      <w:szCs w:val="21"/>
                    </w:rPr>
                  </w:pPr>
                  <w:r>
                    <w:rPr>
                      <w:rFonts w:hint="eastAsia"/>
                      <w:spacing w:val="4"/>
                      <w:szCs w:val="21"/>
                    </w:rPr>
                    <w:t>《地下水环境质量标准》（GB/T 14848-2017）</w:t>
                  </w:r>
                  <w:r>
                    <w:rPr>
                      <w:rFonts w:hint="eastAsia"/>
                      <w:spacing w:val="4"/>
                      <w:szCs w:val="21"/>
                    </w:rPr>
                    <w:fldChar w:fldCharType="begin"/>
                  </w:r>
                  <w:r>
                    <w:rPr>
                      <w:rFonts w:hint="eastAsia"/>
                      <w:spacing w:val="4"/>
                      <w:szCs w:val="21"/>
                    </w:rPr>
                    <w:instrText xml:space="preserve"> = 3 \* ROMAN \* MERGEFORMAT </w:instrText>
                  </w:r>
                  <w:r>
                    <w:rPr>
                      <w:rFonts w:hint="eastAsia"/>
                      <w:spacing w:val="4"/>
                      <w:szCs w:val="21"/>
                    </w:rPr>
                    <w:fldChar w:fldCharType="separate"/>
                  </w:r>
                  <w:r>
                    <w:t>III</w:t>
                  </w:r>
                  <w:r>
                    <w:rPr>
                      <w:rFonts w:hint="eastAsia"/>
                      <w:spacing w:val="4"/>
                      <w:szCs w:val="21"/>
                    </w:rPr>
                    <w:fldChar w:fldCharType="end"/>
                  </w:r>
                  <w:r>
                    <w:rPr>
                      <w:rFonts w:hint="eastAsia"/>
                      <w:spacing w:val="4"/>
                      <w:szCs w:val="21"/>
                    </w:rPr>
                    <w:t>类标准</w:t>
                  </w:r>
                </w:p>
              </w:tc>
            </w:tr>
          </w:tbl>
          <w:p>
            <w:pPr>
              <w:spacing w:line="520" w:lineRule="exact"/>
            </w:pPr>
          </w:p>
        </w:tc>
      </w:tr>
    </w:tbl>
    <w:p>
      <w:pPr>
        <w:pStyle w:val="3"/>
        <w:rPr>
          <w:sz w:val="32"/>
        </w:rPr>
        <w:sectPr>
          <w:pgSz w:w="11907" w:h="16840"/>
          <w:pgMar w:top="1418" w:right="1418" w:bottom="1418" w:left="1701" w:header="851" w:footer="851" w:gutter="0"/>
          <w:cols w:space="720" w:num="1"/>
          <w:docGrid w:type="lines" w:linePitch="285" w:charSpace="0"/>
        </w:sectPr>
      </w:pPr>
    </w:p>
    <w:p>
      <w:pPr>
        <w:pStyle w:val="3"/>
        <w:rPr>
          <w:kern w:val="24"/>
          <w:sz w:val="32"/>
        </w:rPr>
      </w:pPr>
      <w:bookmarkStart w:id="34" w:name="_Toc8929"/>
      <w:r>
        <mc:AlternateContent>
          <mc:Choice Requires="wps">
            <w:drawing>
              <wp:anchor distT="0" distB="0" distL="114300" distR="114300" simplePos="0" relativeHeight="251660288" behindDoc="0" locked="0" layoutInCell="0" allowOverlap="1">
                <wp:simplePos x="0" y="0"/>
                <wp:positionH relativeFrom="column">
                  <wp:posOffset>-6223000</wp:posOffset>
                </wp:positionH>
                <wp:positionV relativeFrom="paragraph">
                  <wp:posOffset>1311275</wp:posOffset>
                </wp:positionV>
                <wp:extent cx="5334000" cy="0"/>
                <wp:effectExtent l="0" t="0" r="0" b="0"/>
                <wp:wrapNone/>
                <wp:docPr id="3" name="直线 2"/>
                <wp:cNvGraphicFramePr/>
                <a:graphic xmlns:a="http://schemas.openxmlformats.org/drawingml/2006/main">
                  <a:graphicData uri="http://schemas.microsoft.com/office/word/2010/wordprocessingShape">
                    <wps:wsp>
                      <wps:cNvCnPr/>
                      <wps:spPr>
                        <a:xfrm>
                          <a:off x="0" y="0"/>
                          <a:ext cx="5334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490pt;margin-top:103.25pt;height:0pt;width:420pt;z-index:251660288;mso-width-relative:page;mso-height-relative:page;" filled="f" stroked="t" coordsize="21600,21600" o:allowincell="f" o:gfxdata="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ghC2S2QAAAA0BAAAPAAAAAAAAAAEAIAAA&#10;ACIAAABkcnMvZG93bnJldi54bWxQSwECFAAUAAAACACHTuJAi/x8KNIBAACbAwAADgAAAAAAAAAB&#10;ACAAAAAo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-6578600</wp:posOffset>
                </wp:positionH>
                <wp:positionV relativeFrom="paragraph">
                  <wp:posOffset>949325</wp:posOffset>
                </wp:positionV>
                <wp:extent cx="5422900" cy="0"/>
                <wp:effectExtent l="0" t="0" r="0" b="0"/>
                <wp:wrapNone/>
                <wp:docPr id="10" name="直线 3"/>
                <wp:cNvGraphicFramePr/>
                <a:graphic xmlns:a="http://schemas.openxmlformats.org/drawingml/2006/main">
                  <a:graphicData uri="http://schemas.microsoft.com/office/word/2010/wordprocessingShape">
                    <wps:wsp>
                      <wps:cNvCnPr/>
                      <wps:spPr>
                        <a:xfrm>
                          <a:off x="0" y="0"/>
                          <a:ext cx="542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518pt;margin-top:74.75pt;height:0pt;width:427pt;z-index:251659264;mso-width-relative:page;mso-height-relative:page;" filled="f" stroked="t" coordsize="21600,21600" o:allowincell="f" o:gfxdata="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VA/52QAAAA4BAAAPAAAAAAAAAAEAIAAA&#10;ACIAAABkcnMvZG93bnJldi54bWxQSwECFAAUAAAACACHTuJAAxRegdIBAACcAwAADgAAAAAAAAAB&#10;ACAAAAAo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-6223000</wp:posOffset>
                </wp:positionH>
                <wp:positionV relativeFrom="paragraph">
                  <wp:posOffset>346075</wp:posOffset>
                </wp:positionV>
                <wp:extent cx="4889500" cy="0"/>
                <wp:effectExtent l="0" t="0" r="0" b="0"/>
                <wp:wrapNone/>
                <wp:docPr id="11" name="直线 4"/>
                <wp:cNvGraphicFramePr/>
                <a:graphic xmlns:a="http://schemas.openxmlformats.org/drawingml/2006/main">
                  <a:graphicData uri="http://schemas.microsoft.com/office/word/2010/wordprocessingShape">
                    <wps:wsp>
                      <wps:cNvCnPr/>
                      <wps:spPr>
                        <a:xfrm>
                          <a:off x="0" y="0"/>
                          <a:ext cx="4889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490pt;margin-top:27.25pt;height:0pt;width:385pt;z-index:251661312;mso-width-relative:page;mso-height-relative:page;" filled="f" stroked="t" coordsize="21600,21600" o:allowincell="f" o:gfxdata="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tnG62AAAAAsBAAAPAAAAAAAAAAEAIAAA&#10;ACIAAABkcnMvZG93bnJldi54bWxQSwECFAAUAAAACACHTuJAD5wTZdMBAACcAwAADgAAAAAAAAAB&#10;ACAAAAAn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0" allowOverlap="1">
                <wp:simplePos x="0" y="0"/>
                <wp:positionH relativeFrom="column">
                  <wp:posOffset>-7112000</wp:posOffset>
                </wp:positionH>
                <wp:positionV relativeFrom="paragraph">
                  <wp:posOffset>466725</wp:posOffset>
                </wp:positionV>
                <wp:extent cx="5422900" cy="0"/>
                <wp:effectExtent l="0" t="0" r="0" b="0"/>
                <wp:wrapNone/>
                <wp:docPr id="12" name="直线 5"/>
                <wp:cNvGraphicFramePr/>
                <a:graphic xmlns:a="http://schemas.openxmlformats.org/drawingml/2006/main">
                  <a:graphicData uri="http://schemas.microsoft.com/office/word/2010/wordprocessingShape">
                    <wps:wsp>
                      <wps:cNvCnPr/>
                      <wps:spPr>
                        <a:xfrm>
                          <a:off x="0" y="0"/>
                          <a:ext cx="542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560pt;margin-top:36.75pt;height:0pt;width:427pt;z-index:251658240;mso-width-relative:page;mso-height-relative:page;" filled="f" stroked="t" coordsize="21600,21600" o:allowincell="f" o:gfxdata="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rLXotcAAAAMAQAADwAAAAAAAAABACAAAAAi&#10;AAAAZHJzL2Rvd25yZXYueG1sUEsBAhQAFAAAAAgAh07iQMowjz3SAQAAnAMAAA4AAAAAAAAAAQAg&#10;AAAAJgEAAGRycy9lMm9Eb2MueG1sUEsFBgAAAAAGAAYAWQEAAGoFAAAAAA==&#10;">
                <v:fill on="f" focussize="0,0"/>
                <v:stroke color="#000000" joinstyle="round"/>
                <v:imagedata o:title=""/>
                <o:lock v:ext="edit" aspectratio="f"/>
              </v:line>
            </w:pict>
          </mc:Fallback>
        </mc:AlternateContent>
      </w:r>
      <w:r>
        <w:rPr>
          <w:sz w:val="32"/>
        </w:rPr>
        <w:t>建设项目拟采取的防治措施及预期治理效果</w:t>
      </w:r>
      <w:bookmarkEnd w:id="34"/>
    </w:p>
    <w:tbl>
      <w:tblPr>
        <w:tblStyle w:val="24"/>
        <w:tblW w:w="93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496"/>
        <w:gridCol w:w="1363"/>
        <w:gridCol w:w="1215"/>
        <w:gridCol w:w="2642"/>
        <w:gridCol w:w="26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shd w:val="clear" w:color="auto" w:fill="auto"/>
            <w:vAlign w:val="center"/>
          </w:tcPr>
          <w:p>
            <w:pPr>
              <w:spacing w:line="360" w:lineRule="exact"/>
              <w:jc w:val="center"/>
              <w:rPr>
                <w:szCs w:val="21"/>
              </w:rPr>
            </w:pPr>
            <w:r>
              <w:rPr>
                <w:szCs w:val="21"/>
              </w:rPr>
              <w:t>内容</w:t>
            </w:r>
          </w:p>
          <w:p>
            <w:pPr>
              <w:spacing w:line="360" w:lineRule="exact"/>
              <w:jc w:val="center"/>
              <w:rPr>
                <w:szCs w:val="21"/>
              </w:rPr>
            </w:pPr>
            <w:r>
              <w:rPr>
                <w:szCs w:val="21"/>
              </w:rPr>
              <w:t>类型</w:t>
            </w:r>
          </w:p>
        </w:tc>
        <w:tc>
          <w:tcPr>
            <w:tcW w:w="1859" w:type="dxa"/>
            <w:gridSpan w:val="2"/>
            <w:shd w:val="clear" w:color="auto" w:fill="auto"/>
            <w:vAlign w:val="center"/>
          </w:tcPr>
          <w:p>
            <w:pPr>
              <w:spacing w:line="360" w:lineRule="exact"/>
              <w:jc w:val="center"/>
              <w:rPr>
                <w:szCs w:val="21"/>
              </w:rPr>
            </w:pPr>
            <w:r>
              <w:rPr>
                <w:szCs w:val="21"/>
              </w:rPr>
              <w:t>排放源</w:t>
            </w:r>
          </w:p>
          <w:p>
            <w:pPr>
              <w:spacing w:line="360" w:lineRule="exact"/>
              <w:jc w:val="center"/>
              <w:rPr>
                <w:szCs w:val="21"/>
              </w:rPr>
            </w:pPr>
            <w:r>
              <w:rPr>
                <w:szCs w:val="21"/>
              </w:rPr>
              <w:t>（编号）</w:t>
            </w:r>
          </w:p>
        </w:tc>
        <w:tc>
          <w:tcPr>
            <w:tcW w:w="1215" w:type="dxa"/>
            <w:shd w:val="clear" w:color="auto" w:fill="auto"/>
            <w:vAlign w:val="center"/>
          </w:tcPr>
          <w:p>
            <w:pPr>
              <w:spacing w:line="360" w:lineRule="exact"/>
              <w:jc w:val="center"/>
              <w:rPr>
                <w:szCs w:val="21"/>
              </w:rPr>
            </w:pPr>
            <w:r>
              <w:rPr>
                <w:szCs w:val="21"/>
              </w:rPr>
              <w:t>污染物名称</w:t>
            </w:r>
          </w:p>
        </w:tc>
        <w:tc>
          <w:tcPr>
            <w:tcW w:w="2642" w:type="dxa"/>
            <w:shd w:val="clear" w:color="auto" w:fill="auto"/>
            <w:vAlign w:val="center"/>
          </w:tcPr>
          <w:p>
            <w:pPr>
              <w:spacing w:line="360" w:lineRule="exact"/>
              <w:jc w:val="center"/>
              <w:rPr>
                <w:szCs w:val="21"/>
              </w:rPr>
            </w:pPr>
            <w:r>
              <w:rPr>
                <w:szCs w:val="21"/>
              </w:rPr>
              <w:t>防治措施</w:t>
            </w:r>
          </w:p>
        </w:tc>
        <w:tc>
          <w:tcPr>
            <w:tcW w:w="2604" w:type="dxa"/>
            <w:shd w:val="clear" w:color="auto" w:fill="auto"/>
            <w:vAlign w:val="center"/>
          </w:tcPr>
          <w:p>
            <w:pPr>
              <w:spacing w:line="360" w:lineRule="exact"/>
              <w:jc w:val="center"/>
              <w:rPr>
                <w:szCs w:val="21"/>
              </w:rPr>
            </w:pPr>
            <w:r>
              <w:rPr>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restart"/>
            <w:shd w:val="clear" w:color="auto" w:fill="auto"/>
            <w:vAlign w:val="center"/>
          </w:tcPr>
          <w:p>
            <w:pPr>
              <w:spacing w:line="360" w:lineRule="exact"/>
              <w:jc w:val="center"/>
              <w:rPr>
                <w:szCs w:val="21"/>
              </w:rPr>
            </w:pPr>
            <w:r>
              <w:rPr>
                <w:rFonts w:hint="eastAsia"/>
                <w:szCs w:val="21"/>
              </w:rPr>
              <w:t>气污染物</w:t>
            </w:r>
          </w:p>
        </w:tc>
        <w:tc>
          <w:tcPr>
            <w:tcW w:w="496" w:type="dxa"/>
            <w:vMerge w:val="restart"/>
            <w:shd w:val="clear" w:color="auto" w:fill="auto"/>
            <w:vAlign w:val="center"/>
          </w:tcPr>
          <w:p>
            <w:pPr>
              <w:spacing w:line="360" w:lineRule="exact"/>
              <w:jc w:val="center"/>
              <w:rPr>
                <w:szCs w:val="21"/>
              </w:rPr>
            </w:pPr>
            <w:r>
              <w:rPr>
                <w:rFonts w:hint="eastAsia"/>
                <w:szCs w:val="21"/>
              </w:rPr>
              <w:t>营运期</w:t>
            </w:r>
          </w:p>
        </w:tc>
        <w:tc>
          <w:tcPr>
            <w:tcW w:w="1363" w:type="dxa"/>
            <w:shd w:val="clear" w:color="auto" w:fill="auto"/>
            <w:vAlign w:val="center"/>
          </w:tcPr>
          <w:p>
            <w:pPr>
              <w:spacing w:line="360" w:lineRule="exact"/>
              <w:jc w:val="center"/>
              <w:rPr>
                <w:szCs w:val="21"/>
              </w:rPr>
            </w:pPr>
            <w:r>
              <w:rPr>
                <w:szCs w:val="21"/>
              </w:rPr>
              <w:t>卸油</w:t>
            </w:r>
            <w:r>
              <w:rPr>
                <w:rFonts w:hint="eastAsia"/>
                <w:szCs w:val="21"/>
              </w:rPr>
              <w:t>、</w:t>
            </w:r>
            <w:r>
              <w:rPr>
                <w:szCs w:val="21"/>
              </w:rPr>
              <w:t>储油</w:t>
            </w:r>
            <w:r>
              <w:rPr>
                <w:rFonts w:hint="eastAsia"/>
                <w:szCs w:val="21"/>
              </w:rPr>
              <w:t>、</w:t>
            </w:r>
            <w:r>
              <w:rPr>
                <w:szCs w:val="21"/>
              </w:rPr>
              <w:t>加油</w:t>
            </w:r>
          </w:p>
        </w:tc>
        <w:tc>
          <w:tcPr>
            <w:tcW w:w="1215" w:type="dxa"/>
            <w:shd w:val="clear" w:color="auto" w:fill="auto"/>
            <w:vAlign w:val="center"/>
          </w:tcPr>
          <w:p>
            <w:pPr>
              <w:spacing w:line="360" w:lineRule="exact"/>
              <w:jc w:val="center"/>
              <w:rPr>
                <w:szCs w:val="21"/>
              </w:rPr>
            </w:pPr>
            <w:r>
              <w:rPr>
                <w:szCs w:val="21"/>
              </w:rPr>
              <w:t>非甲烷</w:t>
            </w:r>
          </w:p>
          <w:p>
            <w:pPr>
              <w:widowControl/>
              <w:spacing w:line="360" w:lineRule="exact"/>
              <w:jc w:val="center"/>
              <w:rPr>
                <w:kern w:val="0"/>
                <w:szCs w:val="21"/>
              </w:rPr>
            </w:pPr>
            <w:r>
              <w:rPr>
                <w:szCs w:val="21"/>
              </w:rPr>
              <w:t>总烃废气</w:t>
            </w:r>
          </w:p>
        </w:tc>
        <w:tc>
          <w:tcPr>
            <w:tcW w:w="2642" w:type="dxa"/>
            <w:shd w:val="clear" w:color="auto" w:fill="auto"/>
            <w:vAlign w:val="center"/>
          </w:tcPr>
          <w:p>
            <w:pPr>
              <w:widowControl/>
              <w:spacing w:line="360" w:lineRule="exact"/>
              <w:jc w:val="center"/>
              <w:rPr>
                <w:kern w:val="0"/>
                <w:szCs w:val="21"/>
              </w:rPr>
            </w:pPr>
            <w:r>
              <w:rPr>
                <w:szCs w:val="21"/>
              </w:rPr>
              <w:t>埋地式储油罐；采取密闭卸油方式，加油机采取油气回收系统</w:t>
            </w:r>
          </w:p>
        </w:tc>
        <w:tc>
          <w:tcPr>
            <w:tcW w:w="2604" w:type="dxa"/>
            <w:shd w:val="clear" w:color="auto" w:fill="auto"/>
            <w:vAlign w:val="center"/>
          </w:tcPr>
          <w:p>
            <w:pPr>
              <w:widowControl/>
              <w:spacing w:line="360" w:lineRule="exact"/>
              <w:jc w:val="center"/>
              <w:rPr>
                <w:kern w:val="0"/>
                <w:szCs w:val="21"/>
              </w:rPr>
            </w:pPr>
            <w:r>
              <w:rPr>
                <w:szCs w:val="21"/>
              </w:rPr>
              <w:t>《大气污染物综合排放标准》要求周界外非甲烷总烃浓度小于4.0mg/m</w:t>
            </w:r>
            <w:r>
              <w:rPr>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continue"/>
            <w:shd w:val="clear" w:color="auto" w:fill="auto"/>
            <w:vAlign w:val="center"/>
          </w:tcPr>
          <w:p>
            <w:pPr>
              <w:spacing w:line="360" w:lineRule="exact"/>
              <w:jc w:val="center"/>
              <w:rPr>
                <w:szCs w:val="21"/>
              </w:rPr>
            </w:pPr>
          </w:p>
        </w:tc>
        <w:tc>
          <w:tcPr>
            <w:tcW w:w="496" w:type="dxa"/>
            <w:vMerge w:val="continue"/>
            <w:shd w:val="clear" w:color="auto" w:fill="auto"/>
            <w:vAlign w:val="center"/>
          </w:tcPr>
          <w:p>
            <w:pPr>
              <w:spacing w:line="360" w:lineRule="exact"/>
              <w:jc w:val="center"/>
              <w:rPr>
                <w:szCs w:val="21"/>
              </w:rPr>
            </w:pPr>
          </w:p>
        </w:tc>
        <w:tc>
          <w:tcPr>
            <w:tcW w:w="1363" w:type="dxa"/>
            <w:shd w:val="clear" w:color="auto" w:fill="auto"/>
            <w:vAlign w:val="center"/>
          </w:tcPr>
          <w:p>
            <w:pPr>
              <w:spacing w:line="360" w:lineRule="exact"/>
              <w:jc w:val="center"/>
              <w:rPr>
                <w:szCs w:val="21"/>
              </w:rPr>
            </w:pPr>
            <w:r>
              <w:rPr>
                <w:szCs w:val="21"/>
              </w:rPr>
              <w:t>进站加油机动车</w:t>
            </w:r>
          </w:p>
        </w:tc>
        <w:tc>
          <w:tcPr>
            <w:tcW w:w="1215" w:type="dxa"/>
            <w:shd w:val="clear" w:color="auto" w:fill="auto"/>
            <w:vAlign w:val="center"/>
          </w:tcPr>
          <w:p>
            <w:pPr>
              <w:spacing w:line="360" w:lineRule="exact"/>
              <w:jc w:val="center"/>
              <w:rPr>
                <w:szCs w:val="21"/>
              </w:rPr>
            </w:pPr>
            <w:r>
              <w:rPr>
                <w:szCs w:val="21"/>
              </w:rPr>
              <w:t>加油机动车尾气</w:t>
            </w:r>
          </w:p>
        </w:tc>
        <w:tc>
          <w:tcPr>
            <w:tcW w:w="2642" w:type="dxa"/>
            <w:shd w:val="clear" w:color="auto" w:fill="auto"/>
            <w:vAlign w:val="center"/>
          </w:tcPr>
          <w:p>
            <w:pPr>
              <w:widowControl/>
              <w:spacing w:line="360" w:lineRule="exact"/>
              <w:jc w:val="center"/>
              <w:rPr>
                <w:szCs w:val="21"/>
              </w:rPr>
            </w:pPr>
            <w:r>
              <w:rPr>
                <w:szCs w:val="21"/>
              </w:rPr>
              <w:t>空气流通稀释，植物吸附</w:t>
            </w:r>
          </w:p>
        </w:tc>
        <w:tc>
          <w:tcPr>
            <w:tcW w:w="2604" w:type="dxa"/>
            <w:shd w:val="clear" w:color="auto" w:fill="auto"/>
            <w:vAlign w:val="center"/>
          </w:tcPr>
          <w:p>
            <w:pPr>
              <w:widowControl/>
              <w:spacing w:line="360" w:lineRule="exact"/>
              <w:jc w:val="center"/>
              <w:rPr>
                <w:szCs w:val="21"/>
              </w:rPr>
            </w:pPr>
            <w:r>
              <w:rPr>
                <w:szCs w:val="21"/>
              </w:rPr>
              <w:t>对周围影响较小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restart"/>
            <w:shd w:val="clear" w:color="auto" w:fill="auto"/>
            <w:vAlign w:val="center"/>
          </w:tcPr>
          <w:p>
            <w:pPr>
              <w:spacing w:line="360" w:lineRule="exact"/>
              <w:jc w:val="center"/>
              <w:rPr>
                <w:szCs w:val="21"/>
              </w:rPr>
            </w:pPr>
            <w:r>
              <w:rPr>
                <w:rFonts w:hint="eastAsia"/>
                <w:szCs w:val="21"/>
              </w:rPr>
              <w:t>水污染物</w:t>
            </w:r>
          </w:p>
        </w:tc>
        <w:tc>
          <w:tcPr>
            <w:tcW w:w="496" w:type="dxa"/>
            <w:vMerge w:val="restart"/>
            <w:shd w:val="clear" w:color="auto" w:fill="auto"/>
            <w:vAlign w:val="center"/>
          </w:tcPr>
          <w:p>
            <w:pPr>
              <w:spacing w:line="360" w:lineRule="exact"/>
              <w:jc w:val="center"/>
              <w:rPr>
                <w:szCs w:val="21"/>
              </w:rPr>
            </w:pPr>
            <w:r>
              <w:rPr>
                <w:rFonts w:hint="eastAsia"/>
                <w:szCs w:val="21"/>
              </w:rPr>
              <w:t>营运期</w:t>
            </w:r>
          </w:p>
        </w:tc>
        <w:tc>
          <w:tcPr>
            <w:tcW w:w="1363" w:type="dxa"/>
            <w:shd w:val="clear" w:color="auto" w:fill="auto"/>
            <w:vAlign w:val="center"/>
          </w:tcPr>
          <w:p>
            <w:pPr>
              <w:spacing w:line="360" w:lineRule="exact"/>
              <w:jc w:val="center"/>
              <w:rPr>
                <w:szCs w:val="21"/>
              </w:rPr>
            </w:pPr>
            <w:r>
              <w:rPr>
                <w:szCs w:val="21"/>
              </w:rPr>
              <w:t>生活污水</w:t>
            </w:r>
          </w:p>
        </w:tc>
        <w:tc>
          <w:tcPr>
            <w:tcW w:w="1215" w:type="dxa"/>
            <w:shd w:val="clear" w:color="auto" w:fill="auto"/>
            <w:vAlign w:val="center"/>
          </w:tcPr>
          <w:p>
            <w:pPr>
              <w:spacing w:line="360" w:lineRule="exact"/>
              <w:jc w:val="center"/>
              <w:rPr>
                <w:szCs w:val="21"/>
              </w:rPr>
            </w:pPr>
            <w:r>
              <w:rPr>
                <w:szCs w:val="21"/>
              </w:rPr>
              <w:t>CODcr、BOD</w:t>
            </w:r>
            <w:r>
              <w:rPr>
                <w:szCs w:val="21"/>
                <w:vertAlign w:val="subscript"/>
              </w:rPr>
              <w:t>5</w:t>
            </w:r>
            <w:r>
              <w:rPr>
                <w:szCs w:val="21"/>
              </w:rPr>
              <w:t>、</w:t>
            </w:r>
          </w:p>
          <w:p>
            <w:pPr>
              <w:spacing w:line="360" w:lineRule="exact"/>
              <w:jc w:val="center"/>
              <w:rPr>
                <w:szCs w:val="21"/>
              </w:rPr>
            </w:pPr>
            <w:r>
              <w:rPr>
                <w:szCs w:val="21"/>
              </w:rPr>
              <w:t>NH</w:t>
            </w:r>
            <w:r>
              <w:rPr>
                <w:szCs w:val="21"/>
                <w:vertAlign w:val="subscript"/>
              </w:rPr>
              <w:t>3</w:t>
            </w:r>
            <w:r>
              <w:rPr>
                <w:szCs w:val="21"/>
              </w:rPr>
              <w:t>-N、SS</w:t>
            </w:r>
          </w:p>
        </w:tc>
        <w:tc>
          <w:tcPr>
            <w:tcW w:w="2642" w:type="dxa"/>
            <w:shd w:val="clear" w:color="auto" w:fill="auto"/>
            <w:vAlign w:val="center"/>
          </w:tcPr>
          <w:p>
            <w:pPr>
              <w:widowControl/>
              <w:spacing w:line="360" w:lineRule="exact"/>
              <w:jc w:val="center"/>
              <w:rPr>
                <w:szCs w:val="21"/>
              </w:rPr>
            </w:pPr>
            <w:r>
              <w:rPr>
                <w:rFonts w:hint="eastAsia"/>
                <w:szCs w:val="21"/>
              </w:rPr>
              <w:t>项目生活污水经化粪池处理后用作农肥</w:t>
            </w:r>
          </w:p>
        </w:tc>
        <w:tc>
          <w:tcPr>
            <w:tcW w:w="2604" w:type="dxa"/>
            <w:shd w:val="clear" w:color="auto" w:fill="auto"/>
            <w:vAlign w:val="center"/>
          </w:tcPr>
          <w:p>
            <w:pPr>
              <w:adjustRightInd w:val="0"/>
              <w:jc w:val="center"/>
              <w:rPr>
                <w:szCs w:val="21"/>
              </w:rPr>
            </w:pPr>
            <w:r>
              <w:rPr>
                <w:rFonts w:hint="eastAsia"/>
                <w:szCs w:val="21"/>
              </w:rPr>
              <w:t>合理利用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continue"/>
            <w:shd w:val="clear" w:color="auto" w:fill="auto"/>
            <w:vAlign w:val="center"/>
          </w:tcPr>
          <w:p>
            <w:pPr>
              <w:spacing w:line="360" w:lineRule="exact"/>
              <w:jc w:val="center"/>
              <w:rPr>
                <w:szCs w:val="21"/>
              </w:rPr>
            </w:pPr>
          </w:p>
        </w:tc>
        <w:tc>
          <w:tcPr>
            <w:tcW w:w="496" w:type="dxa"/>
            <w:vMerge w:val="continue"/>
            <w:shd w:val="clear" w:color="auto" w:fill="auto"/>
            <w:vAlign w:val="center"/>
          </w:tcPr>
          <w:p>
            <w:pPr>
              <w:spacing w:line="360" w:lineRule="exact"/>
              <w:jc w:val="center"/>
              <w:rPr>
                <w:szCs w:val="21"/>
              </w:rPr>
            </w:pPr>
          </w:p>
        </w:tc>
        <w:tc>
          <w:tcPr>
            <w:tcW w:w="1363" w:type="dxa"/>
            <w:shd w:val="clear" w:color="auto" w:fill="auto"/>
            <w:vAlign w:val="center"/>
          </w:tcPr>
          <w:p>
            <w:pPr>
              <w:spacing w:line="360" w:lineRule="exact"/>
              <w:jc w:val="center"/>
              <w:rPr>
                <w:szCs w:val="21"/>
              </w:rPr>
            </w:pPr>
            <w:r>
              <w:rPr>
                <w:szCs w:val="21"/>
              </w:rPr>
              <w:t>设备及地面清洗废水</w:t>
            </w:r>
            <w:r>
              <w:rPr>
                <w:rFonts w:hint="eastAsia"/>
                <w:szCs w:val="21"/>
              </w:rPr>
              <w:t>、洗车废水</w:t>
            </w:r>
          </w:p>
        </w:tc>
        <w:tc>
          <w:tcPr>
            <w:tcW w:w="1215" w:type="dxa"/>
            <w:shd w:val="clear" w:color="auto" w:fill="auto"/>
            <w:vAlign w:val="center"/>
          </w:tcPr>
          <w:p>
            <w:pPr>
              <w:spacing w:line="360" w:lineRule="exact"/>
              <w:jc w:val="center"/>
              <w:rPr>
                <w:szCs w:val="21"/>
              </w:rPr>
            </w:pPr>
            <w:r>
              <w:rPr>
                <w:szCs w:val="21"/>
              </w:rPr>
              <w:t>石油类、SS</w:t>
            </w:r>
          </w:p>
        </w:tc>
        <w:tc>
          <w:tcPr>
            <w:tcW w:w="2642" w:type="dxa"/>
            <w:shd w:val="clear" w:color="auto" w:fill="auto"/>
            <w:vAlign w:val="center"/>
          </w:tcPr>
          <w:p>
            <w:pPr>
              <w:widowControl/>
              <w:spacing w:line="360" w:lineRule="exact"/>
              <w:jc w:val="center"/>
              <w:rPr>
                <w:bCs/>
                <w:szCs w:val="21"/>
              </w:rPr>
            </w:pPr>
            <w:r>
              <w:rPr>
                <w:rFonts w:hint="eastAsia"/>
                <w:szCs w:val="21"/>
              </w:rPr>
              <w:t>经隔油沉淀池处理后回用于站区洒水。</w:t>
            </w:r>
          </w:p>
        </w:tc>
        <w:tc>
          <w:tcPr>
            <w:tcW w:w="2604" w:type="dxa"/>
            <w:shd w:val="clear" w:color="auto" w:fill="auto"/>
            <w:vAlign w:val="center"/>
          </w:tcPr>
          <w:p>
            <w:pPr>
              <w:spacing w:line="360" w:lineRule="exact"/>
              <w:jc w:val="center"/>
              <w:rPr>
                <w:bCs/>
                <w:szCs w:val="21"/>
              </w:rPr>
            </w:pPr>
            <w:r>
              <w:rPr>
                <w:rFonts w:hint="eastAsia"/>
                <w:szCs w:val="21"/>
              </w:rPr>
              <w:t>回用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restart"/>
            <w:shd w:val="clear" w:color="auto" w:fill="auto"/>
            <w:vAlign w:val="center"/>
          </w:tcPr>
          <w:p>
            <w:pPr>
              <w:spacing w:line="360" w:lineRule="exact"/>
              <w:jc w:val="center"/>
              <w:rPr>
                <w:szCs w:val="21"/>
              </w:rPr>
            </w:pPr>
            <w:r>
              <w:rPr>
                <w:rFonts w:hint="eastAsia"/>
                <w:szCs w:val="21"/>
              </w:rPr>
              <w:t>固体废物</w:t>
            </w:r>
          </w:p>
        </w:tc>
        <w:tc>
          <w:tcPr>
            <w:tcW w:w="496" w:type="dxa"/>
            <w:vMerge w:val="restart"/>
            <w:shd w:val="clear" w:color="auto" w:fill="auto"/>
            <w:vAlign w:val="center"/>
          </w:tcPr>
          <w:p>
            <w:pPr>
              <w:spacing w:line="360" w:lineRule="exact"/>
              <w:jc w:val="center"/>
              <w:rPr>
                <w:szCs w:val="21"/>
              </w:rPr>
            </w:pPr>
            <w:r>
              <w:rPr>
                <w:rFonts w:hint="eastAsia"/>
                <w:szCs w:val="21"/>
              </w:rPr>
              <w:t>营运期</w:t>
            </w:r>
          </w:p>
        </w:tc>
        <w:tc>
          <w:tcPr>
            <w:tcW w:w="1363" w:type="dxa"/>
            <w:shd w:val="clear" w:color="auto" w:fill="auto"/>
            <w:vAlign w:val="center"/>
          </w:tcPr>
          <w:p>
            <w:pPr>
              <w:spacing w:line="360" w:lineRule="exact"/>
              <w:jc w:val="center"/>
              <w:rPr>
                <w:szCs w:val="21"/>
              </w:rPr>
            </w:pPr>
            <w:r>
              <w:rPr>
                <w:szCs w:val="21"/>
              </w:rPr>
              <w:t>生活垃圾</w:t>
            </w:r>
          </w:p>
        </w:tc>
        <w:tc>
          <w:tcPr>
            <w:tcW w:w="1215" w:type="dxa"/>
            <w:shd w:val="clear" w:color="auto" w:fill="auto"/>
            <w:vAlign w:val="center"/>
          </w:tcPr>
          <w:p>
            <w:pPr>
              <w:spacing w:line="360" w:lineRule="exact"/>
              <w:jc w:val="center"/>
              <w:rPr>
                <w:szCs w:val="21"/>
              </w:rPr>
            </w:pPr>
            <w:r>
              <w:rPr>
                <w:szCs w:val="21"/>
              </w:rPr>
              <w:t>固废</w:t>
            </w:r>
          </w:p>
        </w:tc>
        <w:tc>
          <w:tcPr>
            <w:tcW w:w="2642" w:type="dxa"/>
            <w:shd w:val="clear" w:color="auto" w:fill="auto"/>
            <w:vAlign w:val="center"/>
          </w:tcPr>
          <w:p>
            <w:pPr>
              <w:spacing w:line="360" w:lineRule="exact"/>
              <w:jc w:val="center"/>
              <w:rPr>
                <w:szCs w:val="21"/>
              </w:rPr>
            </w:pPr>
            <w:r>
              <w:rPr>
                <w:szCs w:val="21"/>
              </w:rPr>
              <w:t>垃圾箱收集</w:t>
            </w:r>
            <w:r>
              <w:rPr>
                <w:rFonts w:hint="eastAsia"/>
                <w:szCs w:val="21"/>
              </w:rPr>
              <w:t>后</w:t>
            </w:r>
            <w:r>
              <w:rPr>
                <w:szCs w:val="21"/>
              </w:rPr>
              <w:t>运至垃圾填埋场处理</w:t>
            </w:r>
          </w:p>
        </w:tc>
        <w:tc>
          <w:tcPr>
            <w:tcW w:w="2604" w:type="dxa"/>
            <w:shd w:val="clear" w:color="auto" w:fill="auto"/>
            <w:vAlign w:val="center"/>
          </w:tcPr>
          <w:p>
            <w:pPr>
              <w:spacing w:line="360" w:lineRule="exact"/>
              <w:jc w:val="center"/>
              <w:rPr>
                <w:bCs/>
                <w:szCs w:val="21"/>
              </w:rPr>
            </w:pPr>
            <w:r>
              <w:rPr>
                <w:szCs w:val="21"/>
              </w:rPr>
              <w:t>满足《生活垃圾填埋场污染控制标准》（GB16889-2008）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continue"/>
            <w:shd w:val="clear" w:color="auto" w:fill="auto"/>
            <w:vAlign w:val="center"/>
          </w:tcPr>
          <w:p>
            <w:pPr>
              <w:spacing w:line="360" w:lineRule="exact"/>
              <w:jc w:val="center"/>
              <w:rPr>
                <w:szCs w:val="21"/>
              </w:rPr>
            </w:pPr>
          </w:p>
        </w:tc>
        <w:tc>
          <w:tcPr>
            <w:tcW w:w="496" w:type="dxa"/>
            <w:vMerge w:val="continue"/>
            <w:shd w:val="clear" w:color="auto" w:fill="auto"/>
            <w:vAlign w:val="center"/>
          </w:tcPr>
          <w:p>
            <w:pPr>
              <w:spacing w:line="360" w:lineRule="exact"/>
              <w:jc w:val="center"/>
              <w:rPr>
                <w:szCs w:val="21"/>
              </w:rPr>
            </w:pPr>
          </w:p>
        </w:tc>
        <w:tc>
          <w:tcPr>
            <w:tcW w:w="1363" w:type="dxa"/>
            <w:tcBorders>
              <w:top w:val="single" w:color="auto" w:sz="4" w:space="0"/>
            </w:tcBorders>
            <w:shd w:val="clear" w:color="auto" w:fill="auto"/>
            <w:vAlign w:val="center"/>
          </w:tcPr>
          <w:p>
            <w:pPr>
              <w:spacing w:line="360" w:lineRule="exact"/>
              <w:jc w:val="center"/>
              <w:rPr>
                <w:szCs w:val="21"/>
              </w:rPr>
            </w:pPr>
            <w:r>
              <w:rPr>
                <w:rFonts w:hint="eastAsia"/>
                <w:szCs w:val="21"/>
              </w:rPr>
              <w:t>隔油池</w:t>
            </w:r>
            <w:r>
              <w:rPr>
                <w:szCs w:val="21"/>
              </w:rPr>
              <w:t>油泥</w:t>
            </w:r>
          </w:p>
        </w:tc>
        <w:tc>
          <w:tcPr>
            <w:tcW w:w="1215" w:type="dxa"/>
            <w:tcBorders>
              <w:top w:val="single" w:color="auto" w:sz="4" w:space="0"/>
            </w:tcBorders>
            <w:shd w:val="clear" w:color="auto" w:fill="auto"/>
            <w:vAlign w:val="center"/>
          </w:tcPr>
          <w:p>
            <w:pPr>
              <w:spacing w:line="360" w:lineRule="exact"/>
              <w:jc w:val="center"/>
              <w:rPr>
                <w:szCs w:val="21"/>
              </w:rPr>
            </w:pPr>
            <w:r>
              <w:rPr>
                <w:rFonts w:hint="eastAsia"/>
                <w:szCs w:val="21"/>
              </w:rPr>
              <w:t>危险固废</w:t>
            </w:r>
          </w:p>
        </w:tc>
        <w:tc>
          <w:tcPr>
            <w:tcW w:w="2642" w:type="dxa"/>
            <w:tcBorders>
              <w:top w:val="single" w:color="auto" w:sz="4" w:space="0"/>
            </w:tcBorders>
            <w:shd w:val="clear" w:color="auto" w:fill="auto"/>
            <w:vAlign w:val="center"/>
          </w:tcPr>
          <w:p>
            <w:pPr>
              <w:widowControl/>
              <w:spacing w:line="360" w:lineRule="exact"/>
              <w:jc w:val="center"/>
              <w:rPr>
                <w:szCs w:val="21"/>
              </w:rPr>
            </w:pPr>
            <w:r>
              <w:rPr>
                <w:szCs w:val="21"/>
              </w:rPr>
              <w:t>收集暂存，全部交由有资质的回收处理单位集中处理</w:t>
            </w:r>
          </w:p>
        </w:tc>
        <w:tc>
          <w:tcPr>
            <w:tcW w:w="2604" w:type="dxa"/>
            <w:vMerge w:val="restart"/>
            <w:tcBorders>
              <w:top w:val="single" w:color="auto" w:sz="4" w:space="0"/>
            </w:tcBorders>
            <w:shd w:val="clear" w:color="auto" w:fill="auto"/>
            <w:vAlign w:val="center"/>
          </w:tcPr>
          <w:p>
            <w:pPr>
              <w:spacing w:line="360" w:lineRule="exact"/>
              <w:jc w:val="center"/>
              <w:rPr>
                <w:bCs/>
                <w:szCs w:val="21"/>
              </w:rPr>
            </w:pPr>
            <w:r>
              <w:rPr>
                <w:szCs w:val="21"/>
              </w:rPr>
              <w:t>满足《危险废物贮存污染控制标准》（GB18597-2001）及2013年修改单的相关要求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vMerge w:val="continue"/>
            <w:shd w:val="clear" w:color="auto" w:fill="auto"/>
            <w:vAlign w:val="center"/>
          </w:tcPr>
          <w:p>
            <w:pPr>
              <w:spacing w:line="360" w:lineRule="exact"/>
              <w:jc w:val="center"/>
              <w:rPr>
                <w:szCs w:val="21"/>
              </w:rPr>
            </w:pPr>
          </w:p>
        </w:tc>
        <w:tc>
          <w:tcPr>
            <w:tcW w:w="1859" w:type="dxa"/>
            <w:gridSpan w:val="2"/>
            <w:shd w:val="clear" w:color="auto" w:fill="auto"/>
            <w:vAlign w:val="center"/>
          </w:tcPr>
          <w:p>
            <w:pPr>
              <w:spacing w:line="360" w:lineRule="exact"/>
              <w:jc w:val="center"/>
              <w:rPr>
                <w:szCs w:val="21"/>
              </w:rPr>
            </w:pPr>
            <w:r>
              <w:rPr>
                <w:szCs w:val="21"/>
              </w:rPr>
              <w:t>油罐中油渣</w:t>
            </w:r>
            <w:r>
              <w:rPr>
                <w:rFonts w:hint="eastAsia"/>
                <w:szCs w:val="21"/>
              </w:rPr>
              <w:t>、废油</w:t>
            </w:r>
          </w:p>
        </w:tc>
        <w:tc>
          <w:tcPr>
            <w:tcW w:w="1215" w:type="dxa"/>
            <w:shd w:val="clear" w:color="auto" w:fill="auto"/>
            <w:vAlign w:val="center"/>
          </w:tcPr>
          <w:p>
            <w:pPr>
              <w:spacing w:line="360" w:lineRule="exact"/>
              <w:jc w:val="center"/>
              <w:rPr>
                <w:szCs w:val="21"/>
              </w:rPr>
            </w:pPr>
            <w:r>
              <w:rPr>
                <w:szCs w:val="21"/>
              </w:rPr>
              <w:t>危险固废</w:t>
            </w:r>
          </w:p>
        </w:tc>
        <w:tc>
          <w:tcPr>
            <w:tcW w:w="2642" w:type="dxa"/>
            <w:shd w:val="clear" w:color="auto" w:fill="auto"/>
            <w:vAlign w:val="center"/>
          </w:tcPr>
          <w:p>
            <w:pPr>
              <w:widowControl/>
              <w:spacing w:line="360" w:lineRule="exact"/>
              <w:jc w:val="center"/>
              <w:rPr>
                <w:szCs w:val="21"/>
              </w:rPr>
            </w:pPr>
            <w:r>
              <w:rPr>
                <w:rFonts w:hint="eastAsia"/>
                <w:szCs w:val="21"/>
              </w:rPr>
              <w:t>外委</w:t>
            </w:r>
            <w:r>
              <w:rPr>
                <w:szCs w:val="21"/>
              </w:rPr>
              <w:t>有资质的单位处理</w:t>
            </w:r>
          </w:p>
        </w:tc>
        <w:tc>
          <w:tcPr>
            <w:tcW w:w="2604" w:type="dxa"/>
            <w:vMerge w:val="continue"/>
            <w:shd w:val="clear" w:color="auto" w:fill="auto"/>
            <w:vAlign w:val="center"/>
          </w:tcPr>
          <w:p>
            <w:pPr>
              <w:spacing w:line="360" w:lineRule="exact"/>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08" w:type="dxa"/>
            <w:shd w:val="clear" w:color="auto" w:fill="auto"/>
            <w:vAlign w:val="center"/>
          </w:tcPr>
          <w:p>
            <w:pPr>
              <w:spacing w:line="360" w:lineRule="exact"/>
              <w:jc w:val="center"/>
              <w:rPr>
                <w:szCs w:val="21"/>
              </w:rPr>
            </w:pPr>
            <w:r>
              <w:rPr>
                <w:szCs w:val="21"/>
              </w:rPr>
              <w:t>噪声</w:t>
            </w:r>
          </w:p>
        </w:tc>
        <w:tc>
          <w:tcPr>
            <w:tcW w:w="8320" w:type="dxa"/>
            <w:gridSpan w:val="5"/>
            <w:shd w:val="clear" w:color="auto" w:fill="auto"/>
            <w:vAlign w:val="center"/>
          </w:tcPr>
          <w:p>
            <w:pPr>
              <w:spacing w:line="360" w:lineRule="exact"/>
              <w:rPr>
                <w:szCs w:val="21"/>
              </w:rPr>
            </w:pPr>
            <w:r>
              <w:rPr>
                <w:szCs w:val="21"/>
              </w:rPr>
              <w:t>选用低噪声源设备</w:t>
            </w:r>
            <w:r>
              <w:rPr>
                <w:rFonts w:hint="eastAsia"/>
                <w:szCs w:val="21"/>
              </w:rPr>
              <w:t>，柴油发电机采用机房隔声、基础减振、吸声处理</w:t>
            </w:r>
            <w:r>
              <w:rPr>
                <w:szCs w:val="21"/>
              </w:rPr>
              <w:t>，入区域内来往的机动车严格管理，采取车辆进站时减速、禁止鸣笛、加油时车辆熄火和平稳启动等措施，使区域内的交通噪声降到最低值</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28" w:type="dxa"/>
            <w:gridSpan w:val="6"/>
            <w:shd w:val="clear" w:color="auto" w:fill="auto"/>
          </w:tcPr>
          <w:p>
            <w:pPr>
              <w:spacing w:afterLines="50" w:line="360" w:lineRule="exact"/>
              <w:rPr>
                <w:b/>
                <w:szCs w:val="21"/>
              </w:rPr>
            </w:pPr>
            <w:r>
              <w:rPr>
                <w:b/>
                <w:szCs w:val="21"/>
              </w:rPr>
              <w:t>生态保护措施及预期效果：</w:t>
            </w:r>
          </w:p>
          <w:p>
            <w:pPr>
              <w:adjustRightInd w:val="0"/>
              <w:snapToGrid w:val="0"/>
              <w:spacing w:line="360" w:lineRule="auto"/>
              <w:ind w:firstLine="420" w:firstLineChars="200"/>
              <w:rPr>
                <w:szCs w:val="21"/>
              </w:rPr>
            </w:pPr>
            <w:r>
              <w:rPr>
                <w:szCs w:val="21"/>
              </w:rPr>
              <w:t>项目所在地</w:t>
            </w:r>
            <w:r>
              <w:rPr>
                <w:rFonts w:hint="eastAsia"/>
                <w:szCs w:val="21"/>
              </w:rPr>
              <w:t>已进</w:t>
            </w:r>
            <w:r>
              <w:rPr>
                <w:szCs w:val="21"/>
              </w:rPr>
              <w:t>行场地平整，</w:t>
            </w:r>
            <w:r>
              <w:rPr>
                <w:rFonts w:hint="eastAsia"/>
                <w:szCs w:val="21"/>
              </w:rPr>
              <w:t>施工期已完成</w:t>
            </w:r>
            <w:r>
              <w:rPr>
                <w:szCs w:val="21"/>
              </w:rPr>
              <w:t>。</w:t>
            </w: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p>
            <w:pPr>
              <w:spacing w:line="360" w:lineRule="exact"/>
              <w:ind w:firstLine="315" w:firstLineChars="150"/>
              <w:rPr>
                <w:szCs w:val="21"/>
              </w:rPr>
            </w:pPr>
          </w:p>
        </w:tc>
      </w:tr>
    </w:tbl>
    <w:p>
      <w:pPr>
        <w:pStyle w:val="4"/>
        <w:ind w:firstLine="480"/>
      </w:pPr>
    </w:p>
    <w:p>
      <w:pPr>
        <w:pStyle w:val="4"/>
        <w:ind w:firstLine="480"/>
        <w:sectPr>
          <w:pgSz w:w="11906" w:h="16838"/>
          <w:pgMar w:top="1418" w:right="1418" w:bottom="1418" w:left="1418" w:header="851" w:footer="992" w:gutter="0"/>
          <w:cols w:space="425" w:num="1"/>
          <w:docGrid w:type="lines" w:linePitch="312" w:charSpace="0"/>
        </w:sectPr>
      </w:pPr>
    </w:p>
    <w:p>
      <w:pPr>
        <w:pStyle w:val="3"/>
      </w:pPr>
      <w:bookmarkStart w:id="35" w:name="_Toc28651"/>
      <w:r>
        <w:t>评价结论</w:t>
      </w:r>
      <w:bookmarkEnd w:id="35"/>
    </w:p>
    <w:tbl>
      <w:tblPr>
        <w:tblStyle w:val="24"/>
        <w:tblW w:w="900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4" w:type="dxa"/>
            <w:vAlign w:val="center"/>
          </w:tcPr>
          <w:p>
            <w:pPr>
              <w:pStyle w:val="5"/>
            </w:pPr>
            <w:bookmarkStart w:id="36" w:name="_Toc398554756"/>
            <w:bookmarkStart w:id="37" w:name="_Toc387066888"/>
            <w:r>
              <w:t>评价结论</w:t>
            </w:r>
            <w:bookmarkEnd w:id="36"/>
            <w:bookmarkEnd w:id="37"/>
          </w:p>
          <w:p>
            <w:pPr>
              <w:pStyle w:val="6"/>
            </w:pPr>
            <w:r>
              <w:t>项目概况</w:t>
            </w:r>
          </w:p>
          <w:p>
            <w:pPr>
              <w:pStyle w:val="4"/>
              <w:ind w:firstLine="480"/>
            </w:pPr>
            <w:r>
              <w:rPr>
                <w:rFonts w:hint="eastAsia"/>
              </w:rPr>
              <w:t>湘阴县杨林寨加油站项目</w:t>
            </w:r>
            <w:r>
              <w:t>总投资</w:t>
            </w:r>
            <w:r>
              <w:rPr>
                <w:rFonts w:hint="eastAsia"/>
              </w:rPr>
              <w:t>400</w:t>
            </w:r>
            <w:r>
              <w:t>万元，</w:t>
            </w:r>
            <w:r>
              <w:rPr>
                <w:rFonts w:hAnsiTheme="minorEastAsia"/>
                <w:szCs w:val="24"/>
              </w:rPr>
              <w:t>总</w:t>
            </w:r>
            <w:r>
              <w:rPr>
                <w:rFonts w:hint="eastAsia" w:hAnsiTheme="minorEastAsia"/>
                <w:szCs w:val="24"/>
              </w:rPr>
              <w:t>占地</w:t>
            </w:r>
            <w:r>
              <w:rPr>
                <w:rFonts w:hAnsiTheme="minorEastAsia"/>
                <w:szCs w:val="24"/>
              </w:rPr>
              <w:t>面积</w:t>
            </w:r>
            <w:r>
              <w:rPr>
                <w:rFonts w:hint="eastAsia"/>
                <w:szCs w:val="24"/>
              </w:rPr>
              <w:t>1150</w:t>
            </w:r>
            <w:r>
              <w:rPr>
                <w:szCs w:val="24"/>
              </w:rPr>
              <w:t>m</w:t>
            </w:r>
            <w:r>
              <w:rPr>
                <w:szCs w:val="24"/>
                <w:vertAlign w:val="superscript"/>
              </w:rPr>
              <w:t>2</w:t>
            </w:r>
            <w:r>
              <w:rPr>
                <w:szCs w:val="24"/>
              </w:rPr>
              <w:t>。</w:t>
            </w:r>
            <w:r>
              <w:rPr>
                <w:rFonts w:hint="eastAsia"/>
                <w:szCs w:val="24"/>
              </w:rPr>
              <w:t>建设内容主要为：</w:t>
            </w:r>
            <w:r>
              <w:rPr>
                <w:szCs w:val="24"/>
              </w:rPr>
              <w:t>站房</w:t>
            </w:r>
            <w:r>
              <w:rPr>
                <w:rFonts w:hint="eastAsia"/>
                <w:szCs w:val="24"/>
              </w:rPr>
              <w:t>占地</w:t>
            </w:r>
            <w:r>
              <w:rPr>
                <w:szCs w:val="24"/>
              </w:rPr>
              <w:t>面积</w:t>
            </w:r>
            <w:r>
              <w:rPr>
                <w:rFonts w:hint="eastAsia"/>
                <w:szCs w:val="24"/>
              </w:rPr>
              <w:t>87.1</w:t>
            </w:r>
            <w:r>
              <w:rPr>
                <w:rFonts w:hint="eastAsia"/>
              </w:rPr>
              <w:t>m</w:t>
            </w:r>
            <w:r>
              <w:rPr>
                <w:rFonts w:hint="eastAsia"/>
                <w:vertAlign w:val="superscript"/>
              </w:rPr>
              <w:t>2</w:t>
            </w:r>
            <w:r>
              <w:rPr>
                <w:rFonts w:hint="eastAsia"/>
              </w:rPr>
              <w:t>，</w:t>
            </w:r>
            <w:r>
              <w:rPr>
                <w:szCs w:val="24"/>
              </w:rPr>
              <w:t>罩棚面积</w:t>
            </w:r>
            <w:r>
              <w:rPr>
                <w:rFonts w:hint="eastAsia"/>
                <w:szCs w:val="24"/>
              </w:rPr>
              <w:t>225</w:t>
            </w:r>
            <w:r>
              <w:rPr>
                <w:szCs w:val="24"/>
              </w:rPr>
              <w:t>m</w:t>
            </w:r>
            <w:r>
              <w:rPr>
                <w:szCs w:val="24"/>
                <w:vertAlign w:val="superscript"/>
              </w:rPr>
              <w:t>2</w:t>
            </w:r>
            <w:r>
              <w:rPr>
                <w:szCs w:val="24"/>
              </w:rPr>
              <w:t>，</w:t>
            </w:r>
            <w:r>
              <w:rPr>
                <w:rFonts w:hint="eastAsia" w:hAnsiTheme="minorEastAsia"/>
                <w:szCs w:val="24"/>
              </w:rPr>
              <w:t>加油区</w:t>
            </w:r>
            <w:r>
              <w:rPr>
                <w:rFonts w:hAnsiTheme="minorEastAsia"/>
                <w:szCs w:val="24"/>
              </w:rPr>
              <w:t>面积</w:t>
            </w:r>
            <w:r>
              <w:rPr>
                <w:rFonts w:hint="eastAsia"/>
                <w:szCs w:val="24"/>
              </w:rPr>
              <w:t>156</w:t>
            </w:r>
            <w:r>
              <w:rPr>
                <w:szCs w:val="24"/>
              </w:rPr>
              <w:t>m</w:t>
            </w:r>
            <w:r>
              <w:rPr>
                <w:szCs w:val="24"/>
                <w:vertAlign w:val="superscript"/>
              </w:rPr>
              <w:t>2</w:t>
            </w:r>
            <w:r>
              <w:rPr>
                <w:szCs w:val="24"/>
              </w:rPr>
              <w:t>。</w:t>
            </w:r>
            <w:r>
              <w:rPr>
                <w:rFonts w:hint="eastAsia"/>
                <w:szCs w:val="24"/>
              </w:rPr>
              <w:t>配套供配电、给排水、防雷接地、污染处理设施、油气回收设施、消防等公用工程的建设。</w:t>
            </w:r>
            <w:r>
              <w:rPr>
                <w:rFonts w:hint="eastAsia" w:hAnsiTheme="minorEastAsia"/>
              </w:rPr>
              <w:t>站区设25</w:t>
            </w:r>
            <w:r>
              <w:t>m</w:t>
            </w:r>
            <w:r>
              <w:rPr>
                <w:vertAlign w:val="superscript"/>
              </w:rPr>
              <w:t>3</w:t>
            </w:r>
            <w:r>
              <w:rPr>
                <w:rFonts w:hint="eastAsia" w:hAnsiTheme="minorEastAsia"/>
              </w:rPr>
              <w:t>柴油储罐1</w:t>
            </w:r>
            <w:r>
              <w:rPr>
                <w:rFonts w:hint="eastAsia"/>
                <w:szCs w:val="24"/>
              </w:rPr>
              <w:t>个</w:t>
            </w:r>
            <w:r>
              <w:rPr>
                <w:rFonts w:hint="eastAsia" w:hAnsiTheme="minorEastAsia"/>
              </w:rPr>
              <w:t>，30</w:t>
            </w:r>
            <w:r>
              <w:t>m</w:t>
            </w:r>
            <w:r>
              <w:rPr>
                <w:vertAlign w:val="superscript"/>
              </w:rPr>
              <w:t>3</w:t>
            </w:r>
            <w:r>
              <w:rPr>
                <w:rFonts w:hint="eastAsia" w:hAnsiTheme="minorEastAsia"/>
              </w:rPr>
              <w:t>汽油储罐2</w:t>
            </w:r>
            <w:r>
              <w:rPr>
                <w:rFonts w:hint="eastAsia"/>
                <w:szCs w:val="24"/>
              </w:rPr>
              <w:t>个</w:t>
            </w:r>
            <w:r>
              <w:rPr>
                <w:rFonts w:hint="eastAsia" w:hAnsiTheme="minorEastAsia"/>
              </w:rPr>
              <w:t>，</w:t>
            </w:r>
            <w:r>
              <w:rPr>
                <w:szCs w:val="24"/>
              </w:rPr>
              <w:t>柴油罐容积折半计入油罐总容积，</w:t>
            </w:r>
            <w:r>
              <w:rPr>
                <w:rFonts w:hint="eastAsia"/>
                <w:szCs w:val="24"/>
              </w:rPr>
              <w:t>折合总罐容72.5</w:t>
            </w:r>
            <w:r>
              <w:t>m</w:t>
            </w:r>
            <w:r>
              <w:rPr>
                <w:vertAlign w:val="superscript"/>
              </w:rPr>
              <w:t>3</w:t>
            </w:r>
            <w:r>
              <w:rPr>
                <w:rFonts w:hint="eastAsia"/>
                <w:szCs w:val="24"/>
              </w:rPr>
              <w:t>，设置3台双枪双油品、潜油泵及液位仪等，本站设卸油、加油油气回收（分散式）系统。年销售油品总量为330t，其中销售92#汽油200t、95#汽油30t、0#柴油100t。</w:t>
            </w:r>
          </w:p>
          <w:p>
            <w:pPr>
              <w:pStyle w:val="6"/>
            </w:pPr>
            <w:r>
              <w:t>环境质量现状</w:t>
            </w:r>
          </w:p>
          <w:p>
            <w:pPr>
              <w:pStyle w:val="4"/>
              <w:ind w:firstLine="480"/>
              <w:rPr>
                <w:szCs w:val="24"/>
              </w:rPr>
            </w:pPr>
            <w:r>
              <w:rPr>
                <w:rFonts w:hint="eastAsia"/>
                <w:szCs w:val="24"/>
              </w:rPr>
              <w:t>（1）环境空气质量现状</w:t>
            </w:r>
          </w:p>
          <w:p>
            <w:pPr>
              <w:pStyle w:val="4"/>
              <w:ind w:firstLine="480"/>
              <w:rPr>
                <w:szCs w:val="24"/>
              </w:rPr>
            </w:pPr>
            <w:r>
              <w:rPr>
                <w:rFonts w:hint="eastAsia"/>
                <w:szCs w:val="24"/>
              </w:rPr>
              <w:t>由湖南省生态环境厅2019年5月6日发布的《2018年湖南省环境质量状况公告》中的相关内容可知，区域CO、O</w:t>
            </w:r>
            <w:r>
              <w:rPr>
                <w:rFonts w:hint="eastAsia"/>
                <w:szCs w:val="24"/>
                <w:vertAlign w:val="subscript"/>
              </w:rPr>
              <w:t>3</w:t>
            </w:r>
            <w:r>
              <w:rPr>
                <w:rFonts w:hint="eastAsia"/>
                <w:szCs w:val="24"/>
              </w:rPr>
              <w:t>、PM</w:t>
            </w:r>
            <w:r>
              <w:rPr>
                <w:rFonts w:hint="eastAsia"/>
                <w:szCs w:val="24"/>
                <w:vertAlign w:val="subscript"/>
              </w:rPr>
              <w:t>10</w:t>
            </w:r>
            <w:r>
              <w:rPr>
                <w:rFonts w:hint="eastAsia"/>
                <w:szCs w:val="24"/>
              </w:rPr>
              <w:t>不满足《环境空气质量标准》（GB3095-2012）中的二级标准，因此岳阳市区域环境空气质量不达标。</w:t>
            </w:r>
          </w:p>
          <w:p>
            <w:pPr>
              <w:pStyle w:val="4"/>
              <w:ind w:firstLine="480"/>
              <w:rPr>
                <w:szCs w:val="24"/>
              </w:rPr>
            </w:pPr>
            <w:r>
              <w:rPr>
                <w:rFonts w:hint="eastAsia"/>
                <w:szCs w:val="24"/>
              </w:rPr>
              <w:t>由监测结果可知，各监测因子均可满足《环境空气质量标准》（GB3095-2012）中二级标准，评价区域环境空气质量现状较好。</w:t>
            </w:r>
          </w:p>
          <w:p>
            <w:pPr>
              <w:pStyle w:val="4"/>
              <w:ind w:firstLine="480"/>
              <w:rPr>
                <w:szCs w:val="24"/>
              </w:rPr>
            </w:pPr>
            <w:r>
              <w:rPr>
                <w:rFonts w:hint="eastAsia"/>
                <w:szCs w:val="24"/>
              </w:rPr>
              <w:t>（2）地表水环境质量现状</w:t>
            </w:r>
          </w:p>
          <w:p>
            <w:pPr>
              <w:pStyle w:val="4"/>
              <w:ind w:firstLine="480"/>
              <w:rPr>
                <w:szCs w:val="24"/>
              </w:rPr>
            </w:pPr>
            <w:r>
              <w:rPr>
                <w:rFonts w:hint="eastAsia"/>
                <w:szCs w:val="24"/>
              </w:rPr>
              <w:t>根据</w:t>
            </w:r>
            <w:r>
              <w:rPr>
                <w:rFonts w:hint="eastAsia"/>
                <w:bCs/>
              </w:rPr>
              <w:t>湘阴县监测站2018年对</w:t>
            </w:r>
            <w:r>
              <w:rPr>
                <w:bCs/>
              </w:rPr>
              <w:t>湘江</w:t>
            </w:r>
            <w:r>
              <w:rPr>
                <w:rFonts w:hint="eastAsia"/>
                <w:bCs/>
              </w:rPr>
              <w:t>湘阴段的监测数据</w:t>
            </w:r>
            <w:r>
              <w:t>分析</w:t>
            </w:r>
            <w:r>
              <w:rPr>
                <w:rFonts w:hint="eastAsia"/>
              </w:rPr>
              <w:t>可知</w:t>
            </w:r>
            <w:r>
              <w:t>，</w:t>
            </w:r>
            <w:r>
              <w:rPr>
                <w:rFonts w:hint="eastAsia"/>
              </w:rPr>
              <w:t>洋沙湖</w:t>
            </w:r>
            <w:r>
              <w:t>断面、乌龙咀断面水质各项指标均达到《地表水环境质量标准》（GB3838-2002）中Ⅲ类标准，区域水质状况良好</w:t>
            </w:r>
            <w:r>
              <w:rPr>
                <w:szCs w:val="24"/>
              </w:rPr>
              <w:t>。</w:t>
            </w:r>
          </w:p>
          <w:p>
            <w:pPr>
              <w:pStyle w:val="4"/>
              <w:ind w:firstLine="480"/>
            </w:pPr>
            <w:r>
              <w:rPr>
                <w:rFonts w:hint="eastAsia"/>
              </w:rPr>
              <w:t>（</w:t>
            </w:r>
            <w:r>
              <w:t>3</w:t>
            </w:r>
            <w:r>
              <w:rPr>
                <w:rFonts w:hint="eastAsia"/>
              </w:rPr>
              <w:t>）声环境质量现状</w:t>
            </w:r>
          </w:p>
          <w:p>
            <w:pPr>
              <w:pStyle w:val="4"/>
              <w:ind w:firstLine="480"/>
            </w:pPr>
            <w:r>
              <w:rPr>
                <w:rFonts w:hint="eastAsia"/>
                <w:szCs w:val="24"/>
              </w:rPr>
              <w:t>站区</w:t>
            </w:r>
            <w:r>
              <w:rPr>
                <w:szCs w:val="24"/>
              </w:rPr>
              <w:t>东面、南面、西面、北面声环境监测点均能满足《声环境质量标准》（GB3096-2008）2类</w:t>
            </w:r>
            <w:r>
              <w:rPr>
                <w:rFonts w:hint="eastAsia"/>
                <w:szCs w:val="24"/>
              </w:rPr>
              <w:t>、4a类</w:t>
            </w:r>
            <w:r>
              <w:rPr>
                <w:szCs w:val="24"/>
              </w:rPr>
              <w:t>标准要求</w:t>
            </w:r>
            <w:r>
              <w:rPr>
                <w:rFonts w:hint="eastAsia"/>
              </w:rPr>
              <w:t>。</w:t>
            </w:r>
          </w:p>
          <w:p>
            <w:pPr>
              <w:pStyle w:val="6"/>
            </w:pPr>
            <w:r>
              <w:t>环境影响分析</w:t>
            </w:r>
          </w:p>
          <w:p>
            <w:pPr>
              <w:pStyle w:val="4"/>
              <w:ind w:firstLine="480"/>
            </w:pPr>
            <w:r>
              <w:rPr>
                <w:rFonts w:hint="eastAsia"/>
              </w:rPr>
              <w:t>（1）</w:t>
            </w:r>
            <w:r>
              <w:t>施工期环境影响分析</w:t>
            </w:r>
          </w:p>
          <w:p>
            <w:pPr>
              <w:pStyle w:val="4"/>
              <w:ind w:firstLine="480"/>
            </w:pPr>
            <w:r>
              <w:t>本项目已建成，不涉及土建施工等施工期环境影响。</w:t>
            </w:r>
          </w:p>
          <w:p>
            <w:pPr>
              <w:pStyle w:val="4"/>
              <w:ind w:firstLine="480"/>
            </w:pPr>
            <w:r>
              <w:rPr>
                <w:rFonts w:hint="eastAsia"/>
              </w:rPr>
              <w:t>（</w:t>
            </w:r>
            <w:r>
              <w:t>2</w:t>
            </w:r>
            <w:r>
              <w:rPr>
                <w:rFonts w:hint="eastAsia"/>
              </w:rPr>
              <w:t>）营运期环境影响分析</w:t>
            </w:r>
          </w:p>
          <w:p>
            <w:pPr>
              <w:pStyle w:val="4"/>
              <w:ind w:firstLine="480"/>
            </w:pPr>
            <w:r>
              <w:rPr>
                <w:rFonts w:hint="eastAsia" w:ascii="宋体" w:hAnsi="宋体" w:cs="宋体"/>
              </w:rPr>
              <w:t>①</w:t>
            </w:r>
            <w:r>
              <w:rPr>
                <w:rFonts w:hint="eastAsia"/>
              </w:rPr>
              <w:t>大气环境影响分析</w:t>
            </w:r>
          </w:p>
          <w:p>
            <w:pPr>
              <w:pStyle w:val="4"/>
              <w:ind w:firstLine="480"/>
            </w:pPr>
            <w:r>
              <w:rPr>
                <w:rFonts w:hint="eastAsia"/>
              </w:rPr>
              <w:t>加油站油气逸散较少，在采取相应的油气回收措施，严格控制油气无组织排放，可大大减少非甲烷总烃类对大气环境的排放量，减少由此而造成的大气污染影响，确保达到国家《大气污染物综合排放标准》要求的非甲烷总烃</w:t>
            </w:r>
            <w:r>
              <w:t>“</w:t>
            </w:r>
            <w:r>
              <w:rPr>
                <w:rFonts w:hint="eastAsia"/>
              </w:rPr>
              <w:t>周界外浓度最高点</w:t>
            </w:r>
            <w:r>
              <w:t>”4.0mg/m</w:t>
            </w:r>
            <w:r>
              <w:rPr>
                <w:vertAlign w:val="superscript"/>
              </w:rPr>
              <w:t>3</w:t>
            </w:r>
            <w:r>
              <w:rPr>
                <w:rFonts w:hint="eastAsia"/>
              </w:rPr>
              <w:t>的监控浓度限值，对周围大气环境不会产生明显影响。通过空气自然流通扩散及绿化带的作用，项目内产生的机动车尾气，很快就能被稀释扩散，对周围环境影响较小。项目柴油发电机产生的废气产生量较少，对周边环境影响较小。</w:t>
            </w:r>
          </w:p>
          <w:p>
            <w:pPr>
              <w:pStyle w:val="4"/>
              <w:ind w:firstLine="480"/>
            </w:pPr>
            <w:r>
              <w:rPr>
                <w:rFonts w:hint="eastAsia" w:ascii="宋体" w:hAnsi="宋体" w:cs="宋体"/>
              </w:rPr>
              <w:t>②地表</w:t>
            </w:r>
            <w:r>
              <w:rPr>
                <w:rFonts w:hint="eastAsia"/>
              </w:rPr>
              <w:t>水环境影响分析</w:t>
            </w:r>
          </w:p>
          <w:p>
            <w:pPr>
              <w:pStyle w:val="4"/>
              <w:ind w:firstLine="480"/>
            </w:pPr>
            <w:r>
              <w:rPr>
                <w:rFonts w:hint="eastAsia"/>
              </w:rPr>
              <w:t>地表水环境影响分析：项目生活污水经化粪池处理后用作农肥，设备和地面清洗废水经隔油池处理后回用于站区洒水。项目运营期产生的废水对周围的水环境质量产生的影响较小。</w:t>
            </w:r>
          </w:p>
          <w:p>
            <w:pPr>
              <w:pStyle w:val="4"/>
              <w:ind w:firstLine="480"/>
            </w:pPr>
            <w:r>
              <w:rPr>
                <w:rFonts w:hint="eastAsia"/>
              </w:rPr>
              <w:t>地下水环境影响分析：在采取环评提出的地下水污染防治措施后，项目运营过程中不会发生地下水污染的问题。</w:t>
            </w:r>
          </w:p>
          <w:p>
            <w:pPr>
              <w:pStyle w:val="4"/>
              <w:ind w:firstLine="480"/>
            </w:pPr>
            <w:r>
              <w:rPr>
                <w:rFonts w:hint="eastAsia" w:ascii="宋体" w:hAnsi="宋体" w:cs="宋体"/>
              </w:rPr>
              <w:t>③</w:t>
            </w:r>
            <w:r>
              <w:rPr>
                <w:rFonts w:hint="eastAsia"/>
              </w:rPr>
              <w:t>声环境影响评价</w:t>
            </w:r>
          </w:p>
          <w:p>
            <w:pPr>
              <w:pStyle w:val="4"/>
              <w:ind w:firstLine="480"/>
            </w:pPr>
            <w:r>
              <w:rPr>
                <w:rFonts w:hint="eastAsia"/>
              </w:rPr>
              <w:t>选用低噪声源设备，采取车辆进站时减速、禁止鸣笛、加油时车辆熄火和平稳启动等措施，项目营运期的噪声对周围环境影响较小。</w:t>
            </w:r>
          </w:p>
          <w:p>
            <w:pPr>
              <w:pStyle w:val="4"/>
              <w:ind w:firstLine="480"/>
            </w:pPr>
            <w:r>
              <w:rPr>
                <w:rFonts w:hint="eastAsia" w:ascii="宋体" w:hAnsi="宋体" w:cs="宋体"/>
              </w:rPr>
              <w:t>④</w:t>
            </w:r>
            <w:r>
              <w:rPr>
                <w:rFonts w:hint="eastAsia"/>
              </w:rPr>
              <w:t>固体废物环境影响评价</w:t>
            </w:r>
          </w:p>
          <w:p>
            <w:pPr>
              <w:pStyle w:val="4"/>
              <w:ind w:firstLine="480"/>
            </w:pPr>
            <w:r>
              <w:rPr>
                <w:rFonts w:hint="eastAsia"/>
              </w:rPr>
              <w:t>生活垃圾统一收集到站内垃圾收集点，定期运至垃圾填埋场处理。油罐清洗废油渣和废油、隔油池油泥等均由有资质单位进行处理。</w:t>
            </w:r>
          </w:p>
          <w:p>
            <w:pPr>
              <w:pStyle w:val="4"/>
              <w:ind w:firstLine="480"/>
            </w:pPr>
            <w:r>
              <w:rPr>
                <w:rFonts w:hint="eastAsia" w:ascii="宋体" w:hAnsi="宋体" w:cs="宋体"/>
              </w:rPr>
              <w:t>⑤</w:t>
            </w:r>
            <w:r>
              <w:rPr>
                <w:rFonts w:hint="eastAsia"/>
              </w:rPr>
              <w:t>生态环境影响评价</w:t>
            </w:r>
          </w:p>
          <w:p>
            <w:pPr>
              <w:pStyle w:val="4"/>
              <w:ind w:firstLine="480"/>
            </w:pPr>
            <w:r>
              <w:rPr>
                <w:rFonts w:hint="eastAsia"/>
              </w:rPr>
              <w:t>在采取加强油罐、油管的焊接与防腐处理，强化油罐区防渗处理等措施后，本项目运营对土壤环境无明显影响。</w:t>
            </w:r>
          </w:p>
          <w:p>
            <w:pPr>
              <w:pStyle w:val="6"/>
            </w:pPr>
            <w:r>
              <w:t>环境风险分析</w:t>
            </w:r>
          </w:p>
          <w:p>
            <w:pPr>
              <w:pStyle w:val="4"/>
              <w:ind w:firstLine="480"/>
            </w:pPr>
            <w:r>
              <w:rPr>
                <w:rFonts w:hint="eastAsia"/>
              </w:rPr>
              <w:t>从环境保护角度来说，本项目不构成重大危险源，在建设单位按照评价的建议落实本报告要求提出的各项风险措施，加强对员工的安全操作培训，人工做到按要求和规范操作，杜绝人为操作失误而引起的泄漏、火灾、爆炸事故发生；同时制定完善、有效的环境应急预案，保证在发生事故时能采取有效的措施及时控制事故，防止事故蔓延，做好事后环境污染治理工作的前提下，项目的环境风险是可以接受的。</w:t>
            </w:r>
          </w:p>
          <w:p>
            <w:pPr>
              <w:pStyle w:val="6"/>
            </w:pPr>
            <w:r>
              <w:t>本项目建设可行性分析</w:t>
            </w:r>
          </w:p>
          <w:p>
            <w:pPr>
              <w:pStyle w:val="4"/>
              <w:ind w:firstLine="480"/>
            </w:pPr>
            <w:r>
              <w:rPr>
                <w:rFonts w:hint="eastAsia"/>
              </w:rPr>
              <w:t>（</w:t>
            </w:r>
            <w:r>
              <w:t>1</w:t>
            </w:r>
            <w:r>
              <w:rPr>
                <w:rFonts w:hint="eastAsia"/>
              </w:rPr>
              <w:t>）产业政策符合性分析</w:t>
            </w:r>
          </w:p>
          <w:p>
            <w:pPr>
              <w:pStyle w:val="4"/>
              <w:ind w:firstLine="496"/>
            </w:pPr>
            <w:r>
              <w:rPr>
                <w:rFonts w:hint="eastAsia"/>
                <w:spacing w:val="4"/>
              </w:rPr>
              <w:t>本项目主要从事成品柴油、汽油的销售。对照《产业结构调整指导目录</w:t>
            </w:r>
            <w:r>
              <w:rPr>
                <w:spacing w:val="4"/>
              </w:rPr>
              <w:t>(201</w:t>
            </w:r>
            <w:r>
              <w:rPr>
                <w:rFonts w:hint="eastAsia"/>
                <w:spacing w:val="4"/>
                <w:lang w:val="en-US" w:eastAsia="zh-CN"/>
              </w:rPr>
              <w:t>9</w:t>
            </w:r>
            <w:r>
              <w:rPr>
                <w:rFonts w:hint="eastAsia"/>
                <w:spacing w:val="4"/>
              </w:rPr>
              <w:t>年本》及《国家发展改革委关于修改</w:t>
            </w:r>
            <w:r>
              <w:rPr>
                <w:spacing w:val="4"/>
              </w:rPr>
              <w:t>&lt;</w:t>
            </w:r>
            <w:r>
              <w:rPr>
                <w:rFonts w:hint="eastAsia"/>
                <w:spacing w:val="4"/>
              </w:rPr>
              <w:t>产业结构调整指导目录</w:t>
            </w:r>
            <w:r>
              <w:rPr>
                <w:spacing w:val="4"/>
              </w:rPr>
              <w:t>(201</w:t>
            </w:r>
            <w:r>
              <w:rPr>
                <w:rFonts w:hint="eastAsia"/>
                <w:spacing w:val="4"/>
                <w:lang w:val="en-US" w:eastAsia="zh-CN"/>
              </w:rPr>
              <w:t>9</w:t>
            </w:r>
            <w:r>
              <w:rPr>
                <w:rFonts w:hint="eastAsia"/>
                <w:spacing w:val="4"/>
              </w:rPr>
              <w:t>年本</w:t>
            </w:r>
            <w:r>
              <w:rPr>
                <w:spacing w:val="4"/>
              </w:rPr>
              <w:t>)&gt;</w:t>
            </w:r>
            <w:r>
              <w:rPr>
                <w:rFonts w:hint="eastAsia"/>
                <w:spacing w:val="4"/>
              </w:rPr>
              <w:t>有关条款的决定》，项目不属于限制和淘汰类。因此，本项目建设符合国家产业政策。</w:t>
            </w:r>
          </w:p>
          <w:p>
            <w:pPr>
              <w:pStyle w:val="4"/>
              <w:ind w:firstLine="480"/>
            </w:pPr>
            <w:r>
              <w:rPr>
                <w:rFonts w:hint="eastAsia"/>
              </w:rPr>
              <w:t>（</w:t>
            </w:r>
            <w:r>
              <w:t>2</w:t>
            </w:r>
            <w:r>
              <w:rPr>
                <w:rFonts w:hint="eastAsia"/>
              </w:rPr>
              <w:t>）选址合理性分析</w:t>
            </w:r>
          </w:p>
          <w:p>
            <w:pPr>
              <w:pStyle w:val="4"/>
              <w:ind w:firstLine="480"/>
            </w:pPr>
            <w:r>
              <w:rPr>
                <w:rFonts w:hint="eastAsia"/>
              </w:rPr>
              <w:t>项目符合区域总体规划要求，平面布置合理，基础设施配套成熟，交通地理位置优越，建设项目主要装置与周边环境距离符合《汽车加油加气站设计与施工规范》（</w:t>
            </w:r>
            <w:r>
              <w:t>GB50156-2012</w:t>
            </w:r>
            <w:r>
              <w:rPr>
                <w:rFonts w:hint="eastAsia"/>
              </w:rPr>
              <w:t>）和《建筑设计防火规范》（</w:t>
            </w:r>
            <w:r>
              <w:t>GB50016-2006</w:t>
            </w:r>
            <w:r>
              <w:rPr>
                <w:rFonts w:hint="eastAsia"/>
              </w:rPr>
              <w:t>）等标准的要求。综上所述，项目选址合理可行。</w:t>
            </w:r>
          </w:p>
          <w:p>
            <w:pPr>
              <w:pStyle w:val="6"/>
            </w:pPr>
            <w:r>
              <w:t>综合评价结论</w:t>
            </w:r>
          </w:p>
          <w:p>
            <w:pPr>
              <w:pStyle w:val="4"/>
              <w:ind w:firstLine="480"/>
            </w:pPr>
            <w:r>
              <w:rPr>
                <w:rFonts w:hint="eastAsia"/>
              </w:rPr>
              <w:t>综合分析可知，本项目与国家政策相符，选址合理可行，平面布置合理以及规划合理可行。项目在建设和运营中将产生一定的废气、污水、噪声及固体废物的污染，在认真落实报告表提出的各项环保措施的前提下，污染物可做到达标排放，固废可得到妥善处置，噪声不会出现扰民现象，项目建设及运营对周边环境的影响可满足环境功能区划的要求，从环境保护角度而言，项目建设可行。</w:t>
            </w:r>
          </w:p>
          <w:p>
            <w:pPr>
              <w:pStyle w:val="5"/>
            </w:pPr>
            <w:bookmarkStart w:id="38" w:name="_Toc387066889"/>
            <w:bookmarkStart w:id="39" w:name="_Toc398554757"/>
            <w:bookmarkStart w:id="40" w:name="_Toc260819641"/>
            <w:r>
              <w:t>建议</w:t>
            </w:r>
            <w:bookmarkEnd w:id="38"/>
            <w:bookmarkEnd w:id="39"/>
            <w:bookmarkEnd w:id="40"/>
          </w:p>
          <w:p>
            <w:pPr>
              <w:pStyle w:val="4"/>
              <w:ind w:firstLine="480"/>
            </w:pPr>
            <w:r>
              <w:rPr>
                <w:rFonts w:hint="eastAsia"/>
              </w:rPr>
              <w:t>（</w:t>
            </w:r>
            <w:r>
              <w:t>1</w:t>
            </w:r>
            <w:r>
              <w:rPr>
                <w:rFonts w:hint="eastAsia"/>
              </w:rPr>
              <w:t>）对油料的运输贮存、输送设备应加强管理与维护，杜绝出现各有关设备跑、冒、漏现象和人为导致的安全事故。对可能产生泄漏的储油设备，应加建防泄漏设施和油品收集设施。万一事故发生后必须及时通知安全、消防、环保部门，共同防止安全和污染事故事态的扩大。加油站必须制定事故预案，配备相应的专业防火和应急器材。</w:t>
            </w:r>
          </w:p>
          <w:p>
            <w:pPr>
              <w:pStyle w:val="4"/>
              <w:ind w:firstLine="480"/>
            </w:pPr>
            <w:r>
              <w:rPr>
                <w:rFonts w:hint="eastAsia"/>
              </w:rPr>
              <w:t>（2）定期对操作失员进行安全生产与知识培训，并制定严格的操作规程，切实加强油料贮存、输送生产过程中的安全控制，保证生产安全、防止意外事故发生。</w:t>
            </w:r>
          </w:p>
          <w:p>
            <w:pPr>
              <w:pStyle w:val="4"/>
              <w:ind w:firstLine="480"/>
            </w:pPr>
            <w:r>
              <w:rPr>
                <w:rFonts w:hint="eastAsia"/>
              </w:rPr>
              <w:t>（3）该项目运营期间不能加注油品在国</w:t>
            </w:r>
            <w:r>
              <w:rPr>
                <w:rFonts w:hint="eastAsia" w:ascii="宋体" w:hAnsi="宋体" w:cs="宋体"/>
              </w:rPr>
              <w:t>Ⅳ</w:t>
            </w:r>
            <w:r>
              <w:rPr>
                <w:rFonts w:hint="eastAsia"/>
              </w:rPr>
              <w:t>阶段及以下的汽、柴油。</w:t>
            </w:r>
          </w:p>
        </w:tc>
      </w:tr>
    </w:tbl>
    <w:p>
      <w:r>
        <w:rPr>
          <w:rFonts w:hint="eastAsia" w:eastAsiaTheme="minorEastAsia"/>
        </w:rPr>
        <w:br w:type="page"/>
      </w:r>
    </w:p>
    <w:sectPr>
      <w:headerReference r:id="rId10" w:type="default"/>
      <w:footerReference r:id="rId11" w:type="default"/>
      <w:pgSz w:w="11907" w:h="16840"/>
      <w:pgMar w:top="1418" w:right="1418" w:bottom="1418" w:left="1701" w:header="851" w:footer="851" w:gutter="0"/>
      <w:cols w:space="720" w:num="1"/>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18030">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18</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21"/>
        <w:szCs w:val="21"/>
      </w:rPr>
    </w:pPr>
    <w:r>
      <w:rPr>
        <w:rFonts w:hint="eastAsia"/>
        <w:sz w:val="21"/>
        <w:szCs w:val="21"/>
      </w:rPr>
      <w:t>湘阴县杨林寨加油站项目环境影响报告表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6C73A5"/>
    <w:multiLevelType w:val="singleLevel"/>
    <w:tmpl w:val="D06C73A5"/>
    <w:lvl w:ilvl="0" w:tentative="0">
      <w:start w:val="1"/>
      <w:numFmt w:val="decimal"/>
      <w:suff w:val="nothing"/>
      <w:lvlText w:val="（%1）"/>
      <w:lvlJc w:val="left"/>
    </w:lvl>
  </w:abstractNum>
  <w:abstractNum w:abstractNumId="1">
    <w:nsid w:val="F4F17CC3"/>
    <w:multiLevelType w:val="singleLevel"/>
    <w:tmpl w:val="F4F17CC3"/>
    <w:lvl w:ilvl="0" w:tentative="0">
      <w:start w:val="1"/>
      <w:numFmt w:val="decimal"/>
      <w:suff w:val="nothing"/>
      <w:lvlText w:val="（%1）"/>
      <w:lvlJc w:val="left"/>
    </w:lvl>
  </w:abstractNum>
  <w:abstractNum w:abstractNumId="2">
    <w:nsid w:val="F6AB3C06"/>
    <w:multiLevelType w:val="singleLevel"/>
    <w:tmpl w:val="F6AB3C06"/>
    <w:lvl w:ilvl="0" w:tentative="0">
      <w:start w:val="4"/>
      <w:numFmt w:val="decimal"/>
      <w:suff w:val="nothing"/>
      <w:lvlText w:val="（%1）"/>
      <w:lvlJc w:val="left"/>
    </w:lvl>
  </w:abstractNum>
  <w:abstractNum w:abstractNumId="3">
    <w:nsid w:val="1E277968"/>
    <w:multiLevelType w:val="multilevel"/>
    <w:tmpl w:val="1E277968"/>
    <w:lvl w:ilvl="0" w:tentative="0">
      <w:start w:val="1"/>
      <w:numFmt w:val="decimal"/>
      <w:pStyle w:val="3"/>
      <w:lvlText w:val="%1"/>
      <w:lvlJc w:val="left"/>
      <w:pPr>
        <w:ind w:left="432" w:hanging="432"/>
      </w:pPr>
    </w:lvl>
    <w:lvl w:ilvl="1" w:tentative="0">
      <w:start w:val="1"/>
      <w:numFmt w:val="decimal"/>
      <w:pStyle w:val="5"/>
      <w:lvlText w:val="%1.%2"/>
      <w:lvlJc w:val="left"/>
      <w:pPr>
        <w:ind w:left="576" w:hanging="576"/>
      </w:pPr>
      <w:rPr>
        <w:b w:val="0"/>
      </w:rPr>
    </w:lvl>
    <w:lvl w:ilvl="2" w:tentative="0">
      <w:start w:val="1"/>
      <w:numFmt w:val="decimal"/>
      <w:pStyle w:val="6"/>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58D1BB1F"/>
    <w:multiLevelType w:val="singleLevel"/>
    <w:tmpl w:val="58D1BB1F"/>
    <w:lvl w:ilvl="0" w:tentative="0">
      <w:start w:val="3"/>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53C27"/>
    <w:rsid w:val="00005B30"/>
    <w:rsid w:val="00012766"/>
    <w:rsid w:val="00014216"/>
    <w:rsid w:val="000207E9"/>
    <w:rsid w:val="00052BDA"/>
    <w:rsid w:val="00055FF7"/>
    <w:rsid w:val="00080104"/>
    <w:rsid w:val="00082169"/>
    <w:rsid w:val="000C3047"/>
    <w:rsid w:val="000C7D35"/>
    <w:rsid w:val="001000C4"/>
    <w:rsid w:val="00103B2F"/>
    <w:rsid w:val="00105B9F"/>
    <w:rsid w:val="00122932"/>
    <w:rsid w:val="00133C8C"/>
    <w:rsid w:val="0013454F"/>
    <w:rsid w:val="00140126"/>
    <w:rsid w:val="00150282"/>
    <w:rsid w:val="00152F68"/>
    <w:rsid w:val="00167FFB"/>
    <w:rsid w:val="00180B79"/>
    <w:rsid w:val="00183AE1"/>
    <w:rsid w:val="0018731A"/>
    <w:rsid w:val="00191093"/>
    <w:rsid w:val="001932AD"/>
    <w:rsid w:val="001B3AFC"/>
    <w:rsid w:val="001C7D18"/>
    <w:rsid w:val="001D7D5F"/>
    <w:rsid w:val="001E2EBE"/>
    <w:rsid w:val="00206936"/>
    <w:rsid w:val="00211A90"/>
    <w:rsid w:val="00212411"/>
    <w:rsid w:val="00213106"/>
    <w:rsid w:val="00242147"/>
    <w:rsid w:val="002612B4"/>
    <w:rsid w:val="002833B2"/>
    <w:rsid w:val="00287471"/>
    <w:rsid w:val="00297388"/>
    <w:rsid w:val="002B7596"/>
    <w:rsid w:val="002C116B"/>
    <w:rsid w:val="002C3EFB"/>
    <w:rsid w:val="002E5A29"/>
    <w:rsid w:val="002E6103"/>
    <w:rsid w:val="002F6014"/>
    <w:rsid w:val="00303E1E"/>
    <w:rsid w:val="003079A9"/>
    <w:rsid w:val="00317D8B"/>
    <w:rsid w:val="00333EFD"/>
    <w:rsid w:val="00344608"/>
    <w:rsid w:val="003554C3"/>
    <w:rsid w:val="003A29A3"/>
    <w:rsid w:val="003A7654"/>
    <w:rsid w:val="003B2099"/>
    <w:rsid w:val="003D267A"/>
    <w:rsid w:val="003E2525"/>
    <w:rsid w:val="0043034D"/>
    <w:rsid w:val="00431EC1"/>
    <w:rsid w:val="00440CA9"/>
    <w:rsid w:val="004546F2"/>
    <w:rsid w:val="004706CD"/>
    <w:rsid w:val="004714E5"/>
    <w:rsid w:val="00485C3A"/>
    <w:rsid w:val="00496148"/>
    <w:rsid w:val="004B59D7"/>
    <w:rsid w:val="004C264D"/>
    <w:rsid w:val="004D50A4"/>
    <w:rsid w:val="0050531D"/>
    <w:rsid w:val="00527D2E"/>
    <w:rsid w:val="00537EEC"/>
    <w:rsid w:val="00562AE7"/>
    <w:rsid w:val="0057357C"/>
    <w:rsid w:val="0059195B"/>
    <w:rsid w:val="00595657"/>
    <w:rsid w:val="00595F1D"/>
    <w:rsid w:val="005968C5"/>
    <w:rsid w:val="005A0EAD"/>
    <w:rsid w:val="005A4D73"/>
    <w:rsid w:val="005A4ECF"/>
    <w:rsid w:val="005D09FC"/>
    <w:rsid w:val="005D199F"/>
    <w:rsid w:val="005E568F"/>
    <w:rsid w:val="00620C09"/>
    <w:rsid w:val="00622EC4"/>
    <w:rsid w:val="00645C7A"/>
    <w:rsid w:val="006618F0"/>
    <w:rsid w:val="00680092"/>
    <w:rsid w:val="00696C1D"/>
    <w:rsid w:val="006D10CA"/>
    <w:rsid w:val="006E43B0"/>
    <w:rsid w:val="006F7A88"/>
    <w:rsid w:val="00701F7E"/>
    <w:rsid w:val="00703D35"/>
    <w:rsid w:val="00744578"/>
    <w:rsid w:val="00795ACE"/>
    <w:rsid w:val="007A1D47"/>
    <w:rsid w:val="007B06E3"/>
    <w:rsid w:val="007B2B73"/>
    <w:rsid w:val="007D3462"/>
    <w:rsid w:val="007E6713"/>
    <w:rsid w:val="00805D9B"/>
    <w:rsid w:val="00806260"/>
    <w:rsid w:val="00806DD9"/>
    <w:rsid w:val="00807CA7"/>
    <w:rsid w:val="0082546E"/>
    <w:rsid w:val="0083300F"/>
    <w:rsid w:val="00842307"/>
    <w:rsid w:val="00843E41"/>
    <w:rsid w:val="00875341"/>
    <w:rsid w:val="008862C8"/>
    <w:rsid w:val="008879ED"/>
    <w:rsid w:val="008C607C"/>
    <w:rsid w:val="008D2F27"/>
    <w:rsid w:val="008E5C75"/>
    <w:rsid w:val="008F2920"/>
    <w:rsid w:val="00911654"/>
    <w:rsid w:val="009127AA"/>
    <w:rsid w:val="00925ABC"/>
    <w:rsid w:val="00940701"/>
    <w:rsid w:val="0095323F"/>
    <w:rsid w:val="00960CAF"/>
    <w:rsid w:val="00984C97"/>
    <w:rsid w:val="009979A0"/>
    <w:rsid w:val="009A55FE"/>
    <w:rsid w:val="009C4CA7"/>
    <w:rsid w:val="009D0E7B"/>
    <w:rsid w:val="009D2E24"/>
    <w:rsid w:val="009D7EC2"/>
    <w:rsid w:val="009F162F"/>
    <w:rsid w:val="00A16131"/>
    <w:rsid w:val="00A27D53"/>
    <w:rsid w:val="00A30839"/>
    <w:rsid w:val="00A442AE"/>
    <w:rsid w:val="00A55306"/>
    <w:rsid w:val="00A94B0C"/>
    <w:rsid w:val="00AB075F"/>
    <w:rsid w:val="00AC6124"/>
    <w:rsid w:val="00AF7120"/>
    <w:rsid w:val="00B136AF"/>
    <w:rsid w:val="00B1545C"/>
    <w:rsid w:val="00B1561F"/>
    <w:rsid w:val="00B16F4F"/>
    <w:rsid w:val="00B223B5"/>
    <w:rsid w:val="00B3245D"/>
    <w:rsid w:val="00B36384"/>
    <w:rsid w:val="00B528F8"/>
    <w:rsid w:val="00B74AF9"/>
    <w:rsid w:val="00B75646"/>
    <w:rsid w:val="00BC1754"/>
    <w:rsid w:val="00BD0545"/>
    <w:rsid w:val="00BD620A"/>
    <w:rsid w:val="00BF26CC"/>
    <w:rsid w:val="00BF4DCE"/>
    <w:rsid w:val="00C043E5"/>
    <w:rsid w:val="00C1698C"/>
    <w:rsid w:val="00C17DAF"/>
    <w:rsid w:val="00C43534"/>
    <w:rsid w:val="00C555C9"/>
    <w:rsid w:val="00C761B4"/>
    <w:rsid w:val="00C819C7"/>
    <w:rsid w:val="00C9024D"/>
    <w:rsid w:val="00CC7D8D"/>
    <w:rsid w:val="00D42ACA"/>
    <w:rsid w:val="00D4535C"/>
    <w:rsid w:val="00D52944"/>
    <w:rsid w:val="00D52F63"/>
    <w:rsid w:val="00D530A7"/>
    <w:rsid w:val="00D6527D"/>
    <w:rsid w:val="00D77312"/>
    <w:rsid w:val="00D82814"/>
    <w:rsid w:val="00DA6DB8"/>
    <w:rsid w:val="00DB09D1"/>
    <w:rsid w:val="00DB1F87"/>
    <w:rsid w:val="00DC0715"/>
    <w:rsid w:val="00DC1DB4"/>
    <w:rsid w:val="00DF38B1"/>
    <w:rsid w:val="00E0129D"/>
    <w:rsid w:val="00E02AA8"/>
    <w:rsid w:val="00E14A1B"/>
    <w:rsid w:val="00E25071"/>
    <w:rsid w:val="00E3262F"/>
    <w:rsid w:val="00E34184"/>
    <w:rsid w:val="00E5572E"/>
    <w:rsid w:val="00E62062"/>
    <w:rsid w:val="00E64E26"/>
    <w:rsid w:val="00E708B0"/>
    <w:rsid w:val="00E7091C"/>
    <w:rsid w:val="00E762B2"/>
    <w:rsid w:val="00E76E2C"/>
    <w:rsid w:val="00E86FA3"/>
    <w:rsid w:val="00EA239F"/>
    <w:rsid w:val="00EB1897"/>
    <w:rsid w:val="00EB317D"/>
    <w:rsid w:val="00ED463E"/>
    <w:rsid w:val="00ED6286"/>
    <w:rsid w:val="00EE1912"/>
    <w:rsid w:val="00F06F75"/>
    <w:rsid w:val="00F36E41"/>
    <w:rsid w:val="00F374BB"/>
    <w:rsid w:val="00F4363C"/>
    <w:rsid w:val="00F4422A"/>
    <w:rsid w:val="00F55B4A"/>
    <w:rsid w:val="00F6223E"/>
    <w:rsid w:val="00F94F0C"/>
    <w:rsid w:val="00FB099E"/>
    <w:rsid w:val="00FB1F67"/>
    <w:rsid w:val="00FC3B36"/>
    <w:rsid w:val="00FC5D00"/>
    <w:rsid w:val="00FD2E57"/>
    <w:rsid w:val="00FD4EED"/>
    <w:rsid w:val="00FD7BA5"/>
    <w:rsid w:val="00FE38C3"/>
    <w:rsid w:val="00FE3CE0"/>
    <w:rsid w:val="00FF620C"/>
    <w:rsid w:val="011B0FF5"/>
    <w:rsid w:val="01266E0A"/>
    <w:rsid w:val="0263165B"/>
    <w:rsid w:val="02890C6D"/>
    <w:rsid w:val="039923E0"/>
    <w:rsid w:val="04AA0204"/>
    <w:rsid w:val="05AF3479"/>
    <w:rsid w:val="06C57F9D"/>
    <w:rsid w:val="072551B8"/>
    <w:rsid w:val="074E7C5F"/>
    <w:rsid w:val="075F6A43"/>
    <w:rsid w:val="079964C8"/>
    <w:rsid w:val="07A85F24"/>
    <w:rsid w:val="083A4CBC"/>
    <w:rsid w:val="08517624"/>
    <w:rsid w:val="08853C27"/>
    <w:rsid w:val="092D7BC4"/>
    <w:rsid w:val="0CF7450C"/>
    <w:rsid w:val="0CFB559E"/>
    <w:rsid w:val="0DB122CF"/>
    <w:rsid w:val="0F463699"/>
    <w:rsid w:val="10324893"/>
    <w:rsid w:val="10616653"/>
    <w:rsid w:val="10BA06AF"/>
    <w:rsid w:val="10D44198"/>
    <w:rsid w:val="11454929"/>
    <w:rsid w:val="11550A6F"/>
    <w:rsid w:val="11555CE9"/>
    <w:rsid w:val="13295275"/>
    <w:rsid w:val="133131E5"/>
    <w:rsid w:val="137F3E72"/>
    <w:rsid w:val="14A916DC"/>
    <w:rsid w:val="14D828FA"/>
    <w:rsid w:val="152733E5"/>
    <w:rsid w:val="15A635E5"/>
    <w:rsid w:val="166D4320"/>
    <w:rsid w:val="173D7B12"/>
    <w:rsid w:val="17567433"/>
    <w:rsid w:val="17B51D0D"/>
    <w:rsid w:val="17DA5D1F"/>
    <w:rsid w:val="18743ACF"/>
    <w:rsid w:val="18D82F13"/>
    <w:rsid w:val="18ED6CCC"/>
    <w:rsid w:val="194E13DE"/>
    <w:rsid w:val="19F014BE"/>
    <w:rsid w:val="19F249FE"/>
    <w:rsid w:val="1BAB7A3A"/>
    <w:rsid w:val="1DA95392"/>
    <w:rsid w:val="1ED0107C"/>
    <w:rsid w:val="1F5665A1"/>
    <w:rsid w:val="2162412E"/>
    <w:rsid w:val="21651256"/>
    <w:rsid w:val="217D405A"/>
    <w:rsid w:val="21A627A7"/>
    <w:rsid w:val="22210532"/>
    <w:rsid w:val="22D95F9D"/>
    <w:rsid w:val="22DA72A6"/>
    <w:rsid w:val="22DB4359"/>
    <w:rsid w:val="22EB0298"/>
    <w:rsid w:val="24200A9A"/>
    <w:rsid w:val="247A32C0"/>
    <w:rsid w:val="248E5CD9"/>
    <w:rsid w:val="24BA3014"/>
    <w:rsid w:val="255A614B"/>
    <w:rsid w:val="26193E85"/>
    <w:rsid w:val="278E581A"/>
    <w:rsid w:val="28226F51"/>
    <w:rsid w:val="28795FDF"/>
    <w:rsid w:val="28F64C64"/>
    <w:rsid w:val="29DC6321"/>
    <w:rsid w:val="2A066572"/>
    <w:rsid w:val="2ACC3BAB"/>
    <w:rsid w:val="2B5118A9"/>
    <w:rsid w:val="2BB45017"/>
    <w:rsid w:val="2CC60917"/>
    <w:rsid w:val="2CE46874"/>
    <w:rsid w:val="2E2A2B7C"/>
    <w:rsid w:val="2ED85281"/>
    <w:rsid w:val="30DA0568"/>
    <w:rsid w:val="310D5943"/>
    <w:rsid w:val="31BA1518"/>
    <w:rsid w:val="320E3ACC"/>
    <w:rsid w:val="3360572C"/>
    <w:rsid w:val="3368731E"/>
    <w:rsid w:val="34CC208D"/>
    <w:rsid w:val="356B2AAB"/>
    <w:rsid w:val="3652084B"/>
    <w:rsid w:val="36887945"/>
    <w:rsid w:val="37750B6E"/>
    <w:rsid w:val="37AF44C6"/>
    <w:rsid w:val="385218A0"/>
    <w:rsid w:val="38C57E48"/>
    <w:rsid w:val="38DF6F14"/>
    <w:rsid w:val="391021D6"/>
    <w:rsid w:val="39AF5DF5"/>
    <w:rsid w:val="39B90157"/>
    <w:rsid w:val="3A3E16A6"/>
    <w:rsid w:val="3CF62643"/>
    <w:rsid w:val="3D70093E"/>
    <w:rsid w:val="3F9E1E3C"/>
    <w:rsid w:val="402C224C"/>
    <w:rsid w:val="402C74CC"/>
    <w:rsid w:val="42533664"/>
    <w:rsid w:val="42800BD8"/>
    <w:rsid w:val="42E16ACD"/>
    <w:rsid w:val="439B2618"/>
    <w:rsid w:val="43D0332A"/>
    <w:rsid w:val="455836CB"/>
    <w:rsid w:val="45F008A8"/>
    <w:rsid w:val="46495291"/>
    <w:rsid w:val="465D63B7"/>
    <w:rsid w:val="481E49ED"/>
    <w:rsid w:val="48272679"/>
    <w:rsid w:val="48616005"/>
    <w:rsid w:val="48DE3730"/>
    <w:rsid w:val="49246DBF"/>
    <w:rsid w:val="4AF10CC4"/>
    <w:rsid w:val="4B0B0B74"/>
    <w:rsid w:val="4C8F1398"/>
    <w:rsid w:val="4CBC12AF"/>
    <w:rsid w:val="4E243905"/>
    <w:rsid w:val="4E431C50"/>
    <w:rsid w:val="4E7F54A8"/>
    <w:rsid w:val="4ED773B3"/>
    <w:rsid w:val="502E1870"/>
    <w:rsid w:val="51886268"/>
    <w:rsid w:val="5305019F"/>
    <w:rsid w:val="534006C9"/>
    <w:rsid w:val="53692F65"/>
    <w:rsid w:val="542F67C8"/>
    <w:rsid w:val="553A6EBF"/>
    <w:rsid w:val="5736670A"/>
    <w:rsid w:val="575C7723"/>
    <w:rsid w:val="577C05DA"/>
    <w:rsid w:val="586C4001"/>
    <w:rsid w:val="5899563E"/>
    <w:rsid w:val="58A85E62"/>
    <w:rsid w:val="58C66BF2"/>
    <w:rsid w:val="58D936A5"/>
    <w:rsid w:val="5A580817"/>
    <w:rsid w:val="5B1E7CD2"/>
    <w:rsid w:val="5BCD3B80"/>
    <w:rsid w:val="5C0059BD"/>
    <w:rsid w:val="5D6E7254"/>
    <w:rsid w:val="5EAD5EFE"/>
    <w:rsid w:val="60157E30"/>
    <w:rsid w:val="60953820"/>
    <w:rsid w:val="63D1144D"/>
    <w:rsid w:val="63F03EE0"/>
    <w:rsid w:val="64355D77"/>
    <w:rsid w:val="65A64A84"/>
    <w:rsid w:val="6669288E"/>
    <w:rsid w:val="68D67E00"/>
    <w:rsid w:val="6A3409D7"/>
    <w:rsid w:val="6A642922"/>
    <w:rsid w:val="6AD05357"/>
    <w:rsid w:val="6B1952D2"/>
    <w:rsid w:val="6B8C65DB"/>
    <w:rsid w:val="6BFF22DC"/>
    <w:rsid w:val="6CF8CF43"/>
    <w:rsid w:val="6E351AD6"/>
    <w:rsid w:val="6EE07651"/>
    <w:rsid w:val="6F413924"/>
    <w:rsid w:val="71504DB9"/>
    <w:rsid w:val="71C46AB0"/>
    <w:rsid w:val="72663AE6"/>
    <w:rsid w:val="73C50188"/>
    <w:rsid w:val="740308A1"/>
    <w:rsid w:val="74A372E8"/>
    <w:rsid w:val="75A646EC"/>
    <w:rsid w:val="76AE7B8F"/>
    <w:rsid w:val="77735D7D"/>
    <w:rsid w:val="77816B1F"/>
    <w:rsid w:val="78A56BD3"/>
    <w:rsid w:val="78F96923"/>
    <w:rsid w:val="79F536D0"/>
    <w:rsid w:val="7B075DC2"/>
    <w:rsid w:val="7B947A56"/>
    <w:rsid w:val="7BA65DA2"/>
    <w:rsid w:val="7BDD02D9"/>
    <w:rsid w:val="7BE34348"/>
    <w:rsid w:val="7C690D02"/>
    <w:rsid w:val="7CC42B94"/>
    <w:rsid w:val="7CCA616B"/>
    <w:rsid w:val="7CCD7CBD"/>
    <w:rsid w:val="7CF821F8"/>
    <w:rsid w:val="7CFA72B2"/>
    <w:rsid w:val="7CFF4A2B"/>
    <w:rsid w:val="7EEA5121"/>
    <w:rsid w:val="7F2B4B2F"/>
    <w:rsid w:val="7FC40264"/>
    <w:rsid w:val="BF6BE4D2"/>
    <w:rsid w:val="FDFB2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napToGrid w:val="0"/>
      <w:spacing w:line="360" w:lineRule="auto"/>
      <w:outlineLvl w:val="0"/>
    </w:pPr>
    <w:rPr>
      <w:rFonts w:eastAsia="黑体"/>
      <w:bCs/>
      <w:kern w:val="44"/>
      <w:sz w:val="24"/>
      <w:szCs w:val="44"/>
    </w:rPr>
  </w:style>
  <w:style w:type="paragraph" w:styleId="5">
    <w:name w:val="heading 2"/>
    <w:basedOn w:val="1"/>
    <w:next w:val="1"/>
    <w:unhideWhenUsed/>
    <w:qFormat/>
    <w:uiPriority w:val="0"/>
    <w:pPr>
      <w:keepNext/>
      <w:keepLines/>
      <w:numPr>
        <w:ilvl w:val="1"/>
        <w:numId w:val="1"/>
      </w:numPr>
      <w:adjustRightInd w:val="0"/>
      <w:snapToGrid w:val="0"/>
      <w:spacing w:line="360" w:lineRule="auto"/>
      <w:outlineLvl w:val="1"/>
    </w:pPr>
    <w:rPr>
      <w:rFonts w:eastAsia="黑体"/>
      <w:bCs/>
      <w:sz w:val="24"/>
      <w:szCs w:val="32"/>
    </w:rPr>
  </w:style>
  <w:style w:type="paragraph" w:styleId="6">
    <w:name w:val="heading 3"/>
    <w:basedOn w:val="1"/>
    <w:next w:val="4"/>
    <w:unhideWhenUsed/>
    <w:qFormat/>
    <w:uiPriority w:val="0"/>
    <w:pPr>
      <w:keepNext/>
      <w:keepLines/>
      <w:numPr>
        <w:ilvl w:val="2"/>
        <w:numId w:val="1"/>
      </w:numPr>
      <w:adjustRightInd w:val="0"/>
      <w:snapToGrid w:val="0"/>
      <w:spacing w:line="360" w:lineRule="auto"/>
      <w:outlineLvl w:val="2"/>
    </w:pPr>
    <w:rPr>
      <w:bCs/>
      <w:sz w:val="24"/>
      <w:szCs w:val="32"/>
    </w:rPr>
  </w:style>
  <w:style w:type="paragraph" w:styleId="7">
    <w:name w:val="heading 4"/>
    <w:basedOn w:val="1"/>
    <w:next w:val="4"/>
    <w:unhideWhenUsed/>
    <w:qFormat/>
    <w:uiPriority w:val="0"/>
    <w:pPr>
      <w:keepNext/>
      <w:keepLines/>
      <w:numPr>
        <w:ilvl w:val="3"/>
        <w:numId w:val="1"/>
      </w:numPr>
      <w:adjustRightInd w:val="0"/>
      <w:snapToGrid w:val="0"/>
      <w:spacing w:line="360" w:lineRule="auto"/>
      <w:outlineLvl w:val="3"/>
    </w:pPr>
    <w:rPr>
      <w:bCs/>
      <w:sz w:val="24"/>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Body Text First Indent"/>
    <w:basedOn w:val="2"/>
    <w:next w:val="1"/>
    <w:qFormat/>
    <w:uiPriority w:val="0"/>
    <w:pPr>
      <w:adjustRightInd w:val="0"/>
      <w:snapToGrid w:val="0"/>
      <w:spacing w:line="360" w:lineRule="auto"/>
      <w:ind w:firstLine="200" w:firstLineChars="200"/>
    </w:pPr>
    <w:rPr>
      <w:sz w:val="24"/>
    </w:rPr>
  </w:style>
  <w:style w:type="paragraph" w:styleId="8">
    <w:name w:val="Normal Indent"/>
    <w:basedOn w:val="1"/>
    <w:next w:val="1"/>
    <w:qFormat/>
    <w:uiPriority w:val="0"/>
    <w:pPr>
      <w:ind w:firstLine="420" w:firstLineChars="200"/>
    </w:pPr>
  </w:style>
  <w:style w:type="paragraph" w:styleId="9">
    <w:name w:val="caption"/>
    <w:basedOn w:val="1"/>
    <w:next w:val="1"/>
    <w:unhideWhenUsed/>
    <w:qFormat/>
    <w:uiPriority w:val="0"/>
    <w:pPr>
      <w:adjustRightInd w:val="0"/>
      <w:snapToGrid w:val="0"/>
      <w:spacing w:line="360" w:lineRule="auto"/>
      <w:jc w:val="left"/>
    </w:pPr>
    <w:rPr>
      <w:rFonts w:eastAsia="黑体"/>
      <w:sz w:val="24"/>
    </w:rPr>
  </w:style>
  <w:style w:type="paragraph" w:styleId="10">
    <w:name w:val="Document Map"/>
    <w:basedOn w:val="1"/>
    <w:link w:val="87"/>
    <w:qFormat/>
    <w:uiPriority w:val="0"/>
    <w:rPr>
      <w:rFonts w:ascii="宋体"/>
      <w:sz w:val="18"/>
      <w:szCs w:val="18"/>
    </w:rPr>
  </w:style>
  <w:style w:type="paragraph" w:styleId="11">
    <w:name w:val="toa heading"/>
    <w:basedOn w:val="1"/>
    <w:next w:val="1"/>
    <w:qFormat/>
    <w:uiPriority w:val="0"/>
    <w:pPr>
      <w:spacing w:before="240" w:after="120"/>
      <w:jc w:val="center"/>
    </w:pPr>
    <w:rPr>
      <w:smallCaps/>
      <w:sz w:val="22"/>
      <w:u w:val="single"/>
    </w:rPr>
  </w:style>
  <w:style w:type="paragraph" w:styleId="12">
    <w:name w:val="annotation text"/>
    <w:basedOn w:val="1"/>
    <w:link w:val="89"/>
    <w:qFormat/>
    <w:uiPriority w:val="0"/>
    <w:pPr>
      <w:jc w:val="left"/>
    </w:pPr>
  </w:style>
  <w:style w:type="paragraph" w:styleId="13">
    <w:name w:val="Body Text Indent"/>
    <w:basedOn w:val="1"/>
    <w:qFormat/>
    <w:uiPriority w:val="0"/>
    <w:pPr>
      <w:spacing w:after="120" w:line="360" w:lineRule="auto"/>
      <w:ind w:left="420" w:leftChars="200" w:firstLine="200" w:firstLineChars="200"/>
    </w:pPr>
    <w:rPr>
      <w:sz w:val="24"/>
      <w:szCs w:val="24"/>
    </w:rPr>
  </w:style>
  <w:style w:type="paragraph" w:styleId="14">
    <w:name w:val="Plain Text"/>
    <w:basedOn w:val="1"/>
    <w:qFormat/>
    <w:uiPriority w:val="0"/>
    <w:pPr>
      <w:spacing w:line="540" w:lineRule="atLeast"/>
    </w:pPr>
    <w:rPr>
      <w:rFonts w:ascii="仿宋_GB2312" w:eastAsia="仿宋_GB2312"/>
      <w:kern w:val="0"/>
      <w:sz w:val="24"/>
      <w:szCs w:val="21"/>
    </w:rPr>
  </w:style>
  <w:style w:type="paragraph" w:styleId="15">
    <w:name w:val="Balloon Text"/>
    <w:basedOn w:val="1"/>
    <w:link w:val="88"/>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before="240" w:after="120"/>
      <w:jc w:val="left"/>
    </w:pPr>
    <w:rPr>
      <w:rFonts w:ascii="Calibri" w:hAnsi="Calibri"/>
      <w:b/>
      <w:bCs/>
    </w:rPr>
  </w:style>
  <w:style w:type="paragraph" w:styleId="19">
    <w:name w:val="Normal (Web)"/>
    <w:basedOn w:val="1"/>
    <w:qFormat/>
    <w:uiPriority w:val="0"/>
  </w:style>
  <w:style w:type="paragraph" w:styleId="20">
    <w:name w:val="index 1"/>
    <w:basedOn w:val="1"/>
    <w:next w:val="1"/>
    <w:qFormat/>
    <w:uiPriority w:val="0"/>
  </w:style>
  <w:style w:type="paragraph" w:styleId="21">
    <w:name w:val="Title"/>
    <w:basedOn w:val="1"/>
    <w:next w:val="4"/>
    <w:qFormat/>
    <w:uiPriority w:val="0"/>
    <w:pPr>
      <w:adjustRightInd w:val="0"/>
      <w:snapToGrid w:val="0"/>
      <w:spacing w:line="360" w:lineRule="auto"/>
      <w:jc w:val="center"/>
    </w:pPr>
    <w:rPr>
      <w:rFonts w:eastAsia="黑体"/>
      <w:bCs/>
      <w:sz w:val="36"/>
      <w:szCs w:val="32"/>
    </w:rPr>
  </w:style>
  <w:style w:type="paragraph" w:styleId="22">
    <w:name w:val="annotation subject"/>
    <w:basedOn w:val="12"/>
    <w:next w:val="12"/>
    <w:link w:val="90"/>
    <w:qFormat/>
    <w:uiPriority w:val="0"/>
    <w:rPr>
      <w:b/>
      <w:bCs/>
    </w:rPr>
  </w:style>
  <w:style w:type="paragraph" w:styleId="23">
    <w:name w:val="Body Text First Indent 2"/>
    <w:basedOn w:val="13"/>
    <w:qFormat/>
    <w:uiPriority w:val="0"/>
    <w:pPr>
      <w:ind w:firstLine="42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Acronym"/>
    <w:basedOn w:val="26"/>
    <w:qFormat/>
    <w:uiPriority w:val="0"/>
  </w:style>
  <w:style w:type="character" w:styleId="33">
    <w:name w:val="HTML Variable"/>
    <w:basedOn w:val="26"/>
    <w:qFormat/>
    <w:uiPriority w:val="0"/>
  </w:style>
  <w:style w:type="character" w:styleId="34">
    <w:name w:val="Hyperlink"/>
    <w:qFormat/>
    <w:uiPriority w:val="0"/>
    <w:rPr>
      <w:color w:val="0000FF"/>
      <w:u w:val="single"/>
    </w:rPr>
  </w:style>
  <w:style w:type="character" w:styleId="35">
    <w:name w:val="HTML Code"/>
    <w:basedOn w:val="26"/>
    <w:qFormat/>
    <w:uiPriority w:val="0"/>
    <w:rPr>
      <w:rFonts w:ascii="Courier New" w:hAnsi="Courier New"/>
      <w:sz w:val="20"/>
    </w:rPr>
  </w:style>
  <w:style w:type="character" w:styleId="36">
    <w:name w:val="annotation reference"/>
    <w:basedOn w:val="26"/>
    <w:qFormat/>
    <w:uiPriority w:val="0"/>
    <w:rPr>
      <w:sz w:val="21"/>
      <w:szCs w:val="21"/>
    </w:rPr>
  </w:style>
  <w:style w:type="character" w:styleId="37">
    <w:name w:val="HTML Cite"/>
    <w:basedOn w:val="26"/>
    <w:qFormat/>
    <w:uiPriority w:val="0"/>
  </w:style>
  <w:style w:type="paragraph" w:customStyle="1" w:styleId="38">
    <w:name w:val="Default"/>
    <w:unhideWhenUsed/>
    <w:qFormat/>
    <w:uiPriority w:val="99"/>
    <w:pPr>
      <w:widowControl w:val="0"/>
      <w:autoSpaceDE w:val="0"/>
      <w:autoSpaceDN w:val="0"/>
      <w:adjustRightInd w:val="0"/>
    </w:pPr>
    <w:rPr>
      <w:rFonts w:hint="eastAsia" w:eastAsia="Times New Roman" w:asciiTheme="minorHAnsi" w:hAnsiTheme="minorHAnsi" w:cstheme="minorBidi"/>
      <w:color w:val="000000"/>
      <w:sz w:val="24"/>
      <w:szCs w:val="22"/>
      <w:lang w:val="en-US" w:eastAsia="zh-CN" w:bidi="ar-SA"/>
    </w:rPr>
  </w:style>
  <w:style w:type="paragraph" w:customStyle="1" w:styleId="3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40">
    <w:name w:val="表文字"/>
    <w:basedOn w:val="1"/>
    <w:qFormat/>
    <w:uiPriority w:val="0"/>
    <w:pPr>
      <w:overflowPunct w:val="0"/>
      <w:autoSpaceDE w:val="0"/>
      <w:autoSpaceDN w:val="0"/>
      <w:spacing w:line="240" w:lineRule="atLeast"/>
      <w:jc w:val="center"/>
      <w:textAlignment w:val="baseline"/>
    </w:pPr>
    <w:rPr>
      <w:kern w:val="0"/>
    </w:rPr>
  </w:style>
  <w:style w:type="paragraph" w:customStyle="1" w:styleId="41">
    <w:name w:val="表格标题"/>
    <w:basedOn w:val="2"/>
    <w:qFormat/>
    <w:uiPriority w:val="0"/>
    <w:pPr>
      <w:jc w:val="center"/>
    </w:pPr>
    <w:rPr>
      <w:rFonts w:eastAsia="黑体"/>
    </w:rPr>
  </w:style>
  <w:style w:type="paragraph" w:customStyle="1" w:styleId="42">
    <w:name w:val="表格文字"/>
    <w:basedOn w:val="4"/>
    <w:qFormat/>
    <w:uiPriority w:val="0"/>
    <w:pPr>
      <w:spacing w:line="240" w:lineRule="auto"/>
      <w:ind w:firstLine="0" w:firstLineChars="0"/>
      <w:jc w:val="center"/>
    </w:pPr>
    <w:rPr>
      <w:sz w:val="21"/>
    </w:rPr>
  </w:style>
  <w:style w:type="paragraph" w:customStyle="1" w:styleId="43">
    <w:name w:val="_Style 13"/>
    <w:basedOn w:val="3"/>
    <w:next w:val="1"/>
    <w:unhideWhenUsed/>
    <w:qFormat/>
    <w:uiPriority w:val="39"/>
    <w:pPr>
      <w:widowControl/>
      <w:numPr>
        <w:numId w:val="0"/>
      </w:numPr>
      <w:adjustRightInd/>
      <w:snapToGrid/>
      <w:spacing w:before="480" w:line="276" w:lineRule="auto"/>
      <w:jc w:val="left"/>
      <w:outlineLvl w:val="9"/>
    </w:pPr>
    <w:rPr>
      <w:rFonts w:ascii="Cambria" w:hAnsi="Cambria" w:eastAsia="宋体"/>
      <w:b/>
      <w:color w:val="365F91"/>
      <w:kern w:val="0"/>
      <w:sz w:val="28"/>
      <w:szCs w:val="28"/>
    </w:rPr>
  </w:style>
  <w:style w:type="paragraph" w:customStyle="1" w:styleId="44">
    <w:name w:val="文本"/>
    <w:basedOn w:val="1"/>
    <w:qFormat/>
    <w:uiPriority w:val="0"/>
    <w:pPr>
      <w:spacing w:line="360" w:lineRule="auto"/>
      <w:ind w:firstLine="200" w:firstLineChars="200"/>
    </w:pPr>
    <w:rPr>
      <w:rFonts w:ascii="宋体" w:hAnsi="宋体"/>
      <w:sz w:val="28"/>
      <w:szCs w:val="28"/>
    </w:rPr>
  </w:style>
  <w:style w:type="paragraph" w:customStyle="1" w:styleId="45">
    <w:name w:val="报告正文"/>
    <w:basedOn w:val="1"/>
    <w:qFormat/>
    <w:uiPriority w:val="0"/>
    <w:pPr>
      <w:spacing w:line="360" w:lineRule="auto"/>
      <w:ind w:firstLine="482"/>
    </w:pPr>
    <w:rPr>
      <w:sz w:val="24"/>
      <w:szCs w:val="24"/>
    </w:rPr>
  </w:style>
  <w:style w:type="character" w:customStyle="1" w:styleId="46">
    <w:name w:val="honor_span2"/>
    <w:basedOn w:val="26"/>
    <w:qFormat/>
    <w:uiPriority w:val="0"/>
    <w:rPr>
      <w:shd w:val="clear" w:color="auto" w:fill="2196F3"/>
    </w:rPr>
  </w:style>
  <w:style w:type="character" w:customStyle="1" w:styleId="47">
    <w:name w:val="pop1221_tit_span"/>
    <w:basedOn w:val="26"/>
    <w:qFormat/>
    <w:uiPriority w:val="0"/>
  </w:style>
  <w:style w:type="character" w:customStyle="1" w:styleId="48">
    <w:name w:val="menu_s1"/>
    <w:basedOn w:val="26"/>
    <w:qFormat/>
    <w:uiPriority w:val="0"/>
    <w:rPr>
      <w:color w:val="999999"/>
    </w:rPr>
  </w:style>
  <w:style w:type="character" w:customStyle="1" w:styleId="49">
    <w:name w:val="honor_span1"/>
    <w:basedOn w:val="26"/>
    <w:qFormat/>
    <w:uiPriority w:val="0"/>
    <w:rPr>
      <w:shd w:val="clear" w:color="auto" w:fill="00AE66"/>
    </w:rPr>
  </w:style>
  <w:style w:type="character" w:customStyle="1" w:styleId="50">
    <w:name w:val="or_comment"/>
    <w:basedOn w:val="26"/>
    <w:qFormat/>
    <w:uiPriority w:val="0"/>
  </w:style>
  <w:style w:type="character" w:customStyle="1" w:styleId="51">
    <w:name w:val="or_browse"/>
    <w:basedOn w:val="26"/>
    <w:qFormat/>
    <w:uiPriority w:val="0"/>
  </w:style>
  <w:style w:type="character" w:customStyle="1" w:styleId="52">
    <w:name w:val="hover27"/>
    <w:basedOn w:val="26"/>
    <w:qFormat/>
    <w:uiPriority w:val="0"/>
    <w:rPr>
      <w:color w:val="F43738"/>
    </w:rPr>
  </w:style>
  <w:style w:type="character" w:customStyle="1" w:styleId="53">
    <w:name w:val="hover28"/>
    <w:basedOn w:val="26"/>
    <w:qFormat/>
    <w:uiPriority w:val="0"/>
    <w:rPr>
      <w:color w:val="FFFFFF"/>
      <w:bdr w:val="single" w:color="2196F3" w:sz="6" w:space="0"/>
      <w:shd w:val="clear" w:color="auto" w:fill="2196F3"/>
    </w:rPr>
  </w:style>
  <w:style w:type="character" w:customStyle="1" w:styleId="54">
    <w:name w:val="hover29"/>
    <w:basedOn w:val="26"/>
    <w:qFormat/>
    <w:uiPriority w:val="0"/>
    <w:rPr>
      <w:bdr w:val="single" w:color="94C8F0" w:sz="6" w:space="0"/>
    </w:rPr>
  </w:style>
  <w:style w:type="character" w:customStyle="1" w:styleId="55">
    <w:name w:val="hover30"/>
    <w:basedOn w:val="26"/>
    <w:qFormat/>
    <w:uiPriority w:val="0"/>
    <w:rPr>
      <w:color w:val="FFFFFF"/>
      <w:shd w:val="clear" w:color="auto" w:fill="2196F3"/>
    </w:rPr>
  </w:style>
  <w:style w:type="character" w:customStyle="1" w:styleId="56">
    <w:name w:val="top15_s2"/>
    <w:basedOn w:val="26"/>
    <w:qFormat/>
    <w:uiPriority w:val="0"/>
    <w:rPr>
      <w:color w:val="4BAAF5"/>
    </w:rPr>
  </w:style>
  <w:style w:type="character" w:customStyle="1" w:styleId="57">
    <w:name w:val="honor_span"/>
    <w:basedOn w:val="26"/>
    <w:qFormat/>
    <w:uiPriority w:val="0"/>
    <w:rPr>
      <w:color w:val="FFFFFF"/>
    </w:rPr>
  </w:style>
  <w:style w:type="character" w:customStyle="1" w:styleId="58">
    <w:name w:val="honor_span4"/>
    <w:basedOn w:val="26"/>
    <w:qFormat/>
    <w:uiPriority w:val="0"/>
    <w:rPr>
      <w:shd w:val="clear" w:color="auto" w:fill="999999"/>
    </w:rPr>
  </w:style>
  <w:style w:type="character" w:customStyle="1" w:styleId="59">
    <w:name w:val="honor_span3"/>
    <w:basedOn w:val="26"/>
    <w:qFormat/>
    <w:uiPriority w:val="0"/>
    <w:rPr>
      <w:color w:val="FF5824"/>
      <w:bdr w:val="single" w:color="FF5824" w:sz="6" w:space="0"/>
    </w:rPr>
  </w:style>
  <w:style w:type="character" w:customStyle="1" w:styleId="60">
    <w:name w:val="current2"/>
    <w:basedOn w:val="26"/>
    <w:qFormat/>
    <w:uiPriority w:val="0"/>
    <w:rPr>
      <w:color w:val="FFFFFF"/>
      <w:bdr w:val="single" w:color="2196F3" w:sz="6" w:space="0"/>
      <w:shd w:val="clear" w:color="auto" w:fill="2196F3"/>
    </w:rPr>
  </w:style>
  <w:style w:type="character" w:customStyle="1" w:styleId="61">
    <w:name w:val="current3"/>
    <w:basedOn w:val="26"/>
    <w:qFormat/>
    <w:uiPriority w:val="0"/>
    <w:rPr>
      <w:color w:val="FFFFFF"/>
      <w:shd w:val="clear" w:color="auto" w:fill="2196F3"/>
    </w:rPr>
  </w:style>
  <w:style w:type="character" w:customStyle="1" w:styleId="62">
    <w:name w:val="sd_company_old_name"/>
    <w:basedOn w:val="26"/>
    <w:qFormat/>
    <w:uiPriority w:val="0"/>
    <w:rPr>
      <w:bdr w:val="single" w:color="E5E5E5" w:sz="6" w:space="0"/>
    </w:rPr>
  </w:style>
  <w:style w:type="character" w:customStyle="1" w:styleId="63">
    <w:name w:val="nsp"/>
    <w:basedOn w:val="26"/>
    <w:qFormat/>
    <w:uiPriority w:val="0"/>
    <w:rPr>
      <w:color w:val="FF0000"/>
      <w:sz w:val="18"/>
      <w:szCs w:val="18"/>
    </w:rPr>
  </w:style>
  <w:style w:type="character" w:customStyle="1" w:styleId="64">
    <w:name w:val="nsp1"/>
    <w:basedOn w:val="26"/>
    <w:qFormat/>
    <w:uiPriority w:val="0"/>
    <w:rPr>
      <w:color w:val="FF0000"/>
      <w:sz w:val="18"/>
      <w:szCs w:val="18"/>
    </w:rPr>
  </w:style>
  <w:style w:type="character" w:customStyle="1" w:styleId="65">
    <w:name w:val="nsp2"/>
    <w:basedOn w:val="26"/>
    <w:qFormat/>
    <w:uiPriority w:val="0"/>
    <w:rPr>
      <w:color w:val="FF0000"/>
      <w:sz w:val="18"/>
      <w:szCs w:val="18"/>
    </w:rPr>
  </w:style>
  <w:style w:type="character" w:customStyle="1" w:styleId="66">
    <w:name w:val="nsp3"/>
    <w:basedOn w:val="26"/>
    <w:qFormat/>
    <w:uiPriority w:val="0"/>
    <w:rPr>
      <w:color w:val="FF0000"/>
      <w:sz w:val="18"/>
      <w:szCs w:val="18"/>
    </w:rPr>
  </w:style>
  <w:style w:type="character" w:customStyle="1" w:styleId="67">
    <w:name w:val="nsp4"/>
    <w:basedOn w:val="26"/>
    <w:qFormat/>
    <w:uiPriority w:val="0"/>
    <w:rPr>
      <w:color w:val="FF0000"/>
    </w:rPr>
  </w:style>
  <w:style w:type="character" w:customStyle="1" w:styleId="68">
    <w:name w:val="sd_lhp"/>
    <w:basedOn w:val="26"/>
    <w:qFormat/>
    <w:uiPriority w:val="0"/>
  </w:style>
  <w:style w:type="character" w:customStyle="1" w:styleId="69">
    <w:name w:val="sd_lhp1"/>
    <w:basedOn w:val="26"/>
    <w:qFormat/>
    <w:uiPriority w:val="0"/>
    <w:rPr>
      <w:color w:val="FF5824"/>
      <w:sz w:val="18"/>
      <w:szCs w:val="18"/>
      <w:bdr w:val="single" w:color="FF5824" w:sz="6" w:space="0"/>
    </w:rPr>
  </w:style>
  <w:style w:type="character" w:customStyle="1" w:styleId="70">
    <w:name w:val="sd_hgp"/>
    <w:basedOn w:val="26"/>
    <w:qFormat/>
    <w:uiPriority w:val="0"/>
  </w:style>
  <w:style w:type="character" w:customStyle="1" w:styleId="71">
    <w:name w:val="show_w1"/>
    <w:basedOn w:val="26"/>
    <w:qFormat/>
    <w:uiPriority w:val="0"/>
  </w:style>
  <w:style w:type="character" w:customStyle="1" w:styleId="72">
    <w:name w:val="sd_report_list_span"/>
    <w:basedOn w:val="26"/>
    <w:qFormat/>
    <w:uiPriority w:val="0"/>
    <w:rPr>
      <w:color w:val="FF0000"/>
    </w:rPr>
  </w:style>
  <w:style w:type="character" w:customStyle="1" w:styleId="73">
    <w:name w:val="show_w3"/>
    <w:basedOn w:val="26"/>
    <w:qFormat/>
    <w:uiPriority w:val="0"/>
  </w:style>
  <w:style w:type="character" w:customStyle="1" w:styleId="74">
    <w:name w:val="sd_main00_span1"/>
    <w:basedOn w:val="26"/>
    <w:qFormat/>
    <w:uiPriority w:val="0"/>
    <w:rPr>
      <w:color w:val="444444"/>
    </w:rPr>
  </w:style>
  <w:style w:type="character" w:customStyle="1" w:styleId="75">
    <w:name w:val="sd_main00_span2"/>
    <w:basedOn w:val="26"/>
    <w:qFormat/>
    <w:uiPriority w:val="0"/>
    <w:rPr>
      <w:color w:val="FF5A00"/>
    </w:rPr>
  </w:style>
  <w:style w:type="character" w:customStyle="1" w:styleId="76">
    <w:name w:val="sd_main00_span03"/>
    <w:basedOn w:val="26"/>
    <w:qFormat/>
    <w:uiPriority w:val="0"/>
  </w:style>
  <w:style w:type="character" w:customStyle="1" w:styleId="77">
    <w:name w:val="sd_lh"/>
    <w:basedOn w:val="26"/>
    <w:qFormat/>
    <w:uiPriority w:val="0"/>
    <w:rPr>
      <w:color w:val="FF5824"/>
      <w:sz w:val="18"/>
      <w:szCs w:val="18"/>
      <w:bdr w:val="single" w:color="FF5824" w:sz="6" w:space="0"/>
    </w:rPr>
  </w:style>
  <w:style w:type="character" w:customStyle="1" w:styleId="78">
    <w:name w:val="show_w2"/>
    <w:basedOn w:val="26"/>
    <w:qFormat/>
    <w:uiPriority w:val="0"/>
  </w:style>
  <w:style w:type="character" w:customStyle="1" w:styleId="79">
    <w:name w:val="fi_infor_span"/>
    <w:basedOn w:val="26"/>
    <w:qFormat/>
    <w:uiPriority w:val="0"/>
    <w:rPr>
      <w:color w:val="999999"/>
      <w:sz w:val="21"/>
      <w:szCs w:val="21"/>
    </w:rPr>
  </w:style>
  <w:style w:type="character" w:customStyle="1" w:styleId="80">
    <w:name w:val="sdhonor_s1"/>
    <w:basedOn w:val="26"/>
    <w:qFormat/>
    <w:uiPriority w:val="0"/>
    <w:rPr>
      <w:color w:val="FFA726"/>
      <w:bdr w:val="single" w:color="FFA726" w:sz="6" w:space="0"/>
    </w:rPr>
  </w:style>
  <w:style w:type="character" w:customStyle="1" w:styleId="81">
    <w:name w:val="sdhonor_s2"/>
    <w:basedOn w:val="26"/>
    <w:qFormat/>
    <w:uiPriority w:val="0"/>
    <w:rPr>
      <w:color w:val="999999"/>
      <w:bdr w:val="single" w:color="999999" w:sz="6" w:space="0"/>
    </w:rPr>
  </w:style>
  <w:style w:type="character" w:customStyle="1" w:styleId="82">
    <w:name w:val="sdhonor_s3"/>
    <w:basedOn w:val="26"/>
    <w:qFormat/>
    <w:uiPriority w:val="0"/>
  </w:style>
  <w:style w:type="character" w:customStyle="1" w:styleId="83">
    <w:name w:val="base-ljt"/>
    <w:basedOn w:val="26"/>
    <w:qFormat/>
    <w:uiPriority w:val="0"/>
    <w:rPr>
      <w:sz w:val="0"/>
      <w:szCs w:val="0"/>
      <w:bdr w:val="dashed" w:color="auto" w:sz="48" w:space="0"/>
    </w:rPr>
  </w:style>
  <w:style w:type="character" w:customStyle="1" w:styleId="84">
    <w:name w:val="top15_s1"/>
    <w:basedOn w:val="26"/>
    <w:qFormat/>
    <w:uiPriority w:val="0"/>
  </w:style>
  <w:style w:type="character" w:customStyle="1" w:styleId="85">
    <w:name w:val="menu111"/>
    <w:basedOn w:val="26"/>
    <w:qFormat/>
    <w:uiPriority w:val="0"/>
    <w:rPr>
      <w:color w:val="2196F3"/>
    </w:rPr>
  </w:style>
  <w:style w:type="character" w:customStyle="1" w:styleId="86">
    <w:name w:val="hover4"/>
    <w:basedOn w:val="26"/>
    <w:qFormat/>
    <w:uiPriority w:val="0"/>
  </w:style>
  <w:style w:type="character" w:customStyle="1" w:styleId="87">
    <w:name w:val="文档结构图 Char"/>
    <w:basedOn w:val="26"/>
    <w:link w:val="10"/>
    <w:qFormat/>
    <w:uiPriority w:val="0"/>
    <w:rPr>
      <w:rFonts w:ascii="宋体"/>
      <w:kern w:val="2"/>
      <w:sz w:val="18"/>
      <w:szCs w:val="18"/>
    </w:rPr>
  </w:style>
  <w:style w:type="character" w:customStyle="1" w:styleId="88">
    <w:name w:val="批注框文本 Char"/>
    <w:basedOn w:val="26"/>
    <w:link w:val="15"/>
    <w:qFormat/>
    <w:uiPriority w:val="0"/>
    <w:rPr>
      <w:kern w:val="2"/>
      <w:sz w:val="18"/>
      <w:szCs w:val="18"/>
    </w:rPr>
  </w:style>
  <w:style w:type="character" w:customStyle="1" w:styleId="89">
    <w:name w:val="批注文字 Char"/>
    <w:basedOn w:val="26"/>
    <w:link w:val="12"/>
    <w:qFormat/>
    <w:uiPriority w:val="0"/>
    <w:rPr>
      <w:kern w:val="2"/>
      <w:sz w:val="21"/>
      <w:szCs w:val="22"/>
    </w:rPr>
  </w:style>
  <w:style w:type="character" w:customStyle="1" w:styleId="90">
    <w:name w:val="批注主题 Char"/>
    <w:basedOn w:val="89"/>
    <w:link w:val="22"/>
    <w:qFormat/>
    <w:uiPriority w:val="0"/>
    <w:rPr>
      <w:b/>
      <w:bCs/>
    </w:rPr>
  </w:style>
  <w:style w:type="paragraph" w:customStyle="1" w:styleId="91">
    <w:name w:val="1正文"/>
    <w:basedOn w:val="1"/>
    <w:qFormat/>
    <w:uiPriority w:val="0"/>
    <w:pPr>
      <w:spacing w:line="360" w:lineRule="auto"/>
      <w:ind w:firstLine="200" w:firstLineChars="200"/>
    </w:pPr>
    <w:rPr>
      <w:bCs/>
      <w:kern w:val="0"/>
      <w:sz w:val="24"/>
      <w:szCs w:val="24"/>
    </w:rPr>
  </w:style>
  <w:style w:type="paragraph" w:customStyle="1" w:styleId="92">
    <w:name w:val="段落"/>
    <w:basedOn w:val="1"/>
    <w:qFormat/>
    <w:uiPriority w:val="0"/>
    <w:pPr>
      <w:tabs>
        <w:tab w:val="left" w:pos="1021"/>
        <w:tab w:val="left" w:pos="1320"/>
      </w:tabs>
      <w:spacing w:line="500" w:lineRule="exact"/>
      <w:ind w:firstLine="480" w:firstLineChars="200"/>
    </w:pPr>
    <w:rPr>
      <w:sz w:val="24"/>
    </w:rPr>
  </w:style>
  <w:style w:type="paragraph" w:customStyle="1" w:styleId="93">
    <w:name w:val="表头"/>
    <w:basedOn w:val="8"/>
    <w:next w:val="94"/>
    <w:qFormat/>
    <w:uiPriority w:val="0"/>
    <w:pPr>
      <w:tabs>
        <w:tab w:val="left" w:pos="1021"/>
      </w:tabs>
      <w:spacing w:line="460" w:lineRule="exact"/>
      <w:jc w:val="center"/>
    </w:pPr>
    <w:rPr>
      <w:rFonts w:ascii="宋体" w:hAnsi="宋体"/>
      <w:b/>
      <w:bCs/>
      <w:sz w:val="24"/>
      <w:szCs w:val="20"/>
    </w:rPr>
  </w:style>
  <w:style w:type="paragraph" w:customStyle="1" w:styleId="94">
    <w:name w:val="表格内文字"/>
    <w:basedOn w:val="1"/>
    <w:next w:val="1"/>
    <w:qFormat/>
    <w:uiPriority w:val="0"/>
    <w:pPr>
      <w:jc w:val="center"/>
    </w:pPr>
    <w:rPr>
      <w:spacing w:val="1"/>
      <w:kern w:val="0"/>
    </w:rPr>
  </w:style>
  <w:style w:type="paragraph" w:customStyle="1" w:styleId="95">
    <w:name w:val="Table Paragraph"/>
    <w:basedOn w:val="1"/>
    <w:qFormat/>
    <w:uiPriority w:val="1"/>
  </w:style>
  <w:style w:type="paragraph" w:customStyle="1" w:styleId="96">
    <w:name w:val="普通(网站)1"/>
    <w:basedOn w:val="1"/>
    <w:qFormat/>
    <w:uiPriority w:val="0"/>
    <w:pPr>
      <w:widowControl/>
      <w:spacing w:before="100" w:beforeAutospacing="1" w:after="100" w:afterAutospacing="1"/>
      <w:jc w:val="left"/>
    </w:pPr>
    <w:rPr>
      <w:rFonts w:hint="eastAsia" w:ascii="宋体" w:hAnsi="宋体"/>
      <w:szCs w:val="20"/>
    </w:rPr>
  </w:style>
  <w:style w:type="paragraph" w:customStyle="1" w:styleId="97">
    <w:name w:val="正文文字"/>
    <w:basedOn w:val="8"/>
    <w:qFormat/>
    <w:uiPriority w:val="0"/>
    <w:pPr>
      <w:adjustRightInd w:val="0"/>
      <w:snapToGrid w:val="0"/>
      <w:spacing w:line="360" w:lineRule="auto"/>
      <w:ind w:firstLine="200"/>
    </w:pPr>
    <w:rPr>
      <w:sz w:val="24"/>
    </w:rPr>
  </w:style>
  <w:style w:type="paragraph" w:customStyle="1" w:styleId="98">
    <w:name w:val="样式 表头 + 段后: 0.2 行"/>
    <w:basedOn w:val="1"/>
    <w:qFormat/>
    <w:uiPriority w:val="0"/>
    <w:pPr>
      <w:spacing w:beforeLines="100" w:afterLines="50"/>
      <w:jc w:val="center"/>
    </w:pPr>
    <w:rPr>
      <w:b/>
      <w:snapToGrid w:val="0"/>
      <w:kern w:val="24"/>
      <w:sz w:val="24"/>
      <w:szCs w:val="21"/>
    </w:rPr>
  </w:style>
  <w:style w:type="paragraph" w:customStyle="1" w:styleId="99">
    <w:name w:val="表格内容-WJG"/>
    <w:basedOn w:val="1"/>
    <w:qFormat/>
    <w:uiPriority w:val="0"/>
    <w:pPr>
      <w:adjustRightInd w:val="0"/>
      <w:jc w:val="center"/>
    </w:pPr>
    <w:rPr>
      <w:kern w:val="28"/>
      <w:position w:val="-24"/>
      <w:szCs w:val="21"/>
    </w:rPr>
  </w:style>
  <w:style w:type="paragraph" w:customStyle="1" w:styleId="100">
    <w:name w:val="列出段落1"/>
    <w:basedOn w:val="1"/>
    <w:qFormat/>
    <w:uiPriority w:val="34"/>
    <w:pPr>
      <w:ind w:firstLine="420" w:firstLineChars="200"/>
    </w:pPr>
  </w:style>
  <w:style w:type="paragraph" w:customStyle="1" w:styleId="101">
    <w:name w:val="表格内容"/>
    <w:basedOn w:val="42"/>
    <w:qFormat/>
    <w:uiPriority w:val="0"/>
    <w:pPr>
      <w:spacing w:line="360" w:lineRule="auto"/>
    </w:pPr>
    <w:rPr>
      <w:szCs w:val="21"/>
    </w:rPr>
  </w:style>
  <w:style w:type="paragraph" w:customStyle="1" w:styleId="102">
    <w:name w:val="表头文字"/>
    <w:basedOn w:val="1"/>
    <w:next w:val="1"/>
    <w:qFormat/>
    <w:uiPriority w:val="0"/>
    <w:pPr>
      <w:adjustRightInd w:val="0"/>
      <w:snapToGrid w:val="0"/>
      <w:jc w:val="center"/>
    </w:pPr>
    <w:rPr>
      <w:b/>
    </w:rPr>
  </w:style>
  <w:style w:type="paragraph" w:customStyle="1" w:styleId="103">
    <w:name w:val="样式1"/>
    <w:basedOn w:val="3"/>
    <w:next w:val="1"/>
    <w:qFormat/>
    <w:uiPriority w:val="0"/>
    <w:pPr>
      <w:ind w:left="431" w:hanging="431"/>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file:///H:\Application%25252525252525252525252525252525252525252525252525252525252525252525252525252525252525252525252520Data\Tencent\Users\471427862\QQ\WinTemp\RichOle\4_3G9YGC(GK~V)VWUE11OAP.jpg" TargetMode="Externa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46</Pages>
  <Words>6177</Words>
  <Characters>35211</Characters>
  <Lines>293</Lines>
  <Paragraphs>82</Paragraphs>
  <TotalTime>4</TotalTime>
  <ScaleCrop>false</ScaleCrop>
  <LinksUpToDate>false</LinksUpToDate>
  <CharactersWithSpaces>41306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2019-11-13T00:05:00Z</dcterms:created>
  <dc:creator>Administrator</dc:creator>
  <cp:lastModifiedBy>Administrator</cp:lastModifiedBy>
  <dcterms:modified xsi:type="dcterms:W3CDTF">2020-03-24T02:04:53Z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