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bookmarkStart w:id="0" w:name="OLE_LINK1"/>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sz w:val="36"/>
          <w:szCs w:val="36"/>
          <w:lang w:eastAsia="zh-CN"/>
        </w:rPr>
        <w:t>湖南</w:t>
      </w:r>
      <w:r>
        <w:rPr>
          <w:rFonts w:hint="eastAsia" w:ascii="方正小标宋_GBK" w:hAnsi="方正小标宋_GBK" w:eastAsia="方正小标宋_GBK" w:cs="方正小标宋_GBK"/>
          <w:color w:val="000000"/>
          <w:sz w:val="36"/>
          <w:szCs w:val="36"/>
          <w:lang w:val="en-US" w:eastAsia="zh-CN"/>
        </w:rPr>
        <w:t>国坤生态农业种养农民专业合作社年出栏12000头生猪养殖场项目</w:t>
      </w:r>
      <w:r>
        <w:rPr>
          <w:rFonts w:hint="eastAsia" w:ascii="方正小标宋_GBK" w:hAnsi="方正小标宋_GBK" w:eastAsia="方正小标宋_GBK" w:cs="方正小标宋_GBK"/>
          <w:color w:val="000000"/>
          <w:sz w:val="36"/>
          <w:szCs w:val="36"/>
        </w:rPr>
        <w:t>环境影响</w:t>
      </w:r>
      <w:r>
        <w:rPr>
          <w:rFonts w:hint="eastAsia" w:ascii="方正小标宋_GBK" w:hAnsi="方正小标宋_GBK" w:eastAsia="方正小标宋_GBK" w:cs="方正小标宋_GBK"/>
          <w:color w:val="000000"/>
          <w:sz w:val="36"/>
          <w:szCs w:val="36"/>
          <w:lang w:val="en-US" w:eastAsia="zh-CN"/>
        </w:rPr>
        <w:t>评价文件</w:t>
      </w:r>
      <w:r>
        <w:rPr>
          <w:rFonts w:hint="eastAsia" w:ascii="方正小标宋_GBK" w:hAnsi="方正小标宋_GBK" w:eastAsia="方正小标宋_GBK" w:cs="方正小标宋_GBK"/>
          <w:color w:val="000000"/>
          <w:sz w:val="36"/>
          <w:szCs w:val="36"/>
        </w:rPr>
        <w:t>告知承诺制审批表</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rPr>
      </w:pPr>
      <w:r>
        <w:rPr>
          <w:rFonts w:hint="eastAsia" w:ascii="仿宋" w:hAnsi="仿宋" w:eastAsia="仿宋" w:cs="仿宋"/>
          <w:color w:val="000000" w:themeColor="text1"/>
          <w:sz w:val="30"/>
          <w:szCs w:val="30"/>
          <w:lang w:val="en-US" w:eastAsia="zh-CN"/>
        </w:rPr>
        <w:t xml:space="preserve">                    </w:t>
      </w:r>
      <w:r>
        <w:rPr>
          <w:rFonts w:hint="eastAsia" w:ascii="仿宋" w:hAnsi="仿宋" w:eastAsia="仿宋" w:cs="仿宋"/>
          <w:color w:val="000000" w:themeColor="text1"/>
          <w:sz w:val="30"/>
          <w:szCs w:val="30"/>
        </w:rPr>
        <w:t>审批号：</w:t>
      </w:r>
      <w:r>
        <w:rPr>
          <w:rFonts w:hint="eastAsia" w:ascii="仿宋" w:hAnsi="仿宋" w:eastAsia="仿宋" w:cs="仿宋"/>
          <w:color w:val="000000" w:themeColor="text1"/>
          <w:sz w:val="30"/>
          <w:szCs w:val="30"/>
          <w:lang w:eastAsia="zh-CN"/>
        </w:rPr>
        <w:t>湘阴</w:t>
      </w:r>
      <w:r>
        <w:rPr>
          <w:rFonts w:hint="eastAsia" w:ascii="仿宋" w:hAnsi="仿宋" w:eastAsia="仿宋" w:cs="仿宋"/>
          <w:bCs/>
          <w:color w:val="000000" w:themeColor="text1"/>
          <w:kern w:val="0"/>
          <w:sz w:val="30"/>
          <w:szCs w:val="30"/>
        </w:rPr>
        <w:t>环评批〔2020〕</w:t>
      </w:r>
      <w:r>
        <w:rPr>
          <w:rFonts w:hint="eastAsia" w:ascii="仿宋" w:hAnsi="仿宋" w:eastAsia="仿宋" w:cs="仿宋"/>
          <w:bCs/>
          <w:color w:val="000000" w:themeColor="text1"/>
          <w:kern w:val="0"/>
          <w:sz w:val="30"/>
          <w:szCs w:val="30"/>
          <w:lang w:val="en-US" w:eastAsia="zh-CN"/>
        </w:rPr>
        <w:t>51</w:t>
      </w:r>
      <w:r>
        <w:rPr>
          <w:rFonts w:hint="eastAsia" w:ascii="仿宋" w:hAnsi="仿宋" w:eastAsia="仿宋" w:cs="仿宋"/>
          <w:bCs/>
          <w:color w:val="000000" w:themeColor="text1"/>
          <w:kern w:val="0"/>
          <w:sz w:val="30"/>
          <w:szCs w:val="30"/>
        </w:rPr>
        <w:t>号</w:t>
      </w:r>
    </w:p>
    <w:tbl>
      <w:tblPr>
        <w:tblStyle w:val="11"/>
        <w:tblW w:w="90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461"/>
        <w:gridCol w:w="1813"/>
        <w:gridCol w:w="2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2" w:hRule="atLeast"/>
          <w:jc w:val="center"/>
        </w:trPr>
        <w:tc>
          <w:tcPr>
            <w:tcW w:w="1095"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938"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0"/>
                <w:szCs w:val="30"/>
                <w:lang w:val="en-US" w:eastAsia="zh-CN"/>
              </w:rPr>
              <w:t xml:space="preserve"> 年出栏12000头生猪养殖场项目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岳阳市湘阴县樟树镇</w:t>
            </w:r>
          </w:p>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金台山村</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20000m</w:t>
            </w:r>
            <w:r>
              <w:rPr>
                <w:rFonts w:hint="default" w:ascii="仿宋" w:hAnsi="仿宋" w:eastAsia="仿宋" w:cs="仿宋"/>
                <w:sz w:val="30"/>
                <w:szCs w:val="30"/>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湖南国坤生态农业种养农民专业合作社</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姚迪良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姚迪良</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18173099379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1000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0</w:t>
            </w:r>
            <w:r>
              <w:rPr>
                <w:rFonts w:hint="default" w:ascii="仿宋" w:hAnsi="仿宋" w:eastAsia="仿宋" w:cs="仿宋"/>
                <w:sz w:val="30"/>
                <w:szCs w:val="30"/>
                <w:lang w:val="en-US" w:eastAsia="zh-CN"/>
              </w:rPr>
              <w:t>年</w:t>
            </w:r>
            <w:r>
              <w:rPr>
                <w:rFonts w:hint="eastAsia" w:ascii="仿宋" w:hAnsi="仿宋" w:eastAsia="仿宋" w:cs="仿宋"/>
                <w:sz w:val="30"/>
                <w:szCs w:val="30"/>
                <w:lang w:val="en-US" w:eastAsia="zh-CN"/>
              </w:rPr>
              <w:t>12</w:t>
            </w:r>
            <w:r>
              <w:rPr>
                <w:rFonts w:hint="default" w:ascii="仿宋" w:hAnsi="仿宋" w:eastAsia="仿宋" w:cs="仿宋"/>
                <w:sz w:val="30"/>
                <w:szCs w:val="30"/>
                <w:lang w:val="en-US" w:eastAsia="zh-CN"/>
              </w:rPr>
              <w:t>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C0313猪的饲养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1.《关于统筹做好疫情防控和经济社会发展生态环保工作的指导意见》（环综合【2020】13号）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2.《关于进一步做好当前生猪规模养殖环评管理相关工作的通知》（环办环评函【2019】872号）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3.湖南省生态环境厅关于转发生态环境部办公厅《关于进一步好当前生猪规模养殖环评管理相关工作的通知》（湘环函【2020】24号）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4.《湖南省建设项目环境影响评价文件行政审批告知承诺制管理办法（试行）》的通知（湘环发【2020】17号）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5.湘阴县畜禽粪污资源化利用整县推进项目工作领导小组关于印发《湘阴县畜禽粪污资源化利用整县推进项目实施方案》的通知（湘牧资办函【2020】3号）</w:t>
            </w:r>
          </w:p>
          <w:p>
            <w:pPr>
              <w:pStyle w:val="2"/>
              <w:rPr>
                <w:rFonts w:hint="default"/>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pStyle w:val="10"/>
              <w:keepNext w:val="0"/>
              <w:keepLines w:val="0"/>
              <w:pageBreakBefore w:val="0"/>
              <w:widowControl w:val="0"/>
              <w:kinsoku/>
              <w:wordWrap/>
              <w:overflowPunct/>
              <w:topLinePunct w:val="0"/>
              <w:autoSpaceDE/>
              <w:autoSpaceDN/>
              <w:bidi w:val="0"/>
              <w:adjustRightInd w:val="0"/>
              <w:snapToGrid/>
              <w:spacing w:after="0"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项目总占地面积为30亩（20000m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），总建筑面积10000m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，项目建设内容包括育肥舍、办公生活用房、消毒室、消毒区、配电房以及供水、供电、道路、粪污处理等相关配套设施，计划年出栏12000头产品猪。</w:t>
            </w:r>
          </w:p>
          <w:p>
            <w:pPr>
              <w:spacing w:line="320" w:lineRule="exact"/>
              <w:ind w:firstLine="480" w:firstLineChars="200"/>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50" w:hRule="atLeast"/>
          <w:jc w:val="center"/>
        </w:trPr>
        <w:tc>
          <w:tcPr>
            <w:tcW w:w="9033" w:type="dxa"/>
            <w:gridSpan w:val="4"/>
            <w:tcBorders>
              <w:top w:val="single" w:color="auto" w:sz="4" w:space="0"/>
              <w:left w:val="single" w:color="auto" w:sz="8" w:space="0"/>
              <w:bottom w:val="single" w:color="auto" w:sz="8" w:space="0"/>
              <w:right w:val="single" w:color="auto" w:sz="8" w:space="0"/>
            </w:tcBorders>
            <w:vAlign w:val="top"/>
          </w:tcPr>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湖南国坤生态农业种养农民专业合作社委托</w:t>
            </w:r>
            <w:r>
              <w:rPr>
                <w:rFonts w:hint="default" w:ascii="仿宋" w:hAnsi="仿宋" w:eastAsia="仿宋" w:cs="仿宋"/>
                <w:kern w:val="2"/>
                <w:sz w:val="28"/>
                <w:szCs w:val="28"/>
                <w:lang w:val="en-US" w:eastAsia="zh-CN" w:bidi="ar-SA"/>
              </w:rPr>
              <w:t>湖南森思生态环保有限公司</w:t>
            </w:r>
            <w:r>
              <w:rPr>
                <w:rFonts w:hint="eastAsia" w:ascii="仿宋" w:hAnsi="仿宋" w:eastAsia="仿宋" w:cs="仿宋"/>
                <w:kern w:val="2"/>
                <w:sz w:val="28"/>
                <w:szCs w:val="28"/>
                <w:lang w:val="en-US" w:eastAsia="zh-CN" w:bidi="ar-SA"/>
              </w:rPr>
              <w:t>编制的《年出栏12000头生猪养殖场项目</w:t>
            </w:r>
            <w:r>
              <w:rPr>
                <w:rFonts w:hint="default" w:ascii="仿宋" w:hAnsi="仿宋" w:eastAsia="仿宋" w:cs="仿宋"/>
                <w:kern w:val="2"/>
                <w:sz w:val="28"/>
                <w:szCs w:val="28"/>
                <w:lang w:val="en-US" w:eastAsia="zh-CN" w:bidi="ar-SA"/>
              </w:rPr>
              <w:t>环境影响报告书</w:t>
            </w:r>
            <w:r>
              <w:rPr>
                <w:rFonts w:hint="eastAsia" w:ascii="仿宋" w:hAnsi="仿宋" w:eastAsia="仿宋" w:cs="仿宋"/>
                <w:kern w:val="2"/>
                <w:sz w:val="28"/>
                <w:szCs w:val="28"/>
                <w:lang w:val="en-US" w:eastAsia="zh-CN" w:bidi="ar-SA"/>
              </w:rPr>
              <w:t>》已经完成告知承诺制审批。经告知承诺制审批后，建设项目性质、规模、地点、工艺采用的防治污染措施发生重大变更的，须重新报批环境影响报告文件，项目竣工后建设单位应按相关要求规定</w:t>
            </w:r>
            <w:bookmarkStart w:id="1" w:name="_GoBack"/>
            <w:bookmarkEnd w:id="1"/>
            <w:r>
              <w:rPr>
                <w:rFonts w:hint="eastAsia" w:ascii="仿宋" w:hAnsi="仿宋" w:eastAsia="仿宋" w:cs="仿宋"/>
                <w:kern w:val="2"/>
                <w:sz w:val="28"/>
                <w:szCs w:val="28"/>
                <w:lang w:val="en-US" w:eastAsia="zh-CN" w:bidi="ar-SA"/>
              </w:rPr>
              <w:t>实施竣工环境保护验收。</w:t>
            </w: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spacing w:line="320" w:lineRule="exact"/>
              <w:ind w:firstLine="3640" w:firstLineChars="1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岳阳市生态环境局湘阴分局</w:t>
            </w:r>
          </w:p>
          <w:p>
            <w:pPr>
              <w:spacing w:line="320" w:lineRule="exact"/>
              <w:ind w:firstLine="3920" w:firstLineChars="1400"/>
              <w:jc w:val="both"/>
              <w:rPr>
                <w:rFonts w:hint="eastAsia" w:ascii="仿宋" w:hAnsi="仿宋" w:eastAsia="仿宋" w:cs="仿宋"/>
                <w:kern w:val="2"/>
                <w:sz w:val="28"/>
                <w:szCs w:val="28"/>
                <w:lang w:val="en-US" w:eastAsia="zh-CN" w:bidi="ar-SA"/>
              </w:rPr>
            </w:pPr>
          </w:p>
          <w:p>
            <w:pPr>
              <w:spacing w:line="320" w:lineRule="exact"/>
              <w:ind w:firstLine="4480" w:firstLineChars="16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2020年12月1日</w:t>
            </w:r>
          </w:p>
          <w:p>
            <w:pPr>
              <w:spacing w:line="320" w:lineRule="exact"/>
              <w:ind w:firstLine="3920" w:firstLineChars="1400"/>
              <w:jc w:val="both"/>
              <w:rPr>
                <w:rFonts w:hint="eastAsia" w:ascii="仿宋" w:hAnsi="仿宋" w:eastAsia="仿宋" w:cs="仿宋"/>
                <w:kern w:val="2"/>
                <w:sz w:val="28"/>
                <w:szCs w:val="28"/>
                <w:lang w:val="en-US" w:eastAsia="zh-CN" w:bidi="ar-SA"/>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7B004B0"/>
    <w:rsid w:val="0C9D0460"/>
    <w:rsid w:val="177558C3"/>
    <w:rsid w:val="2EE022D0"/>
    <w:rsid w:val="47A909A5"/>
    <w:rsid w:val="4B184D8E"/>
    <w:rsid w:val="4C7C6FB7"/>
    <w:rsid w:val="4E1E6560"/>
    <w:rsid w:val="4F9B4011"/>
    <w:rsid w:val="51CD5AF3"/>
    <w:rsid w:val="52DA4EE1"/>
    <w:rsid w:val="5B877F94"/>
    <w:rsid w:val="62DF4AD5"/>
    <w:rsid w:val="6CEF0166"/>
    <w:rsid w:val="727F2390"/>
    <w:rsid w:val="72F017E0"/>
    <w:rsid w:val="758D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120" w:line="360" w:lineRule="auto"/>
      <w:ind w:left="936" w:hanging="576"/>
      <w:outlineLvl w:val="1"/>
    </w:pPr>
    <w:rPr>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99"/>
    <w:pPr>
      <w:spacing w:line="500" w:lineRule="exact"/>
    </w:pPr>
    <w:rPr>
      <w:sz w:val="28"/>
    </w:rPr>
  </w:style>
  <w:style w:type="paragraph" w:customStyle="1" w:styleId="7">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qFormat/>
    <w:uiPriority w:val="0"/>
    <w:pPr>
      <w:ind w:firstLine="420" w:firstLineChars="100"/>
    </w:pPr>
  </w:style>
  <w:style w:type="character" w:customStyle="1" w:styleId="13">
    <w:name w:val="页眉 Char"/>
    <w:basedOn w:val="12"/>
    <w:link w:val="9"/>
    <w:semiHidden/>
    <w:qFormat/>
    <w:uiPriority w:val="99"/>
    <w:rPr>
      <w:rFonts w:ascii="Times New Roman" w:hAnsi="Times New Roman" w:eastAsia="仿宋_GB2312" w:cs="Times New Roman"/>
      <w:sz w:val="18"/>
      <w:szCs w:val="18"/>
    </w:rPr>
  </w:style>
  <w:style w:type="character" w:customStyle="1" w:styleId="14">
    <w:name w:val="页脚 Char"/>
    <w:basedOn w:val="12"/>
    <w:link w:val="8"/>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23</TotalTime>
  <ScaleCrop>false</ScaleCrop>
  <LinksUpToDate>false</LinksUpToDate>
  <CharactersWithSpaces>552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大万</cp:lastModifiedBy>
  <cp:lastPrinted>2020-12-09T07:41:48Z</cp:lastPrinted>
  <dcterms:modified xsi:type="dcterms:W3CDTF">2020-12-09T07:55:51Z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